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adjustRightInd w:val="0"/>
        <w:snapToGrid w:val="0"/>
        <w:spacing w:line="900" w:lineRule="exact"/>
        <w:textAlignment w:val="center"/>
        <w:rPr>
          <w:b/>
          <w:bCs/>
          <w:color w:val="auto"/>
          <w:kern w:val="0"/>
          <w:sz w:val="44"/>
          <w:szCs w:val="44"/>
        </w:rPr>
      </w:pPr>
    </w:p>
    <w:p>
      <w:pPr>
        <w:wordWrap w:val="0"/>
        <w:adjustRightInd w:val="0"/>
        <w:snapToGrid w:val="0"/>
        <w:spacing w:line="900" w:lineRule="exact"/>
        <w:textAlignment w:val="center"/>
        <w:rPr>
          <w:rFonts w:ascii="宋体" w:hAnsi="宋体" w:cs="宋体"/>
          <w:b/>
          <w:bCs/>
          <w:color w:val="auto"/>
          <w:kern w:val="0"/>
          <w:sz w:val="44"/>
          <w:szCs w:val="44"/>
        </w:rPr>
      </w:pPr>
    </w:p>
    <w:p>
      <w:pPr>
        <w:wordWrap w:val="0"/>
        <w:adjustRightInd w:val="0"/>
        <w:snapToGrid w:val="0"/>
        <w:spacing w:line="900" w:lineRule="exact"/>
        <w:jc w:val="center"/>
        <w:textAlignment w:val="center"/>
        <w:rPr>
          <w:rFonts w:ascii="宋体" w:hAnsi="宋体" w:cs="宋体"/>
          <w:b/>
          <w:bCs/>
          <w:color w:val="auto"/>
          <w:kern w:val="0"/>
          <w:sz w:val="44"/>
          <w:szCs w:val="44"/>
        </w:rPr>
      </w:pPr>
      <w:r>
        <w:rPr>
          <w:rFonts w:hint="eastAsia" w:ascii="宋体" w:hAnsi="宋体" w:cs="宋体"/>
          <w:b/>
          <w:bCs/>
          <w:color w:val="auto"/>
          <w:kern w:val="0"/>
          <w:sz w:val="44"/>
          <w:szCs w:val="44"/>
        </w:rPr>
        <w:t>江西景新漆业股份有限公司</w:t>
      </w:r>
    </w:p>
    <w:p>
      <w:pPr>
        <w:wordWrap w:val="0"/>
        <w:adjustRightInd w:val="0"/>
        <w:snapToGrid w:val="0"/>
        <w:spacing w:line="900" w:lineRule="exact"/>
        <w:jc w:val="center"/>
        <w:textAlignment w:val="center"/>
        <w:rPr>
          <w:rFonts w:ascii="宋体" w:hAnsi="宋体" w:cs="宋体"/>
          <w:b/>
          <w:bCs/>
          <w:color w:val="auto"/>
          <w:kern w:val="0"/>
          <w:sz w:val="44"/>
          <w:szCs w:val="44"/>
        </w:rPr>
      </w:pPr>
      <w:r>
        <w:rPr>
          <w:rFonts w:hint="eastAsia" w:ascii="宋体" w:hAnsi="宋体" w:cs="宋体"/>
          <w:b/>
          <w:bCs/>
          <w:color w:val="auto"/>
          <w:kern w:val="0"/>
          <w:sz w:val="44"/>
          <w:szCs w:val="44"/>
        </w:rPr>
        <w:t>安全生产设施技术改造项目（106甲类仓库）</w:t>
      </w:r>
    </w:p>
    <w:p>
      <w:pPr>
        <w:wordWrap w:val="0"/>
        <w:adjustRightInd w:val="0"/>
        <w:snapToGrid w:val="0"/>
        <w:spacing w:line="900" w:lineRule="exact"/>
        <w:jc w:val="center"/>
        <w:textAlignment w:val="center"/>
        <w:rPr>
          <w:b/>
          <w:bCs/>
          <w:color w:val="auto"/>
          <w:kern w:val="0"/>
          <w:sz w:val="52"/>
          <w:szCs w:val="52"/>
        </w:rPr>
      </w:pPr>
      <w:r>
        <w:rPr>
          <w:rFonts w:hint="eastAsia"/>
          <w:b/>
          <w:bCs/>
          <w:color w:val="auto"/>
          <w:kern w:val="0"/>
          <w:sz w:val="52"/>
          <w:szCs w:val="52"/>
        </w:rPr>
        <w:t>安全验收评价</w:t>
      </w:r>
      <w:r>
        <w:rPr>
          <w:b/>
          <w:bCs/>
          <w:color w:val="auto"/>
          <w:kern w:val="0"/>
          <w:sz w:val="52"/>
          <w:szCs w:val="52"/>
        </w:rPr>
        <w:t>报告</w:t>
      </w:r>
    </w:p>
    <w:p>
      <w:pPr>
        <w:wordWrap w:val="0"/>
        <w:adjustRightInd w:val="0"/>
        <w:snapToGrid w:val="0"/>
        <w:spacing w:line="700" w:lineRule="exact"/>
        <w:jc w:val="center"/>
        <w:textAlignment w:val="center"/>
        <w:rPr>
          <w:b/>
          <w:bCs/>
          <w:color w:val="auto"/>
          <w:kern w:val="0"/>
          <w:sz w:val="44"/>
          <w:szCs w:val="44"/>
        </w:rPr>
      </w:pPr>
      <w:r>
        <w:rPr>
          <w:b/>
          <w:bCs/>
          <w:color w:val="auto"/>
          <w:kern w:val="0"/>
          <w:sz w:val="32"/>
          <w:szCs w:val="32"/>
        </w:rPr>
        <w:t>（</w:t>
      </w:r>
      <w:r>
        <w:rPr>
          <w:rFonts w:hint="eastAsia"/>
          <w:b/>
          <w:bCs/>
          <w:color w:val="auto"/>
          <w:kern w:val="0"/>
          <w:sz w:val="32"/>
          <w:szCs w:val="32"/>
          <w:lang w:val="en-US" w:eastAsia="zh-CN"/>
        </w:rPr>
        <w:t>终</w:t>
      </w:r>
      <w:r>
        <w:rPr>
          <w:rFonts w:hint="eastAsia"/>
          <w:b/>
          <w:bCs/>
          <w:color w:val="auto"/>
          <w:kern w:val="0"/>
          <w:sz w:val="32"/>
          <w:szCs w:val="32"/>
        </w:rPr>
        <w:t>稿</w:t>
      </w:r>
      <w:r>
        <w:rPr>
          <w:b/>
          <w:bCs/>
          <w:color w:val="auto"/>
          <w:kern w:val="0"/>
          <w:sz w:val="32"/>
          <w:szCs w:val="32"/>
        </w:rPr>
        <w:t>）</w:t>
      </w:r>
    </w:p>
    <w:p>
      <w:pPr>
        <w:wordWrap w:val="0"/>
        <w:adjustRightInd w:val="0"/>
        <w:snapToGrid w:val="0"/>
        <w:spacing w:line="700" w:lineRule="exact"/>
        <w:textAlignment w:val="center"/>
        <w:rPr>
          <w:b/>
          <w:color w:val="auto"/>
          <w:kern w:val="0"/>
          <w:sz w:val="44"/>
          <w:szCs w:val="44"/>
        </w:rPr>
      </w:pPr>
    </w:p>
    <w:p>
      <w:pPr>
        <w:wordWrap w:val="0"/>
        <w:adjustRightInd w:val="0"/>
        <w:snapToGrid w:val="0"/>
        <w:spacing w:line="700" w:lineRule="exact"/>
        <w:jc w:val="left"/>
        <w:textAlignment w:val="center"/>
        <w:rPr>
          <w:b/>
          <w:bCs/>
          <w:color w:val="auto"/>
          <w:kern w:val="0"/>
          <w:sz w:val="32"/>
          <w:szCs w:val="32"/>
        </w:rPr>
      </w:pPr>
    </w:p>
    <w:p>
      <w:pPr>
        <w:wordWrap w:val="0"/>
        <w:adjustRightInd w:val="0"/>
        <w:snapToGrid w:val="0"/>
        <w:spacing w:line="700" w:lineRule="exact"/>
        <w:jc w:val="left"/>
        <w:textAlignment w:val="center"/>
        <w:rPr>
          <w:b/>
          <w:bCs/>
          <w:color w:val="auto"/>
          <w:kern w:val="0"/>
          <w:sz w:val="32"/>
          <w:szCs w:val="32"/>
        </w:rPr>
      </w:pP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建设单位：</w:t>
      </w:r>
      <w:r>
        <w:rPr>
          <w:rFonts w:hint="eastAsia"/>
          <w:b/>
          <w:bCs/>
          <w:color w:val="auto"/>
          <w:kern w:val="0"/>
          <w:sz w:val="32"/>
          <w:szCs w:val="32"/>
        </w:rPr>
        <w:t>江西景新漆业股份有限公司</w:t>
      </w: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建设单位法定代表人：</w:t>
      </w:r>
      <w:r>
        <w:rPr>
          <w:rFonts w:hint="eastAsia"/>
          <w:b/>
          <w:bCs/>
          <w:color w:val="auto"/>
          <w:kern w:val="0"/>
          <w:sz w:val="32"/>
          <w:szCs w:val="32"/>
        </w:rPr>
        <w:t>许栋</w:t>
      </w: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建设项目单位：</w:t>
      </w:r>
      <w:r>
        <w:rPr>
          <w:rFonts w:hint="eastAsia"/>
          <w:b/>
          <w:bCs/>
          <w:color w:val="auto"/>
          <w:kern w:val="0"/>
          <w:sz w:val="32"/>
          <w:szCs w:val="32"/>
        </w:rPr>
        <w:t>江西景新漆业股份有限公司</w:t>
      </w: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建设项目单位主要负责人：</w:t>
      </w:r>
      <w:r>
        <w:rPr>
          <w:rFonts w:hint="eastAsia"/>
          <w:b/>
          <w:bCs/>
          <w:color w:val="auto"/>
          <w:kern w:val="0"/>
          <w:sz w:val="32"/>
          <w:szCs w:val="32"/>
        </w:rPr>
        <w:t>许栋</w:t>
      </w: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建设项目单位联系人：</w:t>
      </w:r>
      <w:r>
        <w:rPr>
          <w:rFonts w:hint="eastAsia"/>
          <w:b/>
          <w:bCs/>
          <w:color w:val="auto"/>
          <w:kern w:val="0"/>
          <w:sz w:val="32"/>
          <w:szCs w:val="32"/>
        </w:rPr>
        <w:t>许栋</w:t>
      </w:r>
    </w:p>
    <w:p>
      <w:pPr>
        <w:wordWrap w:val="0"/>
        <w:adjustRightInd w:val="0"/>
        <w:snapToGrid w:val="0"/>
        <w:spacing w:line="700" w:lineRule="exact"/>
        <w:ind w:firstLine="643" w:firstLineChars="200"/>
        <w:jc w:val="left"/>
        <w:textAlignment w:val="center"/>
        <w:rPr>
          <w:b/>
          <w:bCs/>
          <w:color w:val="auto"/>
          <w:kern w:val="0"/>
          <w:sz w:val="32"/>
          <w:szCs w:val="32"/>
        </w:rPr>
      </w:pPr>
      <w:r>
        <w:rPr>
          <w:b/>
          <w:bCs/>
          <w:color w:val="auto"/>
          <w:kern w:val="0"/>
          <w:sz w:val="32"/>
          <w:szCs w:val="32"/>
        </w:rPr>
        <w:t>建设项目单位联系电话：</w:t>
      </w:r>
      <w:r>
        <w:rPr>
          <w:rFonts w:hint="eastAsia"/>
          <w:b/>
          <w:bCs/>
          <w:color w:val="auto"/>
          <w:kern w:val="0"/>
          <w:sz w:val="32"/>
          <w:szCs w:val="32"/>
        </w:rPr>
        <w:t>13970454588</w:t>
      </w:r>
    </w:p>
    <w:p>
      <w:pPr>
        <w:wordWrap w:val="0"/>
        <w:adjustRightInd w:val="0"/>
        <w:snapToGrid w:val="0"/>
        <w:spacing w:line="700" w:lineRule="exact"/>
        <w:jc w:val="left"/>
        <w:textAlignment w:val="center"/>
        <w:rPr>
          <w:b/>
          <w:bCs/>
          <w:color w:val="auto"/>
          <w:kern w:val="0"/>
          <w:szCs w:val="28"/>
        </w:rPr>
      </w:pPr>
    </w:p>
    <w:p>
      <w:pPr>
        <w:wordWrap w:val="0"/>
        <w:adjustRightInd w:val="0"/>
        <w:snapToGrid w:val="0"/>
        <w:spacing w:line="700" w:lineRule="exact"/>
        <w:jc w:val="center"/>
        <w:textAlignment w:val="center"/>
        <w:rPr>
          <w:b/>
          <w:bCs/>
          <w:color w:val="auto"/>
          <w:kern w:val="0"/>
          <w:szCs w:val="28"/>
        </w:rPr>
      </w:pPr>
      <w:r>
        <w:rPr>
          <w:b/>
          <w:bCs/>
          <w:color w:val="auto"/>
          <w:kern w:val="0"/>
          <w:szCs w:val="28"/>
        </w:rPr>
        <w:t>（建设单位公章）</w:t>
      </w:r>
    </w:p>
    <w:p>
      <w:pPr>
        <w:wordWrap w:val="0"/>
        <w:adjustRightInd w:val="0"/>
        <w:snapToGrid w:val="0"/>
        <w:spacing w:line="700" w:lineRule="exact"/>
        <w:jc w:val="center"/>
        <w:textAlignment w:val="center"/>
        <w:rPr>
          <w:b/>
          <w:bCs/>
          <w:color w:val="auto"/>
          <w:kern w:val="0"/>
          <w:sz w:val="32"/>
          <w:szCs w:val="32"/>
        </w:rPr>
      </w:pPr>
      <w:r>
        <w:rPr>
          <w:b/>
          <w:bCs/>
          <w:color w:val="auto"/>
          <w:kern w:val="0"/>
          <w:szCs w:val="28"/>
        </w:rPr>
        <w:t>202</w:t>
      </w:r>
      <w:r>
        <w:rPr>
          <w:rFonts w:hint="eastAsia"/>
          <w:b/>
          <w:bCs/>
          <w:color w:val="auto"/>
          <w:kern w:val="0"/>
          <w:szCs w:val="28"/>
          <w:lang w:val="en-US" w:eastAsia="zh-CN"/>
        </w:rPr>
        <w:t>4</w:t>
      </w:r>
      <w:r>
        <w:rPr>
          <w:b/>
          <w:bCs/>
          <w:color w:val="auto"/>
          <w:kern w:val="0"/>
          <w:szCs w:val="28"/>
        </w:rPr>
        <w:t>年1月</w:t>
      </w:r>
      <w:r>
        <w:rPr>
          <w:rFonts w:hint="eastAsia"/>
          <w:b/>
          <w:bCs/>
          <w:color w:val="auto"/>
          <w:kern w:val="0"/>
          <w:szCs w:val="28"/>
          <w:lang w:val="en-US" w:eastAsia="zh-CN"/>
        </w:rPr>
        <w:t>15</w:t>
      </w:r>
      <w:r>
        <w:rPr>
          <w:b/>
          <w:bCs/>
          <w:color w:val="auto"/>
          <w:kern w:val="0"/>
          <w:szCs w:val="28"/>
        </w:rPr>
        <w:t>日</w:t>
      </w:r>
    </w:p>
    <w:p>
      <w:pPr>
        <w:wordWrap w:val="0"/>
        <w:adjustRightInd w:val="0"/>
        <w:snapToGrid w:val="0"/>
        <w:spacing w:line="700" w:lineRule="exact"/>
        <w:textAlignment w:val="center"/>
        <w:rPr>
          <w:b/>
          <w:bCs/>
          <w:color w:val="auto"/>
          <w:kern w:val="0"/>
          <w:sz w:val="52"/>
          <w:szCs w:val="52"/>
        </w:rPr>
        <w:sectPr>
          <w:headerReference r:id="rId6" w:type="first"/>
          <w:headerReference r:id="rId5" w:type="default"/>
          <w:footerReference r:id="rId7" w:type="default"/>
          <w:pgSz w:w="11906" w:h="16838"/>
          <w:pgMar w:top="1417" w:right="1418" w:bottom="1417" w:left="1418" w:header="850" w:footer="964" w:gutter="0"/>
          <w:pgNumType w:fmt="upperRoman"/>
          <w:cols w:space="720" w:num="1"/>
          <w:titlePg/>
          <w:docGrid w:type="lines" w:linePitch="312" w:charSpace="0"/>
        </w:sectPr>
      </w:pPr>
      <w:bookmarkStart w:id="0" w:name="_Toc69681058"/>
    </w:p>
    <w:p>
      <w:pPr>
        <w:wordWrap w:val="0"/>
        <w:adjustRightInd w:val="0"/>
        <w:snapToGrid w:val="0"/>
        <w:spacing w:line="800" w:lineRule="exact"/>
        <w:textAlignment w:val="center"/>
        <w:rPr>
          <w:b/>
          <w:bCs/>
          <w:color w:val="auto"/>
          <w:kern w:val="0"/>
          <w:sz w:val="52"/>
          <w:szCs w:val="52"/>
        </w:rPr>
      </w:pPr>
    </w:p>
    <w:p>
      <w:pPr>
        <w:wordWrap w:val="0"/>
        <w:adjustRightInd w:val="0"/>
        <w:snapToGrid w:val="0"/>
        <w:spacing w:line="800" w:lineRule="exact"/>
        <w:textAlignment w:val="center"/>
        <w:rPr>
          <w:rFonts w:ascii="宋体" w:hAnsi="宋体" w:cs="宋体"/>
          <w:b/>
          <w:bCs/>
          <w:color w:val="auto"/>
          <w:kern w:val="0"/>
          <w:sz w:val="32"/>
          <w:szCs w:val="32"/>
        </w:rPr>
      </w:pPr>
    </w:p>
    <w:p>
      <w:pPr>
        <w:wordWrap w:val="0"/>
        <w:adjustRightInd w:val="0"/>
        <w:snapToGrid w:val="0"/>
        <w:spacing w:line="800" w:lineRule="exact"/>
        <w:jc w:val="center"/>
        <w:textAlignment w:val="center"/>
        <w:rPr>
          <w:rFonts w:ascii="宋体" w:hAnsi="宋体" w:cs="宋体"/>
          <w:b/>
          <w:bCs/>
          <w:color w:val="auto"/>
          <w:kern w:val="0"/>
          <w:sz w:val="32"/>
          <w:szCs w:val="32"/>
        </w:rPr>
      </w:pPr>
      <w:r>
        <w:rPr>
          <w:rFonts w:hint="eastAsia" w:ascii="宋体" w:hAnsi="宋体" w:cs="宋体"/>
          <w:b/>
          <w:bCs/>
          <w:color w:val="auto"/>
          <w:kern w:val="0"/>
          <w:sz w:val="32"/>
          <w:szCs w:val="32"/>
        </w:rPr>
        <w:t>江西景新漆业股份有限公司</w:t>
      </w:r>
    </w:p>
    <w:p>
      <w:pPr>
        <w:wordWrap w:val="0"/>
        <w:adjustRightInd w:val="0"/>
        <w:snapToGrid w:val="0"/>
        <w:spacing w:line="800" w:lineRule="exact"/>
        <w:jc w:val="center"/>
        <w:textAlignment w:val="center"/>
        <w:rPr>
          <w:rFonts w:ascii="宋体" w:hAnsi="宋体" w:cs="宋体"/>
          <w:b/>
          <w:bCs/>
          <w:color w:val="auto"/>
          <w:kern w:val="0"/>
          <w:sz w:val="32"/>
          <w:szCs w:val="32"/>
        </w:rPr>
      </w:pPr>
      <w:r>
        <w:rPr>
          <w:rFonts w:hint="eastAsia" w:ascii="宋体" w:hAnsi="宋体" w:cs="宋体"/>
          <w:b/>
          <w:bCs/>
          <w:color w:val="auto"/>
          <w:kern w:val="0"/>
          <w:sz w:val="32"/>
          <w:szCs w:val="32"/>
        </w:rPr>
        <w:t>安全生产设施技术改造项目（106甲类仓库）</w:t>
      </w:r>
    </w:p>
    <w:p>
      <w:pPr>
        <w:wordWrap w:val="0"/>
        <w:adjustRightInd w:val="0"/>
        <w:snapToGrid w:val="0"/>
        <w:spacing w:line="800" w:lineRule="exact"/>
        <w:jc w:val="center"/>
        <w:textAlignment w:val="center"/>
        <w:rPr>
          <w:b/>
          <w:bCs/>
          <w:color w:val="auto"/>
          <w:kern w:val="0"/>
          <w:sz w:val="44"/>
          <w:szCs w:val="44"/>
        </w:rPr>
      </w:pPr>
      <w:r>
        <w:rPr>
          <w:rFonts w:hint="eastAsia"/>
          <w:b/>
          <w:bCs/>
          <w:color w:val="auto"/>
          <w:kern w:val="0"/>
          <w:sz w:val="44"/>
          <w:szCs w:val="44"/>
        </w:rPr>
        <w:t>安全验收评价</w:t>
      </w:r>
      <w:r>
        <w:rPr>
          <w:b/>
          <w:bCs/>
          <w:color w:val="auto"/>
          <w:kern w:val="0"/>
          <w:sz w:val="44"/>
          <w:szCs w:val="44"/>
        </w:rPr>
        <w:t>报告</w:t>
      </w:r>
    </w:p>
    <w:p>
      <w:pPr>
        <w:wordWrap w:val="0"/>
        <w:adjustRightInd w:val="0"/>
        <w:snapToGrid w:val="0"/>
        <w:spacing w:line="700" w:lineRule="exact"/>
        <w:jc w:val="center"/>
        <w:textAlignment w:val="center"/>
        <w:rPr>
          <w:b/>
          <w:bCs/>
          <w:color w:val="auto"/>
          <w:kern w:val="0"/>
          <w:sz w:val="32"/>
          <w:szCs w:val="32"/>
        </w:rPr>
      </w:pPr>
      <w:r>
        <w:rPr>
          <w:b/>
          <w:bCs/>
          <w:color w:val="auto"/>
          <w:kern w:val="0"/>
          <w:sz w:val="32"/>
          <w:szCs w:val="32"/>
        </w:rPr>
        <w:t>（</w:t>
      </w:r>
      <w:r>
        <w:rPr>
          <w:rFonts w:hint="eastAsia"/>
          <w:b/>
          <w:bCs/>
          <w:color w:val="auto"/>
          <w:kern w:val="0"/>
          <w:sz w:val="32"/>
          <w:szCs w:val="32"/>
          <w:lang w:val="en-US" w:eastAsia="zh-CN"/>
        </w:rPr>
        <w:t>终</w:t>
      </w:r>
      <w:r>
        <w:rPr>
          <w:rFonts w:hint="eastAsia"/>
          <w:b/>
          <w:bCs/>
          <w:color w:val="auto"/>
          <w:kern w:val="0"/>
          <w:sz w:val="32"/>
          <w:szCs w:val="32"/>
        </w:rPr>
        <w:t>稿</w:t>
      </w:r>
      <w:r>
        <w:rPr>
          <w:b/>
          <w:bCs/>
          <w:color w:val="auto"/>
          <w:kern w:val="0"/>
          <w:sz w:val="32"/>
          <w:szCs w:val="32"/>
        </w:rPr>
        <w:t>）</w:t>
      </w:r>
    </w:p>
    <w:p>
      <w:pPr>
        <w:wordWrap w:val="0"/>
        <w:adjustRightInd w:val="0"/>
        <w:snapToGrid w:val="0"/>
        <w:spacing w:line="700" w:lineRule="exact"/>
        <w:textAlignment w:val="center"/>
        <w:rPr>
          <w:color w:val="auto"/>
          <w:kern w:val="0"/>
          <w:szCs w:val="28"/>
        </w:rPr>
      </w:pPr>
    </w:p>
    <w:p>
      <w:pPr>
        <w:wordWrap w:val="0"/>
        <w:adjustRightInd w:val="0"/>
        <w:snapToGrid w:val="0"/>
        <w:spacing w:line="700" w:lineRule="exact"/>
        <w:textAlignment w:val="center"/>
        <w:rPr>
          <w:color w:val="auto"/>
          <w:kern w:val="0"/>
          <w:szCs w:val="28"/>
        </w:rPr>
      </w:pPr>
    </w:p>
    <w:p>
      <w:pPr>
        <w:pStyle w:val="9"/>
        <w:wordWrap w:val="0"/>
        <w:adjustRightInd w:val="0"/>
        <w:snapToGrid w:val="0"/>
        <w:spacing w:after="0" w:line="700" w:lineRule="exact"/>
        <w:textAlignment w:val="center"/>
        <w:rPr>
          <w:color w:val="auto"/>
          <w:kern w:val="0"/>
          <w:szCs w:val="28"/>
        </w:rPr>
      </w:pPr>
    </w:p>
    <w:p>
      <w:pPr>
        <w:wordWrap w:val="0"/>
        <w:adjustRightInd w:val="0"/>
        <w:snapToGrid w:val="0"/>
        <w:spacing w:line="700" w:lineRule="exact"/>
        <w:ind w:firstLine="643" w:firstLineChars="200"/>
        <w:textAlignment w:val="center"/>
        <w:rPr>
          <w:b/>
          <w:bCs/>
          <w:color w:val="auto"/>
          <w:kern w:val="0"/>
          <w:sz w:val="32"/>
          <w:szCs w:val="32"/>
        </w:rPr>
      </w:pPr>
      <w:r>
        <w:rPr>
          <w:b/>
          <w:bCs/>
          <w:color w:val="auto"/>
          <w:kern w:val="0"/>
          <w:sz w:val="32"/>
          <w:szCs w:val="32"/>
        </w:rPr>
        <w:t>评价机构名称：江西赣安安全生产科学技术咨询服务中心</w:t>
      </w:r>
    </w:p>
    <w:p>
      <w:pPr>
        <w:wordWrap w:val="0"/>
        <w:adjustRightInd w:val="0"/>
        <w:snapToGrid w:val="0"/>
        <w:spacing w:line="700" w:lineRule="exact"/>
        <w:ind w:firstLine="643" w:firstLineChars="200"/>
        <w:textAlignment w:val="center"/>
        <w:rPr>
          <w:b/>
          <w:bCs/>
          <w:color w:val="auto"/>
          <w:kern w:val="0"/>
          <w:sz w:val="32"/>
          <w:szCs w:val="32"/>
        </w:rPr>
      </w:pPr>
      <w:r>
        <w:rPr>
          <w:b/>
          <w:bCs/>
          <w:color w:val="auto"/>
          <w:kern w:val="0"/>
          <w:sz w:val="32"/>
          <w:szCs w:val="32"/>
        </w:rPr>
        <w:t>资质证书编号：APJ-（赣）-002</w:t>
      </w:r>
    </w:p>
    <w:p>
      <w:pPr>
        <w:wordWrap w:val="0"/>
        <w:adjustRightInd w:val="0"/>
        <w:snapToGrid w:val="0"/>
        <w:spacing w:line="700" w:lineRule="exact"/>
        <w:ind w:firstLine="643" w:firstLineChars="200"/>
        <w:textAlignment w:val="center"/>
        <w:rPr>
          <w:b/>
          <w:bCs/>
          <w:color w:val="auto"/>
          <w:kern w:val="0"/>
          <w:sz w:val="32"/>
          <w:szCs w:val="32"/>
        </w:rPr>
      </w:pPr>
      <w:r>
        <w:rPr>
          <w:b/>
          <w:bCs/>
          <w:color w:val="auto"/>
          <w:kern w:val="0"/>
          <w:sz w:val="32"/>
          <w:szCs w:val="32"/>
        </w:rPr>
        <w:t>法定代表人：</w:t>
      </w:r>
      <w:r>
        <w:rPr>
          <w:rFonts w:hint="eastAsia"/>
          <w:b/>
          <w:bCs/>
          <w:color w:val="auto"/>
          <w:kern w:val="0"/>
          <w:sz w:val="32"/>
          <w:szCs w:val="32"/>
        </w:rPr>
        <w:t>应  宏</w:t>
      </w:r>
    </w:p>
    <w:p>
      <w:pPr>
        <w:pStyle w:val="32"/>
        <w:wordWrap w:val="0"/>
        <w:autoSpaceDE/>
        <w:autoSpaceDN/>
        <w:snapToGrid w:val="0"/>
        <w:spacing w:line="700" w:lineRule="exact"/>
        <w:ind w:firstLine="643" w:firstLineChars="200"/>
        <w:textAlignment w:val="center"/>
        <w:rPr>
          <w:rFonts w:ascii="Times New Roman" w:cs="Times New Roman"/>
          <w:b/>
          <w:bCs/>
          <w:color w:val="auto"/>
          <w:kern w:val="0"/>
          <w:sz w:val="32"/>
          <w:szCs w:val="32"/>
        </w:rPr>
      </w:pPr>
      <w:r>
        <w:rPr>
          <w:rFonts w:hint="eastAsia" w:ascii="Times New Roman" w:cs="Times New Roman"/>
          <w:b/>
          <w:bCs/>
          <w:color w:val="auto"/>
          <w:kern w:val="0"/>
          <w:sz w:val="32"/>
          <w:szCs w:val="32"/>
        </w:rPr>
        <w:t>技术负责</w:t>
      </w:r>
      <w:r>
        <w:rPr>
          <w:rFonts w:ascii="Times New Roman" w:cs="Times New Roman"/>
          <w:b/>
          <w:bCs/>
          <w:color w:val="auto"/>
          <w:kern w:val="0"/>
          <w:sz w:val="32"/>
          <w:szCs w:val="32"/>
        </w:rPr>
        <w:t>人：周红波</w:t>
      </w:r>
    </w:p>
    <w:p>
      <w:pPr>
        <w:pStyle w:val="32"/>
        <w:wordWrap w:val="0"/>
        <w:autoSpaceDE/>
        <w:autoSpaceDN/>
        <w:snapToGrid w:val="0"/>
        <w:spacing w:line="700" w:lineRule="exact"/>
        <w:ind w:firstLine="643" w:firstLineChars="200"/>
        <w:textAlignment w:val="center"/>
        <w:rPr>
          <w:rFonts w:ascii="Times New Roman" w:cs="Times New Roman"/>
          <w:b/>
          <w:bCs/>
          <w:color w:val="auto"/>
          <w:kern w:val="0"/>
          <w:sz w:val="32"/>
          <w:szCs w:val="32"/>
        </w:rPr>
      </w:pPr>
      <w:r>
        <w:rPr>
          <w:rFonts w:hint="eastAsia" w:ascii="Times New Roman" w:cs="Times New Roman"/>
          <w:b/>
          <w:bCs/>
          <w:color w:val="auto"/>
          <w:kern w:val="0"/>
          <w:sz w:val="32"/>
          <w:szCs w:val="32"/>
        </w:rPr>
        <w:t>项目</w:t>
      </w:r>
      <w:r>
        <w:rPr>
          <w:rFonts w:ascii="Times New Roman" w:cs="Times New Roman"/>
          <w:b/>
          <w:bCs/>
          <w:color w:val="auto"/>
          <w:kern w:val="0"/>
          <w:sz w:val="32"/>
          <w:szCs w:val="32"/>
        </w:rPr>
        <w:t>负责人：</w:t>
      </w:r>
      <w:r>
        <w:rPr>
          <w:rFonts w:hint="eastAsia" w:ascii="Times New Roman" w:cs="Times New Roman"/>
          <w:b/>
          <w:bCs/>
          <w:color w:val="auto"/>
          <w:kern w:val="0"/>
          <w:sz w:val="32"/>
          <w:szCs w:val="32"/>
        </w:rPr>
        <w:t>周红波</w:t>
      </w:r>
    </w:p>
    <w:p>
      <w:pPr>
        <w:pStyle w:val="32"/>
        <w:wordWrap w:val="0"/>
        <w:autoSpaceDE/>
        <w:autoSpaceDN/>
        <w:snapToGrid w:val="0"/>
        <w:spacing w:line="700" w:lineRule="exact"/>
        <w:ind w:firstLine="643" w:firstLineChars="200"/>
        <w:textAlignment w:val="center"/>
        <w:rPr>
          <w:rFonts w:ascii="Times New Roman" w:cs="Times New Roman"/>
          <w:b/>
          <w:bCs/>
          <w:color w:val="auto"/>
          <w:kern w:val="0"/>
          <w:sz w:val="32"/>
          <w:szCs w:val="32"/>
        </w:rPr>
      </w:pPr>
      <w:r>
        <w:rPr>
          <w:rFonts w:ascii="Times New Roman" w:cs="Times New Roman"/>
          <w:b/>
          <w:bCs/>
          <w:color w:val="auto"/>
          <w:kern w:val="0"/>
          <w:sz w:val="32"/>
          <w:szCs w:val="32"/>
        </w:rPr>
        <w:t>评价机构联系电话：0791－87379372</w:t>
      </w:r>
    </w:p>
    <w:p>
      <w:pPr>
        <w:wordWrap w:val="0"/>
        <w:adjustRightInd w:val="0"/>
        <w:snapToGrid w:val="0"/>
        <w:spacing w:line="700" w:lineRule="exact"/>
        <w:textAlignment w:val="center"/>
        <w:rPr>
          <w:b/>
          <w:bCs/>
          <w:color w:val="auto"/>
          <w:kern w:val="0"/>
          <w:szCs w:val="28"/>
        </w:rPr>
      </w:pPr>
    </w:p>
    <w:p>
      <w:pPr>
        <w:pStyle w:val="32"/>
        <w:wordWrap w:val="0"/>
        <w:autoSpaceDE/>
        <w:autoSpaceDN/>
        <w:snapToGrid w:val="0"/>
        <w:spacing w:line="700" w:lineRule="exact"/>
        <w:jc w:val="center"/>
        <w:textAlignment w:val="center"/>
        <w:rPr>
          <w:rFonts w:ascii="Times New Roman" w:cs="Times New Roman"/>
          <w:b/>
          <w:bCs/>
          <w:color w:val="auto"/>
          <w:kern w:val="0"/>
          <w:sz w:val="28"/>
          <w:szCs w:val="28"/>
        </w:rPr>
      </w:pPr>
      <w:r>
        <w:rPr>
          <w:rFonts w:ascii="Times New Roman" w:cs="Times New Roman"/>
          <w:b/>
          <w:bCs/>
          <w:color w:val="auto"/>
          <w:kern w:val="0"/>
          <w:sz w:val="28"/>
          <w:szCs w:val="28"/>
        </w:rPr>
        <w:t>（安全评价机构公章）</w:t>
      </w:r>
    </w:p>
    <w:p>
      <w:pPr>
        <w:pStyle w:val="32"/>
        <w:wordWrap w:val="0"/>
        <w:autoSpaceDE/>
        <w:autoSpaceDN/>
        <w:snapToGrid w:val="0"/>
        <w:spacing w:line="700" w:lineRule="exact"/>
        <w:jc w:val="center"/>
        <w:textAlignment w:val="center"/>
        <w:rPr>
          <w:rFonts w:ascii="Times New Roman" w:cs="Times New Roman"/>
          <w:b/>
          <w:color w:val="auto"/>
          <w:kern w:val="0"/>
          <w:sz w:val="44"/>
          <w:szCs w:val="44"/>
        </w:rPr>
      </w:pPr>
      <w:r>
        <w:rPr>
          <w:rFonts w:ascii="Times New Roman" w:cs="Times New Roman"/>
          <w:b/>
          <w:bCs/>
          <w:color w:val="auto"/>
          <w:kern w:val="0"/>
          <w:sz w:val="28"/>
          <w:szCs w:val="28"/>
        </w:rPr>
        <w:t>202</w:t>
      </w:r>
      <w:r>
        <w:rPr>
          <w:rFonts w:hint="eastAsia" w:ascii="Times New Roman" w:cs="Times New Roman"/>
          <w:b/>
          <w:bCs/>
          <w:color w:val="auto"/>
          <w:kern w:val="0"/>
          <w:sz w:val="28"/>
          <w:szCs w:val="28"/>
          <w:lang w:val="en-US" w:eastAsia="zh-CN"/>
        </w:rPr>
        <w:t>4</w:t>
      </w:r>
      <w:r>
        <w:rPr>
          <w:rFonts w:ascii="Times New Roman" w:cs="Times New Roman"/>
          <w:b/>
          <w:bCs/>
          <w:color w:val="auto"/>
          <w:kern w:val="0"/>
          <w:sz w:val="28"/>
          <w:szCs w:val="28"/>
        </w:rPr>
        <w:t>年1月</w:t>
      </w:r>
      <w:r>
        <w:rPr>
          <w:rFonts w:hint="eastAsia" w:ascii="Times New Roman" w:cs="Times New Roman"/>
          <w:b/>
          <w:bCs/>
          <w:color w:val="auto"/>
          <w:kern w:val="0"/>
          <w:sz w:val="28"/>
          <w:szCs w:val="28"/>
          <w:lang w:val="en-US" w:eastAsia="zh-CN"/>
        </w:rPr>
        <w:t>15</w:t>
      </w:r>
      <w:r>
        <w:rPr>
          <w:rFonts w:ascii="Times New Roman" w:cs="Times New Roman"/>
          <w:b/>
          <w:bCs/>
          <w:color w:val="auto"/>
          <w:kern w:val="0"/>
          <w:sz w:val="28"/>
          <w:szCs w:val="28"/>
        </w:rPr>
        <w:t>日</w:t>
      </w:r>
    </w:p>
    <w:p>
      <w:pPr>
        <w:pStyle w:val="32"/>
        <w:wordWrap w:val="0"/>
        <w:autoSpaceDE/>
        <w:autoSpaceDN/>
        <w:snapToGrid w:val="0"/>
        <w:spacing w:line="700" w:lineRule="exact"/>
        <w:textAlignment w:val="center"/>
        <w:rPr>
          <w:rFonts w:ascii="Times New Roman" w:cs="Times New Roman"/>
          <w:b/>
          <w:color w:val="auto"/>
          <w:kern w:val="0"/>
          <w:sz w:val="44"/>
          <w:szCs w:val="44"/>
        </w:rPr>
      </w:pPr>
      <w:r>
        <w:rPr>
          <w:rFonts w:ascii="Times New Roman" w:cs="Times New Roman"/>
          <w:b/>
          <w:color w:val="auto"/>
          <w:kern w:val="0"/>
          <w:sz w:val="44"/>
          <w:szCs w:val="44"/>
        </w:rPr>
        <w:br w:type="page"/>
      </w:r>
    </w:p>
    <w:bookmarkEnd w:id="0"/>
    <w:p>
      <w:pPr>
        <w:pStyle w:val="32"/>
        <w:wordWrap w:val="0"/>
        <w:autoSpaceDE/>
        <w:autoSpaceDN/>
        <w:snapToGrid w:val="0"/>
        <w:spacing w:line="800" w:lineRule="exact"/>
        <w:ind w:firstLine="0"/>
        <w:textAlignment w:val="center"/>
        <w:rPr>
          <w:rFonts w:ascii="Times New Roman" w:cs="Times New Roman"/>
          <w:b/>
          <w:color w:val="auto"/>
          <w:kern w:val="0"/>
          <w:sz w:val="44"/>
          <w:szCs w:val="44"/>
        </w:rPr>
      </w:pPr>
    </w:p>
    <w:p>
      <w:pPr>
        <w:pStyle w:val="32"/>
        <w:wordWrap w:val="0"/>
        <w:autoSpaceDE/>
        <w:autoSpaceDN/>
        <w:snapToGrid w:val="0"/>
        <w:spacing w:line="800" w:lineRule="exact"/>
        <w:jc w:val="center"/>
        <w:textAlignment w:val="center"/>
        <w:rPr>
          <w:rFonts w:hAnsi="宋体"/>
          <w:b/>
          <w:color w:val="auto"/>
          <w:kern w:val="0"/>
          <w:sz w:val="44"/>
          <w:szCs w:val="44"/>
        </w:rPr>
      </w:pPr>
      <w:r>
        <w:rPr>
          <w:rFonts w:hint="eastAsia" w:hAnsi="宋体"/>
          <w:b/>
          <w:color w:val="auto"/>
          <w:kern w:val="0"/>
          <w:sz w:val="44"/>
          <w:szCs w:val="44"/>
        </w:rPr>
        <w:t>江西景新漆业股份有限公司</w:t>
      </w:r>
    </w:p>
    <w:p>
      <w:pPr>
        <w:pStyle w:val="32"/>
        <w:wordWrap w:val="0"/>
        <w:autoSpaceDE/>
        <w:autoSpaceDN/>
        <w:snapToGrid w:val="0"/>
        <w:spacing w:line="800" w:lineRule="exact"/>
        <w:jc w:val="center"/>
        <w:textAlignment w:val="center"/>
        <w:rPr>
          <w:rFonts w:hAnsi="宋体"/>
          <w:b/>
          <w:color w:val="auto"/>
          <w:kern w:val="0"/>
          <w:sz w:val="44"/>
          <w:szCs w:val="44"/>
        </w:rPr>
      </w:pPr>
      <w:r>
        <w:rPr>
          <w:rFonts w:hint="eastAsia" w:hAnsi="宋体"/>
          <w:b/>
          <w:color w:val="auto"/>
          <w:kern w:val="0"/>
          <w:sz w:val="44"/>
          <w:szCs w:val="44"/>
        </w:rPr>
        <w:t>安全生产设施技术改造项目（</w:t>
      </w:r>
      <w:r>
        <w:rPr>
          <w:rFonts w:ascii="Times New Roman" w:cs="Times New Roman"/>
          <w:b/>
          <w:color w:val="auto"/>
          <w:kern w:val="0"/>
          <w:sz w:val="44"/>
          <w:szCs w:val="44"/>
        </w:rPr>
        <w:t>106</w:t>
      </w:r>
      <w:r>
        <w:rPr>
          <w:rFonts w:hint="eastAsia" w:hAnsi="宋体"/>
          <w:b/>
          <w:color w:val="auto"/>
          <w:kern w:val="0"/>
          <w:sz w:val="44"/>
          <w:szCs w:val="44"/>
        </w:rPr>
        <w:t>甲类仓库）</w:t>
      </w:r>
    </w:p>
    <w:p>
      <w:pPr>
        <w:wordWrap w:val="0"/>
        <w:adjustRightInd w:val="0"/>
        <w:snapToGrid w:val="0"/>
        <w:spacing w:line="800" w:lineRule="exact"/>
        <w:jc w:val="center"/>
        <w:textAlignment w:val="center"/>
        <w:rPr>
          <w:b/>
          <w:color w:val="auto"/>
          <w:kern w:val="0"/>
          <w:sz w:val="44"/>
          <w:szCs w:val="44"/>
        </w:rPr>
      </w:pPr>
      <w:r>
        <w:rPr>
          <w:rFonts w:hint="eastAsia"/>
          <w:b/>
          <w:color w:val="auto"/>
          <w:kern w:val="0"/>
          <w:sz w:val="44"/>
          <w:szCs w:val="44"/>
        </w:rPr>
        <w:t>安全验收评价</w:t>
      </w:r>
      <w:r>
        <w:rPr>
          <w:b/>
          <w:color w:val="auto"/>
          <w:kern w:val="0"/>
          <w:sz w:val="44"/>
          <w:szCs w:val="44"/>
        </w:rPr>
        <w:t>技术服务承诺书</w:t>
      </w:r>
    </w:p>
    <w:p>
      <w:pPr>
        <w:wordWrap w:val="0"/>
        <w:adjustRightInd w:val="0"/>
        <w:snapToGrid w:val="0"/>
        <w:spacing w:line="700" w:lineRule="exact"/>
        <w:jc w:val="left"/>
        <w:textAlignment w:val="center"/>
        <w:rPr>
          <w:color w:val="auto"/>
          <w:kern w:val="0"/>
          <w:sz w:val="32"/>
          <w:szCs w:val="32"/>
        </w:rPr>
      </w:pPr>
    </w:p>
    <w:p>
      <w:pPr>
        <w:wordWrap w:val="0"/>
        <w:adjustRightInd w:val="0"/>
        <w:snapToGrid w:val="0"/>
        <w:spacing w:line="700" w:lineRule="exact"/>
        <w:ind w:firstLine="640" w:firstLineChars="200"/>
        <w:jc w:val="left"/>
        <w:textAlignment w:val="center"/>
        <w:rPr>
          <w:color w:val="auto"/>
          <w:kern w:val="0"/>
          <w:sz w:val="32"/>
          <w:szCs w:val="32"/>
        </w:rPr>
      </w:pPr>
      <w:r>
        <w:rPr>
          <w:color w:val="auto"/>
          <w:kern w:val="0"/>
          <w:sz w:val="32"/>
          <w:szCs w:val="32"/>
        </w:rPr>
        <w:t>一、在本项目安全评价活动过程中，我单位严格遵守《安全生产法》及相关法律、法规和标准的要求。</w:t>
      </w:r>
    </w:p>
    <w:p>
      <w:pPr>
        <w:wordWrap w:val="0"/>
        <w:adjustRightInd w:val="0"/>
        <w:snapToGrid w:val="0"/>
        <w:spacing w:line="700" w:lineRule="exact"/>
        <w:ind w:firstLine="640" w:firstLineChars="200"/>
        <w:jc w:val="left"/>
        <w:textAlignment w:val="center"/>
        <w:rPr>
          <w:color w:val="auto"/>
          <w:kern w:val="0"/>
          <w:sz w:val="32"/>
          <w:szCs w:val="32"/>
        </w:rPr>
      </w:pPr>
      <w:r>
        <w:rPr>
          <w:color w:val="auto"/>
          <w:kern w:val="0"/>
          <w:sz w:val="32"/>
          <w:szCs w:val="32"/>
        </w:rPr>
        <w:t>二、在本项目安全评价活动过程中，我单位作为第三方，未受到任何组织和个人的干预和影响，依法独立开展工作，保证了技术服务活动的客观公正性。</w:t>
      </w:r>
    </w:p>
    <w:p>
      <w:pPr>
        <w:wordWrap w:val="0"/>
        <w:adjustRightInd w:val="0"/>
        <w:snapToGrid w:val="0"/>
        <w:spacing w:line="700" w:lineRule="exact"/>
        <w:ind w:firstLine="640" w:firstLineChars="200"/>
        <w:jc w:val="left"/>
        <w:textAlignment w:val="center"/>
        <w:rPr>
          <w:color w:val="auto"/>
          <w:kern w:val="0"/>
          <w:sz w:val="32"/>
          <w:szCs w:val="32"/>
        </w:rPr>
      </w:pPr>
      <w:r>
        <w:rPr>
          <w:color w:val="auto"/>
          <w:kern w:val="0"/>
          <w:sz w:val="32"/>
          <w:szCs w:val="32"/>
        </w:rPr>
        <w:t>三、我单位按照实事求是的原则，对本项目进行安全评价，确保出具的报告均真实有效，报告所提出的措施具有针对性、有效性和可行性。</w:t>
      </w:r>
    </w:p>
    <w:p>
      <w:pPr>
        <w:wordWrap w:val="0"/>
        <w:adjustRightInd w:val="0"/>
        <w:snapToGrid w:val="0"/>
        <w:spacing w:line="700" w:lineRule="exact"/>
        <w:ind w:firstLine="640" w:firstLineChars="200"/>
        <w:jc w:val="left"/>
        <w:textAlignment w:val="center"/>
        <w:rPr>
          <w:color w:val="auto"/>
          <w:kern w:val="0"/>
          <w:sz w:val="32"/>
          <w:szCs w:val="32"/>
        </w:rPr>
      </w:pPr>
      <w:r>
        <w:rPr>
          <w:color w:val="auto"/>
          <w:kern w:val="0"/>
          <w:sz w:val="32"/>
          <w:szCs w:val="32"/>
        </w:rPr>
        <w:t>四、我单位对本项目安全评价报告中结论性内容承担法律责任。</w:t>
      </w:r>
    </w:p>
    <w:p>
      <w:pPr>
        <w:wordWrap w:val="0"/>
        <w:adjustRightInd w:val="0"/>
        <w:snapToGrid w:val="0"/>
        <w:spacing w:line="700" w:lineRule="exact"/>
        <w:ind w:left="4638" w:hanging="4638" w:hangingChars="1650"/>
        <w:jc w:val="right"/>
        <w:textAlignment w:val="center"/>
        <w:rPr>
          <w:b/>
          <w:bCs/>
          <w:color w:val="auto"/>
          <w:kern w:val="0"/>
          <w:szCs w:val="28"/>
        </w:rPr>
      </w:pPr>
      <w:r>
        <w:rPr>
          <w:b/>
          <w:bCs/>
          <w:color w:val="auto"/>
          <w:kern w:val="0"/>
          <w:szCs w:val="28"/>
        </w:rPr>
        <w:t>江西赣安安全生产科学技术咨询服务中心</w:t>
      </w:r>
    </w:p>
    <w:p>
      <w:pPr>
        <w:wordWrap w:val="0"/>
        <w:adjustRightInd w:val="0"/>
        <w:snapToGrid w:val="0"/>
        <w:spacing w:line="700" w:lineRule="exact"/>
        <w:jc w:val="right"/>
        <w:textAlignment w:val="center"/>
        <w:rPr>
          <w:b/>
          <w:bCs/>
          <w:color w:val="auto"/>
          <w:kern w:val="0"/>
          <w:szCs w:val="28"/>
        </w:rPr>
      </w:pPr>
      <w:r>
        <w:rPr>
          <w:b/>
          <w:bCs/>
          <w:color w:val="auto"/>
          <w:kern w:val="0"/>
          <w:szCs w:val="28"/>
        </w:rPr>
        <w:t>202</w:t>
      </w:r>
      <w:r>
        <w:rPr>
          <w:rFonts w:hint="eastAsia"/>
          <w:b/>
          <w:bCs/>
          <w:color w:val="auto"/>
          <w:kern w:val="0"/>
          <w:szCs w:val="28"/>
          <w:lang w:val="en-US" w:eastAsia="zh-CN"/>
        </w:rPr>
        <w:t>4</w:t>
      </w:r>
      <w:r>
        <w:rPr>
          <w:b/>
          <w:bCs/>
          <w:color w:val="auto"/>
          <w:kern w:val="0"/>
          <w:szCs w:val="28"/>
        </w:rPr>
        <w:t>年</w:t>
      </w:r>
      <w:r>
        <w:rPr>
          <w:rFonts w:hint="eastAsia"/>
          <w:b/>
          <w:bCs/>
          <w:color w:val="auto"/>
          <w:kern w:val="0"/>
          <w:szCs w:val="28"/>
        </w:rPr>
        <w:t>1</w:t>
      </w:r>
      <w:r>
        <w:rPr>
          <w:b/>
          <w:bCs/>
          <w:color w:val="auto"/>
          <w:kern w:val="0"/>
          <w:szCs w:val="28"/>
        </w:rPr>
        <w:t>月</w:t>
      </w:r>
      <w:r>
        <w:rPr>
          <w:rFonts w:hint="eastAsia"/>
          <w:b/>
          <w:bCs/>
          <w:color w:val="auto"/>
          <w:kern w:val="0"/>
          <w:szCs w:val="28"/>
          <w:lang w:val="en-US" w:eastAsia="zh-CN"/>
        </w:rPr>
        <w:t>15</w:t>
      </w:r>
      <w:r>
        <w:rPr>
          <w:b/>
          <w:bCs/>
          <w:color w:val="auto"/>
          <w:kern w:val="0"/>
          <w:szCs w:val="28"/>
        </w:rPr>
        <w:t>日</w:t>
      </w:r>
    </w:p>
    <w:p>
      <w:pPr>
        <w:wordWrap w:val="0"/>
        <w:adjustRightInd w:val="0"/>
        <w:snapToGrid w:val="0"/>
        <w:spacing w:line="700" w:lineRule="exact"/>
        <w:textAlignment w:val="center"/>
        <w:rPr>
          <w:b/>
          <w:bCs/>
          <w:color w:val="auto"/>
          <w:kern w:val="0"/>
          <w:sz w:val="44"/>
          <w:szCs w:val="44"/>
        </w:rPr>
      </w:pPr>
      <w:r>
        <w:rPr>
          <w:b/>
          <w:bCs/>
          <w:color w:val="auto"/>
          <w:kern w:val="0"/>
          <w:sz w:val="44"/>
          <w:szCs w:val="44"/>
        </w:rPr>
        <w:br w:type="page"/>
      </w:r>
    </w:p>
    <w:p>
      <w:pPr>
        <w:wordWrap w:val="0"/>
        <w:adjustRightInd w:val="0"/>
        <w:snapToGrid w:val="0"/>
        <w:spacing w:line="800" w:lineRule="exact"/>
        <w:textAlignment w:val="center"/>
        <w:rPr>
          <w:b/>
          <w:bCs/>
          <w:color w:val="auto"/>
          <w:kern w:val="0"/>
          <w:sz w:val="44"/>
          <w:szCs w:val="44"/>
        </w:rPr>
      </w:pPr>
    </w:p>
    <w:p>
      <w:pPr>
        <w:wordWrap w:val="0"/>
        <w:adjustRightInd w:val="0"/>
        <w:snapToGrid w:val="0"/>
        <w:spacing w:line="800" w:lineRule="exact"/>
        <w:jc w:val="center"/>
        <w:textAlignment w:val="center"/>
        <w:rPr>
          <w:b/>
          <w:bCs/>
          <w:color w:val="auto"/>
          <w:kern w:val="0"/>
          <w:sz w:val="44"/>
          <w:szCs w:val="44"/>
        </w:rPr>
      </w:pPr>
      <w:r>
        <w:rPr>
          <w:b/>
          <w:bCs/>
          <w:color w:val="auto"/>
          <w:kern w:val="0"/>
          <w:sz w:val="44"/>
          <w:szCs w:val="44"/>
        </w:rPr>
        <w:t>规范安全生产中介行为的九条禁令</w:t>
      </w:r>
    </w:p>
    <w:p>
      <w:pPr>
        <w:pStyle w:val="20"/>
        <w:wordWrap w:val="0"/>
        <w:adjustRightInd w:val="0"/>
        <w:snapToGrid w:val="0"/>
        <w:spacing w:line="800" w:lineRule="exact"/>
        <w:textAlignment w:val="center"/>
        <w:rPr>
          <w:color w:val="auto"/>
          <w:kern w:val="0"/>
          <w:sz w:val="30"/>
          <w:szCs w:val="30"/>
        </w:rPr>
      </w:pP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一、禁止从事安全生产和职业卫生服务的中介服务机构（以下统称中介机构）租借资质证书、非法挂靠、转包服务项目的行为；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二、禁止中介机构假借、冒用他人名义要求服务对象接受有偿服务，或者恶意低价竞争以及采取串标、围标等不正当竞争手段，扰乱技术服务市场秩序的行为；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三、禁止中介机构出具虚假或漏项、缺项技术报告的行为；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四、禁止中介机构出租、出借资格证书、在报告上冒用他人签名的行为；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五、禁止中介机构有应到而不到现场开展技术服务的行为；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六、禁止安全生产监管部门及其工作人员要求生产经营单位接受指定的中介机构开展技术服务的行为；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七、禁止安全生产监管部门及其工作人员没有法律依据组织由生产经营单位或机构支付费用的行政性评审的行为；</w:t>
      </w:r>
    </w:p>
    <w:p>
      <w:pPr>
        <w:pStyle w:val="20"/>
        <w:wordWrap w:val="0"/>
        <w:adjustRightInd w:val="0"/>
        <w:snapToGrid w:val="0"/>
        <w:ind w:firstLine="600" w:firstLineChars="200"/>
        <w:textAlignment w:val="center"/>
        <w:rPr>
          <w:color w:val="auto"/>
          <w:kern w:val="0"/>
          <w:sz w:val="30"/>
          <w:szCs w:val="30"/>
        </w:rPr>
      </w:pPr>
      <w:r>
        <w:rPr>
          <w:color w:val="auto"/>
          <w:kern w:val="0"/>
          <w:sz w:val="30"/>
          <w:szCs w:val="30"/>
        </w:rPr>
        <w:t>八、禁止安全生产监管部门及其工作人员干预市场定价，违规擅自出台技术服务收费标准的行为；</w:t>
      </w:r>
    </w:p>
    <w:p>
      <w:pPr>
        <w:wordWrap w:val="0"/>
        <w:adjustRightInd w:val="0"/>
        <w:snapToGrid w:val="0"/>
        <w:ind w:firstLine="600" w:firstLineChars="200"/>
        <w:textAlignment w:val="center"/>
        <w:rPr>
          <w:color w:val="auto"/>
          <w:kern w:val="0"/>
          <w:sz w:val="30"/>
          <w:szCs w:val="30"/>
        </w:rPr>
      </w:pPr>
      <w:r>
        <w:rPr>
          <w:color w:val="auto"/>
          <w:kern w:val="0"/>
          <w:sz w:val="30"/>
          <w:szCs w:val="30"/>
        </w:rPr>
        <w:t>九、禁止安全生产监管部门及其工作人员参与、擅自干预中介机构从业活动，或者有获取不正当利益的行为。</w:t>
      </w:r>
    </w:p>
    <w:p>
      <w:pPr>
        <w:wordWrap w:val="0"/>
        <w:adjustRightInd w:val="0"/>
        <w:snapToGrid w:val="0"/>
        <w:textAlignment w:val="center"/>
        <w:rPr>
          <w:b/>
          <w:bCs/>
          <w:color w:val="auto"/>
          <w:kern w:val="0"/>
          <w:sz w:val="30"/>
          <w:szCs w:val="30"/>
        </w:rPr>
      </w:pPr>
      <w:r>
        <w:rPr>
          <w:b/>
          <w:bCs/>
          <w:color w:val="auto"/>
          <w:kern w:val="0"/>
          <w:sz w:val="30"/>
          <w:szCs w:val="30"/>
        </w:rPr>
        <w:br w:type="page"/>
      </w:r>
    </w:p>
    <w:p>
      <w:pPr>
        <w:wordWrap w:val="0"/>
        <w:adjustRightInd w:val="0"/>
        <w:snapToGrid w:val="0"/>
        <w:textAlignment w:val="center"/>
        <w:rPr>
          <w:b/>
          <w:bCs/>
          <w:color w:val="auto"/>
          <w:kern w:val="0"/>
          <w:sz w:val="32"/>
          <w:szCs w:val="32"/>
        </w:rPr>
      </w:pPr>
    </w:p>
    <w:p>
      <w:pPr>
        <w:wordWrap w:val="0"/>
        <w:adjustRightInd w:val="0"/>
        <w:snapToGrid w:val="0"/>
        <w:jc w:val="center"/>
        <w:textAlignment w:val="center"/>
        <w:rPr>
          <w:b/>
          <w:bCs/>
          <w:color w:val="auto"/>
          <w:kern w:val="0"/>
          <w:sz w:val="32"/>
          <w:szCs w:val="32"/>
        </w:rPr>
      </w:pPr>
      <w:r>
        <w:rPr>
          <w:b/>
          <w:bCs/>
          <w:color w:val="auto"/>
          <w:kern w:val="0"/>
          <w:sz w:val="32"/>
          <w:szCs w:val="32"/>
        </w:rPr>
        <w:t>评 价 人 员</w:t>
      </w:r>
    </w:p>
    <w:tbl>
      <w:tblPr>
        <w:tblStyle w:val="24"/>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1175"/>
        <w:gridCol w:w="3040"/>
        <w:gridCol w:w="1549"/>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姓名</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职业资格证书编号</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从业信息</w:t>
            </w:r>
          </w:p>
          <w:p>
            <w:pPr>
              <w:wordWrap w:val="0"/>
              <w:adjustRightInd w:val="0"/>
              <w:snapToGrid w:val="0"/>
              <w:spacing w:line="240" w:lineRule="auto"/>
              <w:jc w:val="center"/>
              <w:textAlignment w:val="center"/>
              <w:rPr>
                <w:color w:val="auto"/>
                <w:kern w:val="0"/>
                <w:sz w:val="24"/>
              </w:rPr>
            </w:pPr>
            <w:r>
              <w:rPr>
                <w:color w:val="auto"/>
                <w:kern w:val="0"/>
                <w:sz w:val="24"/>
              </w:rPr>
              <w:t>识别卡编号</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项目负责人</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周红波</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1700000000100121</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020702</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vMerge w:val="restart"/>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项目组成员</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黄香港</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S011035000110191000617</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024436</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s="宋体"/>
                <w:color w:val="auto"/>
                <w:kern w:val="0"/>
                <w:sz w:val="24"/>
              </w:rPr>
              <w:t>谢寒梅</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S011035000110192001584</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027089</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s="宋体"/>
                <w:color w:val="auto"/>
                <w:kern w:val="0"/>
                <w:sz w:val="24"/>
              </w:rPr>
              <w:t>王  冠</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S011035000110192001523</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027086</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宋体"/>
                <w:color w:val="auto"/>
                <w:kern w:val="0"/>
                <w:sz w:val="24"/>
              </w:rPr>
            </w:pPr>
            <w:r>
              <w:rPr>
                <w:rFonts w:hint="eastAsia" w:cs="宋体"/>
                <w:color w:val="auto"/>
                <w:kern w:val="0"/>
                <w:sz w:val="24"/>
              </w:rPr>
              <w:t>王  波</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S011035000110202001263</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040122</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vMerge w:val="continue"/>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罗沙浪</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S011035000110193001260</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036829</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报告编制人</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黄香港</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S011035000110191000617</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024436</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报告审核人</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520" w:lineRule="exact"/>
              <w:jc w:val="center"/>
              <w:textAlignment w:val="center"/>
              <w:rPr>
                <w:rFonts w:cs="Times New Roman"/>
                <w:color w:val="auto"/>
                <w:kern w:val="0"/>
                <w:sz w:val="24"/>
                <w:szCs w:val="20"/>
              </w:rPr>
            </w:pPr>
            <w:r>
              <w:rPr>
                <w:rFonts w:hint="eastAsia" w:cs="Times New Roman"/>
                <w:color w:val="auto"/>
                <w:kern w:val="0"/>
                <w:sz w:val="24"/>
                <w:szCs w:val="20"/>
              </w:rPr>
              <w:t xml:space="preserve">戴 </w:t>
            </w:r>
            <w:r>
              <w:rPr>
                <w:rFonts w:cs="Times New Roman"/>
                <w:color w:val="auto"/>
                <w:kern w:val="0"/>
                <w:sz w:val="24"/>
                <w:szCs w:val="20"/>
              </w:rPr>
              <w:t xml:space="preserve"> </w:t>
            </w:r>
            <w:r>
              <w:rPr>
                <w:rFonts w:hint="eastAsia" w:cs="Times New Roman"/>
                <w:color w:val="auto"/>
                <w:kern w:val="0"/>
                <w:sz w:val="24"/>
                <w:szCs w:val="20"/>
              </w:rPr>
              <w:t>磷</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520" w:lineRule="exact"/>
              <w:jc w:val="center"/>
              <w:textAlignment w:val="center"/>
              <w:rPr>
                <w:rFonts w:cs="Times New Roman"/>
                <w:color w:val="auto"/>
                <w:kern w:val="0"/>
                <w:sz w:val="24"/>
                <w:szCs w:val="20"/>
              </w:rPr>
            </w:pPr>
            <w:r>
              <w:rPr>
                <w:rFonts w:hint="eastAsia" w:cs="Times New Roman"/>
                <w:color w:val="auto"/>
                <w:kern w:val="0"/>
                <w:sz w:val="24"/>
                <w:szCs w:val="20"/>
              </w:rPr>
              <w:t>1100000000200597</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520" w:lineRule="exact"/>
              <w:jc w:val="center"/>
              <w:textAlignment w:val="center"/>
              <w:rPr>
                <w:rFonts w:cs="Times New Roman"/>
                <w:color w:val="auto"/>
                <w:kern w:val="0"/>
                <w:sz w:val="24"/>
                <w:szCs w:val="20"/>
              </w:rPr>
            </w:pPr>
            <w:r>
              <w:rPr>
                <w:rFonts w:hint="eastAsia" w:cs="Times New Roman"/>
                <w:color w:val="auto"/>
                <w:kern w:val="0"/>
                <w:sz w:val="24"/>
                <w:szCs w:val="20"/>
              </w:rPr>
              <w:t>019915</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过程控制</w:t>
            </w:r>
          </w:p>
          <w:p>
            <w:pPr>
              <w:wordWrap w:val="0"/>
              <w:adjustRightInd w:val="0"/>
              <w:snapToGrid w:val="0"/>
              <w:spacing w:line="240" w:lineRule="auto"/>
              <w:jc w:val="center"/>
              <w:textAlignment w:val="center"/>
              <w:rPr>
                <w:color w:val="auto"/>
                <w:kern w:val="0"/>
                <w:sz w:val="24"/>
              </w:rPr>
            </w:pPr>
            <w:r>
              <w:rPr>
                <w:color w:val="auto"/>
                <w:kern w:val="0"/>
                <w:sz w:val="24"/>
              </w:rPr>
              <w:t>负责人</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rFonts w:hint="eastAsia"/>
                <w:color w:val="auto"/>
                <w:kern w:val="0"/>
                <w:sz w:val="24"/>
              </w:rPr>
              <w:t>檀廷斌</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520" w:lineRule="exact"/>
              <w:jc w:val="center"/>
              <w:textAlignment w:val="center"/>
              <w:rPr>
                <w:rFonts w:cs="Times New Roman"/>
                <w:color w:val="auto"/>
                <w:kern w:val="0"/>
                <w:sz w:val="24"/>
                <w:szCs w:val="20"/>
              </w:rPr>
            </w:pPr>
            <w:r>
              <w:rPr>
                <w:rFonts w:hint="eastAsia" w:cs="Times New Roman"/>
                <w:color w:val="auto"/>
                <w:kern w:val="0"/>
                <w:sz w:val="24"/>
                <w:szCs w:val="20"/>
              </w:rPr>
              <w:t>1600000000200717</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520" w:lineRule="exact"/>
              <w:jc w:val="center"/>
              <w:textAlignment w:val="center"/>
              <w:rPr>
                <w:rFonts w:cs="Times New Roman"/>
                <w:color w:val="auto"/>
                <w:kern w:val="0"/>
                <w:sz w:val="24"/>
                <w:szCs w:val="20"/>
              </w:rPr>
            </w:pPr>
            <w:r>
              <w:rPr>
                <w:rFonts w:hint="eastAsia" w:cs="Times New Roman"/>
                <w:color w:val="auto"/>
                <w:kern w:val="0"/>
                <w:sz w:val="24"/>
                <w:szCs w:val="20"/>
              </w:rPr>
              <w:t>029648</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技术负责人</w:t>
            </w:r>
          </w:p>
        </w:tc>
        <w:tc>
          <w:tcPr>
            <w:tcW w:w="11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周红波</w:t>
            </w:r>
          </w:p>
        </w:tc>
        <w:tc>
          <w:tcPr>
            <w:tcW w:w="304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1700000000100121</w:t>
            </w:r>
          </w:p>
        </w:tc>
        <w:tc>
          <w:tcPr>
            <w:tcW w:w="154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r>
              <w:rPr>
                <w:color w:val="auto"/>
                <w:kern w:val="0"/>
                <w:sz w:val="24"/>
              </w:rPr>
              <w:t>020702</w:t>
            </w:r>
          </w:p>
        </w:tc>
        <w:tc>
          <w:tcPr>
            <w:tcW w:w="18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4"/>
              </w:rPr>
            </w:pPr>
          </w:p>
        </w:tc>
      </w:tr>
    </w:tbl>
    <w:p>
      <w:pPr>
        <w:jc w:val="center"/>
        <w:rPr>
          <w:b/>
          <w:color w:val="auto"/>
          <w:sz w:val="32"/>
          <w:szCs w:val="32"/>
        </w:rPr>
      </w:pPr>
      <w:r>
        <w:rPr>
          <w:b/>
          <w:color w:val="auto"/>
          <w:sz w:val="32"/>
          <w:szCs w:val="32"/>
        </w:rPr>
        <w:t>参与人员</w:t>
      </w:r>
    </w:p>
    <w:tbl>
      <w:tblPr>
        <w:tblStyle w:val="24"/>
        <w:tblW w:w="9186"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58"/>
        <w:gridCol w:w="3191"/>
        <w:gridCol w:w="2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3058" w:type="dxa"/>
            <w:vAlign w:val="center"/>
          </w:tcPr>
          <w:p>
            <w:pPr>
              <w:spacing w:line="480" w:lineRule="auto"/>
              <w:jc w:val="center"/>
              <w:rPr>
                <w:color w:val="auto"/>
                <w:sz w:val="24"/>
                <w:szCs w:val="22"/>
              </w:rPr>
            </w:pPr>
            <w:r>
              <w:rPr>
                <w:color w:val="auto"/>
                <w:sz w:val="24"/>
                <w:szCs w:val="22"/>
              </w:rPr>
              <w:t>姓名</w:t>
            </w:r>
          </w:p>
        </w:tc>
        <w:tc>
          <w:tcPr>
            <w:tcW w:w="3191" w:type="dxa"/>
            <w:vAlign w:val="center"/>
          </w:tcPr>
          <w:p>
            <w:pPr>
              <w:spacing w:line="480" w:lineRule="auto"/>
              <w:jc w:val="center"/>
              <w:rPr>
                <w:color w:val="auto"/>
                <w:sz w:val="24"/>
                <w:szCs w:val="22"/>
              </w:rPr>
            </w:pPr>
            <w:r>
              <w:rPr>
                <w:color w:val="auto"/>
                <w:sz w:val="24"/>
                <w:szCs w:val="22"/>
              </w:rPr>
              <w:t>专业</w:t>
            </w:r>
          </w:p>
        </w:tc>
        <w:tc>
          <w:tcPr>
            <w:tcW w:w="2937" w:type="dxa"/>
            <w:vAlign w:val="center"/>
          </w:tcPr>
          <w:p>
            <w:pPr>
              <w:spacing w:line="480" w:lineRule="auto"/>
              <w:jc w:val="center"/>
              <w:rPr>
                <w:color w:val="auto"/>
                <w:sz w:val="24"/>
                <w:szCs w:val="22"/>
              </w:rPr>
            </w:pPr>
            <w:r>
              <w:rPr>
                <w:color w:val="auto"/>
                <w:sz w:val="24"/>
                <w:szCs w:val="22"/>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058" w:type="dxa"/>
            <w:vAlign w:val="center"/>
          </w:tcPr>
          <w:p>
            <w:pPr>
              <w:spacing w:line="480" w:lineRule="auto"/>
              <w:jc w:val="center"/>
              <w:rPr>
                <w:color w:val="auto"/>
                <w:sz w:val="24"/>
                <w:szCs w:val="22"/>
              </w:rPr>
            </w:pPr>
            <w:r>
              <w:rPr>
                <w:rFonts w:hint="eastAsia"/>
                <w:color w:val="auto"/>
                <w:sz w:val="24"/>
                <w:szCs w:val="22"/>
              </w:rPr>
              <w:t>姜萌萌</w:t>
            </w:r>
          </w:p>
        </w:tc>
        <w:tc>
          <w:tcPr>
            <w:tcW w:w="3191" w:type="dxa"/>
            <w:vAlign w:val="center"/>
          </w:tcPr>
          <w:p>
            <w:pPr>
              <w:spacing w:line="480" w:lineRule="auto"/>
              <w:jc w:val="center"/>
              <w:rPr>
                <w:color w:val="auto"/>
                <w:sz w:val="24"/>
                <w:szCs w:val="22"/>
              </w:rPr>
            </w:pPr>
            <w:r>
              <w:rPr>
                <w:rFonts w:hint="eastAsia"/>
                <w:color w:val="auto"/>
                <w:sz w:val="24"/>
                <w:szCs w:val="22"/>
              </w:rPr>
              <w:t>化学工程与技术</w:t>
            </w:r>
          </w:p>
        </w:tc>
        <w:tc>
          <w:tcPr>
            <w:tcW w:w="2937" w:type="dxa"/>
            <w:vAlign w:val="center"/>
          </w:tcPr>
          <w:p>
            <w:pPr>
              <w:spacing w:line="480" w:lineRule="auto"/>
              <w:jc w:val="center"/>
              <w:rPr>
                <w:color w:val="auto"/>
                <w:sz w:val="24"/>
                <w:szCs w:val="22"/>
              </w:rPr>
            </w:pPr>
          </w:p>
        </w:tc>
      </w:tr>
    </w:tbl>
    <w:p>
      <w:pPr>
        <w:wordWrap w:val="0"/>
        <w:adjustRightInd w:val="0"/>
        <w:snapToGrid w:val="0"/>
        <w:textAlignment w:val="center"/>
        <w:rPr>
          <w:b/>
          <w:bCs/>
          <w:color w:val="auto"/>
          <w:kern w:val="0"/>
          <w:sz w:val="36"/>
          <w:szCs w:val="36"/>
        </w:rPr>
      </w:pPr>
      <w:r>
        <w:rPr>
          <w:b/>
          <w:bCs/>
          <w:color w:val="auto"/>
          <w:kern w:val="0"/>
          <w:sz w:val="36"/>
          <w:szCs w:val="36"/>
        </w:rPr>
        <w:br w:type="page"/>
      </w:r>
    </w:p>
    <w:p>
      <w:pPr>
        <w:wordWrap w:val="0"/>
        <w:adjustRightInd w:val="0"/>
        <w:snapToGrid w:val="0"/>
        <w:jc w:val="center"/>
        <w:textAlignment w:val="center"/>
        <w:rPr>
          <w:color w:val="auto"/>
          <w:kern w:val="0"/>
        </w:rPr>
      </w:pPr>
      <w:r>
        <w:rPr>
          <w:b/>
          <w:bCs/>
          <w:color w:val="auto"/>
          <w:kern w:val="0"/>
          <w:sz w:val="32"/>
          <w:szCs w:val="32"/>
        </w:rPr>
        <w:t xml:space="preserve">前  </w:t>
      </w:r>
      <w:r>
        <w:rPr>
          <w:rFonts w:hint="eastAsia"/>
          <w:b/>
          <w:bCs/>
          <w:color w:val="auto"/>
          <w:kern w:val="0"/>
          <w:sz w:val="32"/>
          <w:szCs w:val="32"/>
        </w:rPr>
        <w:t xml:space="preserve">  </w:t>
      </w:r>
      <w:r>
        <w:rPr>
          <w:b/>
          <w:bCs/>
          <w:color w:val="auto"/>
          <w:kern w:val="0"/>
          <w:sz w:val="32"/>
          <w:szCs w:val="32"/>
        </w:rPr>
        <w:t>言</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江西景新漆业股份有限公司20</w:t>
      </w:r>
      <w:r>
        <w:rPr>
          <w:rFonts w:hint="eastAsia" w:cs="Times New Roman"/>
          <w:snapToGrid w:val="0"/>
          <w:color w:val="auto"/>
          <w:kern w:val="0"/>
          <w:szCs w:val="28"/>
        </w:rPr>
        <w:t>21</w:t>
      </w:r>
      <w:r>
        <w:rPr>
          <w:rFonts w:cs="Times New Roman"/>
          <w:snapToGrid w:val="0"/>
          <w:color w:val="auto"/>
          <w:kern w:val="0"/>
          <w:szCs w:val="28"/>
        </w:rPr>
        <w:t>年</w:t>
      </w:r>
      <w:r>
        <w:rPr>
          <w:rFonts w:hint="eastAsia" w:cs="Times New Roman"/>
          <w:snapToGrid w:val="0"/>
          <w:color w:val="auto"/>
          <w:kern w:val="0"/>
          <w:szCs w:val="28"/>
        </w:rPr>
        <w:t>09</w:t>
      </w:r>
      <w:r>
        <w:rPr>
          <w:rFonts w:cs="Times New Roman"/>
          <w:snapToGrid w:val="0"/>
          <w:color w:val="auto"/>
          <w:kern w:val="0"/>
          <w:szCs w:val="28"/>
        </w:rPr>
        <w:t>月</w:t>
      </w:r>
      <w:r>
        <w:rPr>
          <w:rFonts w:hint="eastAsia" w:cs="Times New Roman"/>
          <w:snapToGrid w:val="0"/>
          <w:color w:val="auto"/>
          <w:kern w:val="0"/>
          <w:szCs w:val="28"/>
        </w:rPr>
        <w:t>01</w:t>
      </w:r>
      <w:r>
        <w:rPr>
          <w:rFonts w:cs="Times New Roman"/>
          <w:snapToGrid w:val="0"/>
          <w:color w:val="auto"/>
          <w:kern w:val="0"/>
          <w:szCs w:val="28"/>
        </w:rPr>
        <w:t>日经</w:t>
      </w:r>
      <w:r>
        <w:rPr>
          <w:rFonts w:hint="eastAsia" w:cs="Times New Roman"/>
          <w:snapToGrid w:val="0"/>
          <w:color w:val="auto"/>
          <w:kern w:val="0"/>
          <w:szCs w:val="28"/>
        </w:rPr>
        <w:t>丰城市</w:t>
      </w:r>
      <w:r>
        <w:rPr>
          <w:rFonts w:cs="Times New Roman"/>
          <w:snapToGrid w:val="0"/>
          <w:color w:val="auto"/>
          <w:kern w:val="0"/>
          <w:szCs w:val="28"/>
        </w:rPr>
        <w:t>行政审批局核发营业执照（统一社会信用代码：</w:t>
      </w:r>
      <w:r>
        <w:rPr>
          <w:rFonts w:hint="eastAsia" w:cs="Times New Roman"/>
          <w:snapToGrid w:val="0"/>
          <w:color w:val="auto"/>
          <w:kern w:val="0"/>
          <w:szCs w:val="28"/>
        </w:rPr>
        <w:t>913609815610778412</w:t>
      </w:r>
      <w:r>
        <w:rPr>
          <w:rFonts w:cs="Times New Roman"/>
          <w:snapToGrid w:val="0"/>
          <w:color w:val="auto"/>
          <w:kern w:val="0"/>
          <w:szCs w:val="28"/>
        </w:rPr>
        <w:t>），法人代表为</w:t>
      </w:r>
      <w:r>
        <w:rPr>
          <w:rFonts w:hint="eastAsia" w:cs="Times New Roman"/>
          <w:snapToGrid w:val="0"/>
          <w:color w:val="auto"/>
          <w:kern w:val="0"/>
          <w:szCs w:val="28"/>
        </w:rPr>
        <w:t>许栋</w:t>
      </w:r>
      <w:r>
        <w:rPr>
          <w:rFonts w:cs="Times New Roman"/>
          <w:snapToGrid w:val="0"/>
          <w:color w:val="auto"/>
          <w:kern w:val="0"/>
          <w:szCs w:val="28"/>
        </w:rPr>
        <w:t>，营业执照经营范围：丙烯酸树脂涂料、聚氨酯树脂涂料、氟碳树脂涂料、环氧树脂涂料、水性涂料、催化剂、助剂的生产、销售（安全生产许可证有效期至2018年08月16日止）；保温材料、精细化学品（不含危化品）、环保水处理剂、化工原料、化工机械销售；建筑安装（依法须经批准的项目，经相关部门批准后方可开展经营活动）</w:t>
      </w:r>
      <w:r>
        <w:rPr>
          <w:rFonts w:hint="eastAsia" w:cs="Times New Roman"/>
          <w:snapToGrid w:val="0"/>
          <w:color w:val="auto"/>
          <w:kern w:val="0"/>
          <w:szCs w:val="28"/>
        </w:rPr>
        <w:t>。</w:t>
      </w:r>
    </w:p>
    <w:p>
      <w:pPr>
        <w:wordWrap w:val="0"/>
        <w:adjustRightInd w:val="0"/>
        <w:snapToGrid w:val="0"/>
        <w:ind w:firstLine="560" w:firstLineChars="200"/>
        <w:textAlignment w:val="center"/>
        <w:rPr>
          <w:color w:val="auto"/>
          <w:szCs w:val="28"/>
        </w:rPr>
      </w:pPr>
      <w:r>
        <w:rPr>
          <w:rFonts w:cs="Times New Roman"/>
          <w:snapToGrid w:val="0"/>
          <w:color w:val="auto"/>
          <w:kern w:val="0"/>
          <w:szCs w:val="28"/>
        </w:rPr>
        <w:t>江西景新漆业股份有限公司位于江西省丰城市高新技术产业园区晓莹路8号，是一家主要从事涂料生产化工企业，该公司占地面积约34235</w:t>
      </w:r>
      <w:r>
        <w:rPr>
          <w:rFonts w:hint="eastAsia" w:cs="Times New Roman"/>
          <w:snapToGrid w:val="0"/>
          <w:color w:val="auto"/>
          <w:kern w:val="0"/>
          <w:szCs w:val="28"/>
        </w:rPr>
        <w:t>㎡</w:t>
      </w:r>
      <w:r>
        <w:rPr>
          <w:rFonts w:cs="Times New Roman"/>
          <w:snapToGrid w:val="0"/>
          <w:color w:val="auto"/>
          <w:kern w:val="0"/>
          <w:szCs w:val="28"/>
        </w:rPr>
        <w:t>，公司现有生产装置产能为5000t/a水性涂料，1500t/a溶剂型涂料。</w:t>
      </w:r>
      <w:r>
        <w:rPr>
          <w:rFonts w:hint="eastAsia"/>
          <w:color w:val="auto"/>
          <w:szCs w:val="28"/>
        </w:rPr>
        <w:t>本项目涉及的物料中属于危险化学品的有二甲苯、正丁醇、醋酸丁酯、环氧树脂、环氧树脂固化剂、溶剂型丙烯酸树脂、氟碳树脂以及聚氨酯树脂等，产品中聚氨酯树脂涂料、丙烯酸树脂涂料、环氧树脂涂料、氟碳树脂涂料属于危险化学品，本项目不涉及重点监管的危险化学品、不涉及危险工艺和不构成重大危险源。</w:t>
      </w:r>
    </w:p>
    <w:p>
      <w:pPr>
        <w:wordWrap w:val="0"/>
        <w:adjustRightInd w:val="0"/>
        <w:snapToGrid w:val="0"/>
        <w:ind w:firstLine="560" w:firstLineChars="200"/>
        <w:textAlignment w:val="center"/>
        <w:rPr>
          <w:rFonts w:cs="Times New Roman"/>
          <w:snapToGrid w:val="0"/>
          <w:color w:val="auto"/>
          <w:kern w:val="0"/>
          <w:szCs w:val="28"/>
        </w:rPr>
      </w:pPr>
      <w:r>
        <w:rPr>
          <w:rFonts w:hint="eastAsia"/>
          <w:color w:val="auto"/>
          <w:szCs w:val="28"/>
        </w:rPr>
        <w:t>企业于2021年8月取得江西省应急管理局颁发的安全生产许可证（延期换证），其证号为：（赣）WH安许证字[2012]0712号，许可范围为：丙烯酸树脂涂料、聚氨酯树脂涂料、环氧树脂涂料、氟碳树脂涂料，有效期至2024年8月30日。</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公司考虑到厂区现有甲类仓库建设时间较早，使用年限较长，且甲类仓库内现有的安全设施和储存条件相对落后，存在一定的安全风险。为了确保甲类仓库储存的安全性，公司决定新建设106甲类仓库一座代替现有104原料、成品仓库（甲类）进行物料储存，改造后原有的104原料、成品仓库（甲类）作为厂内备用仓库。</w:t>
      </w:r>
    </w:p>
    <w:p>
      <w:pPr>
        <w:wordWrap w:val="0"/>
        <w:adjustRightInd w:val="0"/>
        <w:snapToGrid w:val="0"/>
        <w:ind w:firstLine="560" w:firstLineChars="200"/>
        <w:textAlignment w:val="center"/>
        <w:rPr>
          <w:color w:val="auto"/>
          <w:kern w:val="0"/>
        </w:rPr>
      </w:pPr>
      <w:r>
        <w:rPr>
          <w:rFonts w:cs="Times New Roman"/>
          <w:snapToGrid w:val="0"/>
          <w:color w:val="auto"/>
          <w:kern w:val="0"/>
          <w:szCs w:val="28"/>
        </w:rPr>
        <w:t>本次改造只涉及增加一个仓库，不改变工艺路线，不改变产品种类，</w:t>
      </w:r>
      <w:r>
        <w:rPr>
          <w:rFonts w:hint="eastAsia" w:cs="Times New Roman"/>
          <w:snapToGrid w:val="0"/>
          <w:color w:val="auto"/>
          <w:kern w:val="0"/>
          <w:szCs w:val="28"/>
        </w:rPr>
        <w:t>不增加全厂总储存量，</w:t>
      </w:r>
      <w:r>
        <w:rPr>
          <w:rFonts w:cs="Times New Roman"/>
          <w:snapToGrid w:val="0"/>
          <w:color w:val="auto"/>
          <w:kern w:val="0"/>
          <w:szCs w:val="28"/>
        </w:rPr>
        <w:t>无需进行许可证变更。</w:t>
      </w:r>
    </w:p>
    <w:p>
      <w:pPr>
        <w:wordWrap w:val="0"/>
        <w:adjustRightInd w:val="0"/>
        <w:snapToGrid w:val="0"/>
        <w:ind w:firstLine="560" w:firstLineChars="200"/>
        <w:textAlignment w:val="center"/>
        <w:rPr>
          <w:color w:val="auto"/>
          <w:kern w:val="0"/>
        </w:rPr>
      </w:pPr>
      <w:r>
        <w:rPr>
          <w:color w:val="auto"/>
          <w:kern w:val="0"/>
        </w:rPr>
        <w:t>根据</w:t>
      </w:r>
      <w:r>
        <w:rPr>
          <w:rFonts w:cs="Times New Roman"/>
          <w:color w:val="auto"/>
          <w:kern w:val="0"/>
          <w:szCs w:val="28"/>
        </w:rPr>
        <w:t>《中华人民共和国安全生产法》、《国务院关于进一步加强企业安全生产工作的通知》、《国家发展和改革委、国家</w:t>
      </w:r>
      <w:r>
        <w:rPr>
          <w:rFonts w:hint="eastAsia" w:cs="Times New Roman"/>
          <w:color w:val="auto"/>
          <w:kern w:val="0"/>
          <w:szCs w:val="28"/>
        </w:rPr>
        <w:t>应急管理局</w:t>
      </w:r>
      <w:r>
        <w:rPr>
          <w:rFonts w:cs="Times New Roman"/>
          <w:color w:val="auto"/>
          <w:kern w:val="0"/>
          <w:szCs w:val="28"/>
        </w:rPr>
        <w:t>关于加强建设项目安全设施“三同时”工作的通知》</w:t>
      </w:r>
      <w:r>
        <w:rPr>
          <w:rFonts w:hint="eastAsia" w:cs="Times New Roman"/>
          <w:color w:val="auto"/>
          <w:kern w:val="0"/>
          <w:szCs w:val="28"/>
        </w:rPr>
        <w:t>以及</w:t>
      </w:r>
      <w:r>
        <w:rPr>
          <w:rFonts w:cs="Times New Roman"/>
          <w:snapToGrid w:val="0"/>
          <w:color w:val="auto"/>
          <w:kern w:val="0"/>
          <w:szCs w:val="28"/>
        </w:rPr>
        <w:t>《危险化学品安全管理条例》</w:t>
      </w:r>
      <w:r>
        <w:rPr>
          <w:rFonts w:hint="eastAsia" w:cs="宋体"/>
          <w:color w:val="auto"/>
          <w:kern w:val="0"/>
          <w:szCs w:val="28"/>
        </w:rPr>
        <w:t>以及《江西省危险化学品建设项目安全监督管理实施细则（试行）》</w:t>
      </w:r>
      <w:r>
        <w:rPr>
          <w:color w:val="auto"/>
          <w:kern w:val="0"/>
        </w:rPr>
        <w:t>的要求，委托江西赣安安全生产科学技术咨询服务中心（以下称：赣安中心）对其</w:t>
      </w:r>
      <w:r>
        <w:rPr>
          <w:rFonts w:hint="eastAsia"/>
          <w:color w:val="auto"/>
          <w:kern w:val="0"/>
        </w:rPr>
        <w:t>《江西景新漆业股份有限公司安全生产设施技术改造项目（106甲类仓库）》进行安全验收评价。</w:t>
      </w:r>
    </w:p>
    <w:p>
      <w:pPr>
        <w:wordWrap w:val="0"/>
        <w:adjustRightInd w:val="0"/>
        <w:snapToGrid w:val="0"/>
        <w:ind w:firstLine="560" w:firstLineChars="200"/>
        <w:textAlignment w:val="center"/>
        <w:rPr>
          <w:color w:val="auto"/>
          <w:kern w:val="0"/>
        </w:rPr>
      </w:pPr>
      <w:r>
        <w:rPr>
          <w:rFonts w:hint="eastAsia"/>
          <w:color w:val="auto"/>
          <w:kern w:val="0"/>
        </w:rPr>
        <w:t>受江西景新漆业股份有限公司的委托，江西赣安安全生产科学技术咨询服务中心组织了项目评价小组，对工程的立项批准文件，设计、施工及企业提供的安全技术及管理、安全检验、检测等资料进行了调查分析，依据安全生产法律、法规、规章、标准、规范对现场进行了核查，按照《安全评价通则》AQ8001-2007和《安全验收评价导则》AQ8003-2007的要求，编制本评价报告。</w:t>
      </w:r>
    </w:p>
    <w:p>
      <w:pPr>
        <w:wordWrap w:val="0"/>
        <w:adjustRightInd w:val="0"/>
        <w:snapToGrid w:val="0"/>
        <w:ind w:firstLine="560" w:firstLineChars="200"/>
        <w:textAlignment w:val="center"/>
        <w:rPr>
          <w:color w:val="auto"/>
          <w:kern w:val="0"/>
        </w:rPr>
      </w:pPr>
      <w:r>
        <w:rPr>
          <w:color w:val="auto"/>
          <w:kern w:val="0"/>
        </w:rPr>
        <w:t>本安全设施验收评价报告主要包括：编制说明、建设项目概况；危险、有害因素辨识结果及依据；安全评价单元的划分结果；采用的安全评价方法；定性、定量分析危险、有害程度的结果；安全条件和安全生产条件的分析结果：即建（构）筑物的结构及耐火等级，生产装置、设备和设施的法定检验、检测情况，安全设施的施工、检验、检测和调试情况，安全管理机构设置情况，安全管理制度的建立、学习、贯彻落实情况，主要负责人、安全管理人员、特种作业人员的培训、考核及取证情况，分析事故应急预案与演练情况，分析试生产方案及演练情况的情况；安全设施竣工验收安全评价结论；安全生产建议及与建设单位交换意见的情况结果等。</w:t>
      </w:r>
    </w:p>
    <w:p>
      <w:pPr>
        <w:wordWrap w:val="0"/>
        <w:adjustRightInd w:val="0"/>
        <w:snapToGrid w:val="0"/>
        <w:ind w:firstLine="560" w:firstLineChars="200"/>
        <w:textAlignment w:val="center"/>
        <w:rPr>
          <w:color w:val="auto"/>
          <w:kern w:val="0"/>
        </w:rPr>
      </w:pPr>
      <w:r>
        <w:rPr>
          <w:color w:val="auto"/>
          <w:kern w:val="0"/>
        </w:rPr>
        <w:t>本次评价工作和报告编制，得到</w:t>
      </w:r>
      <w:r>
        <w:rPr>
          <w:rFonts w:hint="eastAsia"/>
          <w:color w:val="auto"/>
          <w:kern w:val="0"/>
        </w:rPr>
        <w:t>江西景新漆业股份有限公司</w:t>
      </w:r>
      <w:r>
        <w:rPr>
          <w:color w:val="auto"/>
          <w:kern w:val="0"/>
        </w:rPr>
        <w:t>的大力支持和协作，在此表示诚挚的谢意！</w:t>
      </w:r>
    </w:p>
    <w:p>
      <w:pPr>
        <w:wordWrap w:val="0"/>
        <w:adjustRightInd w:val="0"/>
        <w:snapToGrid w:val="0"/>
        <w:ind w:firstLine="560" w:firstLineChars="200"/>
        <w:textAlignment w:val="center"/>
        <w:rPr>
          <w:color w:val="auto"/>
          <w:kern w:val="0"/>
        </w:rPr>
      </w:pPr>
      <w:r>
        <w:rPr>
          <w:color w:val="auto"/>
          <w:kern w:val="0"/>
        </w:rPr>
        <w:t>本报告不妥之处，敬请指正。</w:t>
      </w:r>
    </w:p>
    <w:p>
      <w:pPr>
        <w:wordWrap w:val="0"/>
        <w:adjustRightInd w:val="0"/>
        <w:snapToGrid w:val="0"/>
        <w:textAlignment w:val="center"/>
        <w:rPr>
          <w:color w:val="auto"/>
          <w:kern w:val="0"/>
        </w:rPr>
      </w:pPr>
      <w:r>
        <w:rPr>
          <w:color w:val="auto"/>
          <w:kern w:val="0"/>
        </w:rPr>
        <w:br w:type="page"/>
      </w:r>
    </w:p>
    <w:p>
      <w:pPr>
        <w:pStyle w:val="16"/>
        <w:tabs>
          <w:tab w:val="right" w:leader="dot" w:pos="9070"/>
        </w:tabs>
        <w:wordWrap w:val="0"/>
        <w:adjustRightInd w:val="0"/>
        <w:snapToGrid w:val="0"/>
        <w:textAlignment w:val="center"/>
        <w:rPr>
          <w:b/>
          <w:bCs/>
          <w:color w:val="auto"/>
          <w:kern w:val="0"/>
          <w:sz w:val="32"/>
          <w:szCs w:val="32"/>
        </w:rPr>
      </w:pPr>
    </w:p>
    <w:p>
      <w:pPr>
        <w:pStyle w:val="16"/>
        <w:tabs>
          <w:tab w:val="right" w:leader="dot" w:pos="9070"/>
        </w:tabs>
        <w:wordWrap w:val="0"/>
        <w:adjustRightInd w:val="0"/>
        <w:snapToGrid w:val="0"/>
        <w:jc w:val="center"/>
        <w:textAlignment w:val="center"/>
        <w:rPr>
          <w:b/>
          <w:bCs/>
          <w:color w:val="auto"/>
          <w:kern w:val="0"/>
          <w:sz w:val="32"/>
          <w:szCs w:val="32"/>
        </w:rPr>
      </w:pPr>
      <w:r>
        <w:rPr>
          <w:rFonts w:hint="eastAsia"/>
          <w:b/>
          <w:bCs/>
          <w:color w:val="auto"/>
          <w:kern w:val="0"/>
          <w:sz w:val="32"/>
          <w:szCs w:val="32"/>
        </w:rPr>
        <w:t>目    录</w:t>
      </w:r>
    </w:p>
    <w:p>
      <w:pPr>
        <w:pStyle w:val="16"/>
        <w:tabs>
          <w:tab w:val="right" w:leader="dot" w:pos="9070"/>
        </w:tabs>
        <w:wordWrap w:val="0"/>
        <w:adjustRightInd w:val="0"/>
        <w:snapToGrid w:val="0"/>
        <w:textAlignment w:val="center"/>
        <w:rPr>
          <w:rFonts w:cs="Times New Roman"/>
          <w:b/>
          <w:bCs/>
          <w:color w:val="auto"/>
          <w:kern w:val="0"/>
          <w:sz w:val="24"/>
        </w:rPr>
      </w:pPr>
    </w:p>
    <w:p>
      <w:pPr>
        <w:pStyle w:val="16"/>
        <w:tabs>
          <w:tab w:val="right" w:leader="dot" w:pos="9070"/>
        </w:tabs>
        <w:spacing w:line="420" w:lineRule="exact"/>
        <w:rPr>
          <w:color w:val="auto"/>
          <w:sz w:val="24"/>
        </w:rPr>
      </w:pPr>
      <w:r>
        <w:rPr>
          <w:rFonts w:cs="Times New Roman"/>
          <w:b/>
          <w:bCs/>
          <w:color w:val="auto"/>
          <w:kern w:val="0"/>
          <w:sz w:val="24"/>
        </w:rPr>
        <w:fldChar w:fldCharType="begin"/>
      </w:r>
      <w:r>
        <w:rPr>
          <w:rFonts w:cs="Times New Roman"/>
          <w:b/>
          <w:bCs/>
          <w:color w:val="auto"/>
          <w:kern w:val="0"/>
          <w:sz w:val="24"/>
        </w:rPr>
        <w:instrText xml:space="preserve">TOC \o "1-3" \h \u </w:instrText>
      </w:r>
      <w:r>
        <w:rPr>
          <w:rFonts w:cs="Times New Roman"/>
          <w:b/>
          <w:bCs/>
          <w:color w:val="auto"/>
          <w:kern w:val="0"/>
          <w:sz w:val="24"/>
        </w:rPr>
        <w:fldChar w:fldCharType="separate"/>
      </w:r>
      <w:r>
        <w:rPr>
          <w:color w:val="auto"/>
        </w:rPr>
        <w:fldChar w:fldCharType="begin"/>
      </w:r>
      <w:r>
        <w:rPr>
          <w:color w:val="auto"/>
        </w:rPr>
        <w:instrText xml:space="preserve"> HYPERLINK \l "_Toc19900" </w:instrText>
      </w:r>
      <w:r>
        <w:rPr>
          <w:color w:val="auto"/>
        </w:rPr>
        <w:fldChar w:fldCharType="separate"/>
      </w:r>
      <w:r>
        <w:rPr>
          <w:rFonts w:hint="eastAsia"/>
          <w:color w:val="auto"/>
          <w:kern w:val="0"/>
          <w:sz w:val="24"/>
        </w:rPr>
        <w:t>1 编制说明</w:t>
      </w:r>
      <w:r>
        <w:rPr>
          <w:color w:val="auto"/>
          <w:sz w:val="24"/>
        </w:rPr>
        <w:tab/>
      </w:r>
      <w:r>
        <w:rPr>
          <w:color w:val="auto"/>
          <w:sz w:val="24"/>
        </w:rPr>
        <w:fldChar w:fldCharType="begin"/>
      </w:r>
      <w:r>
        <w:rPr>
          <w:color w:val="auto"/>
          <w:sz w:val="24"/>
        </w:rPr>
        <w:instrText xml:space="preserve"> PAGEREF _Toc19900 \h </w:instrText>
      </w:r>
      <w:r>
        <w:rPr>
          <w:color w:val="auto"/>
          <w:sz w:val="24"/>
        </w:rPr>
        <w:fldChar w:fldCharType="separate"/>
      </w:r>
      <w:r>
        <w:rPr>
          <w:color w:val="auto"/>
          <w:sz w:val="24"/>
        </w:rPr>
        <w:t>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"_Toc22089" </w:instrText>
      </w:r>
      <w:r>
        <w:rPr>
          <w:color w:val="auto"/>
        </w:rPr>
        <w:fldChar w:fldCharType="separate"/>
      </w:r>
      <w:r>
        <w:rPr>
          <w:rFonts w:hint="eastAsia"/>
          <w:color w:val="auto"/>
          <w:kern w:val="0"/>
          <w:sz w:val="24"/>
        </w:rPr>
        <w:t>1.1 评价目的及评价原则</w:t>
      </w:r>
      <w:r>
        <w:rPr>
          <w:color w:val="auto"/>
          <w:sz w:val="24"/>
        </w:rPr>
        <w:tab/>
      </w:r>
      <w:r>
        <w:rPr>
          <w:color w:val="auto"/>
          <w:sz w:val="24"/>
        </w:rPr>
        <w:fldChar w:fldCharType="begin"/>
      </w:r>
      <w:r>
        <w:rPr>
          <w:color w:val="auto"/>
          <w:sz w:val="24"/>
        </w:rPr>
        <w:instrText xml:space="preserve"> PAGEREF _Toc22089 \h </w:instrText>
      </w:r>
      <w:r>
        <w:rPr>
          <w:color w:val="auto"/>
          <w:sz w:val="24"/>
        </w:rPr>
        <w:fldChar w:fldCharType="separate"/>
      </w:r>
      <w:r>
        <w:rPr>
          <w:color w:val="auto"/>
          <w:sz w:val="24"/>
        </w:rPr>
        <w:t>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"_Toc408" </w:instrText>
      </w:r>
      <w:r>
        <w:rPr>
          <w:color w:val="auto"/>
        </w:rPr>
        <w:fldChar w:fldCharType="separate"/>
      </w:r>
      <w:r>
        <w:rPr>
          <w:rFonts w:hint="eastAsia"/>
          <w:color w:val="auto"/>
          <w:kern w:val="0"/>
          <w:sz w:val="24"/>
        </w:rPr>
        <w:t>1.1.1 评价目的</w:t>
      </w:r>
      <w:r>
        <w:rPr>
          <w:color w:val="auto"/>
          <w:sz w:val="24"/>
        </w:rPr>
        <w:tab/>
      </w:r>
      <w:r>
        <w:rPr>
          <w:color w:val="auto"/>
          <w:sz w:val="24"/>
        </w:rPr>
        <w:fldChar w:fldCharType="begin"/>
      </w:r>
      <w:r>
        <w:rPr>
          <w:color w:val="auto"/>
          <w:sz w:val="24"/>
        </w:rPr>
        <w:instrText xml:space="preserve"> PAGEREF _Toc408 \h </w:instrText>
      </w:r>
      <w:r>
        <w:rPr>
          <w:color w:val="auto"/>
          <w:sz w:val="24"/>
        </w:rPr>
        <w:fldChar w:fldCharType="separate"/>
      </w:r>
      <w:r>
        <w:rPr>
          <w:color w:val="auto"/>
          <w:sz w:val="24"/>
        </w:rPr>
        <w:t>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"_Toc2933" </w:instrText>
      </w:r>
      <w:r>
        <w:rPr>
          <w:color w:val="auto"/>
        </w:rPr>
        <w:fldChar w:fldCharType="separate"/>
      </w:r>
      <w:r>
        <w:rPr>
          <w:rFonts w:hint="eastAsia"/>
          <w:color w:val="auto"/>
          <w:kern w:val="0"/>
          <w:sz w:val="24"/>
        </w:rPr>
        <w:t>1.1.2 评价原则</w:t>
      </w:r>
      <w:r>
        <w:rPr>
          <w:color w:val="auto"/>
          <w:sz w:val="24"/>
        </w:rPr>
        <w:tab/>
      </w:r>
      <w:r>
        <w:rPr>
          <w:color w:val="auto"/>
          <w:sz w:val="24"/>
        </w:rPr>
        <w:fldChar w:fldCharType="begin"/>
      </w:r>
      <w:r>
        <w:rPr>
          <w:color w:val="auto"/>
          <w:sz w:val="24"/>
        </w:rPr>
        <w:instrText xml:space="preserve"> PAGEREF _Toc2933 \h </w:instrText>
      </w:r>
      <w:r>
        <w:rPr>
          <w:color w:val="auto"/>
          <w:sz w:val="24"/>
        </w:rPr>
        <w:fldChar w:fldCharType="separate"/>
      </w:r>
      <w:r>
        <w:rPr>
          <w:color w:val="auto"/>
          <w:sz w:val="24"/>
        </w:rPr>
        <w:t>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"_Toc31342" </w:instrText>
      </w:r>
      <w:r>
        <w:rPr>
          <w:color w:val="auto"/>
        </w:rPr>
        <w:fldChar w:fldCharType="separate"/>
      </w:r>
      <w:r>
        <w:rPr>
          <w:rFonts w:hint="eastAsia"/>
          <w:color w:val="auto"/>
          <w:kern w:val="0"/>
          <w:sz w:val="24"/>
        </w:rPr>
        <w:t>1.2 评价依据</w:t>
      </w:r>
      <w:r>
        <w:rPr>
          <w:color w:val="auto"/>
          <w:sz w:val="24"/>
        </w:rPr>
        <w:tab/>
      </w:r>
      <w:r>
        <w:rPr>
          <w:color w:val="auto"/>
          <w:sz w:val="24"/>
        </w:rPr>
        <w:fldChar w:fldCharType="begin"/>
      </w:r>
      <w:r>
        <w:rPr>
          <w:color w:val="auto"/>
          <w:sz w:val="24"/>
        </w:rPr>
        <w:instrText xml:space="preserve"> PAGEREF _Toc31342 \h </w:instrText>
      </w:r>
      <w:r>
        <w:rPr>
          <w:color w:val="auto"/>
          <w:sz w:val="24"/>
        </w:rPr>
        <w:fldChar w:fldCharType="separate"/>
      </w:r>
      <w:r>
        <w:rPr>
          <w:color w:val="auto"/>
          <w:sz w:val="24"/>
        </w:rPr>
        <w:t>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"_Toc14343" </w:instrText>
      </w:r>
      <w:r>
        <w:rPr>
          <w:color w:val="auto"/>
        </w:rPr>
        <w:fldChar w:fldCharType="separate"/>
      </w:r>
      <w:r>
        <w:rPr>
          <w:rFonts w:hint="eastAsia"/>
          <w:color w:val="auto"/>
          <w:kern w:val="0"/>
          <w:sz w:val="24"/>
        </w:rPr>
        <w:t>1.2.1 法律法规</w:t>
      </w:r>
      <w:r>
        <w:rPr>
          <w:color w:val="auto"/>
          <w:sz w:val="24"/>
        </w:rPr>
        <w:tab/>
      </w:r>
      <w:r>
        <w:rPr>
          <w:color w:val="auto"/>
          <w:sz w:val="24"/>
        </w:rPr>
        <w:fldChar w:fldCharType="begin"/>
      </w:r>
      <w:r>
        <w:rPr>
          <w:color w:val="auto"/>
          <w:sz w:val="24"/>
        </w:rPr>
        <w:instrText xml:space="preserve"> PAGEREF _Toc14343 \h </w:instrText>
      </w:r>
      <w:r>
        <w:rPr>
          <w:color w:val="auto"/>
          <w:sz w:val="24"/>
        </w:rPr>
        <w:fldChar w:fldCharType="separate"/>
      </w:r>
      <w:r>
        <w:rPr>
          <w:color w:val="auto"/>
          <w:sz w:val="24"/>
        </w:rPr>
        <w:t>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"_Toc3868" </w:instrText>
      </w:r>
      <w:r>
        <w:rPr>
          <w:color w:val="auto"/>
        </w:rPr>
        <w:fldChar w:fldCharType="separate"/>
      </w:r>
      <w:r>
        <w:rPr>
          <w:rFonts w:hint="eastAsia"/>
          <w:color w:val="auto"/>
          <w:kern w:val="0"/>
          <w:sz w:val="24"/>
        </w:rPr>
        <w:t>1.2.2 部门规章及规范性文件</w:t>
      </w:r>
      <w:r>
        <w:rPr>
          <w:color w:val="auto"/>
          <w:sz w:val="24"/>
        </w:rPr>
        <w:tab/>
      </w:r>
      <w:r>
        <w:rPr>
          <w:color w:val="auto"/>
          <w:sz w:val="24"/>
        </w:rPr>
        <w:fldChar w:fldCharType="begin"/>
      </w:r>
      <w:r>
        <w:rPr>
          <w:color w:val="auto"/>
          <w:sz w:val="24"/>
        </w:rPr>
        <w:instrText xml:space="preserve"> PAGEREF _Toc3868 \h </w:instrText>
      </w:r>
      <w:r>
        <w:rPr>
          <w:color w:val="auto"/>
          <w:sz w:val="24"/>
        </w:rPr>
        <w:fldChar w:fldCharType="separate"/>
      </w:r>
      <w:r>
        <w:rPr>
          <w:color w:val="auto"/>
          <w:sz w:val="24"/>
        </w:rPr>
        <w:t>5</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"_Toc3052" </w:instrText>
      </w:r>
      <w:r>
        <w:rPr>
          <w:color w:val="auto"/>
        </w:rPr>
        <w:fldChar w:fldCharType="separate"/>
      </w:r>
      <w:r>
        <w:rPr>
          <w:rFonts w:hint="eastAsia"/>
          <w:color w:val="auto"/>
          <w:kern w:val="0"/>
          <w:sz w:val="24"/>
        </w:rPr>
        <w:t>1.2.3 国家标准</w:t>
      </w:r>
      <w:r>
        <w:rPr>
          <w:color w:val="auto"/>
          <w:sz w:val="24"/>
        </w:rPr>
        <w:tab/>
      </w:r>
      <w:r>
        <w:rPr>
          <w:color w:val="auto"/>
          <w:sz w:val="24"/>
        </w:rPr>
        <w:fldChar w:fldCharType="begin"/>
      </w:r>
      <w:r>
        <w:rPr>
          <w:color w:val="auto"/>
          <w:sz w:val="24"/>
        </w:rPr>
        <w:instrText xml:space="preserve"> PAGEREF _Toc3052 \h </w:instrText>
      </w:r>
      <w:r>
        <w:rPr>
          <w:color w:val="auto"/>
          <w:sz w:val="24"/>
        </w:rPr>
        <w:fldChar w:fldCharType="separate"/>
      </w:r>
      <w:r>
        <w:rPr>
          <w:color w:val="auto"/>
          <w:sz w:val="24"/>
        </w:rPr>
        <w:t>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"_Toc14915" </w:instrText>
      </w:r>
      <w:r>
        <w:rPr>
          <w:color w:val="auto"/>
        </w:rPr>
        <w:fldChar w:fldCharType="separate"/>
      </w:r>
      <w:r>
        <w:rPr>
          <w:rFonts w:hint="eastAsia"/>
          <w:color w:val="auto"/>
          <w:kern w:val="0"/>
          <w:sz w:val="24"/>
        </w:rPr>
        <w:t>1.2.5 项目文件、工程资料</w:t>
      </w:r>
      <w:r>
        <w:rPr>
          <w:color w:val="auto"/>
          <w:sz w:val="24"/>
        </w:rPr>
        <w:tab/>
      </w:r>
      <w:r>
        <w:rPr>
          <w:color w:val="auto"/>
          <w:sz w:val="24"/>
        </w:rPr>
        <w:fldChar w:fldCharType="begin"/>
      </w:r>
      <w:r>
        <w:rPr>
          <w:color w:val="auto"/>
          <w:sz w:val="24"/>
        </w:rPr>
        <w:instrText xml:space="preserve"> PAGEREF _Toc14915 \h </w:instrText>
      </w:r>
      <w:r>
        <w:rPr>
          <w:color w:val="auto"/>
          <w:sz w:val="24"/>
        </w:rPr>
        <w:fldChar w:fldCharType="separate"/>
      </w:r>
      <w:r>
        <w:rPr>
          <w:color w:val="auto"/>
          <w:sz w:val="24"/>
        </w:rPr>
        <w:t>13</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"_Toc27" </w:instrText>
      </w:r>
      <w:r>
        <w:rPr>
          <w:color w:val="auto"/>
        </w:rPr>
        <w:fldChar w:fldCharType="separate"/>
      </w:r>
      <w:r>
        <w:rPr>
          <w:rFonts w:hint="eastAsia"/>
          <w:color w:val="auto"/>
          <w:kern w:val="0"/>
          <w:sz w:val="24"/>
        </w:rPr>
        <w:t>1.3 评价范围及评价程序</w:t>
      </w:r>
      <w:r>
        <w:rPr>
          <w:color w:val="auto"/>
          <w:sz w:val="24"/>
        </w:rPr>
        <w:tab/>
      </w:r>
      <w:r>
        <w:rPr>
          <w:color w:val="auto"/>
          <w:sz w:val="24"/>
        </w:rPr>
        <w:fldChar w:fldCharType="begin"/>
      </w:r>
      <w:r>
        <w:rPr>
          <w:color w:val="auto"/>
          <w:sz w:val="24"/>
        </w:rPr>
        <w:instrText xml:space="preserve"> PAGEREF _Toc27 \h </w:instrText>
      </w:r>
      <w:r>
        <w:rPr>
          <w:color w:val="auto"/>
          <w:sz w:val="24"/>
        </w:rPr>
        <w:fldChar w:fldCharType="separate"/>
      </w:r>
      <w:r>
        <w:rPr>
          <w:color w:val="auto"/>
          <w:sz w:val="24"/>
        </w:rPr>
        <w:t>14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"_Toc15979" </w:instrText>
      </w:r>
      <w:r>
        <w:rPr>
          <w:color w:val="auto"/>
        </w:rPr>
        <w:fldChar w:fldCharType="separate"/>
      </w:r>
      <w:r>
        <w:rPr>
          <w:rFonts w:hint="eastAsia"/>
          <w:color w:val="auto"/>
          <w:kern w:val="0"/>
          <w:sz w:val="24"/>
        </w:rPr>
        <w:t>1.3.1 评价对象、范围</w:t>
      </w:r>
      <w:r>
        <w:rPr>
          <w:color w:val="auto"/>
          <w:sz w:val="24"/>
        </w:rPr>
        <w:tab/>
      </w:r>
      <w:r>
        <w:rPr>
          <w:color w:val="auto"/>
          <w:sz w:val="24"/>
        </w:rPr>
        <w:fldChar w:fldCharType="begin"/>
      </w:r>
      <w:r>
        <w:rPr>
          <w:color w:val="auto"/>
          <w:sz w:val="24"/>
        </w:rPr>
        <w:instrText xml:space="preserve"> PAGEREF _Toc15979 \h </w:instrText>
      </w:r>
      <w:r>
        <w:rPr>
          <w:color w:val="auto"/>
          <w:sz w:val="24"/>
        </w:rPr>
        <w:fldChar w:fldCharType="separate"/>
      </w:r>
      <w:r>
        <w:rPr>
          <w:color w:val="auto"/>
          <w:sz w:val="24"/>
        </w:rPr>
        <w:t>14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"_Toc3238" </w:instrText>
      </w:r>
      <w:r>
        <w:rPr>
          <w:color w:val="auto"/>
        </w:rPr>
        <w:fldChar w:fldCharType="separate"/>
      </w:r>
      <w:r>
        <w:rPr>
          <w:rFonts w:hint="eastAsia"/>
          <w:color w:val="auto"/>
          <w:kern w:val="0"/>
          <w:sz w:val="24"/>
        </w:rPr>
        <w:t>1.3.2 评价程序</w:t>
      </w:r>
      <w:r>
        <w:rPr>
          <w:color w:val="auto"/>
          <w:sz w:val="24"/>
        </w:rPr>
        <w:tab/>
      </w:r>
      <w:r>
        <w:rPr>
          <w:color w:val="auto"/>
          <w:sz w:val="24"/>
        </w:rPr>
        <w:fldChar w:fldCharType="begin"/>
      </w:r>
      <w:r>
        <w:rPr>
          <w:color w:val="auto"/>
          <w:sz w:val="24"/>
        </w:rPr>
        <w:instrText xml:space="preserve"> PAGEREF _Toc3238 \h </w:instrText>
      </w:r>
      <w:r>
        <w:rPr>
          <w:color w:val="auto"/>
          <w:sz w:val="24"/>
        </w:rPr>
        <w:fldChar w:fldCharType="separate"/>
      </w:r>
      <w:r>
        <w:rPr>
          <w:color w:val="auto"/>
          <w:sz w:val="24"/>
        </w:rPr>
        <w:t>15</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"_Toc7263" </w:instrText>
      </w:r>
      <w:r>
        <w:rPr>
          <w:color w:val="auto"/>
        </w:rPr>
        <w:fldChar w:fldCharType="separate"/>
      </w:r>
      <w:r>
        <w:rPr>
          <w:rFonts w:hint="eastAsia"/>
          <w:color w:val="auto"/>
          <w:kern w:val="0"/>
          <w:sz w:val="24"/>
        </w:rPr>
        <w:t>2 建设项目概况</w:t>
      </w:r>
      <w:r>
        <w:rPr>
          <w:color w:val="auto"/>
          <w:sz w:val="24"/>
        </w:rPr>
        <w:tab/>
      </w:r>
      <w:r>
        <w:rPr>
          <w:color w:val="auto"/>
          <w:sz w:val="24"/>
        </w:rPr>
        <w:fldChar w:fldCharType="begin"/>
      </w:r>
      <w:r>
        <w:rPr>
          <w:color w:val="auto"/>
          <w:sz w:val="24"/>
        </w:rPr>
        <w:instrText xml:space="preserve"> PAGEREF _Toc7263 \h </w:instrText>
      </w:r>
      <w:r>
        <w:rPr>
          <w:color w:val="auto"/>
          <w:sz w:val="24"/>
        </w:rPr>
        <w:fldChar w:fldCharType="separate"/>
      </w:r>
      <w:r>
        <w:rPr>
          <w:color w:val="auto"/>
          <w:sz w:val="24"/>
        </w:rPr>
        <w:t>16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"_Toc31784" </w:instrText>
      </w:r>
      <w:r>
        <w:rPr>
          <w:color w:val="auto"/>
        </w:rPr>
        <w:fldChar w:fldCharType="separate"/>
      </w:r>
      <w:r>
        <w:rPr>
          <w:rFonts w:hint="eastAsia"/>
          <w:color w:val="auto"/>
          <w:kern w:val="0"/>
          <w:sz w:val="24"/>
        </w:rPr>
        <w:t>2.1 建设单位简介</w:t>
      </w:r>
      <w:r>
        <w:rPr>
          <w:color w:val="auto"/>
          <w:sz w:val="24"/>
        </w:rPr>
        <w:tab/>
      </w:r>
      <w:r>
        <w:rPr>
          <w:color w:val="auto"/>
          <w:sz w:val="24"/>
        </w:rPr>
        <w:fldChar w:fldCharType="begin"/>
      </w:r>
      <w:r>
        <w:rPr>
          <w:color w:val="auto"/>
          <w:sz w:val="24"/>
        </w:rPr>
        <w:instrText xml:space="preserve"> PAGEREF _Toc31784 \h </w:instrText>
      </w:r>
      <w:r>
        <w:rPr>
          <w:color w:val="auto"/>
          <w:sz w:val="24"/>
        </w:rPr>
        <w:fldChar w:fldCharType="separate"/>
      </w:r>
      <w:r>
        <w:rPr>
          <w:color w:val="auto"/>
          <w:sz w:val="24"/>
        </w:rPr>
        <w:t>16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"_Toc30053" </w:instrText>
      </w:r>
      <w:r>
        <w:rPr>
          <w:color w:val="auto"/>
        </w:rPr>
        <w:fldChar w:fldCharType="separate"/>
      </w:r>
      <w:r>
        <w:rPr>
          <w:rFonts w:hint="eastAsia"/>
          <w:color w:val="auto"/>
          <w:kern w:val="0"/>
          <w:sz w:val="24"/>
        </w:rPr>
        <w:t>2.2 项目概况</w:t>
      </w:r>
      <w:r>
        <w:rPr>
          <w:color w:val="auto"/>
          <w:sz w:val="24"/>
        </w:rPr>
        <w:tab/>
      </w:r>
      <w:r>
        <w:rPr>
          <w:color w:val="auto"/>
          <w:sz w:val="24"/>
        </w:rPr>
        <w:fldChar w:fldCharType="begin"/>
      </w:r>
      <w:r>
        <w:rPr>
          <w:color w:val="auto"/>
          <w:sz w:val="24"/>
        </w:rPr>
        <w:instrText xml:space="preserve"> PAGEREF _Toc30053 \h </w:instrText>
      </w:r>
      <w:r>
        <w:rPr>
          <w:color w:val="auto"/>
          <w:sz w:val="24"/>
        </w:rPr>
        <w:fldChar w:fldCharType="separate"/>
      </w:r>
      <w:r>
        <w:rPr>
          <w:color w:val="auto"/>
          <w:sz w:val="24"/>
        </w:rPr>
        <w:t>18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"_Toc12181" </w:instrText>
      </w:r>
      <w:r>
        <w:rPr>
          <w:color w:val="auto"/>
        </w:rPr>
        <w:fldChar w:fldCharType="separate"/>
      </w:r>
      <w:r>
        <w:rPr>
          <w:rFonts w:hint="eastAsia"/>
          <w:color w:val="auto"/>
          <w:kern w:val="0"/>
          <w:sz w:val="24"/>
        </w:rPr>
        <w:t>2.2.1 地理位置及周边情况</w:t>
      </w:r>
      <w:r>
        <w:rPr>
          <w:color w:val="auto"/>
          <w:sz w:val="24"/>
        </w:rPr>
        <w:tab/>
      </w:r>
      <w:r>
        <w:rPr>
          <w:color w:val="auto"/>
          <w:sz w:val="24"/>
        </w:rPr>
        <w:fldChar w:fldCharType="begin"/>
      </w:r>
      <w:r>
        <w:rPr>
          <w:color w:val="auto"/>
          <w:sz w:val="24"/>
        </w:rPr>
        <w:instrText xml:space="preserve"> PAGEREF _Toc12181 \h </w:instrText>
      </w:r>
      <w:r>
        <w:rPr>
          <w:color w:val="auto"/>
          <w:sz w:val="24"/>
        </w:rPr>
        <w:fldChar w:fldCharType="separate"/>
      </w:r>
      <w:r>
        <w:rPr>
          <w:color w:val="auto"/>
          <w:sz w:val="24"/>
        </w:rPr>
        <w:t>20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"_Toc61" </w:instrText>
      </w:r>
      <w:r>
        <w:rPr>
          <w:color w:val="auto"/>
        </w:rPr>
        <w:fldChar w:fldCharType="separate"/>
      </w:r>
      <w:r>
        <w:rPr>
          <w:rFonts w:hint="eastAsia"/>
          <w:color w:val="auto"/>
          <w:kern w:val="0"/>
          <w:sz w:val="24"/>
        </w:rPr>
        <w:t>2.2.2 厂址概况</w:t>
      </w:r>
      <w:r>
        <w:rPr>
          <w:color w:val="auto"/>
          <w:sz w:val="24"/>
        </w:rPr>
        <w:tab/>
      </w:r>
      <w:r>
        <w:rPr>
          <w:color w:val="auto"/>
          <w:sz w:val="24"/>
        </w:rPr>
        <w:fldChar w:fldCharType="begin"/>
      </w:r>
      <w:r>
        <w:rPr>
          <w:color w:val="auto"/>
          <w:sz w:val="24"/>
        </w:rPr>
        <w:instrText xml:space="preserve"> PAGEREF _Toc61 \h </w:instrText>
      </w:r>
      <w:r>
        <w:rPr>
          <w:color w:val="auto"/>
          <w:sz w:val="24"/>
        </w:rPr>
        <w:fldChar w:fldCharType="separate"/>
      </w:r>
      <w:r>
        <w:rPr>
          <w:color w:val="auto"/>
          <w:sz w:val="24"/>
        </w:rPr>
        <w:t>22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"_Toc32201" </w:instrText>
      </w:r>
      <w:r>
        <w:rPr>
          <w:color w:val="auto"/>
        </w:rPr>
        <w:fldChar w:fldCharType="separate"/>
      </w:r>
      <w:r>
        <w:rPr>
          <w:rFonts w:hint="eastAsia"/>
          <w:color w:val="auto"/>
          <w:kern w:val="0"/>
          <w:sz w:val="24"/>
        </w:rPr>
        <w:t>2.3 厂区总平面布置及其上下游生产装置的关系</w:t>
      </w:r>
      <w:r>
        <w:rPr>
          <w:color w:val="auto"/>
          <w:sz w:val="24"/>
        </w:rPr>
        <w:tab/>
      </w:r>
      <w:r>
        <w:rPr>
          <w:color w:val="auto"/>
          <w:sz w:val="24"/>
        </w:rPr>
        <w:fldChar w:fldCharType="begin"/>
      </w:r>
      <w:r>
        <w:rPr>
          <w:color w:val="auto"/>
          <w:sz w:val="24"/>
        </w:rPr>
        <w:instrText xml:space="preserve"> PAGEREF _Toc32201 \h </w:instrText>
      </w:r>
      <w:r>
        <w:rPr>
          <w:color w:val="auto"/>
          <w:sz w:val="24"/>
        </w:rPr>
        <w:fldChar w:fldCharType="separate"/>
      </w:r>
      <w:r>
        <w:rPr>
          <w:color w:val="auto"/>
          <w:sz w:val="24"/>
        </w:rPr>
        <w:t>24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"_Toc12044" </w:instrText>
      </w:r>
      <w:r>
        <w:rPr>
          <w:color w:val="auto"/>
        </w:rPr>
        <w:fldChar w:fldCharType="separate"/>
      </w:r>
      <w:r>
        <w:rPr>
          <w:rFonts w:hint="eastAsia"/>
          <w:bCs/>
          <w:color w:val="auto"/>
          <w:kern w:val="0"/>
          <w:sz w:val="24"/>
        </w:rPr>
        <w:t>2.3.1 平面布置</w:t>
      </w:r>
      <w:r>
        <w:rPr>
          <w:color w:val="auto"/>
          <w:sz w:val="24"/>
        </w:rPr>
        <w:tab/>
      </w:r>
      <w:r>
        <w:rPr>
          <w:color w:val="auto"/>
          <w:sz w:val="24"/>
        </w:rPr>
        <w:fldChar w:fldCharType="begin"/>
      </w:r>
      <w:r>
        <w:rPr>
          <w:color w:val="auto"/>
          <w:sz w:val="24"/>
        </w:rPr>
        <w:instrText xml:space="preserve"> PAGEREF _Toc12044 \h </w:instrText>
      </w:r>
      <w:r>
        <w:rPr>
          <w:color w:val="auto"/>
          <w:sz w:val="24"/>
        </w:rPr>
        <w:fldChar w:fldCharType="separate"/>
      </w:r>
      <w:r>
        <w:rPr>
          <w:color w:val="auto"/>
          <w:sz w:val="24"/>
        </w:rPr>
        <w:t>24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"_Toc29760" </w:instrText>
      </w:r>
      <w:r>
        <w:rPr>
          <w:color w:val="auto"/>
        </w:rPr>
        <w:fldChar w:fldCharType="separate"/>
      </w:r>
      <w:r>
        <w:rPr>
          <w:rFonts w:hint="eastAsia"/>
          <w:bCs/>
          <w:color w:val="auto"/>
          <w:kern w:val="0"/>
          <w:sz w:val="24"/>
        </w:rPr>
        <w:t>2.3.2 上下游生产装置的关系</w:t>
      </w:r>
      <w:r>
        <w:rPr>
          <w:color w:val="auto"/>
          <w:sz w:val="24"/>
        </w:rPr>
        <w:tab/>
      </w:r>
      <w:r>
        <w:rPr>
          <w:color w:val="auto"/>
          <w:sz w:val="24"/>
        </w:rPr>
        <w:fldChar w:fldCharType="begin"/>
      </w:r>
      <w:r>
        <w:rPr>
          <w:color w:val="auto"/>
          <w:sz w:val="24"/>
        </w:rPr>
        <w:instrText xml:space="preserve"> PAGEREF _Toc29760 \h </w:instrText>
      </w:r>
      <w:r>
        <w:rPr>
          <w:color w:val="auto"/>
          <w:sz w:val="24"/>
        </w:rPr>
        <w:fldChar w:fldCharType="separate"/>
      </w:r>
      <w:r>
        <w:rPr>
          <w:color w:val="auto"/>
          <w:sz w:val="24"/>
        </w:rPr>
        <w:t>26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"_Toc21913" </w:instrText>
      </w:r>
      <w:r>
        <w:rPr>
          <w:color w:val="auto"/>
        </w:rPr>
        <w:fldChar w:fldCharType="separate"/>
      </w:r>
      <w:r>
        <w:rPr>
          <w:rFonts w:hint="eastAsia"/>
          <w:bCs/>
          <w:color w:val="auto"/>
          <w:kern w:val="0"/>
          <w:sz w:val="24"/>
        </w:rPr>
        <w:t>2.3.3 主要建构筑物之间的间距</w:t>
      </w:r>
      <w:r>
        <w:rPr>
          <w:color w:val="auto"/>
          <w:sz w:val="24"/>
        </w:rPr>
        <w:tab/>
      </w:r>
      <w:r>
        <w:rPr>
          <w:color w:val="auto"/>
          <w:sz w:val="24"/>
        </w:rPr>
        <w:fldChar w:fldCharType="begin"/>
      </w:r>
      <w:r>
        <w:rPr>
          <w:color w:val="auto"/>
          <w:sz w:val="24"/>
        </w:rPr>
        <w:instrText xml:space="preserve"> PAGEREF _Toc21913 \h </w:instrText>
      </w:r>
      <w:r>
        <w:rPr>
          <w:color w:val="auto"/>
          <w:sz w:val="24"/>
        </w:rPr>
        <w:fldChar w:fldCharType="separate"/>
      </w:r>
      <w:r>
        <w:rPr>
          <w:color w:val="auto"/>
          <w:sz w:val="24"/>
        </w:rPr>
        <w:t>26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"_Toc10975" </w:instrText>
      </w:r>
      <w:r>
        <w:rPr>
          <w:color w:val="auto"/>
        </w:rPr>
        <w:fldChar w:fldCharType="separate"/>
      </w:r>
      <w:r>
        <w:rPr>
          <w:rFonts w:hint="eastAsia"/>
          <w:color w:val="auto"/>
          <w:kern w:val="0"/>
          <w:sz w:val="24"/>
        </w:rPr>
        <w:t>2.4 产品及原辅料</w:t>
      </w:r>
      <w:r>
        <w:rPr>
          <w:color w:val="auto"/>
          <w:sz w:val="24"/>
        </w:rPr>
        <w:tab/>
      </w:r>
      <w:r>
        <w:rPr>
          <w:color w:val="auto"/>
          <w:sz w:val="24"/>
        </w:rPr>
        <w:fldChar w:fldCharType="begin"/>
      </w:r>
      <w:r>
        <w:rPr>
          <w:color w:val="auto"/>
          <w:sz w:val="24"/>
        </w:rPr>
        <w:instrText xml:space="preserve"> PAGEREF _Toc10975 \h </w:instrText>
      </w:r>
      <w:r>
        <w:rPr>
          <w:color w:val="auto"/>
          <w:sz w:val="24"/>
        </w:rPr>
        <w:fldChar w:fldCharType="separate"/>
      </w:r>
      <w:r>
        <w:rPr>
          <w:color w:val="auto"/>
          <w:sz w:val="24"/>
        </w:rPr>
        <w:t>28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"_Toc23179" </w:instrText>
      </w:r>
      <w:r>
        <w:rPr>
          <w:color w:val="auto"/>
        </w:rPr>
        <w:fldChar w:fldCharType="separate"/>
      </w:r>
      <w:r>
        <w:rPr>
          <w:rFonts w:hint="eastAsia"/>
          <w:bCs/>
          <w:color w:val="auto"/>
          <w:kern w:val="0"/>
          <w:sz w:val="24"/>
        </w:rPr>
        <w:t>2.4.1 储存物料</w:t>
      </w:r>
      <w:r>
        <w:rPr>
          <w:color w:val="auto"/>
          <w:sz w:val="24"/>
        </w:rPr>
        <w:tab/>
      </w:r>
      <w:r>
        <w:rPr>
          <w:color w:val="auto"/>
          <w:sz w:val="24"/>
        </w:rPr>
        <w:fldChar w:fldCharType="begin"/>
      </w:r>
      <w:r>
        <w:rPr>
          <w:color w:val="auto"/>
          <w:sz w:val="24"/>
        </w:rPr>
        <w:instrText xml:space="preserve"> PAGEREF _Toc23179 \h </w:instrText>
      </w:r>
      <w:r>
        <w:rPr>
          <w:color w:val="auto"/>
          <w:sz w:val="24"/>
        </w:rPr>
        <w:fldChar w:fldCharType="separate"/>
      </w:r>
      <w:r>
        <w:rPr>
          <w:color w:val="auto"/>
          <w:sz w:val="24"/>
        </w:rPr>
        <w:t>28</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"_Toc10937" </w:instrText>
      </w:r>
      <w:r>
        <w:rPr>
          <w:color w:val="auto"/>
        </w:rPr>
        <w:fldChar w:fldCharType="separate"/>
      </w:r>
      <w:r>
        <w:rPr>
          <w:rFonts w:hint="eastAsia"/>
          <w:color w:val="auto"/>
          <w:kern w:val="0"/>
          <w:sz w:val="24"/>
        </w:rPr>
        <w:t>2.5 生产工艺</w:t>
      </w:r>
      <w:r>
        <w:rPr>
          <w:color w:val="auto"/>
          <w:sz w:val="24"/>
        </w:rPr>
        <w:tab/>
      </w:r>
      <w:r>
        <w:rPr>
          <w:color w:val="auto"/>
          <w:sz w:val="24"/>
        </w:rPr>
        <w:fldChar w:fldCharType="begin"/>
      </w:r>
      <w:r>
        <w:rPr>
          <w:color w:val="auto"/>
          <w:sz w:val="24"/>
        </w:rPr>
        <w:instrText xml:space="preserve"> PAGEREF _Toc10937 \h </w:instrText>
      </w:r>
      <w:r>
        <w:rPr>
          <w:color w:val="auto"/>
          <w:sz w:val="24"/>
        </w:rPr>
        <w:fldChar w:fldCharType="separate"/>
      </w:r>
      <w:r>
        <w:rPr>
          <w:color w:val="auto"/>
          <w:sz w:val="24"/>
        </w:rPr>
        <w:t>29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"_Toc5005" </w:instrText>
      </w:r>
      <w:r>
        <w:rPr>
          <w:color w:val="auto"/>
        </w:rPr>
        <w:fldChar w:fldCharType="separate"/>
      </w:r>
      <w:r>
        <w:rPr>
          <w:rFonts w:hint="eastAsia"/>
          <w:color w:val="auto"/>
          <w:kern w:val="0"/>
          <w:sz w:val="24"/>
        </w:rPr>
        <w:t>2.6 主要设备设施</w:t>
      </w:r>
      <w:r>
        <w:rPr>
          <w:color w:val="auto"/>
          <w:sz w:val="24"/>
        </w:rPr>
        <w:tab/>
      </w:r>
      <w:r>
        <w:rPr>
          <w:color w:val="auto"/>
          <w:sz w:val="24"/>
        </w:rPr>
        <w:fldChar w:fldCharType="begin"/>
      </w:r>
      <w:r>
        <w:rPr>
          <w:color w:val="auto"/>
          <w:sz w:val="24"/>
        </w:rPr>
        <w:instrText xml:space="preserve"> PAGEREF _Toc5005 \h </w:instrText>
      </w:r>
      <w:r>
        <w:rPr>
          <w:color w:val="auto"/>
          <w:sz w:val="24"/>
        </w:rPr>
        <w:fldChar w:fldCharType="separate"/>
      </w:r>
      <w:r>
        <w:rPr>
          <w:color w:val="auto"/>
          <w:sz w:val="24"/>
        </w:rPr>
        <w:t>29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"_Toc10282" </w:instrText>
      </w:r>
      <w:r>
        <w:rPr>
          <w:color w:val="auto"/>
        </w:rPr>
        <w:fldChar w:fldCharType="separate"/>
      </w:r>
      <w:r>
        <w:rPr>
          <w:rFonts w:hint="eastAsia"/>
          <w:color w:val="auto"/>
          <w:kern w:val="0"/>
          <w:sz w:val="24"/>
        </w:rPr>
        <w:t>2.7 公用工程及辅助设施</w:t>
      </w:r>
      <w:r>
        <w:rPr>
          <w:color w:val="auto"/>
          <w:sz w:val="24"/>
        </w:rPr>
        <w:tab/>
      </w:r>
      <w:r>
        <w:rPr>
          <w:color w:val="auto"/>
          <w:sz w:val="24"/>
        </w:rPr>
        <w:fldChar w:fldCharType="begin"/>
      </w:r>
      <w:r>
        <w:rPr>
          <w:color w:val="auto"/>
          <w:sz w:val="24"/>
        </w:rPr>
        <w:instrText xml:space="preserve"> PAGEREF _Toc10282 \h </w:instrText>
      </w:r>
      <w:r>
        <w:rPr>
          <w:color w:val="auto"/>
          <w:sz w:val="24"/>
        </w:rPr>
        <w:fldChar w:fldCharType="separate"/>
      </w:r>
      <w:r>
        <w:rPr>
          <w:color w:val="auto"/>
          <w:sz w:val="24"/>
        </w:rPr>
        <w:t>30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"_Toc11128" </w:instrText>
      </w:r>
      <w:r>
        <w:rPr>
          <w:color w:val="auto"/>
        </w:rPr>
        <w:fldChar w:fldCharType="separate"/>
      </w:r>
      <w:r>
        <w:rPr>
          <w:rFonts w:hint="eastAsia"/>
          <w:color w:val="auto"/>
          <w:kern w:val="0"/>
          <w:sz w:val="24"/>
        </w:rPr>
        <w:t>2.7.1 给排水</w:t>
      </w:r>
      <w:r>
        <w:rPr>
          <w:color w:val="auto"/>
          <w:sz w:val="24"/>
        </w:rPr>
        <w:tab/>
      </w:r>
      <w:r>
        <w:rPr>
          <w:color w:val="auto"/>
          <w:sz w:val="24"/>
        </w:rPr>
        <w:fldChar w:fldCharType="begin"/>
      </w:r>
      <w:r>
        <w:rPr>
          <w:color w:val="auto"/>
          <w:sz w:val="24"/>
        </w:rPr>
        <w:instrText xml:space="preserve"> PAGEREF _Toc11128 \h </w:instrText>
      </w:r>
      <w:r>
        <w:rPr>
          <w:color w:val="auto"/>
          <w:sz w:val="24"/>
        </w:rPr>
        <w:fldChar w:fldCharType="separate"/>
      </w:r>
      <w:r>
        <w:rPr>
          <w:color w:val="auto"/>
          <w:sz w:val="24"/>
        </w:rPr>
        <w:t>30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"_Toc4815" </w:instrText>
      </w:r>
      <w:r>
        <w:rPr>
          <w:color w:val="auto"/>
        </w:rPr>
        <w:fldChar w:fldCharType="separate"/>
      </w:r>
      <w:r>
        <w:rPr>
          <w:rFonts w:hint="eastAsia"/>
          <w:color w:val="auto"/>
          <w:kern w:val="0"/>
          <w:sz w:val="24"/>
        </w:rPr>
        <w:t>2.7.2 供配电</w:t>
      </w:r>
      <w:r>
        <w:rPr>
          <w:color w:val="auto"/>
          <w:sz w:val="24"/>
        </w:rPr>
        <w:tab/>
      </w:r>
      <w:r>
        <w:rPr>
          <w:color w:val="auto"/>
          <w:sz w:val="24"/>
        </w:rPr>
        <w:fldChar w:fldCharType="begin"/>
      </w:r>
      <w:r>
        <w:rPr>
          <w:color w:val="auto"/>
          <w:sz w:val="24"/>
        </w:rPr>
        <w:instrText xml:space="preserve"> PAGEREF _Toc4815 \h </w:instrText>
      </w:r>
      <w:r>
        <w:rPr>
          <w:color w:val="auto"/>
          <w:sz w:val="24"/>
        </w:rPr>
        <w:fldChar w:fldCharType="separate"/>
      </w:r>
      <w:r>
        <w:rPr>
          <w:color w:val="auto"/>
          <w:sz w:val="24"/>
        </w:rPr>
        <w:t>31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"_Toc11002" </w:instrText>
      </w:r>
      <w:r>
        <w:rPr>
          <w:color w:val="auto"/>
        </w:rPr>
        <w:fldChar w:fldCharType="separate"/>
      </w:r>
      <w:r>
        <w:rPr>
          <w:rFonts w:hint="eastAsia"/>
          <w:color w:val="auto"/>
          <w:kern w:val="0"/>
          <w:sz w:val="24"/>
        </w:rPr>
        <w:t>2.7.3 自动控制</w:t>
      </w:r>
      <w:r>
        <w:rPr>
          <w:color w:val="auto"/>
          <w:sz w:val="24"/>
        </w:rPr>
        <w:tab/>
      </w:r>
      <w:r>
        <w:rPr>
          <w:color w:val="auto"/>
          <w:sz w:val="24"/>
        </w:rPr>
        <w:fldChar w:fldCharType="begin"/>
      </w:r>
      <w:r>
        <w:rPr>
          <w:color w:val="auto"/>
          <w:sz w:val="24"/>
        </w:rPr>
        <w:instrText xml:space="preserve"> PAGEREF _Toc11002 \h </w:instrText>
      </w:r>
      <w:r>
        <w:rPr>
          <w:color w:val="auto"/>
          <w:sz w:val="24"/>
        </w:rPr>
        <w:fldChar w:fldCharType="separate"/>
      </w:r>
      <w:r>
        <w:rPr>
          <w:color w:val="auto"/>
          <w:sz w:val="24"/>
        </w:rPr>
        <w:t>33</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"_Toc21015" </w:instrText>
      </w:r>
      <w:r>
        <w:rPr>
          <w:color w:val="auto"/>
        </w:rPr>
        <w:fldChar w:fldCharType="separate"/>
      </w:r>
      <w:r>
        <w:rPr>
          <w:rFonts w:hint="eastAsia"/>
          <w:color w:val="auto"/>
          <w:kern w:val="0"/>
          <w:sz w:val="24"/>
        </w:rPr>
        <w:t>2.7.4 电讯</w:t>
      </w:r>
      <w:r>
        <w:rPr>
          <w:color w:val="auto"/>
          <w:sz w:val="24"/>
        </w:rPr>
        <w:tab/>
      </w:r>
      <w:r>
        <w:rPr>
          <w:color w:val="auto"/>
          <w:sz w:val="24"/>
        </w:rPr>
        <w:fldChar w:fldCharType="begin"/>
      </w:r>
      <w:r>
        <w:rPr>
          <w:color w:val="auto"/>
          <w:sz w:val="24"/>
        </w:rPr>
        <w:instrText xml:space="preserve"> PAGEREF _Toc21015 \h </w:instrText>
      </w:r>
      <w:r>
        <w:rPr>
          <w:color w:val="auto"/>
          <w:sz w:val="24"/>
        </w:rPr>
        <w:fldChar w:fldCharType="separate"/>
      </w:r>
      <w:r>
        <w:rPr>
          <w:color w:val="auto"/>
          <w:sz w:val="24"/>
        </w:rPr>
        <w:t>34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"_Toc16214" </w:instrText>
      </w:r>
      <w:r>
        <w:rPr>
          <w:color w:val="auto"/>
        </w:rPr>
        <w:fldChar w:fldCharType="separate"/>
      </w:r>
      <w:r>
        <w:rPr>
          <w:rFonts w:hint="eastAsia"/>
          <w:bCs/>
          <w:color w:val="auto"/>
          <w:kern w:val="0"/>
          <w:sz w:val="24"/>
        </w:rPr>
        <w:t>2.7.5 分析化验</w:t>
      </w:r>
      <w:r>
        <w:rPr>
          <w:color w:val="auto"/>
          <w:sz w:val="24"/>
        </w:rPr>
        <w:tab/>
      </w:r>
      <w:r>
        <w:rPr>
          <w:color w:val="auto"/>
          <w:sz w:val="24"/>
        </w:rPr>
        <w:fldChar w:fldCharType="begin"/>
      </w:r>
      <w:r>
        <w:rPr>
          <w:color w:val="auto"/>
          <w:sz w:val="24"/>
        </w:rPr>
        <w:instrText xml:space="preserve"> PAGEREF _Toc16214 \h </w:instrText>
      </w:r>
      <w:r>
        <w:rPr>
          <w:color w:val="auto"/>
          <w:sz w:val="24"/>
        </w:rPr>
        <w:fldChar w:fldCharType="separate"/>
      </w:r>
      <w:r>
        <w:rPr>
          <w:color w:val="auto"/>
          <w:sz w:val="24"/>
        </w:rPr>
        <w:t>36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"_Toc31620" </w:instrText>
      </w:r>
      <w:r>
        <w:rPr>
          <w:color w:val="auto"/>
        </w:rPr>
        <w:fldChar w:fldCharType="separate"/>
      </w:r>
      <w:r>
        <w:rPr>
          <w:rFonts w:hint="eastAsia"/>
          <w:bCs/>
          <w:color w:val="auto"/>
          <w:kern w:val="0"/>
          <w:sz w:val="24"/>
        </w:rPr>
        <w:t>2.7.6 三废处理</w:t>
      </w:r>
      <w:r>
        <w:rPr>
          <w:color w:val="auto"/>
          <w:sz w:val="24"/>
        </w:rPr>
        <w:tab/>
      </w:r>
      <w:r>
        <w:rPr>
          <w:color w:val="auto"/>
          <w:sz w:val="24"/>
        </w:rPr>
        <w:fldChar w:fldCharType="begin"/>
      </w:r>
      <w:r>
        <w:rPr>
          <w:color w:val="auto"/>
          <w:sz w:val="24"/>
        </w:rPr>
        <w:instrText xml:space="preserve"> PAGEREF _Toc31620 \h </w:instrText>
      </w:r>
      <w:r>
        <w:rPr>
          <w:color w:val="auto"/>
          <w:sz w:val="24"/>
        </w:rPr>
        <w:fldChar w:fldCharType="separate"/>
      </w:r>
      <w:r>
        <w:rPr>
          <w:color w:val="auto"/>
          <w:sz w:val="24"/>
        </w:rPr>
        <w:t>36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"_Toc30761" </w:instrText>
      </w:r>
      <w:r>
        <w:rPr>
          <w:color w:val="auto"/>
        </w:rPr>
        <w:fldChar w:fldCharType="separate"/>
      </w:r>
      <w:r>
        <w:rPr>
          <w:rFonts w:hint="eastAsia"/>
          <w:bCs/>
          <w:color w:val="auto"/>
          <w:kern w:val="0"/>
          <w:sz w:val="24"/>
        </w:rPr>
        <w:t>2.7.7 清净下水</w:t>
      </w:r>
      <w:r>
        <w:rPr>
          <w:color w:val="auto"/>
          <w:sz w:val="24"/>
        </w:rPr>
        <w:tab/>
      </w:r>
      <w:r>
        <w:rPr>
          <w:color w:val="auto"/>
          <w:sz w:val="24"/>
        </w:rPr>
        <w:fldChar w:fldCharType="begin"/>
      </w:r>
      <w:r>
        <w:rPr>
          <w:color w:val="auto"/>
          <w:sz w:val="24"/>
        </w:rPr>
        <w:instrText xml:space="preserve"> PAGEREF _Toc30761 \h </w:instrText>
      </w:r>
      <w:r>
        <w:rPr>
          <w:color w:val="auto"/>
          <w:sz w:val="24"/>
        </w:rPr>
        <w:fldChar w:fldCharType="separate"/>
      </w:r>
      <w:r>
        <w:rPr>
          <w:color w:val="auto"/>
          <w:sz w:val="24"/>
        </w:rPr>
        <w:t>37</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"_Toc30681" </w:instrText>
      </w:r>
      <w:r>
        <w:rPr>
          <w:color w:val="auto"/>
        </w:rPr>
        <w:fldChar w:fldCharType="separate"/>
      </w:r>
      <w:r>
        <w:rPr>
          <w:rFonts w:hint="eastAsia"/>
          <w:bCs/>
          <w:color w:val="auto"/>
          <w:kern w:val="0"/>
          <w:sz w:val="24"/>
        </w:rPr>
        <w:t>2.7.8 通风</w:t>
      </w:r>
      <w:r>
        <w:rPr>
          <w:color w:val="auto"/>
          <w:sz w:val="24"/>
        </w:rPr>
        <w:tab/>
      </w:r>
      <w:r>
        <w:rPr>
          <w:color w:val="auto"/>
          <w:sz w:val="24"/>
        </w:rPr>
        <w:fldChar w:fldCharType="begin"/>
      </w:r>
      <w:r>
        <w:rPr>
          <w:color w:val="auto"/>
          <w:sz w:val="24"/>
        </w:rPr>
        <w:instrText xml:space="preserve"> PAGEREF _Toc30681 \h </w:instrText>
      </w:r>
      <w:r>
        <w:rPr>
          <w:color w:val="auto"/>
          <w:sz w:val="24"/>
        </w:rPr>
        <w:fldChar w:fldCharType="separate"/>
      </w:r>
      <w:r>
        <w:rPr>
          <w:color w:val="auto"/>
          <w:sz w:val="24"/>
        </w:rPr>
        <w:t>37</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"_Toc15454" </w:instrText>
      </w:r>
      <w:r>
        <w:rPr>
          <w:color w:val="auto"/>
        </w:rPr>
        <w:fldChar w:fldCharType="separate"/>
      </w:r>
      <w:r>
        <w:rPr>
          <w:rFonts w:hint="eastAsia"/>
          <w:bCs/>
          <w:color w:val="auto"/>
          <w:kern w:val="0"/>
          <w:sz w:val="24"/>
        </w:rPr>
        <w:t>2.7.9 消防</w:t>
      </w:r>
      <w:r>
        <w:rPr>
          <w:color w:val="auto"/>
          <w:sz w:val="24"/>
        </w:rPr>
        <w:tab/>
      </w:r>
      <w:r>
        <w:rPr>
          <w:color w:val="auto"/>
          <w:sz w:val="24"/>
        </w:rPr>
        <w:fldChar w:fldCharType="begin"/>
      </w:r>
      <w:r>
        <w:rPr>
          <w:color w:val="auto"/>
          <w:sz w:val="24"/>
        </w:rPr>
        <w:instrText xml:space="preserve"> PAGEREF _Toc15454 \h </w:instrText>
      </w:r>
      <w:r>
        <w:rPr>
          <w:color w:val="auto"/>
          <w:sz w:val="24"/>
        </w:rPr>
        <w:fldChar w:fldCharType="separate"/>
      </w:r>
      <w:r>
        <w:rPr>
          <w:color w:val="auto"/>
          <w:sz w:val="24"/>
        </w:rPr>
        <w:t>37</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"_Toc30402" </w:instrText>
      </w:r>
      <w:r>
        <w:rPr>
          <w:color w:val="auto"/>
        </w:rPr>
        <w:fldChar w:fldCharType="separate"/>
      </w:r>
      <w:r>
        <w:rPr>
          <w:rFonts w:hint="eastAsia"/>
          <w:color w:val="auto"/>
          <w:kern w:val="0"/>
          <w:sz w:val="24"/>
        </w:rPr>
        <w:t>2.8 安全管理</w:t>
      </w:r>
      <w:r>
        <w:rPr>
          <w:color w:val="auto"/>
          <w:sz w:val="24"/>
        </w:rPr>
        <w:tab/>
      </w:r>
      <w:r>
        <w:rPr>
          <w:color w:val="auto"/>
          <w:sz w:val="24"/>
        </w:rPr>
        <w:fldChar w:fldCharType="begin"/>
      </w:r>
      <w:r>
        <w:rPr>
          <w:color w:val="auto"/>
          <w:sz w:val="24"/>
        </w:rPr>
        <w:instrText xml:space="preserve"> PAGEREF _Toc30402 \h </w:instrText>
      </w:r>
      <w:r>
        <w:rPr>
          <w:color w:val="auto"/>
          <w:sz w:val="24"/>
        </w:rPr>
        <w:fldChar w:fldCharType="separate"/>
      </w:r>
      <w:r>
        <w:rPr>
          <w:color w:val="auto"/>
          <w:sz w:val="24"/>
        </w:rPr>
        <w:t>39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"_Toc30642" </w:instrText>
      </w:r>
      <w:r>
        <w:rPr>
          <w:color w:val="auto"/>
        </w:rPr>
        <w:fldChar w:fldCharType="separate"/>
      </w:r>
      <w:r>
        <w:rPr>
          <w:rFonts w:hint="eastAsia"/>
          <w:color w:val="auto"/>
          <w:kern w:val="0"/>
          <w:sz w:val="24"/>
        </w:rPr>
        <w:t>2.8.1 企业安全管理机构及人员配置</w:t>
      </w:r>
      <w:r>
        <w:rPr>
          <w:color w:val="auto"/>
          <w:sz w:val="24"/>
        </w:rPr>
        <w:tab/>
      </w:r>
      <w:r>
        <w:rPr>
          <w:color w:val="auto"/>
          <w:sz w:val="24"/>
        </w:rPr>
        <w:fldChar w:fldCharType="begin"/>
      </w:r>
      <w:r>
        <w:rPr>
          <w:color w:val="auto"/>
          <w:sz w:val="24"/>
        </w:rPr>
        <w:instrText xml:space="preserve"> PAGEREF _Toc30642 \h </w:instrText>
      </w:r>
      <w:r>
        <w:rPr>
          <w:color w:val="auto"/>
          <w:sz w:val="24"/>
        </w:rPr>
        <w:fldChar w:fldCharType="separate"/>
      </w:r>
      <w:r>
        <w:rPr>
          <w:color w:val="auto"/>
          <w:sz w:val="24"/>
        </w:rPr>
        <w:t>39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"_Toc19643" </w:instrText>
      </w:r>
      <w:r>
        <w:rPr>
          <w:color w:val="auto"/>
        </w:rPr>
        <w:fldChar w:fldCharType="separate"/>
      </w:r>
      <w:r>
        <w:rPr>
          <w:rFonts w:hint="eastAsia"/>
          <w:color w:val="auto"/>
          <w:kern w:val="0"/>
          <w:sz w:val="24"/>
        </w:rPr>
        <w:t>2.8.2 安全管理制度</w:t>
      </w:r>
      <w:r>
        <w:rPr>
          <w:color w:val="auto"/>
          <w:sz w:val="24"/>
        </w:rPr>
        <w:tab/>
      </w:r>
      <w:r>
        <w:rPr>
          <w:color w:val="auto"/>
          <w:sz w:val="24"/>
        </w:rPr>
        <w:fldChar w:fldCharType="begin"/>
      </w:r>
      <w:r>
        <w:rPr>
          <w:color w:val="auto"/>
          <w:sz w:val="24"/>
        </w:rPr>
        <w:instrText xml:space="preserve"> PAGEREF _Toc19643 \h </w:instrText>
      </w:r>
      <w:r>
        <w:rPr>
          <w:color w:val="auto"/>
          <w:sz w:val="24"/>
        </w:rPr>
        <w:fldChar w:fldCharType="separate"/>
      </w:r>
      <w:r>
        <w:rPr>
          <w:color w:val="auto"/>
          <w:sz w:val="24"/>
        </w:rPr>
        <w:t>41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"_Toc19839" </w:instrText>
      </w:r>
      <w:r>
        <w:rPr>
          <w:color w:val="auto"/>
        </w:rPr>
        <w:fldChar w:fldCharType="separate"/>
      </w:r>
      <w:r>
        <w:rPr>
          <w:rFonts w:hint="eastAsia"/>
          <w:color w:val="auto"/>
          <w:kern w:val="0"/>
          <w:sz w:val="24"/>
        </w:rPr>
        <w:t>2.8.3 工伤保险的缴纳</w:t>
      </w:r>
      <w:r>
        <w:rPr>
          <w:color w:val="auto"/>
          <w:sz w:val="24"/>
        </w:rPr>
        <w:tab/>
      </w:r>
      <w:r>
        <w:rPr>
          <w:color w:val="auto"/>
          <w:sz w:val="24"/>
        </w:rPr>
        <w:fldChar w:fldCharType="begin"/>
      </w:r>
      <w:r>
        <w:rPr>
          <w:color w:val="auto"/>
          <w:sz w:val="24"/>
        </w:rPr>
        <w:instrText xml:space="preserve"> PAGEREF _Toc19839 \h </w:instrText>
      </w:r>
      <w:r>
        <w:rPr>
          <w:color w:val="auto"/>
          <w:sz w:val="24"/>
        </w:rPr>
        <w:fldChar w:fldCharType="separate"/>
      </w:r>
      <w:r>
        <w:rPr>
          <w:color w:val="auto"/>
          <w:sz w:val="24"/>
        </w:rPr>
        <w:t>46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"_Toc30025" </w:instrText>
      </w:r>
      <w:r>
        <w:rPr>
          <w:color w:val="auto"/>
        </w:rPr>
        <w:fldChar w:fldCharType="separate"/>
      </w:r>
      <w:r>
        <w:rPr>
          <w:rFonts w:hint="eastAsia"/>
          <w:color w:val="auto"/>
          <w:kern w:val="0"/>
          <w:sz w:val="24"/>
        </w:rPr>
        <w:t>2.8.4 安全教育培训</w:t>
      </w:r>
      <w:r>
        <w:rPr>
          <w:color w:val="auto"/>
          <w:sz w:val="24"/>
        </w:rPr>
        <w:tab/>
      </w:r>
      <w:r>
        <w:rPr>
          <w:color w:val="auto"/>
          <w:sz w:val="24"/>
        </w:rPr>
        <w:fldChar w:fldCharType="begin"/>
      </w:r>
      <w:r>
        <w:rPr>
          <w:color w:val="auto"/>
          <w:sz w:val="24"/>
        </w:rPr>
        <w:instrText xml:space="preserve"> PAGEREF _Toc30025 \h </w:instrText>
      </w:r>
      <w:r>
        <w:rPr>
          <w:color w:val="auto"/>
          <w:sz w:val="24"/>
        </w:rPr>
        <w:fldChar w:fldCharType="separate"/>
      </w:r>
      <w:r>
        <w:rPr>
          <w:color w:val="auto"/>
          <w:sz w:val="24"/>
        </w:rPr>
        <w:t>46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"_Toc17053" </w:instrText>
      </w:r>
      <w:r>
        <w:rPr>
          <w:color w:val="auto"/>
        </w:rPr>
        <w:fldChar w:fldCharType="separate"/>
      </w:r>
      <w:r>
        <w:rPr>
          <w:rFonts w:cs="Times New Roman"/>
          <w:color w:val="auto"/>
          <w:kern w:val="0"/>
          <w:sz w:val="24"/>
        </w:rPr>
        <w:t>2.</w:t>
      </w:r>
      <w:r>
        <w:rPr>
          <w:rFonts w:hint="eastAsia" w:cs="Times New Roman"/>
          <w:color w:val="auto"/>
          <w:kern w:val="0"/>
          <w:sz w:val="24"/>
        </w:rPr>
        <w:t>8</w:t>
      </w:r>
      <w:r>
        <w:rPr>
          <w:rFonts w:cs="Times New Roman"/>
          <w:color w:val="auto"/>
          <w:kern w:val="0"/>
          <w:sz w:val="24"/>
        </w:rPr>
        <w:t>.</w:t>
      </w:r>
      <w:r>
        <w:rPr>
          <w:rFonts w:hint="eastAsia" w:cs="Times New Roman"/>
          <w:color w:val="auto"/>
          <w:kern w:val="0"/>
          <w:sz w:val="24"/>
        </w:rPr>
        <w:t xml:space="preserve">5 </w:t>
      </w:r>
      <w:r>
        <w:rPr>
          <w:rFonts w:hint="eastAsia"/>
          <w:color w:val="auto"/>
          <w:kern w:val="0"/>
          <w:sz w:val="24"/>
        </w:rPr>
        <w:t>日常安全管理</w:t>
      </w:r>
      <w:r>
        <w:rPr>
          <w:color w:val="auto"/>
          <w:sz w:val="24"/>
        </w:rPr>
        <w:tab/>
      </w:r>
      <w:r>
        <w:rPr>
          <w:color w:val="auto"/>
          <w:sz w:val="24"/>
        </w:rPr>
        <w:fldChar w:fldCharType="begin"/>
      </w:r>
      <w:r>
        <w:rPr>
          <w:color w:val="auto"/>
          <w:sz w:val="24"/>
        </w:rPr>
        <w:instrText xml:space="preserve"> PAGEREF _Toc17053 \h </w:instrText>
      </w:r>
      <w:r>
        <w:rPr>
          <w:color w:val="auto"/>
          <w:sz w:val="24"/>
        </w:rPr>
        <w:fldChar w:fldCharType="separate"/>
      </w:r>
      <w:r>
        <w:rPr>
          <w:color w:val="auto"/>
          <w:sz w:val="24"/>
        </w:rPr>
        <w:t>49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"_Toc949" </w:instrText>
      </w:r>
      <w:r>
        <w:rPr>
          <w:color w:val="auto"/>
        </w:rPr>
        <w:fldChar w:fldCharType="separate"/>
      </w:r>
      <w:r>
        <w:rPr>
          <w:rFonts w:hint="eastAsia"/>
          <w:bCs/>
          <w:color w:val="auto"/>
          <w:kern w:val="0"/>
          <w:sz w:val="24"/>
        </w:rPr>
        <w:t>2.8.6 特种作业人员</w:t>
      </w:r>
      <w:r>
        <w:rPr>
          <w:color w:val="auto"/>
          <w:sz w:val="24"/>
        </w:rPr>
        <w:tab/>
      </w:r>
      <w:r>
        <w:rPr>
          <w:color w:val="auto"/>
          <w:sz w:val="24"/>
        </w:rPr>
        <w:fldChar w:fldCharType="begin"/>
      </w:r>
      <w:r>
        <w:rPr>
          <w:color w:val="auto"/>
          <w:sz w:val="24"/>
        </w:rPr>
        <w:instrText xml:space="preserve"> PAGEREF _Toc949 \h </w:instrText>
      </w:r>
      <w:r>
        <w:rPr>
          <w:color w:val="auto"/>
          <w:sz w:val="24"/>
        </w:rPr>
        <w:fldChar w:fldCharType="separate"/>
      </w:r>
      <w:r>
        <w:rPr>
          <w:color w:val="auto"/>
          <w:sz w:val="24"/>
        </w:rPr>
        <w:t>49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"_Toc8099" </w:instrText>
      </w:r>
      <w:r>
        <w:rPr>
          <w:color w:val="auto"/>
        </w:rPr>
        <w:fldChar w:fldCharType="separate"/>
      </w:r>
      <w:r>
        <w:rPr>
          <w:rFonts w:hint="eastAsia"/>
          <w:color w:val="auto"/>
          <w:kern w:val="0"/>
          <w:sz w:val="24"/>
        </w:rPr>
        <w:t>2.9 事故应急救援</w:t>
      </w:r>
      <w:r>
        <w:rPr>
          <w:color w:val="auto"/>
          <w:sz w:val="24"/>
        </w:rPr>
        <w:tab/>
      </w:r>
      <w:r>
        <w:rPr>
          <w:color w:val="auto"/>
          <w:sz w:val="24"/>
        </w:rPr>
        <w:fldChar w:fldCharType="begin"/>
      </w:r>
      <w:r>
        <w:rPr>
          <w:color w:val="auto"/>
          <w:sz w:val="24"/>
        </w:rPr>
        <w:instrText xml:space="preserve"> PAGEREF _Toc8099 \h </w:instrText>
      </w:r>
      <w:r>
        <w:rPr>
          <w:color w:val="auto"/>
          <w:sz w:val="24"/>
        </w:rPr>
        <w:fldChar w:fldCharType="separate"/>
      </w:r>
      <w:r>
        <w:rPr>
          <w:color w:val="auto"/>
          <w:sz w:val="24"/>
        </w:rPr>
        <w:t>50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"_Toc24300" </w:instrText>
      </w:r>
      <w:r>
        <w:rPr>
          <w:color w:val="auto"/>
        </w:rPr>
        <w:fldChar w:fldCharType="separate"/>
      </w:r>
      <w:r>
        <w:rPr>
          <w:rFonts w:hint="eastAsia"/>
          <w:color w:val="auto"/>
          <w:kern w:val="0"/>
          <w:sz w:val="24"/>
        </w:rPr>
        <w:t>2.10 年度安全生产投入情况</w:t>
      </w:r>
      <w:r>
        <w:rPr>
          <w:color w:val="auto"/>
          <w:sz w:val="24"/>
        </w:rPr>
        <w:tab/>
      </w:r>
      <w:r>
        <w:rPr>
          <w:color w:val="auto"/>
          <w:sz w:val="24"/>
        </w:rPr>
        <w:fldChar w:fldCharType="begin"/>
      </w:r>
      <w:r>
        <w:rPr>
          <w:color w:val="auto"/>
          <w:sz w:val="24"/>
        </w:rPr>
        <w:instrText xml:space="preserve"> PAGEREF _Toc24300 \h </w:instrText>
      </w:r>
      <w:r>
        <w:rPr>
          <w:color w:val="auto"/>
          <w:sz w:val="24"/>
        </w:rPr>
        <w:fldChar w:fldCharType="separate"/>
      </w:r>
      <w:r>
        <w:rPr>
          <w:color w:val="auto"/>
          <w:sz w:val="24"/>
        </w:rPr>
        <w:t>52</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"_Toc5576" </w:instrText>
      </w:r>
      <w:r>
        <w:rPr>
          <w:color w:val="auto"/>
        </w:rPr>
        <w:fldChar w:fldCharType="separate"/>
      </w:r>
      <w:r>
        <w:rPr>
          <w:rFonts w:hint="eastAsia"/>
          <w:color w:val="auto"/>
          <w:kern w:val="0"/>
          <w:sz w:val="24"/>
        </w:rPr>
        <w:t>3 危险、有害因素的辨识结果及依据</w:t>
      </w:r>
      <w:r>
        <w:rPr>
          <w:color w:val="auto"/>
          <w:sz w:val="24"/>
        </w:rPr>
        <w:tab/>
      </w:r>
      <w:r>
        <w:rPr>
          <w:color w:val="auto"/>
          <w:sz w:val="24"/>
        </w:rPr>
        <w:fldChar w:fldCharType="begin"/>
      </w:r>
      <w:r>
        <w:rPr>
          <w:color w:val="auto"/>
          <w:sz w:val="24"/>
        </w:rPr>
        <w:instrText xml:space="preserve"> PAGEREF _Toc5576 \h </w:instrText>
      </w:r>
      <w:r>
        <w:rPr>
          <w:color w:val="auto"/>
          <w:sz w:val="24"/>
        </w:rPr>
        <w:fldChar w:fldCharType="separate"/>
      </w:r>
      <w:r>
        <w:rPr>
          <w:color w:val="auto"/>
          <w:sz w:val="24"/>
        </w:rPr>
        <w:t>54</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"_Toc18749" </w:instrText>
      </w:r>
      <w:r>
        <w:rPr>
          <w:color w:val="auto"/>
        </w:rPr>
        <w:fldChar w:fldCharType="separate"/>
      </w:r>
      <w:r>
        <w:rPr>
          <w:rFonts w:hint="eastAsia"/>
          <w:color w:val="auto"/>
          <w:kern w:val="0"/>
          <w:sz w:val="24"/>
        </w:rPr>
        <w:t>3.1 危险、有害因素的辨识依据及产生原因</w:t>
      </w:r>
      <w:r>
        <w:rPr>
          <w:color w:val="auto"/>
          <w:sz w:val="24"/>
        </w:rPr>
        <w:tab/>
      </w:r>
      <w:r>
        <w:rPr>
          <w:color w:val="auto"/>
          <w:sz w:val="24"/>
        </w:rPr>
        <w:fldChar w:fldCharType="begin"/>
      </w:r>
      <w:r>
        <w:rPr>
          <w:color w:val="auto"/>
          <w:sz w:val="24"/>
        </w:rPr>
        <w:instrText xml:space="preserve"> PAGEREF _Toc18749 \h </w:instrText>
      </w:r>
      <w:r>
        <w:rPr>
          <w:color w:val="auto"/>
          <w:sz w:val="24"/>
        </w:rPr>
        <w:fldChar w:fldCharType="separate"/>
      </w:r>
      <w:r>
        <w:rPr>
          <w:color w:val="auto"/>
          <w:sz w:val="24"/>
        </w:rPr>
        <w:t>54</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"_Toc17460" </w:instrText>
      </w:r>
      <w:r>
        <w:rPr>
          <w:color w:val="auto"/>
        </w:rPr>
        <w:fldChar w:fldCharType="separate"/>
      </w:r>
      <w:r>
        <w:rPr>
          <w:rFonts w:hint="eastAsia"/>
          <w:color w:val="auto"/>
          <w:kern w:val="0"/>
          <w:sz w:val="24"/>
        </w:rPr>
        <w:t>3.2 项目固有危险、有害因素辨识</w:t>
      </w:r>
      <w:r>
        <w:rPr>
          <w:color w:val="auto"/>
          <w:sz w:val="24"/>
        </w:rPr>
        <w:tab/>
      </w:r>
      <w:r>
        <w:rPr>
          <w:color w:val="auto"/>
          <w:sz w:val="24"/>
        </w:rPr>
        <w:fldChar w:fldCharType="begin"/>
      </w:r>
      <w:r>
        <w:rPr>
          <w:color w:val="auto"/>
          <w:sz w:val="24"/>
        </w:rPr>
        <w:instrText xml:space="preserve"> PAGEREF _Toc17460 \h </w:instrText>
      </w:r>
      <w:r>
        <w:rPr>
          <w:color w:val="auto"/>
          <w:sz w:val="24"/>
        </w:rPr>
        <w:fldChar w:fldCharType="separate"/>
      </w:r>
      <w:r>
        <w:rPr>
          <w:color w:val="auto"/>
          <w:sz w:val="24"/>
        </w:rPr>
        <w:t>56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"_Toc31485" </w:instrText>
      </w:r>
      <w:r>
        <w:rPr>
          <w:color w:val="auto"/>
        </w:rPr>
        <w:fldChar w:fldCharType="separate"/>
      </w:r>
      <w:r>
        <w:rPr>
          <w:rFonts w:hint="eastAsia"/>
          <w:color w:val="auto"/>
          <w:kern w:val="0"/>
          <w:sz w:val="24"/>
        </w:rPr>
        <w:t>3.2.1 物料固有危险、有害因素辨识</w:t>
      </w:r>
      <w:r>
        <w:rPr>
          <w:color w:val="auto"/>
          <w:sz w:val="24"/>
        </w:rPr>
        <w:tab/>
      </w:r>
      <w:r>
        <w:rPr>
          <w:color w:val="auto"/>
          <w:sz w:val="24"/>
        </w:rPr>
        <w:fldChar w:fldCharType="begin"/>
      </w:r>
      <w:r>
        <w:rPr>
          <w:color w:val="auto"/>
          <w:sz w:val="24"/>
        </w:rPr>
        <w:instrText xml:space="preserve"> PAGEREF _Toc31485 \h </w:instrText>
      </w:r>
      <w:r>
        <w:rPr>
          <w:color w:val="auto"/>
          <w:sz w:val="24"/>
        </w:rPr>
        <w:fldChar w:fldCharType="separate"/>
      </w:r>
      <w:r>
        <w:rPr>
          <w:color w:val="auto"/>
          <w:sz w:val="24"/>
        </w:rPr>
        <w:t>56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"_Toc26760" </w:instrText>
      </w:r>
      <w:r>
        <w:rPr>
          <w:color w:val="auto"/>
        </w:rPr>
        <w:fldChar w:fldCharType="separate"/>
      </w:r>
      <w:r>
        <w:rPr>
          <w:rFonts w:hint="eastAsia"/>
          <w:color w:val="auto"/>
          <w:kern w:val="0"/>
          <w:sz w:val="24"/>
        </w:rPr>
        <w:t>3.3.2 危险工艺辨识</w:t>
      </w:r>
      <w:r>
        <w:rPr>
          <w:color w:val="auto"/>
          <w:sz w:val="24"/>
        </w:rPr>
        <w:tab/>
      </w:r>
      <w:r>
        <w:rPr>
          <w:color w:val="auto"/>
          <w:sz w:val="24"/>
        </w:rPr>
        <w:fldChar w:fldCharType="begin"/>
      </w:r>
      <w:r>
        <w:rPr>
          <w:color w:val="auto"/>
          <w:sz w:val="24"/>
        </w:rPr>
        <w:instrText xml:space="preserve"> PAGEREF _Toc26760 \h </w:instrText>
      </w:r>
      <w:r>
        <w:rPr>
          <w:color w:val="auto"/>
          <w:sz w:val="24"/>
        </w:rPr>
        <w:fldChar w:fldCharType="separate"/>
      </w:r>
      <w:r>
        <w:rPr>
          <w:color w:val="auto"/>
          <w:sz w:val="24"/>
        </w:rPr>
        <w:t>58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"_Toc3935" </w:instrText>
      </w:r>
      <w:r>
        <w:rPr>
          <w:color w:val="auto"/>
        </w:rPr>
        <w:fldChar w:fldCharType="separate"/>
      </w:r>
      <w:r>
        <w:rPr>
          <w:rFonts w:hint="eastAsia"/>
          <w:bCs/>
          <w:color w:val="auto"/>
          <w:kern w:val="0"/>
          <w:sz w:val="24"/>
        </w:rPr>
        <w:t>3.3.3 重点监管危险化学品安全辨识</w:t>
      </w:r>
      <w:r>
        <w:rPr>
          <w:color w:val="auto"/>
          <w:sz w:val="24"/>
        </w:rPr>
        <w:tab/>
      </w:r>
      <w:r>
        <w:rPr>
          <w:color w:val="auto"/>
          <w:sz w:val="24"/>
        </w:rPr>
        <w:fldChar w:fldCharType="begin"/>
      </w:r>
      <w:r>
        <w:rPr>
          <w:color w:val="auto"/>
          <w:sz w:val="24"/>
        </w:rPr>
        <w:instrText xml:space="preserve"> PAGEREF _Toc3935 \h </w:instrText>
      </w:r>
      <w:r>
        <w:rPr>
          <w:color w:val="auto"/>
          <w:sz w:val="24"/>
        </w:rPr>
        <w:fldChar w:fldCharType="separate"/>
      </w:r>
      <w:r>
        <w:rPr>
          <w:color w:val="auto"/>
          <w:sz w:val="24"/>
        </w:rPr>
        <w:t>58</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"_Toc7390" </w:instrText>
      </w:r>
      <w:r>
        <w:rPr>
          <w:color w:val="auto"/>
        </w:rPr>
        <w:fldChar w:fldCharType="separate"/>
      </w:r>
      <w:r>
        <w:rPr>
          <w:rFonts w:hint="eastAsia"/>
          <w:color w:val="auto"/>
          <w:kern w:val="0"/>
          <w:sz w:val="24"/>
        </w:rPr>
        <w:t>3.3 选址及平面布置有害因素辨识分析</w:t>
      </w:r>
      <w:r>
        <w:rPr>
          <w:color w:val="auto"/>
          <w:sz w:val="24"/>
        </w:rPr>
        <w:tab/>
      </w:r>
      <w:r>
        <w:rPr>
          <w:color w:val="auto"/>
          <w:sz w:val="24"/>
        </w:rPr>
        <w:fldChar w:fldCharType="begin"/>
      </w:r>
      <w:r>
        <w:rPr>
          <w:color w:val="auto"/>
          <w:sz w:val="24"/>
        </w:rPr>
        <w:instrText xml:space="preserve"> PAGEREF _Toc7390 \h </w:instrText>
      </w:r>
      <w:r>
        <w:rPr>
          <w:color w:val="auto"/>
          <w:sz w:val="24"/>
        </w:rPr>
        <w:fldChar w:fldCharType="separate"/>
      </w:r>
      <w:r>
        <w:rPr>
          <w:color w:val="auto"/>
          <w:sz w:val="24"/>
        </w:rPr>
        <w:t>59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"_Toc15622" </w:instrText>
      </w:r>
      <w:r>
        <w:rPr>
          <w:color w:val="auto"/>
        </w:rPr>
        <w:fldChar w:fldCharType="separate"/>
      </w:r>
      <w:r>
        <w:rPr>
          <w:rFonts w:hint="eastAsia"/>
          <w:color w:val="auto"/>
          <w:kern w:val="0"/>
          <w:sz w:val="24"/>
        </w:rPr>
        <w:t>3.3.1 项目选址危险有害因素辨识分析</w:t>
      </w:r>
      <w:r>
        <w:rPr>
          <w:color w:val="auto"/>
          <w:sz w:val="24"/>
        </w:rPr>
        <w:tab/>
      </w:r>
      <w:r>
        <w:rPr>
          <w:color w:val="auto"/>
          <w:sz w:val="24"/>
        </w:rPr>
        <w:fldChar w:fldCharType="begin"/>
      </w:r>
      <w:r>
        <w:rPr>
          <w:color w:val="auto"/>
          <w:sz w:val="24"/>
        </w:rPr>
        <w:instrText xml:space="preserve"> PAGEREF _Toc15622 \h </w:instrText>
      </w:r>
      <w:r>
        <w:rPr>
          <w:color w:val="auto"/>
          <w:sz w:val="24"/>
        </w:rPr>
        <w:fldChar w:fldCharType="separate"/>
      </w:r>
      <w:r>
        <w:rPr>
          <w:color w:val="auto"/>
          <w:sz w:val="24"/>
        </w:rPr>
        <w:t>59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"_Toc22163" </w:instrText>
      </w:r>
      <w:r>
        <w:rPr>
          <w:color w:val="auto"/>
        </w:rPr>
        <w:fldChar w:fldCharType="separate"/>
      </w:r>
      <w:r>
        <w:rPr>
          <w:rFonts w:hint="eastAsia"/>
          <w:color w:val="auto"/>
          <w:kern w:val="0"/>
          <w:sz w:val="24"/>
        </w:rPr>
        <w:t>3.3.2 总平面布置与建筑物危险有害因素辨识分析</w:t>
      </w:r>
      <w:r>
        <w:rPr>
          <w:color w:val="auto"/>
          <w:sz w:val="24"/>
        </w:rPr>
        <w:tab/>
      </w:r>
      <w:r>
        <w:rPr>
          <w:color w:val="auto"/>
          <w:sz w:val="24"/>
        </w:rPr>
        <w:fldChar w:fldCharType="begin"/>
      </w:r>
      <w:r>
        <w:rPr>
          <w:color w:val="auto"/>
          <w:sz w:val="24"/>
        </w:rPr>
        <w:instrText xml:space="preserve"> PAGEREF _Toc22163 \h </w:instrText>
      </w:r>
      <w:r>
        <w:rPr>
          <w:color w:val="auto"/>
          <w:sz w:val="24"/>
        </w:rPr>
        <w:fldChar w:fldCharType="separate"/>
      </w:r>
      <w:r>
        <w:rPr>
          <w:color w:val="auto"/>
          <w:sz w:val="24"/>
        </w:rPr>
        <w:t>61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"_Toc24592" </w:instrText>
      </w:r>
      <w:r>
        <w:rPr>
          <w:color w:val="auto"/>
        </w:rPr>
        <w:fldChar w:fldCharType="separate"/>
      </w:r>
      <w:r>
        <w:rPr>
          <w:rFonts w:hint="eastAsia"/>
          <w:color w:val="auto"/>
          <w:kern w:val="0"/>
          <w:sz w:val="24"/>
        </w:rPr>
        <w:t>3.4 按导致事故类别进行危险、有害因素辨识与分析</w:t>
      </w:r>
      <w:r>
        <w:rPr>
          <w:color w:val="auto"/>
          <w:sz w:val="24"/>
        </w:rPr>
        <w:tab/>
      </w:r>
      <w:r>
        <w:rPr>
          <w:color w:val="auto"/>
          <w:sz w:val="24"/>
        </w:rPr>
        <w:fldChar w:fldCharType="begin"/>
      </w:r>
      <w:r>
        <w:rPr>
          <w:color w:val="auto"/>
          <w:sz w:val="24"/>
        </w:rPr>
        <w:instrText xml:space="preserve"> PAGEREF _Toc24592 \h </w:instrText>
      </w:r>
      <w:r>
        <w:rPr>
          <w:color w:val="auto"/>
          <w:sz w:val="24"/>
        </w:rPr>
        <w:fldChar w:fldCharType="separate"/>
      </w:r>
      <w:r>
        <w:rPr>
          <w:color w:val="auto"/>
          <w:sz w:val="24"/>
        </w:rPr>
        <w:t>62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"_Toc13463" </w:instrText>
      </w:r>
      <w:r>
        <w:rPr>
          <w:color w:val="auto"/>
        </w:rPr>
        <w:fldChar w:fldCharType="separate"/>
      </w:r>
      <w:r>
        <w:rPr>
          <w:rFonts w:hint="eastAsia"/>
          <w:color w:val="auto"/>
          <w:kern w:val="0"/>
          <w:sz w:val="24"/>
        </w:rPr>
        <w:t>3.4.1 生产过程中危险因素分析</w:t>
      </w:r>
      <w:r>
        <w:rPr>
          <w:color w:val="auto"/>
          <w:sz w:val="24"/>
        </w:rPr>
        <w:tab/>
      </w:r>
      <w:r>
        <w:rPr>
          <w:color w:val="auto"/>
          <w:sz w:val="24"/>
        </w:rPr>
        <w:fldChar w:fldCharType="begin"/>
      </w:r>
      <w:r>
        <w:rPr>
          <w:color w:val="auto"/>
          <w:sz w:val="24"/>
        </w:rPr>
        <w:instrText xml:space="preserve"> PAGEREF _Toc13463 \h </w:instrText>
      </w:r>
      <w:r>
        <w:rPr>
          <w:color w:val="auto"/>
          <w:sz w:val="24"/>
        </w:rPr>
        <w:fldChar w:fldCharType="separate"/>
      </w:r>
      <w:r>
        <w:rPr>
          <w:color w:val="auto"/>
          <w:sz w:val="24"/>
        </w:rPr>
        <w:t>62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"_Toc18873" </w:instrText>
      </w:r>
      <w:r>
        <w:rPr>
          <w:color w:val="auto"/>
        </w:rPr>
        <w:fldChar w:fldCharType="separate"/>
      </w:r>
      <w:r>
        <w:rPr>
          <w:rFonts w:hint="eastAsia"/>
          <w:color w:val="auto"/>
          <w:kern w:val="0"/>
          <w:sz w:val="24"/>
        </w:rPr>
        <w:t>3.4.2 主要设备、设施危险性分析</w:t>
      </w:r>
      <w:r>
        <w:rPr>
          <w:color w:val="auto"/>
          <w:sz w:val="24"/>
        </w:rPr>
        <w:tab/>
      </w:r>
      <w:r>
        <w:rPr>
          <w:color w:val="auto"/>
          <w:sz w:val="24"/>
        </w:rPr>
        <w:fldChar w:fldCharType="begin"/>
      </w:r>
      <w:r>
        <w:rPr>
          <w:color w:val="auto"/>
          <w:sz w:val="24"/>
        </w:rPr>
        <w:instrText xml:space="preserve"> PAGEREF _Toc18873 \h </w:instrText>
      </w:r>
      <w:r>
        <w:rPr>
          <w:color w:val="auto"/>
          <w:sz w:val="24"/>
        </w:rPr>
        <w:fldChar w:fldCharType="separate"/>
      </w:r>
      <w:r>
        <w:rPr>
          <w:color w:val="auto"/>
          <w:sz w:val="24"/>
        </w:rPr>
        <w:t>70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"_Toc24862" </w:instrText>
      </w:r>
      <w:r>
        <w:rPr>
          <w:color w:val="auto"/>
        </w:rPr>
        <w:fldChar w:fldCharType="separate"/>
      </w:r>
      <w:r>
        <w:rPr>
          <w:rFonts w:hint="eastAsia"/>
          <w:color w:val="auto"/>
          <w:kern w:val="0"/>
          <w:sz w:val="24"/>
        </w:rPr>
        <w:t>3.4.3 装卸过程中的危险有害因素</w:t>
      </w:r>
      <w:r>
        <w:rPr>
          <w:color w:val="auto"/>
          <w:sz w:val="24"/>
        </w:rPr>
        <w:tab/>
      </w:r>
      <w:r>
        <w:rPr>
          <w:color w:val="auto"/>
          <w:sz w:val="24"/>
        </w:rPr>
        <w:fldChar w:fldCharType="begin"/>
      </w:r>
      <w:r>
        <w:rPr>
          <w:color w:val="auto"/>
          <w:sz w:val="24"/>
        </w:rPr>
        <w:instrText xml:space="preserve"> PAGEREF _Toc24862 \h </w:instrText>
      </w:r>
      <w:r>
        <w:rPr>
          <w:color w:val="auto"/>
          <w:sz w:val="24"/>
        </w:rPr>
        <w:fldChar w:fldCharType="separate"/>
      </w:r>
      <w:r>
        <w:rPr>
          <w:color w:val="auto"/>
          <w:sz w:val="24"/>
        </w:rPr>
        <w:t>70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"_Toc10688" </w:instrText>
      </w:r>
      <w:r>
        <w:rPr>
          <w:color w:val="auto"/>
        </w:rPr>
        <w:fldChar w:fldCharType="separate"/>
      </w:r>
      <w:r>
        <w:rPr>
          <w:rFonts w:hint="eastAsia"/>
          <w:color w:val="auto"/>
          <w:kern w:val="0"/>
          <w:sz w:val="24"/>
        </w:rPr>
        <w:t>3.4.4 公用辅助工程危险性分析</w:t>
      </w:r>
      <w:r>
        <w:rPr>
          <w:color w:val="auto"/>
          <w:sz w:val="24"/>
        </w:rPr>
        <w:tab/>
      </w:r>
      <w:r>
        <w:rPr>
          <w:color w:val="auto"/>
          <w:sz w:val="24"/>
        </w:rPr>
        <w:fldChar w:fldCharType="begin"/>
      </w:r>
      <w:r>
        <w:rPr>
          <w:color w:val="auto"/>
          <w:sz w:val="24"/>
        </w:rPr>
        <w:instrText xml:space="preserve"> PAGEREF _Toc10688 \h </w:instrText>
      </w:r>
      <w:r>
        <w:rPr>
          <w:color w:val="auto"/>
          <w:sz w:val="24"/>
        </w:rPr>
        <w:fldChar w:fldCharType="separate"/>
      </w:r>
      <w:r>
        <w:rPr>
          <w:color w:val="auto"/>
          <w:sz w:val="24"/>
        </w:rPr>
        <w:t>71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"_Toc10717" </w:instrText>
      </w:r>
      <w:r>
        <w:rPr>
          <w:color w:val="auto"/>
        </w:rPr>
        <w:fldChar w:fldCharType="separate"/>
      </w:r>
      <w:r>
        <w:rPr>
          <w:rFonts w:hint="eastAsia"/>
          <w:color w:val="auto"/>
          <w:kern w:val="0"/>
          <w:sz w:val="24"/>
        </w:rPr>
        <w:t>3.5 生产过程中的有害因素分析</w:t>
      </w:r>
      <w:r>
        <w:rPr>
          <w:color w:val="auto"/>
          <w:sz w:val="24"/>
        </w:rPr>
        <w:tab/>
      </w:r>
      <w:r>
        <w:rPr>
          <w:color w:val="auto"/>
          <w:sz w:val="24"/>
        </w:rPr>
        <w:fldChar w:fldCharType="begin"/>
      </w:r>
      <w:r>
        <w:rPr>
          <w:color w:val="auto"/>
          <w:sz w:val="24"/>
        </w:rPr>
        <w:instrText xml:space="preserve"> PAGEREF _Toc10717 \h </w:instrText>
      </w:r>
      <w:r>
        <w:rPr>
          <w:color w:val="auto"/>
          <w:sz w:val="24"/>
        </w:rPr>
        <w:fldChar w:fldCharType="separate"/>
      </w:r>
      <w:r>
        <w:rPr>
          <w:color w:val="auto"/>
          <w:sz w:val="24"/>
        </w:rPr>
        <w:t>73</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"_Toc18474" </w:instrText>
      </w:r>
      <w:r>
        <w:rPr>
          <w:color w:val="auto"/>
        </w:rPr>
        <w:fldChar w:fldCharType="separate"/>
      </w:r>
      <w:r>
        <w:rPr>
          <w:rFonts w:hint="eastAsia" w:cs="Times New Roman"/>
          <w:bCs/>
          <w:color w:val="auto"/>
          <w:kern w:val="0"/>
          <w:sz w:val="24"/>
        </w:rPr>
        <w:t xml:space="preserve">3.5.1 </w:t>
      </w:r>
      <w:r>
        <w:rPr>
          <w:rFonts w:cs="Times New Roman"/>
          <w:bCs/>
          <w:color w:val="auto"/>
          <w:kern w:val="0"/>
          <w:sz w:val="24"/>
        </w:rPr>
        <w:t>噪声</w:t>
      </w:r>
      <w:r>
        <w:rPr>
          <w:color w:val="auto"/>
          <w:sz w:val="24"/>
        </w:rPr>
        <w:tab/>
      </w:r>
      <w:r>
        <w:rPr>
          <w:color w:val="auto"/>
          <w:sz w:val="24"/>
        </w:rPr>
        <w:fldChar w:fldCharType="begin"/>
      </w:r>
      <w:r>
        <w:rPr>
          <w:color w:val="auto"/>
          <w:sz w:val="24"/>
        </w:rPr>
        <w:instrText xml:space="preserve"> PAGEREF _Toc18474 \h </w:instrText>
      </w:r>
      <w:r>
        <w:rPr>
          <w:color w:val="auto"/>
          <w:sz w:val="24"/>
        </w:rPr>
        <w:fldChar w:fldCharType="separate"/>
      </w:r>
      <w:r>
        <w:rPr>
          <w:color w:val="auto"/>
          <w:sz w:val="24"/>
        </w:rPr>
        <w:t>73</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"_Toc19266" </w:instrText>
      </w:r>
      <w:r>
        <w:rPr>
          <w:color w:val="auto"/>
        </w:rPr>
        <w:fldChar w:fldCharType="separate"/>
      </w:r>
      <w:r>
        <w:rPr>
          <w:rFonts w:hint="eastAsia" w:cs="Times New Roman"/>
          <w:bCs/>
          <w:color w:val="auto"/>
          <w:kern w:val="0"/>
          <w:sz w:val="24"/>
        </w:rPr>
        <w:t xml:space="preserve">3.5.2 </w:t>
      </w:r>
      <w:r>
        <w:rPr>
          <w:rFonts w:cs="Times New Roman"/>
          <w:bCs/>
          <w:color w:val="auto"/>
          <w:kern w:val="0"/>
          <w:sz w:val="24"/>
        </w:rPr>
        <w:t>毒物</w:t>
      </w:r>
      <w:r>
        <w:rPr>
          <w:color w:val="auto"/>
          <w:sz w:val="24"/>
        </w:rPr>
        <w:tab/>
      </w:r>
      <w:r>
        <w:rPr>
          <w:color w:val="auto"/>
          <w:sz w:val="24"/>
        </w:rPr>
        <w:fldChar w:fldCharType="begin"/>
      </w:r>
      <w:r>
        <w:rPr>
          <w:color w:val="auto"/>
          <w:sz w:val="24"/>
        </w:rPr>
        <w:instrText xml:space="preserve"> PAGEREF _Toc19266 \h </w:instrText>
      </w:r>
      <w:r>
        <w:rPr>
          <w:color w:val="auto"/>
          <w:sz w:val="24"/>
        </w:rPr>
        <w:fldChar w:fldCharType="separate"/>
      </w:r>
      <w:r>
        <w:rPr>
          <w:color w:val="auto"/>
          <w:sz w:val="24"/>
        </w:rPr>
        <w:t>74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"_Toc14894" </w:instrText>
      </w:r>
      <w:r>
        <w:rPr>
          <w:color w:val="auto"/>
        </w:rPr>
        <w:fldChar w:fldCharType="separate"/>
      </w:r>
      <w:r>
        <w:rPr>
          <w:rFonts w:hint="eastAsia" w:cs="Times New Roman"/>
          <w:bCs/>
          <w:color w:val="auto"/>
          <w:kern w:val="0"/>
          <w:sz w:val="24"/>
        </w:rPr>
        <w:t xml:space="preserve">3.5.3 </w:t>
      </w:r>
      <w:r>
        <w:rPr>
          <w:rFonts w:cs="Times New Roman"/>
          <w:bCs/>
          <w:color w:val="auto"/>
          <w:kern w:val="0"/>
          <w:sz w:val="24"/>
        </w:rPr>
        <w:t>高温</w:t>
      </w:r>
      <w:r>
        <w:rPr>
          <w:rFonts w:hint="eastAsia" w:cs="Times New Roman"/>
          <w:bCs/>
          <w:color w:val="auto"/>
          <w:kern w:val="0"/>
          <w:sz w:val="24"/>
        </w:rPr>
        <w:t>热辐射</w:t>
      </w:r>
      <w:r>
        <w:rPr>
          <w:color w:val="auto"/>
          <w:sz w:val="24"/>
        </w:rPr>
        <w:tab/>
      </w:r>
      <w:r>
        <w:rPr>
          <w:color w:val="auto"/>
          <w:sz w:val="24"/>
        </w:rPr>
        <w:fldChar w:fldCharType="begin"/>
      </w:r>
      <w:r>
        <w:rPr>
          <w:color w:val="auto"/>
          <w:sz w:val="24"/>
        </w:rPr>
        <w:instrText xml:space="preserve"> PAGEREF _Toc14894 \h </w:instrText>
      </w:r>
      <w:r>
        <w:rPr>
          <w:color w:val="auto"/>
          <w:sz w:val="24"/>
        </w:rPr>
        <w:fldChar w:fldCharType="separate"/>
      </w:r>
      <w:r>
        <w:rPr>
          <w:color w:val="auto"/>
          <w:sz w:val="24"/>
        </w:rPr>
        <w:t>74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"_Toc3647" </w:instrText>
      </w:r>
      <w:r>
        <w:rPr>
          <w:color w:val="auto"/>
        </w:rPr>
        <w:fldChar w:fldCharType="separate"/>
      </w:r>
      <w:r>
        <w:rPr>
          <w:rFonts w:hint="eastAsia"/>
          <w:color w:val="auto"/>
          <w:kern w:val="0"/>
          <w:sz w:val="24"/>
        </w:rPr>
        <w:t>3.5.4 其他</w:t>
      </w:r>
      <w:r>
        <w:rPr>
          <w:color w:val="auto"/>
          <w:sz w:val="24"/>
        </w:rPr>
        <w:tab/>
      </w:r>
      <w:r>
        <w:rPr>
          <w:color w:val="auto"/>
          <w:sz w:val="24"/>
        </w:rPr>
        <w:fldChar w:fldCharType="begin"/>
      </w:r>
      <w:r>
        <w:rPr>
          <w:color w:val="auto"/>
          <w:sz w:val="24"/>
        </w:rPr>
        <w:instrText xml:space="preserve"> PAGEREF _Toc3647 \h </w:instrText>
      </w:r>
      <w:r>
        <w:rPr>
          <w:color w:val="auto"/>
          <w:sz w:val="24"/>
        </w:rPr>
        <w:fldChar w:fldCharType="separate"/>
      </w:r>
      <w:r>
        <w:rPr>
          <w:color w:val="auto"/>
          <w:sz w:val="24"/>
        </w:rPr>
        <w:t>75</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"_Toc21308" </w:instrText>
      </w:r>
      <w:r>
        <w:rPr>
          <w:color w:val="auto"/>
        </w:rPr>
        <w:fldChar w:fldCharType="separate"/>
      </w:r>
      <w:r>
        <w:rPr>
          <w:rFonts w:hint="eastAsia"/>
          <w:color w:val="auto"/>
          <w:kern w:val="0"/>
          <w:sz w:val="24"/>
        </w:rPr>
        <w:t>3.6 危险有害因素分布情况</w:t>
      </w:r>
      <w:r>
        <w:rPr>
          <w:color w:val="auto"/>
          <w:sz w:val="24"/>
        </w:rPr>
        <w:tab/>
      </w:r>
      <w:r>
        <w:rPr>
          <w:color w:val="auto"/>
          <w:sz w:val="24"/>
        </w:rPr>
        <w:fldChar w:fldCharType="begin"/>
      </w:r>
      <w:r>
        <w:rPr>
          <w:color w:val="auto"/>
          <w:sz w:val="24"/>
        </w:rPr>
        <w:instrText xml:space="preserve"> PAGEREF _Toc21308 \h </w:instrText>
      </w:r>
      <w:r>
        <w:rPr>
          <w:color w:val="auto"/>
          <w:sz w:val="24"/>
        </w:rPr>
        <w:fldChar w:fldCharType="separate"/>
      </w:r>
      <w:r>
        <w:rPr>
          <w:color w:val="auto"/>
          <w:sz w:val="24"/>
        </w:rPr>
        <w:t>75</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"_Toc5540" </w:instrText>
      </w:r>
      <w:r>
        <w:rPr>
          <w:color w:val="auto"/>
        </w:rPr>
        <w:fldChar w:fldCharType="separate"/>
      </w:r>
      <w:r>
        <w:rPr>
          <w:color w:val="auto"/>
          <w:kern w:val="0"/>
          <w:sz w:val="24"/>
        </w:rPr>
        <w:t>3.</w:t>
      </w:r>
      <w:r>
        <w:rPr>
          <w:rFonts w:hint="eastAsia"/>
          <w:color w:val="auto"/>
          <w:kern w:val="0"/>
          <w:sz w:val="24"/>
        </w:rPr>
        <w:t>7</w:t>
      </w:r>
      <w:r>
        <w:rPr>
          <w:color w:val="auto"/>
          <w:kern w:val="0"/>
          <w:sz w:val="24"/>
        </w:rPr>
        <w:t xml:space="preserve"> 重大危险源辨识</w:t>
      </w:r>
      <w:r>
        <w:rPr>
          <w:color w:val="auto"/>
          <w:sz w:val="24"/>
        </w:rPr>
        <w:tab/>
      </w:r>
      <w:r>
        <w:rPr>
          <w:color w:val="auto"/>
          <w:sz w:val="24"/>
        </w:rPr>
        <w:fldChar w:fldCharType="begin"/>
      </w:r>
      <w:r>
        <w:rPr>
          <w:color w:val="auto"/>
          <w:sz w:val="24"/>
        </w:rPr>
        <w:instrText xml:space="preserve"> PAGEREF _Toc5540 \h </w:instrText>
      </w:r>
      <w:r>
        <w:rPr>
          <w:color w:val="auto"/>
          <w:sz w:val="24"/>
        </w:rPr>
        <w:fldChar w:fldCharType="separate"/>
      </w:r>
      <w:r>
        <w:rPr>
          <w:color w:val="auto"/>
          <w:sz w:val="24"/>
        </w:rPr>
        <w:t>75</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"_Toc23424" </w:instrText>
      </w:r>
      <w:r>
        <w:rPr>
          <w:color w:val="auto"/>
        </w:rPr>
        <w:fldChar w:fldCharType="separate"/>
      </w:r>
      <w:r>
        <w:rPr>
          <w:rFonts w:cs="Times New Roman"/>
          <w:color w:val="auto"/>
          <w:kern w:val="0"/>
          <w:sz w:val="24"/>
        </w:rPr>
        <w:t>3.</w:t>
      </w:r>
      <w:r>
        <w:rPr>
          <w:rFonts w:hint="eastAsia" w:cs="Times New Roman"/>
          <w:color w:val="auto"/>
          <w:kern w:val="0"/>
          <w:sz w:val="24"/>
        </w:rPr>
        <w:t>7</w:t>
      </w:r>
      <w:r>
        <w:rPr>
          <w:rFonts w:cs="Times New Roman"/>
          <w:color w:val="auto"/>
          <w:kern w:val="0"/>
          <w:sz w:val="24"/>
        </w:rPr>
        <w:t>.1 重大危险源辨识相关资料介绍</w:t>
      </w:r>
      <w:r>
        <w:rPr>
          <w:color w:val="auto"/>
          <w:sz w:val="24"/>
        </w:rPr>
        <w:tab/>
      </w:r>
      <w:r>
        <w:rPr>
          <w:color w:val="auto"/>
          <w:sz w:val="24"/>
        </w:rPr>
        <w:fldChar w:fldCharType="begin"/>
      </w:r>
      <w:r>
        <w:rPr>
          <w:color w:val="auto"/>
          <w:sz w:val="24"/>
        </w:rPr>
        <w:instrText xml:space="preserve"> PAGEREF _Toc23424 \h </w:instrText>
      </w:r>
      <w:r>
        <w:rPr>
          <w:color w:val="auto"/>
          <w:sz w:val="24"/>
        </w:rPr>
        <w:fldChar w:fldCharType="separate"/>
      </w:r>
      <w:r>
        <w:rPr>
          <w:color w:val="auto"/>
          <w:sz w:val="24"/>
        </w:rPr>
        <w:t>75</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"_Toc24351" </w:instrText>
      </w:r>
      <w:r>
        <w:rPr>
          <w:color w:val="auto"/>
        </w:rPr>
        <w:fldChar w:fldCharType="separate"/>
      </w:r>
      <w:r>
        <w:rPr>
          <w:rFonts w:cs="Times New Roman"/>
          <w:color w:val="auto"/>
          <w:kern w:val="0"/>
          <w:sz w:val="24"/>
        </w:rPr>
        <w:t>3.</w:t>
      </w:r>
      <w:r>
        <w:rPr>
          <w:rFonts w:hint="eastAsia" w:cs="Times New Roman"/>
          <w:color w:val="auto"/>
          <w:kern w:val="0"/>
          <w:sz w:val="24"/>
        </w:rPr>
        <w:t>7</w:t>
      </w:r>
      <w:r>
        <w:rPr>
          <w:rFonts w:cs="Times New Roman"/>
          <w:color w:val="auto"/>
          <w:kern w:val="0"/>
          <w:sz w:val="24"/>
        </w:rPr>
        <w:t>.2 危险化学品重大危险源辨识过程</w:t>
      </w:r>
      <w:r>
        <w:rPr>
          <w:color w:val="auto"/>
          <w:sz w:val="24"/>
        </w:rPr>
        <w:tab/>
      </w:r>
      <w:r>
        <w:rPr>
          <w:color w:val="auto"/>
          <w:sz w:val="24"/>
        </w:rPr>
        <w:fldChar w:fldCharType="begin"/>
      </w:r>
      <w:r>
        <w:rPr>
          <w:color w:val="auto"/>
          <w:sz w:val="24"/>
        </w:rPr>
        <w:instrText xml:space="preserve"> PAGEREF _Toc24351 \h </w:instrText>
      </w:r>
      <w:r>
        <w:rPr>
          <w:color w:val="auto"/>
          <w:sz w:val="24"/>
        </w:rPr>
        <w:fldChar w:fldCharType="separate"/>
      </w:r>
      <w:r>
        <w:rPr>
          <w:color w:val="auto"/>
          <w:sz w:val="24"/>
        </w:rPr>
        <w:t>79</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"_Toc8025" </w:instrText>
      </w:r>
      <w:r>
        <w:rPr>
          <w:color w:val="auto"/>
        </w:rPr>
        <w:fldChar w:fldCharType="separate"/>
      </w:r>
      <w:r>
        <w:rPr>
          <w:rFonts w:hint="eastAsia" w:cs="Times New Roman"/>
          <w:bCs/>
          <w:color w:val="auto"/>
          <w:sz w:val="24"/>
        </w:rPr>
        <w:t xml:space="preserve">3.4.3 </w:t>
      </w:r>
      <w:r>
        <w:rPr>
          <w:rFonts w:cs="Times New Roman"/>
          <w:bCs/>
          <w:color w:val="auto"/>
          <w:sz w:val="24"/>
        </w:rPr>
        <w:t>危险化学品重大危险源辨识结果</w:t>
      </w:r>
      <w:r>
        <w:rPr>
          <w:color w:val="auto"/>
          <w:sz w:val="24"/>
        </w:rPr>
        <w:tab/>
      </w:r>
      <w:r>
        <w:rPr>
          <w:color w:val="auto"/>
          <w:sz w:val="24"/>
        </w:rPr>
        <w:fldChar w:fldCharType="begin"/>
      </w:r>
      <w:r>
        <w:rPr>
          <w:color w:val="auto"/>
          <w:sz w:val="24"/>
        </w:rPr>
        <w:instrText xml:space="preserve"> PAGEREF _Toc8025 \h </w:instrText>
      </w:r>
      <w:r>
        <w:rPr>
          <w:color w:val="auto"/>
          <w:sz w:val="24"/>
        </w:rPr>
        <w:fldChar w:fldCharType="separate"/>
      </w:r>
      <w:r>
        <w:rPr>
          <w:color w:val="auto"/>
          <w:sz w:val="24"/>
        </w:rPr>
        <w:t>81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"_Toc23893" </w:instrText>
      </w:r>
      <w:r>
        <w:rPr>
          <w:color w:val="auto"/>
        </w:rPr>
        <w:fldChar w:fldCharType="separate"/>
      </w:r>
      <w:r>
        <w:rPr>
          <w:rFonts w:cs="Times New Roman"/>
          <w:color w:val="auto"/>
          <w:kern w:val="0"/>
          <w:sz w:val="24"/>
        </w:rPr>
        <w:t>3.</w:t>
      </w:r>
      <w:r>
        <w:rPr>
          <w:rFonts w:hint="eastAsia" w:cs="Times New Roman"/>
          <w:color w:val="auto"/>
          <w:kern w:val="0"/>
          <w:sz w:val="24"/>
        </w:rPr>
        <w:t>7</w:t>
      </w:r>
      <w:r>
        <w:rPr>
          <w:rFonts w:cs="Times New Roman"/>
          <w:color w:val="auto"/>
          <w:kern w:val="0"/>
          <w:sz w:val="24"/>
        </w:rPr>
        <w:t>.3 重大危险源辨识结果</w:t>
      </w:r>
      <w:r>
        <w:rPr>
          <w:color w:val="auto"/>
          <w:sz w:val="24"/>
        </w:rPr>
        <w:tab/>
      </w:r>
      <w:r>
        <w:rPr>
          <w:color w:val="auto"/>
          <w:sz w:val="24"/>
        </w:rPr>
        <w:fldChar w:fldCharType="begin"/>
      </w:r>
      <w:r>
        <w:rPr>
          <w:color w:val="auto"/>
          <w:sz w:val="24"/>
        </w:rPr>
        <w:instrText xml:space="preserve"> PAGEREF _Toc23893 \h </w:instrText>
      </w:r>
      <w:r>
        <w:rPr>
          <w:color w:val="auto"/>
          <w:sz w:val="24"/>
        </w:rPr>
        <w:fldChar w:fldCharType="separate"/>
      </w:r>
      <w:r>
        <w:rPr>
          <w:color w:val="auto"/>
          <w:sz w:val="24"/>
        </w:rPr>
        <w:t>81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"_Toc18323" </w:instrText>
      </w:r>
      <w:r>
        <w:rPr>
          <w:color w:val="auto"/>
        </w:rPr>
        <w:fldChar w:fldCharType="separate"/>
      </w:r>
      <w:r>
        <w:rPr>
          <w:rFonts w:hint="eastAsia"/>
          <w:bCs/>
          <w:color w:val="auto"/>
          <w:sz w:val="24"/>
        </w:rPr>
        <w:t>3.8 外部安全防护距离</w:t>
      </w:r>
      <w:r>
        <w:rPr>
          <w:color w:val="auto"/>
          <w:sz w:val="24"/>
        </w:rPr>
        <w:tab/>
      </w:r>
      <w:r>
        <w:rPr>
          <w:color w:val="auto"/>
          <w:sz w:val="24"/>
        </w:rPr>
        <w:fldChar w:fldCharType="begin"/>
      </w:r>
      <w:r>
        <w:rPr>
          <w:color w:val="auto"/>
          <w:sz w:val="24"/>
        </w:rPr>
        <w:instrText xml:space="preserve"> PAGEREF _Toc18323 \h </w:instrText>
      </w:r>
      <w:r>
        <w:rPr>
          <w:color w:val="auto"/>
          <w:sz w:val="24"/>
        </w:rPr>
        <w:fldChar w:fldCharType="separate"/>
      </w:r>
      <w:r>
        <w:rPr>
          <w:color w:val="auto"/>
          <w:sz w:val="24"/>
        </w:rPr>
        <w:t>81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"_Toc31670" </w:instrText>
      </w:r>
      <w:r>
        <w:rPr>
          <w:color w:val="auto"/>
        </w:rPr>
        <w:fldChar w:fldCharType="separate"/>
      </w:r>
      <w:r>
        <w:rPr>
          <w:rFonts w:hint="eastAsia"/>
          <w:bCs/>
          <w:color w:val="auto"/>
          <w:kern w:val="0"/>
          <w:sz w:val="24"/>
        </w:rPr>
        <w:t>3.9 爆炸危险区域</w:t>
      </w:r>
      <w:r>
        <w:rPr>
          <w:color w:val="auto"/>
          <w:sz w:val="24"/>
        </w:rPr>
        <w:tab/>
      </w:r>
      <w:r>
        <w:rPr>
          <w:color w:val="auto"/>
          <w:sz w:val="24"/>
        </w:rPr>
        <w:fldChar w:fldCharType="begin"/>
      </w:r>
      <w:r>
        <w:rPr>
          <w:color w:val="auto"/>
          <w:sz w:val="24"/>
        </w:rPr>
        <w:instrText xml:space="preserve"> PAGEREF _Toc31670 \h </w:instrText>
      </w:r>
      <w:r>
        <w:rPr>
          <w:color w:val="auto"/>
          <w:sz w:val="24"/>
        </w:rPr>
        <w:fldChar w:fldCharType="separate"/>
      </w:r>
      <w:r>
        <w:rPr>
          <w:color w:val="auto"/>
          <w:sz w:val="24"/>
        </w:rPr>
        <w:t>82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"_Toc10343" </w:instrText>
      </w:r>
      <w:r>
        <w:rPr>
          <w:color w:val="auto"/>
        </w:rPr>
        <w:fldChar w:fldCharType="separate"/>
      </w:r>
      <w:r>
        <w:rPr>
          <w:rFonts w:hint="eastAsia"/>
          <w:color w:val="auto"/>
          <w:kern w:val="0"/>
          <w:sz w:val="24"/>
        </w:rPr>
        <w:t>3.10 安全生产管理对危险、有害因素的影响</w:t>
      </w:r>
      <w:r>
        <w:rPr>
          <w:color w:val="auto"/>
          <w:sz w:val="24"/>
        </w:rPr>
        <w:tab/>
      </w:r>
      <w:r>
        <w:rPr>
          <w:color w:val="auto"/>
          <w:sz w:val="24"/>
        </w:rPr>
        <w:fldChar w:fldCharType="begin"/>
      </w:r>
      <w:r>
        <w:rPr>
          <w:color w:val="auto"/>
          <w:sz w:val="24"/>
        </w:rPr>
        <w:instrText xml:space="preserve"> PAGEREF _Toc10343 \h </w:instrText>
      </w:r>
      <w:r>
        <w:rPr>
          <w:color w:val="auto"/>
          <w:sz w:val="24"/>
        </w:rPr>
        <w:fldChar w:fldCharType="separate"/>
      </w:r>
      <w:r>
        <w:rPr>
          <w:color w:val="auto"/>
          <w:sz w:val="24"/>
        </w:rPr>
        <w:t>83</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"_Toc8695" </w:instrText>
      </w:r>
      <w:r>
        <w:rPr>
          <w:color w:val="auto"/>
        </w:rPr>
        <w:fldChar w:fldCharType="separate"/>
      </w:r>
      <w:r>
        <w:rPr>
          <w:rFonts w:hint="eastAsia"/>
          <w:color w:val="auto"/>
          <w:kern w:val="0"/>
          <w:sz w:val="24"/>
        </w:rPr>
        <w:t>4 安全评价单元的划分结果及理由说明</w:t>
      </w:r>
      <w:r>
        <w:rPr>
          <w:color w:val="auto"/>
          <w:sz w:val="24"/>
        </w:rPr>
        <w:tab/>
      </w:r>
      <w:r>
        <w:rPr>
          <w:color w:val="auto"/>
          <w:sz w:val="24"/>
        </w:rPr>
        <w:fldChar w:fldCharType="begin"/>
      </w:r>
      <w:r>
        <w:rPr>
          <w:color w:val="auto"/>
          <w:sz w:val="24"/>
        </w:rPr>
        <w:instrText xml:space="preserve"> PAGEREF _Toc8695 \h </w:instrText>
      </w:r>
      <w:r>
        <w:rPr>
          <w:color w:val="auto"/>
          <w:sz w:val="24"/>
        </w:rPr>
        <w:fldChar w:fldCharType="separate"/>
      </w:r>
      <w:r>
        <w:rPr>
          <w:color w:val="auto"/>
          <w:sz w:val="24"/>
        </w:rPr>
        <w:t>86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"_Toc26000" </w:instrText>
      </w:r>
      <w:r>
        <w:rPr>
          <w:color w:val="auto"/>
        </w:rPr>
        <w:fldChar w:fldCharType="separate"/>
      </w:r>
      <w:r>
        <w:rPr>
          <w:rFonts w:hint="eastAsia"/>
          <w:color w:val="auto"/>
          <w:kern w:val="0"/>
          <w:sz w:val="24"/>
        </w:rPr>
        <w:t>4.1 评价单元划分依据</w:t>
      </w:r>
      <w:r>
        <w:rPr>
          <w:color w:val="auto"/>
          <w:sz w:val="24"/>
        </w:rPr>
        <w:tab/>
      </w:r>
      <w:r>
        <w:rPr>
          <w:color w:val="auto"/>
          <w:sz w:val="24"/>
        </w:rPr>
        <w:fldChar w:fldCharType="begin"/>
      </w:r>
      <w:r>
        <w:rPr>
          <w:color w:val="auto"/>
          <w:sz w:val="24"/>
        </w:rPr>
        <w:instrText xml:space="preserve"> PAGEREF _Toc26000 \h </w:instrText>
      </w:r>
      <w:r>
        <w:rPr>
          <w:color w:val="auto"/>
          <w:sz w:val="24"/>
        </w:rPr>
        <w:fldChar w:fldCharType="separate"/>
      </w:r>
      <w:r>
        <w:rPr>
          <w:color w:val="auto"/>
          <w:sz w:val="24"/>
        </w:rPr>
        <w:t>86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"_Toc15449" </w:instrText>
      </w:r>
      <w:r>
        <w:rPr>
          <w:color w:val="auto"/>
        </w:rPr>
        <w:fldChar w:fldCharType="separate"/>
      </w:r>
      <w:r>
        <w:rPr>
          <w:rFonts w:hint="eastAsia"/>
          <w:color w:val="auto"/>
          <w:kern w:val="0"/>
          <w:sz w:val="24"/>
        </w:rPr>
        <w:t>4.2 评价单元的划分结果</w:t>
      </w:r>
      <w:r>
        <w:rPr>
          <w:color w:val="auto"/>
          <w:sz w:val="24"/>
        </w:rPr>
        <w:tab/>
      </w:r>
      <w:r>
        <w:rPr>
          <w:color w:val="auto"/>
          <w:sz w:val="24"/>
        </w:rPr>
        <w:fldChar w:fldCharType="begin"/>
      </w:r>
      <w:r>
        <w:rPr>
          <w:color w:val="auto"/>
          <w:sz w:val="24"/>
        </w:rPr>
        <w:instrText xml:space="preserve"> PAGEREF _Toc15449 \h </w:instrText>
      </w:r>
      <w:r>
        <w:rPr>
          <w:color w:val="auto"/>
          <w:sz w:val="24"/>
        </w:rPr>
        <w:fldChar w:fldCharType="separate"/>
      </w:r>
      <w:r>
        <w:rPr>
          <w:color w:val="auto"/>
          <w:sz w:val="24"/>
        </w:rPr>
        <w:t>87</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"_Toc31735" </w:instrText>
      </w:r>
      <w:r>
        <w:rPr>
          <w:color w:val="auto"/>
        </w:rPr>
        <w:fldChar w:fldCharType="separate"/>
      </w:r>
      <w:r>
        <w:rPr>
          <w:rFonts w:hint="eastAsia"/>
          <w:color w:val="auto"/>
          <w:kern w:val="0"/>
          <w:sz w:val="24"/>
        </w:rPr>
        <w:t>4.3 评价方法的选择和简介</w:t>
      </w:r>
      <w:r>
        <w:rPr>
          <w:color w:val="auto"/>
          <w:sz w:val="24"/>
        </w:rPr>
        <w:tab/>
      </w:r>
      <w:r>
        <w:rPr>
          <w:color w:val="auto"/>
          <w:sz w:val="24"/>
        </w:rPr>
        <w:fldChar w:fldCharType="begin"/>
      </w:r>
      <w:r>
        <w:rPr>
          <w:color w:val="auto"/>
          <w:sz w:val="24"/>
        </w:rPr>
        <w:instrText xml:space="preserve"> PAGEREF _Toc31735 \h </w:instrText>
      </w:r>
      <w:r>
        <w:rPr>
          <w:color w:val="auto"/>
          <w:sz w:val="24"/>
        </w:rPr>
        <w:fldChar w:fldCharType="separate"/>
      </w:r>
      <w:r>
        <w:rPr>
          <w:color w:val="auto"/>
          <w:sz w:val="24"/>
        </w:rPr>
        <w:t>87</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"_Toc14114" </w:instrText>
      </w:r>
      <w:r>
        <w:rPr>
          <w:color w:val="auto"/>
        </w:rPr>
        <w:fldChar w:fldCharType="separate"/>
      </w:r>
      <w:r>
        <w:rPr>
          <w:rFonts w:hint="eastAsia"/>
          <w:color w:val="auto"/>
          <w:kern w:val="0"/>
          <w:sz w:val="24"/>
        </w:rPr>
        <w:t>4.3.1 安全检查表法</w:t>
      </w:r>
      <w:r>
        <w:rPr>
          <w:color w:val="auto"/>
          <w:sz w:val="24"/>
        </w:rPr>
        <w:tab/>
      </w:r>
      <w:r>
        <w:rPr>
          <w:color w:val="auto"/>
          <w:sz w:val="24"/>
        </w:rPr>
        <w:fldChar w:fldCharType="begin"/>
      </w:r>
      <w:r>
        <w:rPr>
          <w:color w:val="auto"/>
          <w:sz w:val="24"/>
        </w:rPr>
        <w:instrText xml:space="preserve"> PAGEREF _Toc14114 \h </w:instrText>
      </w:r>
      <w:r>
        <w:rPr>
          <w:color w:val="auto"/>
          <w:sz w:val="24"/>
        </w:rPr>
        <w:fldChar w:fldCharType="separate"/>
      </w:r>
      <w:r>
        <w:rPr>
          <w:color w:val="auto"/>
          <w:sz w:val="24"/>
        </w:rPr>
        <w:t>87</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"_Toc1472" </w:instrText>
      </w:r>
      <w:r>
        <w:rPr>
          <w:color w:val="auto"/>
        </w:rPr>
        <w:fldChar w:fldCharType="separate"/>
      </w:r>
      <w:r>
        <w:rPr>
          <w:rFonts w:hint="eastAsia"/>
          <w:color w:val="auto"/>
          <w:kern w:val="0"/>
          <w:sz w:val="24"/>
        </w:rPr>
        <w:t>4.3.2 作业条件危险性评价法</w:t>
      </w:r>
      <w:r>
        <w:rPr>
          <w:color w:val="auto"/>
          <w:sz w:val="24"/>
        </w:rPr>
        <w:tab/>
      </w:r>
      <w:r>
        <w:rPr>
          <w:color w:val="auto"/>
          <w:sz w:val="24"/>
        </w:rPr>
        <w:fldChar w:fldCharType="begin"/>
      </w:r>
      <w:r>
        <w:rPr>
          <w:color w:val="auto"/>
          <w:sz w:val="24"/>
        </w:rPr>
        <w:instrText xml:space="preserve"> PAGEREF _Toc1472 \h </w:instrText>
      </w:r>
      <w:r>
        <w:rPr>
          <w:color w:val="auto"/>
          <w:sz w:val="24"/>
        </w:rPr>
        <w:fldChar w:fldCharType="separate"/>
      </w:r>
      <w:r>
        <w:rPr>
          <w:color w:val="auto"/>
          <w:sz w:val="24"/>
        </w:rPr>
        <w:t>88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"_Toc3834" </w:instrText>
      </w:r>
      <w:r>
        <w:rPr>
          <w:color w:val="auto"/>
        </w:rPr>
        <w:fldChar w:fldCharType="separate"/>
      </w:r>
      <w:r>
        <w:rPr>
          <w:rFonts w:hint="eastAsia"/>
          <w:color w:val="auto"/>
          <w:kern w:val="0"/>
          <w:sz w:val="24"/>
        </w:rPr>
        <w:t>4.3.3 危险度评价法</w:t>
      </w:r>
      <w:r>
        <w:rPr>
          <w:color w:val="auto"/>
          <w:sz w:val="24"/>
        </w:rPr>
        <w:tab/>
      </w:r>
      <w:r>
        <w:rPr>
          <w:color w:val="auto"/>
          <w:sz w:val="24"/>
        </w:rPr>
        <w:fldChar w:fldCharType="begin"/>
      </w:r>
      <w:r>
        <w:rPr>
          <w:color w:val="auto"/>
          <w:sz w:val="24"/>
        </w:rPr>
        <w:instrText xml:space="preserve"> PAGEREF _Toc3834 \h </w:instrText>
      </w:r>
      <w:r>
        <w:rPr>
          <w:color w:val="auto"/>
          <w:sz w:val="24"/>
        </w:rPr>
        <w:fldChar w:fldCharType="separate"/>
      </w:r>
      <w:r>
        <w:rPr>
          <w:color w:val="auto"/>
          <w:sz w:val="24"/>
        </w:rPr>
        <w:t>90</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"_Toc29631" </w:instrText>
      </w:r>
      <w:r>
        <w:rPr>
          <w:color w:val="auto"/>
        </w:rPr>
        <w:fldChar w:fldCharType="separate"/>
      </w:r>
      <w:r>
        <w:rPr>
          <w:rFonts w:hint="eastAsia"/>
          <w:color w:val="auto"/>
          <w:kern w:val="0"/>
          <w:sz w:val="24"/>
        </w:rPr>
        <w:t>5 定性、定量分析</w:t>
      </w:r>
      <w:r>
        <w:rPr>
          <w:color w:val="auto"/>
          <w:sz w:val="24"/>
        </w:rPr>
        <w:tab/>
      </w:r>
      <w:r>
        <w:rPr>
          <w:color w:val="auto"/>
          <w:sz w:val="24"/>
        </w:rPr>
        <w:fldChar w:fldCharType="begin"/>
      </w:r>
      <w:r>
        <w:rPr>
          <w:color w:val="auto"/>
          <w:sz w:val="24"/>
        </w:rPr>
        <w:instrText xml:space="preserve"> PAGEREF _Toc29631 \h </w:instrText>
      </w:r>
      <w:r>
        <w:rPr>
          <w:color w:val="auto"/>
          <w:sz w:val="24"/>
        </w:rPr>
        <w:fldChar w:fldCharType="separate"/>
      </w:r>
      <w:r>
        <w:rPr>
          <w:color w:val="auto"/>
          <w:sz w:val="24"/>
        </w:rPr>
        <w:t>92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"_Toc25862" </w:instrText>
      </w:r>
      <w:r>
        <w:rPr>
          <w:color w:val="auto"/>
        </w:rPr>
        <w:fldChar w:fldCharType="separate"/>
      </w:r>
      <w:r>
        <w:rPr>
          <w:rFonts w:hint="eastAsia"/>
          <w:color w:val="auto"/>
          <w:kern w:val="0"/>
          <w:sz w:val="24"/>
        </w:rPr>
        <w:t>5.1 项目厂址及周边环境单元</w:t>
      </w:r>
      <w:r>
        <w:rPr>
          <w:color w:val="auto"/>
          <w:sz w:val="24"/>
        </w:rPr>
        <w:tab/>
      </w:r>
      <w:r>
        <w:rPr>
          <w:color w:val="auto"/>
          <w:sz w:val="24"/>
        </w:rPr>
        <w:fldChar w:fldCharType="begin"/>
      </w:r>
      <w:r>
        <w:rPr>
          <w:color w:val="auto"/>
          <w:sz w:val="24"/>
        </w:rPr>
        <w:instrText xml:space="preserve"> PAGEREF _Toc25862 \h </w:instrText>
      </w:r>
      <w:r>
        <w:rPr>
          <w:color w:val="auto"/>
          <w:sz w:val="24"/>
        </w:rPr>
        <w:fldChar w:fldCharType="separate"/>
      </w:r>
      <w:r>
        <w:rPr>
          <w:color w:val="auto"/>
          <w:sz w:val="24"/>
        </w:rPr>
        <w:t>92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"_Toc4001" </w:instrText>
      </w:r>
      <w:r>
        <w:rPr>
          <w:color w:val="auto"/>
        </w:rPr>
        <w:fldChar w:fldCharType="separate"/>
      </w:r>
      <w:r>
        <w:rPr>
          <w:rFonts w:hint="eastAsia"/>
          <w:bCs/>
          <w:color w:val="auto"/>
          <w:kern w:val="0"/>
          <w:sz w:val="24"/>
        </w:rPr>
        <w:t>5.2 平面布置及建构筑物单元</w:t>
      </w:r>
      <w:r>
        <w:rPr>
          <w:color w:val="auto"/>
          <w:sz w:val="24"/>
        </w:rPr>
        <w:tab/>
      </w:r>
      <w:r>
        <w:rPr>
          <w:color w:val="auto"/>
          <w:sz w:val="24"/>
        </w:rPr>
        <w:fldChar w:fldCharType="begin"/>
      </w:r>
      <w:r>
        <w:rPr>
          <w:color w:val="auto"/>
          <w:sz w:val="24"/>
        </w:rPr>
        <w:instrText xml:space="preserve"> PAGEREF _Toc4001 \h </w:instrText>
      </w:r>
      <w:r>
        <w:rPr>
          <w:color w:val="auto"/>
          <w:sz w:val="24"/>
        </w:rPr>
        <w:fldChar w:fldCharType="separate"/>
      </w:r>
      <w:r>
        <w:rPr>
          <w:color w:val="auto"/>
          <w:sz w:val="24"/>
        </w:rPr>
        <w:t>99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"_Toc15601" </w:instrText>
      </w:r>
      <w:r>
        <w:rPr>
          <w:color w:val="auto"/>
        </w:rPr>
        <w:fldChar w:fldCharType="separate"/>
      </w:r>
      <w:r>
        <w:rPr>
          <w:rFonts w:hint="eastAsia"/>
          <w:bCs/>
          <w:color w:val="auto"/>
          <w:kern w:val="0"/>
          <w:sz w:val="24"/>
        </w:rPr>
        <w:t>5.3 106甲类仓库储存单元</w:t>
      </w:r>
      <w:r>
        <w:rPr>
          <w:color w:val="auto"/>
          <w:sz w:val="24"/>
        </w:rPr>
        <w:tab/>
      </w:r>
      <w:r>
        <w:rPr>
          <w:color w:val="auto"/>
          <w:sz w:val="24"/>
        </w:rPr>
        <w:fldChar w:fldCharType="begin"/>
      </w:r>
      <w:r>
        <w:rPr>
          <w:color w:val="auto"/>
          <w:sz w:val="24"/>
        </w:rPr>
        <w:instrText xml:space="preserve"> PAGEREF _Toc15601 \h </w:instrText>
      </w:r>
      <w:r>
        <w:rPr>
          <w:color w:val="auto"/>
          <w:sz w:val="24"/>
        </w:rPr>
        <w:fldChar w:fldCharType="separate"/>
      </w:r>
      <w:r>
        <w:rPr>
          <w:color w:val="auto"/>
          <w:sz w:val="24"/>
        </w:rPr>
        <w:t>103</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"_Toc29770" </w:instrText>
      </w:r>
      <w:r>
        <w:rPr>
          <w:color w:val="auto"/>
        </w:rPr>
        <w:fldChar w:fldCharType="separate"/>
      </w:r>
      <w:r>
        <w:rPr>
          <w:rFonts w:hint="eastAsia" w:cs="Times New Roman"/>
          <w:color w:val="auto"/>
          <w:sz w:val="24"/>
        </w:rPr>
        <w:t>5.5</w:t>
      </w:r>
      <w:r>
        <w:rPr>
          <w:rFonts w:cs="Times New Roman"/>
          <w:color w:val="auto"/>
          <w:sz w:val="24"/>
        </w:rPr>
        <w:t xml:space="preserve"> 公用工程及辅助设施单元</w:t>
      </w:r>
      <w:r>
        <w:rPr>
          <w:color w:val="auto"/>
          <w:sz w:val="24"/>
        </w:rPr>
        <w:tab/>
      </w:r>
      <w:r>
        <w:rPr>
          <w:color w:val="auto"/>
          <w:sz w:val="24"/>
        </w:rPr>
        <w:fldChar w:fldCharType="begin"/>
      </w:r>
      <w:r>
        <w:rPr>
          <w:color w:val="auto"/>
          <w:sz w:val="24"/>
        </w:rPr>
        <w:instrText xml:space="preserve"> PAGEREF _Toc29770 \h </w:instrText>
      </w:r>
      <w:r>
        <w:rPr>
          <w:color w:val="auto"/>
          <w:sz w:val="24"/>
        </w:rPr>
        <w:fldChar w:fldCharType="separate"/>
      </w:r>
      <w:r>
        <w:rPr>
          <w:color w:val="auto"/>
          <w:sz w:val="24"/>
        </w:rPr>
        <w:t>108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"_Toc31825" </w:instrText>
      </w:r>
      <w:r>
        <w:rPr>
          <w:color w:val="auto"/>
        </w:rPr>
        <w:fldChar w:fldCharType="separate"/>
      </w:r>
      <w:r>
        <w:rPr>
          <w:rFonts w:hint="eastAsia" w:cs="Times New Roman"/>
          <w:color w:val="auto"/>
          <w:sz w:val="24"/>
        </w:rPr>
        <w:t>5</w:t>
      </w:r>
      <w:r>
        <w:rPr>
          <w:rFonts w:cs="Times New Roman"/>
          <w:color w:val="auto"/>
          <w:sz w:val="24"/>
        </w:rPr>
        <w:t>.</w:t>
      </w:r>
      <w:r>
        <w:rPr>
          <w:rFonts w:hint="eastAsia" w:cs="Times New Roman"/>
          <w:color w:val="auto"/>
          <w:sz w:val="24"/>
        </w:rPr>
        <w:t>5</w:t>
      </w:r>
      <w:r>
        <w:rPr>
          <w:rFonts w:cs="Times New Roman"/>
          <w:color w:val="auto"/>
          <w:sz w:val="24"/>
        </w:rPr>
        <w:t>.1</w:t>
      </w:r>
      <w:r>
        <w:rPr>
          <w:rFonts w:hint="eastAsia" w:cs="Times New Roman"/>
          <w:color w:val="auto"/>
          <w:sz w:val="24"/>
        </w:rPr>
        <w:t xml:space="preserve"> </w:t>
      </w:r>
      <w:r>
        <w:rPr>
          <w:rFonts w:cs="Times New Roman"/>
          <w:color w:val="auto"/>
          <w:sz w:val="24"/>
        </w:rPr>
        <w:t>供配电子单元</w:t>
      </w:r>
      <w:r>
        <w:rPr>
          <w:color w:val="auto"/>
          <w:sz w:val="24"/>
        </w:rPr>
        <w:tab/>
      </w:r>
      <w:r>
        <w:rPr>
          <w:color w:val="auto"/>
          <w:sz w:val="24"/>
        </w:rPr>
        <w:fldChar w:fldCharType="begin"/>
      </w:r>
      <w:r>
        <w:rPr>
          <w:color w:val="auto"/>
          <w:sz w:val="24"/>
        </w:rPr>
        <w:instrText xml:space="preserve"> PAGEREF _Toc31825 \h </w:instrText>
      </w:r>
      <w:r>
        <w:rPr>
          <w:color w:val="auto"/>
          <w:sz w:val="24"/>
        </w:rPr>
        <w:fldChar w:fldCharType="separate"/>
      </w:r>
      <w:r>
        <w:rPr>
          <w:color w:val="auto"/>
          <w:sz w:val="24"/>
        </w:rPr>
        <w:t>108</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"_Toc22073" </w:instrText>
      </w:r>
      <w:r>
        <w:rPr>
          <w:color w:val="auto"/>
        </w:rPr>
        <w:fldChar w:fldCharType="separate"/>
      </w:r>
      <w:r>
        <w:rPr>
          <w:rFonts w:hint="eastAsia"/>
          <w:bCs/>
          <w:color w:val="auto"/>
          <w:kern w:val="0"/>
          <w:sz w:val="24"/>
        </w:rPr>
        <w:t>5.6 消防单元</w:t>
      </w:r>
      <w:r>
        <w:rPr>
          <w:color w:val="auto"/>
          <w:sz w:val="24"/>
        </w:rPr>
        <w:tab/>
      </w:r>
      <w:r>
        <w:rPr>
          <w:color w:val="auto"/>
          <w:sz w:val="24"/>
        </w:rPr>
        <w:fldChar w:fldCharType="begin"/>
      </w:r>
      <w:r>
        <w:rPr>
          <w:color w:val="auto"/>
          <w:sz w:val="24"/>
        </w:rPr>
        <w:instrText xml:space="preserve"> PAGEREF _Toc22073 \h </w:instrText>
      </w:r>
      <w:r>
        <w:rPr>
          <w:color w:val="auto"/>
          <w:sz w:val="24"/>
        </w:rPr>
        <w:fldChar w:fldCharType="separate"/>
      </w:r>
      <w:r>
        <w:rPr>
          <w:color w:val="auto"/>
          <w:sz w:val="24"/>
        </w:rPr>
        <w:t>110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"_Toc15869" </w:instrText>
      </w:r>
      <w:r>
        <w:rPr>
          <w:color w:val="auto"/>
        </w:rPr>
        <w:fldChar w:fldCharType="separate"/>
      </w:r>
      <w:r>
        <w:rPr>
          <w:rFonts w:hint="eastAsia"/>
          <w:color w:val="auto"/>
          <w:kern w:val="0"/>
          <w:sz w:val="24"/>
        </w:rPr>
        <w:t>5.7 特种设备</w:t>
      </w:r>
      <w:r>
        <w:rPr>
          <w:color w:val="auto"/>
          <w:sz w:val="24"/>
        </w:rPr>
        <w:tab/>
      </w:r>
      <w:r>
        <w:rPr>
          <w:color w:val="auto"/>
          <w:sz w:val="24"/>
        </w:rPr>
        <w:fldChar w:fldCharType="begin"/>
      </w:r>
      <w:r>
        <w:rPr>
          <w:color w:val="auto"/>
          <w:sz w:val="24"/>
        </w:rPr>
        <w:instrText xml:space="preserve"> PAGEREF _Toc15869 \h </w:instrText>
      </w:r>
      <w:r>
        <w:rPr>
          <w:color w:val="auto"/>
          <w:sz w:val="24"/>
        </w:rPr>
        <w:fldChar w:fldCharType="separate"/>
      </w:r>
      <w:r>
        <w:rPr>
          <w:color w:val="auto"/>
          <w:sz w:val="24"/>
        </w:rPr>
        <w:t>116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"_Toc1006" </w:instrText>
      </w:r>
      <w:r>
        <w:rPr>
          <w:color w:val="auto"/>
        </w:rPr>
        <w:fldChar w:fldCharType="separate"/>
      </w:r>
      <w:r>
        <w:rPr>
          <w:rFonts w:hint="eastAsia"/>
          <w:bCs/>
          <w:color w:val="auto"/>
          <w:kern w:val="0"/>
          <w:sz w:val="24"/>
        </w:rPr>
        <w:t>5.8 安全管理单元</w:t>
      </w:r>
      <w:r>
        <w:rPr>
          <w:color w:val="auto"/>
          <w:sz w:val="24"/>
        </w:rPr>
        <w:tab/>
      </w:r>
      <w:r>
        <w:rPr>
          <w:color w:val="auto"/>
          <w:sz w:val="24"/>
        </w:rPr>
        <w:fldChar w:fldCharType="begin"/>
      </w:r>
      <w:r>
        <w:rPr>
          <w:color w:val="auto"/>
          <w:sz w:val="24"/>
        </w:rPr>
        <w:instrText xml:space="preserve"> PAGEREF _Toc1006 \h </w:instrText>
      </w:r>
      <w:r>
        <w:rPr>
          <w:color w:val="auto"/>
          <w:sz w:val="24"/>
        </w:rPr>
        <w:fldChar w:fldCharType="separate"/>
      </w:r>
      <w:r>
        <w:rPr>
          <w:color w:val="auto"/>
          <w:sz w:val="24"/>
        </w:rPr>
        <w:t>118</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"_Toc24915" </w:instrText>
      </w:r>
      <w:r>
        <w:rPr>
          <w:color w:val="auto"/>
        </w:rPr>
        <w:fldChar w:fldCharType="separate"/>
      </w:r>
      <w:r>
        <w:rPr>
          <w:rFonts w:hint="eastAsia"/>
          <w:bCs/>
          <w:color w:val="auto"/>
          <w:kern w:val="0"/>
          <w:sz w:val="24"/>
        </w:rPr>
        <w:t>5.9 重大事故隐患单元</w:t>
      </w:r>
      <w:r>
        <w:rPr>
          <w:color w:val="auto"/>
          <w:sz w:val="24"/>
        </w:rPr>
        <w:tab/>
      </w:r>
      <w:r>
        <w:rPr>
          <w:color w:val="auto"/>
          <w:sz w:val="24"/>
        </w:rPr>
        <w:fldChar w:fldCharType="begin"/>
      </w:r>
      <w:r>
        <w:rPr>
          <w:color w:val="auto"/>
          <w:sz w:val="24"/>
        </w:rPr>
        <w:instrText xml:space="preserve"> PAGEREF _Toc24915 \h </w:instrText>
      </w:r>
      <w:r>
        <w:rPr>
          <w:color w:val="auto"/>
          <w:sz w:val="24"/>
        </w:rPr>
        <w:fldChar w:fldCharType="separate"/>
      </w:r>
      <w:r>
        <w:rPr>
          <w:color w:val="auto"/>
          <w:sz w:val="24"/>
        </w:rPr>
        <w:t>127</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"_Toc1706" </w:instrText>
      </w:r>
      <w:r>
        <w:rPr>
          <w:color w:val="auto"/>
        </w:rPr>
        <w:fldChar w:fldCharType="separate"/>
      </w:r>
      <w:r>
        <w:rPr>
          <w:rFonts w:hint="eastAsia"/>
          <w:bCs/>
          <w:color w:val="auto"/>
          <w:kern w:val="0"/>
          <w:sz w:val="24"/>
        </w:rPr>
        <w:t>5.10 法律法规符合性检查单元</w:t>
      </w:r>
      <w:r>
        <w:rPr>
          <w:color w:val="auto"/>
          <w:sz w:val="24"/>
        </w:rPr>
        <w:tab/>
      </w:r>
      <w:r>
        <w:rPr>
          <w:color w:val="auto"/>
          <w:sz w:val="24"/>
        </w:rPr>
        <w:fldChar w:fldCharType="begin"/>
      </w:r>
      <w:r>
        <w:rPr>
          <w:color w:val="auto"/>
          <w:sz w:val="24"/>
        </w:rPr>
        <w:instrText xml:space="preserve"> PAGEREF _Toc1706 \h </w:instrText>
      </w:r>
      <w:r>
        <w:rPr>
          <w:color w:val="auto"/>
          <w:sz w:val="24"/>
        </w:rPr>
        <w:fldChar w:fldCharType="separate"/>
      </w:r>
      <w:r>
        <w:rPr>
          <w:color w:val="auto"/>
          <w:sz w:val="24"/>
        </w:rPr>
        <w:t>128</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"_Toc15493" </w:instrText>
      </w:r>
      <w:r>
        <w:rPr>
          <w:color w:val="auto"/>
        </w:rPr>
        <w:fldChar w:fldCharType="separate"/>
      </w:r>
      <w:r>
        <w:rPr>
          <w:rFonts w:hint="eastAsia"/>
          <w:bCs/>
          <w:color w:val="auto"/>
          <w:kern w:val="0"/>
          <w:sz w:val="24"/>
        </w:rPr>
        <w:t>5.11 风险程度的分析结果</w:t>
      </w:r>
      <w:r>
        <w:rPr>
          <w:color w:val="auto"/>
          <w:sz w:val="24"/>
        </w:rPr>
        <w:tab/>
      </w:r>
      <w:r>
        <w:rPr>
          <w:color w:val="auto"/>
          <w:sz w:val="24"/>
        </w:rPr>
        <w:fldChar w:fldCharType="begin"/>
      </w:r>
      <w:r>
        <w:rPr>
          <w:color w:val="auto"/>
          <w:sz w:val="24"/>
        </w:rPr>
        <w:instrText xml:space="preserve"> PAGEREF _Toc15493 \h </w:instrText>
      </w:r>
      <w:r>
        <w:rPr>
          <w:color w:val="auto"/>
          <w:sz w:val="24"/>
        </w:rPr>
        <w:fldChar w:fldCharType="separate"/>
      </w:r>
      <w:r>
        <w:rPr>
          <w:color w:val="auto"/>
          <w:sz w:val="24"/>
        </w:rPr>
        <w:t>129</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"_Toc19967" </w:instrText>
      </w:r>
      <w:r>
        <w:rPr>
          <w:color w:val="auto"/>
        </w:rPr>
        <w:fldChar w:fldCharType="separate"/>
      </w:r>
      <w:r>
        <w:rPr>
          <w:rFonts w:hint="eastAsia"/>
          <w:color w:val="auto"/>
          <w:kern w:val="0"/>
          <w:sz w:val="24"/>
        </w:rPr>
        <w:t>6 安全条件和安全生产条件的分析结果</w:t>
      </w:r>
      <w:r>
        <w:rPr>
          <w:color w:val="auto"/>
          <w:sz w:val="24"/>
        </w:rPr>
        <w:tab/>
      </w:r>
      <w:r>
        <w:rPr>
          <w:color w:val="auto"/>
          <w:sz w:val="24"/>
        </w:rPr>
        <w:fldChar w:fldCharType="begin"/>
      </w:r>
      <w:r>
        <w:rPr>
          <w:color w:val="auto"/>
          <w:sz w:val="24"/>
        </w:rPr>
        <w:instrText xml:space="preserve"> PAGEREF _Toc19967 \h </w:instrText>
      </w:r>
      <w:r>
        <w:rPr>
          <w:color w:val="auto"/>
          <w:sz w:val="24"/>
        </w:rPr>
        <w:fldChar w:fldCharType="separate"/>
      </w:r>
      <w:r>
        <w:rPr>
          <w:color w:val="auto"/>
          <w:sz w:val="24"/>
        </w:rPr>
        <w:t>130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"_Toc21087" </w:instrText>
      </w:r>
      <w:r>
        <w:rPr>
          <w:color w:val="auto"/>
        </w:rPr>
        <w:fldChar w:fldCharType="separate"/>
      </w:r>
      <w:r>
        <w:rPr>
          <w:rFonts w:hint="eastAsia"/>
          <w:bCs/>
          <w:color w:val="auto"/>
          <w:kern w:val="0"/>
          <w:sz w:val="24"/>
        </w:rPr>
        <w:t>6.1 建设项目的安全条件</w:t>
      </w:r>
      <w:r>
        <w:rPr>
          <w:bCs/>
          <w:color w:val="auto"/>
          <w:kern w:val="0"/>
          <w:sz w:val="24"/>
        </w:rPr>
        <w:t>安全对策措施的依据</w:t>
      </w:r>
      <w:r>
        <w:rPr>
          <w:color w:val="auto"/>
          <w:sz w:val="24"/>
        </w:rPr>
        <w:tab/>
      </w:r>
      <w:r>
        <w:rPr>
          <w:color w:val="auto"/>
          <w:sz w:val="24"/>
        </w:rPr>
        <w:fldChar w:fldCharType="begin"/>
      </w:r>
      <w:r>
        <w:rPr>
          <w:color w:val="auto"/>
          <w:sz w:val="24"/>
        </w:rPr>
        <w:instrText xml:space="preserve"> PAGEREF _Toc21087 \h </w:instrText>
      </w:r>
      <w:r>
        <w:rPr>
          <w:color w:val="auto"/>
          <w:sz w:val="24"/>
        </w:rPr>
        <w:fldChar w:fldCharType="separate"/>
      </w:r>
      <w:r>
        <w:rPr>
          <w:color w:val="auto"/>
          <w:sz w:val="24"/>
        </w:rPr>
        <w:t>130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"_Toc25863" </w:instrText>
      </w:r>
      <w:r>
        <w:rPr>
          <w:color w:val="auto"/>
        </w:rPr>
        <w:fldChar w:fldCharType="separate"/>
      </w:r>
      <w:r>
        <w:rPr>
          <w:rFonts w:hint="eastAsia"/>
          <w:bCs/>
          <w:color w:val="auto"/>
          <w:kern w:val="0"/>
          <w:sz w:val="24"/>
        </w:rPr>
        <w:t>6</w:t>
      </w:r>
      <w:r>
        <w:rPr>
          <w:bCs/>
          <w:color w:val="auto"/>
          <w:kern w:val="0"/>
          <w:sz w:val="24"/>
        </w:rPr>
        <w:t>.1.1</w:t>
      </w:r>
      <w:r>
        <w:rPr>
          <w:rFonts w:hint="eastAsia"/>
          <w:bCs/>
          <w:color w:val="auto"/>
          <w:kern w:val="0"/>
          <w:sz w:val="24"/>
        </w:rPr>
        <w:t xml:space="preserve"> </w:t>
      </w:r>
      <w:r>
        <w:rPr>
          <w:bCs/>
          <w:color w:val="auto"/>
          <w:kern w:val="0"/>
          <w:sz w:val="24"/>
        </w:rPr>
        <w:t>建设项目与国家和当地政府产业政策与布局的符合性</w:t>
      </w:r>
      <w:r>
        <w:rPr>
          <w:color w:val="auto"/>
          <w:sz w:val="24"/>
        </w:rPr>
        <w:tab/>
      </w:r>
      <w:r>
        <w:rPr>
          <w:color w:val="auto"/>
          <w:sz w:val="24"/>
        </w:rPr>
        <w:fldChar w:fldCharType="begin"/>
      </w:r>
      <w:r>
        <w:rPr>
          <w:color w:val="auto"/>
          <w:sz w:val="24"/>
        </w:rPr>
        <w:instrText xml:space="preserve"> PAGEREF _Toc25863 \h </w:instrText>
      </w:r>
      <w:r>
        <w:rPr>
          <w:color w:val="auto"/>
          <w:sz w:val="24"/>
        </w:rPr>
        <w:fldChar w:fldCharType="separate"/>
      </w:r>
      <w:r>
        <w:rPr>
          <w:color w:val="auto"/>
          <w:sz w:val="24"/>
        </w:rPr>
        <w:t>130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"_Toc12068" </w:instrText>
      </w:r>
      <w:r>
        <w:rPr>
          <w:color w:val="auto"/>
        </w:rPr>
        <w:fldChar w:fldCharType="separate"/>
      </w:r>
      <w:r>
        <w:rPr>
          <w:rFonts w:hint="eastAsia"/>
          <w:bCs/>
          <w:color w:val="auto"/>
          <w:kern w:val="0"/>
          <w:sz w:val="24"/>
        </w:rPr>
        <w:t>6</w:t>
      </w:r>
      <w:r>
        <w:rPr>
          <w:bCs/>
          <w:color w:val="auto"/>
          <w:kern w:val="0"/>
          <w:sz w:val="24"/>
        </w:rPr>
        <w:t>.1.2</w:t>
      </w:r>
      <w:r>
        <w:rPr>
          <w:rFonts w:hint="eastAsia"/>
          <w:bCs/>
          <w:color w:val="auto"/>
          <w:kern w:val="0"/>
          <w:sz w:val="24"/>
        </w:rPr>
        <w:t xml:space="preserve"> </w:t>
      </w:r>
      <w:r>
        <w:rPr>
          <w:bCs/>
          <w:color w:val="auto"/>
          <w:kern w:val="0"/>
          <w:sz w:val="24"/>
        </w:rPr>
        <w:t>建设项目与当地政府区域规划的符合性</w:t>
      </w:r>
      <w:r>
        <w:rPr>
          <w:color w:val="auto"/>
          <w:sz w:val="24"/>
        </w:rPr>
        <w:tab/>
      </w:r>
      <w:r>
        <w:rPr>
          <w:color w:val="auto"/>
          <w:sz w:val="24"/>
        </w:rPr>
        <w:fldChar w:fldCharType="begin"/>
      </w:r>
      <w:r>
        <w:rPr>
          <w:color w:val="auto"/>
          <w:sz w:val="24"/>
        </w:rPr>
        <w:instrText xml:space="preserve"> PAGEREF _Toc12068 \h </w:instrText>
      </w:r>
      <w:r>
        <w:rPr>
          <w:color w:val="auto"/>
          <w:sz w:val="24"/>
        </w:rPr>
        <w:fldChar w:fldCharType="separate"/>
      </w:r>
      <w:r>
        <w:rPr>
          <w:color w:val="auto"/>
          <w:sz w:val="24"/>
        </w:rPr>
        <w:t>130</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"_Toc26178" </w:instrText>
      </w:r>
      <w:r>
        <w:rPr>
          <w:color w:val="auto"/>
        </w:rPr>
        <w:fldChar w:fldCharType="separate"/>
      </w:r>
      <w:r>
        <w:rPr>
          <w:rFonts w:hint="eastAsia"/>
          <w:bCs/>
          <w:color w:val="auto"/>
          <w:kern w:val="0"/>
          <w:sz w:val="24"/>
        </w:rPr>
        <w:t>6</w:t>
      </w:r>
      <w:r>
        <w:rPr>
          <w:bCs/>
          <w:color w:val="auto"/>
          <w:kern w:val="0"/>
          <w:sz w:val="24"/>
        </w:rPr>
        <w:t>.1.3</w:t>
      </w:r>
      <w:r>
        <w:rPr>
          <w:rFonts w:hint="eastAsia"/>
          <w:bCs/>
          <w:color w:val="auto"/>
          <w:kern w:val="0"/>
          <w:sz w:val="24"/>
        </w:rPr>
        <w:t xml:space="preserve"> </w:t>
      </w:r>
      <w:r>
        <w:rPr>
          <w:bCs/>
          <w:color w:val="auto"/>
          <w:kern w:val="0"/>
          <w:sz w:val="24"/>
        </w:rPr>
        <w:t>建设项目选址符合性</w:t>
      </w:r>
      <w:r>
        <w:rPr>
          <w:color w:val="auto"/>
          <w:sz w:val="24"/>
        </w:rPr>
        <w:tab/>
      </w:r>
      <w:r>
        <w:rPr>
          <w:color w:val="auto"/>
          <w:sz w:val="24"/>
        </w:rPr>
        <w:fldChar w:fldCharType="begin"/>
      </w:r>
      <w:r>
        <w:rPr>
          <w:color w:val="auto"/>
          <w:sz w:val="24"/>
        </w:rPr>
        <w:instrText xml:space="preserve"> PAGEREF _Toc26178 \h </w:instrText>
      </w:r>
      <w:r>
        <w:rPr>
          <w:color w:val="auto"/>
          <w:sz w:val="24"/>
        </w:rPr>
        <w:fldChar w:fldCharType="separate"/>
      </w:r>
      <w:r>
        <w:rPr>
          <w:color w:val="auto"/>
          <w:sz w:val="24"/>
        </w:rPr>
        <w:t>131</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"_Toc28021" </w:instrText>
      </w:r>
      <w:r>
        <w:rPr>
          <w:color w:val="auto"/>
        </w:rPr>
        <w:fldChar w:fldCharType="separate"/>
      </w:r>
      <w:r>
        <w:rPr>
          <w:rFonts w:hint="eastAsia"/>
          <w:bCs/>
          <w:color w:val="auto"/>
          <w:kern w:val="0"/>
          <w:sz w:val="24"/>
        </w:rPr>
        <w:t>6</w:t>
      </w:r>
      <w:r>
        <w:rPr>
          <w:bCs/>
          <w:color w:val="auto"/>
          <w:kern w:val="0"/>
          <w:sz w:val="24"/>
        </w:rPr>
        <w:t>.1.4</w:t>
      </w:r>
      <w:r>
        <w:rPr>
          <w:rFonts w:hint="eastAsia"/>
          <w:bCs/>
          <w:color w:val="auto"/>
          <w:kern w:val="0"/>
          <w:sz w:val="24"/>
        </w:rPr>
        <w:t xml:space="preserve"> </w:t>
      </w:r>
      <w:r>
        <w:rPr>
          <w:bCs/>
          <w:color w:val="auto"/>
          <w:kern w:val="0"/>
          <w:sz w:val="24"/>
        </w:rPr>
        <w:t>项目与“八类场所”的距离情况</w:t>
      </w:r>
      <w:r>
        <w:rPr>
          <w:color w:val="auto"/>
          <w:sz w:val="24"/>
        </w:rPr>
        <w:tab/>
      </w:r>
      <w:r>
        <w:rPr>
          <w:color w:val="auto"/>
          <w:sz w:val="24"/>
        </w:rPr>
        <w:fldChar w:fldCharType="begin"/>
      </w:r>
      <w:r>
        <w:rPr>
          <w:color w:val="auto"/>
          <w:sz w:val="24"/>
        </w:rPr>
        <w:instrText xml:space="preserve"> PAGEREF _Toc28021 \h </w:instrText>
      </w:r>
      <w:r>
        <w:rPr>
          <w:color w:val="auto"/>
          <w:sz w:val="24"/>
        </w:rPr>
        <w:fldChar w:fldCharType="separate"/>
      </w:r>
      <w:r>
        <w:rPr>
          <w:color w:val="auto"/>
          <w:sz w:val="24"/>
        </w:rPr>
        <w:t>132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"_Toc19302" </w:instrText>
      </w:r>
      <w:r>
        <w:rPr>
          <w:color w:val="auto"/>
        </w:rPr>
        <w:fldChar w:fldCharType="separate"/>
      </w:r>
      <w:r>
        <w:rPr>
          <w:rFonts w:hint="eastAsia"/>
          <w:bCs/>
          <w:color w:val="auto"/>
          <w:kern w:val="0"/>
          <w:sz w:val="24"/>
        </w:rPr>
        <w:t>6</w:t>
      </w:r>
      <w:r>
        <w:rPr>
          <w:bCs/>
          <w:color w:val="auto"/>
          <w:kern w:val="0"/>
          <w:sz w:val="24"/>
        </w:rPr>
        <w:t>.1.</w:t>
      </w:r>
      <w:r>
        <w:rPr>
          <w:rFonts w:hint="eastAsia"/>
          <w:bCs/>
          <w:color w:val="auto"/>
          <w:kern w:val="0"/>
          <w:sz w:val="24"/>
        </w:rPr>
        <w:t xml:space="preserve">5 </w:t>
      </w:r>
      <w:r>
        <w:rPr>
          <w:bCs/>
          <w:color w:val="auto"/>
          <w:kern w:val="0"/>
          <w:sz w:val="24"/>
        </w:rPr>
        <w:t>建设项目对周边生产、经营活动和居民生活的影响</w:t>
      </w:r>
      <w:r>
        <w:rPr>
          <w:color w:val="auto"/>
          <w:sz w:val="24"/>
        </w:rPr>
        <w:tab/>
      </w:r>
      <w:r>
        <w:rPr>
          <w:color w:val="auto"/>
          <w:sz w:val="24"/>
        </w:rPr>
        <w:fldChar w:fldCharType="begin"/>
      </w:r>
      <w:r>
        <w:rPr>
          <w:color w:val="auto"/>
          <w:sz w:val="24"/>
        </w:rPr>
        <w:instrText xml:space="preserve"> PAGEREF _Toc19302 \h </w:instrText>
      </w:r>
      <w:r>
        <w:rPr>
          <w:color w:val="auto"/>
          <w:sz w:val="24"/>
        </w:rPr>
        <w:fldChar w:fldCharType="separate"/>
      </w:r>
      <w:r>
        <w:rPr>
          <w:color w:val="auto"/>
          <w:sz w:val="24"/>
        </w:rPr>
        <w:t>133</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"_Toc11109" </w:instrText>
      </w:r>
      <w:r>
        <w:rPr>
          <w:color w:val="auto"/>
        </w:rPr>
        <w:fldChar w:fldCharType="separate"/>
      </w:r>
      <w:r>
        <w:rPr>
          <w:rFonts w:hint="eastAsia"/>
          <w:bCs/>
          <w:color w:val="auto"/>
          <w:kern w:val="0"/>
          <w:sz w:val="24"/>
        </w:rPr>
        <w:t>6</w:t>
      </w:r>
      <w:r>
        <w:rPr>
          <w:bCs/>
          <w:color w:val="auto"/>
          <w:kern w:val="0"/>
          <w:sz w:val="24"/>
        </w:rPr>
        <w:t>.1.</w:t>
      </w:r>
      <w:r>
        <w:rPr>
          <w:rFonts w:hint="eastAsia"/>
          <w:bCs/>
          <w:color w:val="auto"/>
          <w:kern w:val="0"/>
          <w:sz w:val="24"/>
        </w:rPr>
        <w:t>6</w:t>
      </w:r>
      <w:r>
        <w:rPr>
          <w:bCs/>
          <w:color w:val="auto"/>
          <w:kern w:val="0"/>
          <w:sz w:val="24"/>
        </w:rPr>
        <w:t xml:space="preserve"> 建设项目周边生产、经营活动和居民生活情况对建设项目投入生产后的影响</w:t>
      </w:r>
      <w:r>
        <w:rPr>
          <w:color w:val="auto"/>
          <w:sz w:val="24"/>
        </w:rPr>
        <w:tab/>
      </w:r>
      <w:r>
        <w:rPr>
          <w:color w:val="auto"/>
          <w:sz w:val="24"/>
        </w:rPr>
        <w:fldChar w:fldCharType="begin"/>
      </w:r>
      <w:r>
        <w:rPr>
          <w:color w:val="auto"/>
          <w:sz w:val="24"/>
        </w:rPr>
        <w:instrText xml:space="preserve"> PAGEREF _Toc11109 \h </w:instrText>
      </w:r>
      <w:r>
        <w:rPr>
          <w:color w:val="auto"/>
          <w:sz w:val="24"/>
        </w:rPr>
        <w:fldChar w:fldCharType="separate"/>
      </w:r>
      <w:r>
        <w:rPr>
          <w:color w:val="auto"/>
          <w:sz w:val="24"/>
        </w:rPr>
        <w:t>133</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"_Toc24740" </w:instrText>
      </w:r>
      <w:r>
        <w:rPr>
          <w:color w:val="auto"/>
        </w:rPr>
        <w:fldChar w:fldCharType="separate"/>
      </w:r>
      <w:r>
        <w:rPr>
          <w:rFonts w:hint="eastAsia"/>
          <w:bCs/>
          <w:color w:val="auto"/>
          <w:kern w:val="0"/>
          <w:sz w:val="24"/>
        </w:rPr>
        <w:t>6</w:t>
      </w:r>
      <w:r>
        <w:rPr>
          <w:bCs/>
          <w:color w:val="auto"/>
          <w:kern w:val="0"/>
          <w:sz w:val="24"/>
        </w:rPr>
        <w:t>.1.</w:t>
      </w:r>
      <w:r>
        <w:rPr>
          <w:rFonts w:hint="eastAsia"/>
          <w:bCs/>
          <w:color w:val="auto"/>
          <w:kern w:val="0"/>
          <w:sz w:val="24"/>
        </w:rPr>
        <w:t>7</w:t>
      </w:r>
      <w:r>
        <w:rPr>
          <w:bCs/>
          <w:color w:val="auto"/>
          <w:kern w:val="0"/>
          <w:sz w:val="24"/>
        </w:rPr>
        <w:t xml:space="preserve"> 建设项目所在地自然条件对建设项目投入生产后的影响</w:t>
      </w:r>
      <w:r>
        <w:rPr>
          <w:color w:val="auto"/>
          <w:sz w:val="24"/>
        </w:rPr>
        <w:tab/>
      </w:r>
      <w:r>
        <w:rPr>
          <w:color w:val="auto"/>
          <w:sz w:val="24"/>
        </w:rPr>
        <w:fldChar w:fldCharType="begin"/>
      </w:r>
      <w:r>
        <w:rPr>
          <w:color w:val="auto"/>
          <w:sz w:val="24"/>
        </w:rPr>
        <w:instrText xml:space="preserve"> PAGEREF _Toc24740 \h </w:instrText>
      </w:r>
      <w:r>
        <w:rPr>
          <w:color w:val="auto"/>
          <w:sz w:val="24"/>
        </w:rPr>
        <w:fldChar w:fldCharType="separate"/>
      </w:r>
      <w:r>
        <w:rPr>
          <w:color w:val="auto"/>
          <w:sz w:val="24"/>
        </w:rPr>
        <w:t>134</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"_Toc14623" </w:instrText>
      </w:r>
      <w:r>
        <w:rPr>
          <w:color w:val="auto"/>
        </w:rPr>
        <w:fldChar w:fldCharType="separate"/>
      </w:r>
      <w:r>
        <w:rPr>
          <w:rFonts w:hint="eastAsia"/>
          <w:bCs/>
          <w:color w:val="auto"/>
          <w:kern w:val="0"/>
          <w:sz w:val="24"/>
        </w:rPr>
        <w:t>6</w:t>
      </w:r>
      <w:r>
        <w:rPr>
          <w:bCs/>
          <w:color w:val="auto"/>
          <w:kern w:val="0"/>
          <w:sz w:val="24"/>
        </w:rPr>
        <w:t>.2</w:t>
      </w:r>
      <w:r>
        <w:rPr>
          <w:rFonts w:hint="eastAsia"/>
          <w:bCs/>
          <w:color w:val="auto"/>
          <w:kern w:val="0"/>
          <w:sz w:val="24"/>
        </w:rPr>
        <w:t xml:space="preserve"> </w:t>
      </w:r>
      <w:r>
        <w:rPr>
          <w:bCs/>
          <w:color w:val="auto"/>
          <w:kern w:val="0"/>
          <w:sz w:val="24"/>
        </w:rPr>
        <w:t>建设项目安全生产条件的分析结果</w:t>
      </w:r>
      <w:r>
        <w:rPr>
          <w:color w:val="auto"/>
          <w:sz w:val="24"/>
        </w:rPr>
        <w:tab/>
      </w:r>
      <w:r>
        <w:rPr>
          <w:color w:val="auto"/>
          <w:sz w:val="24"/>
        </w:rPr>
        <w:fldChar w:fldCharType="begin"/>
      </w:r>
      <w:r>
        <w:rPr>
          <w:color w:val="auto"/>
          <w:sz w:val="24"/>
        </w:rPr>
        <w:instrText xml:space="preserve"> PAGEREF _Toc14623 \h </w:instrText>
      </w:r>
      <w:r>
        <w:rPr>
          <w:color w:val="auto"/>
          <w:sz w:val="24"/>
        </w:rPr>
        <w:fldChar w:fldCharType="separate"/>
      </w:r>
      <w:r>
        <w:rPr>
          <w:color w:val="auto"/>
          <w:sz w:val="24"/>
        </w:rPr>
        <w:t>136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"_Toc7990" </w:instrText>
      </w:r>
      <w:r>
        <w:rPr>
          <w:color w:val="auto"/>
        </w:rPr>
        <w:fldChar w:fldCharType="separate"/>
      </w:r>
      <w:r>
        <w:rPr>
          <w:rFonts w:hint="eastAsia"/>
          <w:bCs/>
          <w:color w:val="auto"/>
          <w:kern w:val="0"/>
          <w:sz w:val="24"/>
        </w:rPr>
        <w:t>6</w:t>
      </w:r>
      <w:r>
        <w:rPr>
          <w:bCs/>
          <w:color w:val="auto"/>
          <w:kern w:val="0"/>
          <w:sz w:val="24"/>
        </w:rPr>
        <w:t>.2.1 建设项目采用安全设施情况</w:t>
      </w:r>
      <w:r>
        <w:rPr>
          <w:color w:val="auto"/>
          <w:sz w:val="24"/>
        </w:rPr>
        <w:tab/>
      </w:r>
      <w:r>
        <w:rPr>
          <w:color w:val="auto"/>
          <w:sz w:val="24"/>
        </w:rPr>
        <w:fldChar w:fldCharType="begin"/>
      </w:r>
      <w:r>
        <w:rPr>
          <w:color w:val="auto"/>
          <w:sz w:val="24"/>
        </w:rPr>
        <w:instrText xml:space="preserve"> PAGEREF _Toc7990 \h </w:instrText>
      </w:r>
      <w:r>
        <w:rPr>
          <w:color w:val="auto"/>
          <w:sz w:val="24"/>
        </w:rPr>
        <w:fldChar w:fldCharType="separate"/>
      </w:r>
      <w:r>
        <w:rPr>
          <w:color w:val="auto"/>
          <w:sz w:val="24"/>
        </w:rPr>
        <w:t>136</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"_Toc21963" </w:instrText>
      </w:r>
      <w:r>
        <w:rPr>
          <w:color w:val="auto"/>
        </w:rPr>
        <w:fldChar w:fldCharType="separate"/>
      </w:r>
      <w:r>
        <w:rPr>
          <w:rFonts w:hint="eastAsia"/>
          <w:bCs/>
          <w:color w:val="auto"/>
          <w:kern w:val="0"/>
          <w:sz w:val="24"/>
        </w:rPr>
        <w:t>6.2.2 安全生产管理情况</w:t>
      </w:r>
      <w:r>
        <w:rPr>
          <w:color w:val="auto"/>
          <w:sz w:val="24"/>
        </w:rPr>
        <w:tab/>
      </w:r>
      <w:r>
        <w:rPr>
          <w:color w:val="auto"/>
          <w:sz w:val="24"/>
        </w:rPr>
        <w:fldChar w:fldCharType="begin"/>
      </w:r>
      <w:r>
        <w:rPr>
          <w:color w:val="auto"/>
          <w:sz w:val="24"/>
        </w:rPr>
        <w:instrText xml:space="preserve"> PAGEREF _Toc21963 \h </w:instrText>
      </w:r>
      <w:r>
        <w:rPr>
          <w:color w:val="auto"/>
          <w:sz w:val="24"/>
        </w:rPr>
        <w:fldChar w:fldCharType="separate"/>
      </w:r>
      <w:r>
        <w:rPr>
          <w:color w:val="auto"/>
          <w:sz w:val="24"/>
        </w:rPr>
        <w:t>148</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"_Toc4396" </w:instrText>
      </w:r>
      <w:r>
        <w:rPr>
          <w:color w:val="auto"/>
        </w:rPr>
        <w:fldChar w:fldCharType="separate"/>
      </w:r>
      <w:r>
        <w:rPr>
          <w:rFonts w:hint="eastAsia"/>
          <w:bCs/>
          <w:color w:val="auto"/>
          <w:kern w:val="0"/>
          <w:sz w:val="24"/>
        </w:rPr>
        <w:t>6.2.3 装置、设备和设施</w:t>
      </w:r>
      <w:r>
        <w:rPr>
          <w:color w:val="auto"/>
          <w:sz w:val="24"/>
        </w:rPr>
        <w:tab/>
      </w:r>
      <w:r>
        <w:rPr>
          <w:color w:val="auto"/>
          <w:sz w:val="24"/>
        </w:rPr>
        <w:fldChar w:fldCharType="begin"/>
      </w:r>
      <w:r>
        <w:rPr>
          <w:color w:val="auto"/>
          <w:sz w:val="24"/>
        </w:rPr>
        <w:instrText xml:space="preserve"> PAGEREF _Toc4396 \h </w:instrText>
      </w:r>
      <w:r>
        <w:rPr>
          <w:color w:val="auto"/>
          <w:sz w:val="24"/>
        </w:rPr>
        <w:fldChar w:fldCharType="separate"/>
      </w:r>
      <w:r>
        <w:rPr>
          <w:color w:val="auto"/>
          <w:sz w:val="24"/>
        </w:rPr>
        <w:t>152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"_Toc13465" </w:instrText>
      </w:r>
      <w:r>
        <w:rPr>
          <w:color w:val="auto"/>
        </w:rPr>
        <w:fldChar w:fldCharType="separate"/>
      </w:r>
      <w:r>
        <w:rPr>
          <w:rFonts w:hint="eastAsia"/>
          <w:bCs/>
          <w:color w:val="auto"/>
          <w:kern w:val="0"/>
          <w:sz w:val="24"/>
        </w:rPr>
        <w:t>6.2.5 作业场所</w:t>
      </w:r>
      <w:r>
        <w:rPr>
          <w:color w:val="auto"/>
          <w:sz w:val="24"/>
        </w:rPr>
        <w:tab/>
      </w:r>
      <w:r>
        <w:rPr>
          <w:color w:val="auto"/>
          <w:sz w:val="24"/>
        </w:rPr>
        <w:fldChar w:fldCharType="begin"/>
      </w:r>
      <w:r>
        <w:rPr>
          <w:color w:val="auto"/>
          <w:sz w:val="24"/>
        </w:rPr>
        <w:instrText xml:space="preserve"> PAGEREF _Toc13465 \h </w:instrText>
      </w:r>
      <w:r>
        <w:rPr>
          <w:color w:val="auto"/>
          <w:sz w:val="24"/>
        </w:rPr>
        <w:fldChar w:fldCharType="separate"/>
      </w:r>
      <w:r>
        <w:rPr>
          <w:color w:val="auto"/>
          <w:sz w:val="24"/>
        </w:rPr>
        <w:t>152</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"_Toc12499" </w:instrText>
      </w:r>
      <w:r>
        <w:rPr>
          <w:color w:val="auto"/>
        </w:rPr>
        <w:fldChar w:fldCharType="separate"/>
      </w:r>
      <w:r>
        <w:rPr>
          <w:rFonts w:hint="eastAsia"/>
          <w:bCs/>
          <w:color w:val="auto"/>
          <w:kern w:val="0"/>
          <w:sz w:val="24"/>
        </w:rPr>
        <w:t>6.2.6 事故及应急处理</w:t>
      </w:r>
      <w:r>
        <w:rPr>
          <w:color w:val="auto"/>
          <w:sz w:val="24"/>
        </w:rPr>
        <w:tab/>
      </w:r>
      <w:r>
        <w:rPr>
          <w:color w:val="auto"/>
          <w:sz w:val="24"/>
        </w:rPr>
        <w:fldChar w:fldCharType="begin"/>
      </w:r>
      <w:r>
        <w:rPr>
          <w:color w:val="auto"/>
          <w:sz w:val="24"/>
        </w:rPr>
        <w:instrText xml:space="preserve"> PAGEREF _Toc12499 \h </w:instrText>
      </w:r>
      <w:r>
        <w:rPr>
          <w:color w:val="auto"/>
          <w:sz w:val="24"/>
        </w:rPr>
        <w:fldChar w:fldCharType="separate"/>
      </w:r>
      <w:r>
        <w:rPr>
          <w:color w:val="auto"/>
          <w:sz w:val="24"/>
        </w:rPr>
        <w:t>154</w:t>
      </w:r>
      <w:r>
        <w:rPr>
          <w:color w:val="auto"/>
          <w:sz w:val="24"/>
        </w:rPr>
        <w:fldChar w:fldCharType="end"/>
      </w:r>
      <w:r>
        <w:rPr>
          <w:color w:val="auto"/>
          <w:sz w:val="24"/>
        </w:rPr>
        <w:fldChar w:fldCharType="end"/>
      </w:r>
    </w:p>
    <w:p>
      <w:pPr>
        <w:pStyle w:val="12"/>
        <w:tabs>
          <w:tab w:val="right" w:leader="dot" w:pos="9070"/>
        </w:tabs>
        <w:spacing w:line="420" w:lineRule="exact"/>
        <w:ind w:left="1120"/>
        <w:rPr>
          <w:color w:val="auto"/>
          <w:sz w:val="24"/>
        </w:rPr>
      </w:pPr>
      <w:r>
        <w:rPr>
          <w:color w:val="auto"/>
        </w:rPr>
        <w:fldChar w:fldCharType="begin"/>
      </w:r>
      <w:r>
        <w:rPr>
          <w:color w:val="auto"/>
        </w:rPr>
        <w:instrText xml:space="preserve"> HYPERLINK \l "_Toc4885" </w:instrText>
      </w:r>
      <w:r>
        <w:rPr>
          <w:color w:val="auto"/>
        </w:rPr>
        <w:fldChar w:fldCharType="separate"/>
      </w:r>
      <w:r>
        <w:rPr>
          <w:rFonts w:hint="eastAsia"/>
          <w:bCs/>
          <w:color w:val="auto"/>
          <w:kern w:val="0"/>
          <w:sz w:val="24"/>
        </w:rPr>
        <w:t>6.2.7 现场检查不符合项对策措施及整改情况</w:t>
      </w:r>
      <w:r>
        <w:rPr>
          <w:color w:val="auto"/>
          <w:sz w:val="24"/>
        </w:rPr>
        <w:tab/>
      </w:r>
      <w:r>
        <w:rPr>
          <w:color w:val="auto"/>
          <w:sz w:val="24"/>
        </w:rPr>
        <w:fldChar w:fldCharType="begin"/>
      </w:r>
      <w:r>
        <w:rPr>
          <w:color w:val="auto"/>
          <w:sz w:val="24"/>
        </w:rPr>
        <w:instrText xml:space="preserve"> PAGEREF _Toc4885 \h </w:instrText>
      </w:r>
      <w:r>
        <w:rPr>
          <w:color w:val="auto"/>
          <w:sz w:val="24"/>
        </w:rPr>
        <w:fldChar w:fldCharType="separate"/>
      </w:r>
      <w:r>
        <w:rPr>
          <w:color w:val="auto"/>
          <w:sz w:val="24"/>
        </w:rPr>
        <w:t>160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"_Toc2095" </w:instrText>
      </w:r>
      <w:r>
        <w:rPr>
          <w:color w:val="auto"/>
        </w:rPr>
        <w:fldChar w:fldCharType="separate"/>
      </w:r>
      <w:r>
        <w:rPr>
          <w:rFonts w:hint="eastAsia"/>
          <w:bCs/>
          <w:color w:val="auto"/>
          <w:kern w:val="0"/>
          <w:sz w:val="24"/>
        </w:rPr>
        <w:t>6.3 事故案例分析</w:t>
      </w:r>
      <w:r>
        <w:rPr>
          <w:color w:val="auto"/>
          <w:sz w:val="24"/>
        </w:rPr>
        <w:tab/>
      </w:r>
      <w:r>
        <w:rPr>
          <w:color w:val="auto"/>
          <w:sz w:val="24"/>
        </w:rPr>
        <w:fldChar w:fldCharType="begin"/>
      </w:r>
      <w:r>
        <w:rPr>
          <w:color w:val="auto"/>
          <w:sz w:val="24"/>
        </w:rPr>
        <w:instrText xml:space="preserve"> PAGEREF _Toc2095 \h </w:instrText>
      </w:r>
      <w:r>
        <w:rPr>
          <w:color w:val="auto"/>
          <w:sz w:val="24"/>
        </w:rPr>
        <w:fldChar w:fldCharType="separate"/>
      </w:r>
      <w:r>
        <w:rPr>
          <w:color w:val="auto"/>
          <w:sz w:val="24"/>
        </w:rPr>
        <w:t>160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"_Toc13108" </w:instrText>
      </w:r>
      <w:r>
        <w:rPr>
          <w:color w:val="auto"/>
        </w:rPr>
        <w:fldChar w:fldCharType="separate"/>
      </w:r>
      <w:r>
        <w:rPr>
          <w:rFonts w:hint="eastAsia"/>
          <w:color w:val="auto"/>
          <w:kern w:val="0"/>
          <w:sz w:val="24"/>
        </w:rPr>
        <w:t>6.4 建议补充的安全对策措施</w:t>
      </w:r>
      <w:r>
        <w:rPr>
          <w:color w:val="auto"/>
          <w:sz w:val="24"/>
        </w:rPr>
        <w:tab/>
      </w:r>
      <w:r>
        <w:rPr>
          <w:color w:val="auto"/>
          <w:sz w:val="24"/>
        </w:rPr>
        <w:fldChar w:fldCharType="begin"/>
      </w:r>
      <w:r>
        <w:rPr>
          <w:color w:val="auto"/>
          <w:sz w:val="24"/>
        </w:rPr>
        <w:instrText xml:space="preserve"> PAGEREF _Toc13108 \h </w:instrText>
      </w:r>
      <w:r>
        <w:rPr>
          <w:color w:val="auto"/>
          <w:sz w:val="24"/>
        </w:rPr>
        <w:fldChar w:fldCharType="separate"/>
      </w:r>
      <w:r>
        <w:rPr>
          <w:color w:val="auto"/>
          <w:sz w:val="24"/>
        </w:rPr>
        <w:t>166</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"_Toc14680" </w:instrText>
      </w:r>
      <w:r>
        <w:rPr>
          <w:color w:val="auto"/>
        </w:rPr>
        <w:fldChar w:fldCharType="separate"/>
      </w:r>
      <w:r>
        <w:rPr>
          <w:rFonts w:hint="eastAsia"/>
          <w:color w:val="auto"/>
          <w:kern w:val="0"/>
          <w:sz w:val="24"/>
        </w:rPr>
        <w:t>7 评价结论</w:t>
      </w:r>
      <w:r>
        <w:rPr>
          <w:color w:val="auto"/>
          <w:sz w:val="24"/>
        </w:rPr>
        <w:tab/>
      </w:r>
      <w:r>
        <w:rPr>
          <w:color w:val="auto"/>
          <w:sz w:val="24"/>
        </w:rPr>
        <w:fldChar w:fldCharType="begin"/>
      </w:r>
      <w:r>
        <w:rPr>
          <w:color w:val="auto"/>
          <w:sz w:val="24"/>
        </w:rPr>
        <w:instrText xml:space="preserve"> PAGEREF _Toc14680 \h </w:instrText>
      </w:r>
      <w:r>
        <w:rPr>
          <w:color w:val="auto"/>
          <w:sz w:val="24"/>
        </w:rPr>
        <w:fldChar w:fldCharType="separate"/>
      </w:r>
      <w:r>
        <w:rPr>
          <w:color w:val="auto"/>
          <w:sz w:val="24"/>
        </w:rPr>
        <w:t>171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"_Toc24255" </w:instrText>
      </w:r>
      <w:r>
        <w:rPr>
          <w:color w:val="auto"/>
        </w:rPr>
        <w:fldChar w:fldCharType="separate"/>
      </w:r>
      <w:r>
        <w:rPr>
          <w:rFonts w:hint="eastAsia"/>
          <w:bCs/>
          <w:color w:val="auto"/>
          <w:kern w:val="0"/>
          <w:sz w:val="24"/>
        </w:rPr>
        <w:t xml:space="preserve">7.1 </w:t>
      </w:r>
      <w:r>
        <w:rPr>
          <w:bCs/>
          <w:color w:val="auto"/>
          <w:kern w:val="0"/>
          <w:sz w:val="24"/>
        </w:rPr>
        <w:t>危险、有害因素辨识结果</w:t>
      </w:r>
      <w:r>
        <w:rPr>
          <w:color w:val="auto"/>
          <w:sz w:val="24"/>
        </w:rPr>
        <w:tab/>
      </w:r>
      <w:r>
        <w:rPr>
          <w:color w:val="auto"/>
          <w:sz w:val="24"/>
        </w:rPr>
        <w:fldChar w:fldCharType="begin"/>
      </w:r>
      <w:r>
        <w:rPr>
          <w:color w:val="auto"/>
          <w:sz w:val="24"/>
        </w:rPr>
        <w:instrText xml:space="preserve"> PAGEREF _Toc24255 \h </w:instrText>
      </w:r>
      <w:r>
        <w:rPr>
          <w:color w:val="auto"/>
          <w:sz w:val="24"/>
        </w:rPr>
        <w:fldChar w:fldCharType="separate"/>
      </w:r>
      <w:r>
        <w:rPr>
          <w:color w:val="auto"/>
          <w:sz w:val="24"/>
        </w:rPr>
        <w:t>171</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"_Toc7875" </w:instrText>
      </w:r>
      <w:r>
        <w:rPr>
          <w:color w:val="auto"/>
        </w:rPr>
        <w:fldChar w:fldCharType="separate"/>
      </w:r>
      <w:r>
        <w:rPr>
          <w:rFonts w:hint="eastAsia"/>
          <w:bCs/>
          <w:color w:val="auto"/>
          <w:kern w:val="0"/>
          <w:sz w:val="24"/>
        </w:rPr>
        <w:t xml:space="preserve">7.2 </w:t>
      </w:r>
      <w:r>
        <w:rPr>
          <w:bCs/>
          <w:color w:val="auto"/>
          <w:kern w:val="0"/>
          <w:sz w:val="24"/>
        </w:rPr>
        <w:t>符合性评价结果</w:t>
      </w:r>
      <w:r>
        <w:rPr>
          <w:color w:val="auto"/>
          <w:sz w:val="24"/>
        </w:rPr>
        <w:tab/>
      </w:r>
      <w:r>
        <w:rPr>
          <w:color w:val="auto"/>
          <w:sz w:val="24"/>
        </w:rPr>
        <w:fldChar w:fldCharType="begin"/>
      </w:r>
      <w:r>
        <w:rPr>
          <w:color w:val="auto"/>
          <w:sz w:val="24"/>
        </w:rPr>
        <w:instrText xml:space="preserve"> PAGEREF _Toc7875 \h </w:instrText>
      </w:r>
      <w:r>
        <w:rPr>
          <w:color w:val="auto"/>
          <w:sz w:val="24"/>
        </w:rPr>
        <w:fldChar w:fldCharType="separate"/>
      </w:r>
      <w:r>
        <w:rPr>
          <w:color w:val="auto"/>
          <w:sz w:val="24"/>
        </w:rPr>
        <w:t>172</w:t>
      </w:r>
      <w:r>
        <w:rPr>
          <w:color w:val="auto"/>
          <w:sz w:val="24"/>
        </w:rPr>
        <w:fldChar w:fldCharType="end"/>
      </w:r>
      <w:r>
        <w:rPr>
          <w:color w:val="auto"/>
          <w:sz w:val="24"/>
        </w:rPr>
        <w:fldChar w:fldCharType="end"/>
      </w:r>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"_Toc1788" </w:instrText>
      </w:r>
      <w:r>
        <w:rPr>
          <w:color w:val="auto"/>
        </w:rPr>
        <w:fldChar w:fldCharType="separate"/>
      </w:r>
      <w:r>
        <w:rPr>
          <w:rFonts w:hint="eastAsia"/>
          <w:color w:val="auto"/>
          <w:kern w:val="0"/>
          <w:sz w:val="24"/>
        </w:rPr>
        <w:t>8 危险化学品及其理化性能指标</w:t>
      </w:r>
      <w:r>
        <w:rPr>
          <w:color w:val="auto"/>
          <w:sz w:val="24"/>
        </w:rPr>
        <w:tab/>
      </w:r>
      <w:r>
        <w:rPr>
          <w:color w:val="auto"/>
          <w:sz w:val="24"/>
        </w:rPr>
        <w:fldChar w:fldCharType="begin"/>
      </w:r>
      <w:r>
        <w:rPr>
          <w:color w:val="auto"/>
          <w:sz w:val="24"/>
        </w:rPr>
        <w:instrText xml:space="preserve"> PAGEREF _Toc1788 \h </w:instrText>
      </w:r>
      <w:r>
        <w:rPr>
          <w:color w:val="auto"/>
          <w:sz w:val="24"/>
        </w:rPr>
        <w:fldChar w:fldCharType="separate"/>
      </w:r>
      <w:r>
        <w:rPr>
          <w:color w:val="auto"/>
          <w:sz w:val="24"/>
        </w:rPr>
        <w:t>175</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"_Toc27317" </w:instrText>
      </w:r>
      <w:r>
        <w:rPr>
          <w:color w:val="auto"/>
        </w:rPr>
        <w:fldChar w:fldCharType="separate"/>
      </w:r>
      <w:r>
        <w:rPr>
          <w:rFonts w:hint="eastAsia" w:cs="Times New Roman"/>
          <w:bCs/>
          <w:snapToGrid w:val="0"/>
          <w:color w:val="auto"/>
          <w:kern w:val="0"/>
          <w:sz w:val="24"/>
        </w:rPr>
        <w:t>8.1 环氧树脂</w:t>
      </w:r>
      <w:r>
        <w:rPr>
          <w:color w:val="auto"/>
          <w:sz w:val="24"/>
        </w:rPr>
        <w:tab/>
      </w:r>
      <w:r>
        <w:rPr>
          <w:color w:val="auto"/>
          <w:sz w:val="24"/>
        </w:rPr>
        <w:fldChar w:fldCharType="begin"/>
      </w:r>
      <w:r>
        <w:rPr>
          <w:color w:val="auto"/>
          <w:sz w:val="24"/>
        </w:rPr>
        <w:instrText xml:space="preserve"> PAGEREF _Toc27317 \h </w:instrText>
      </w:r>
      <w:r>
        <w:rPr>
          <w:color w:val="auto"/>
          <w:sz w:val="24"/>
        </w:rPr>
        <w:fldChar w:fldCharType="separate"/>
      </w:r>
      <w:r>
        <w:rPr>
          <w:color w:val="auto"/>
          <w:sz w:val="24"/>
        </w:rPr>
        <w:t>175</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"_Toc27340" </w:instrText>
      </w:r>
      <w:r>
        <w:rPr>
          <w:color w:val="auto"/>
        </w:rPr>
        <w:fldChar w:fldCharType="separate"/>
      </w:r>
      <w:r>
        <w:rPr>
          <w:rFonts w:hint="eastAsia" w:cs="Times New Roman"/>
          <w:bCs/>
          <w:snapToGrid w:val="0"/>
          <w:color w:val="auto"/>
          <w:kern w:val="0"/>
          <w:sz w:val="24"/>
        </w:rPr>
        <w:t>8.2 固化剂（环氧树脂）</w:t>
      </w:r>
      <w:r>
        <w:rPr>
          <w:color w:val="auto"/>
          <w:sz w:val="24"/>
        </w:rPr>
        <w:tab/>
      </w:r>
      <w:r>
        <w:rPr>
          <w:color w:val="auto"/>
          <w:sz w:val="24"/>
        </w:rPr>
        <w:fldChar w:fldCharType="begin"/>
      </w:r>
      <w:r>
        <w:rPr>
          <w:color w:val="auto"/>
          <w:sz w:val="24"/>
        </w:rPr>
        <w:instrText xml:space="preserve"> PAGEREF _Toc27340 \h </w:instrText>
      </w:r>
      <w:r>
        <w:rPr>
          <w:color w:val="auto"/>
          <w:sz w:val="24"/>
        </w:rPr>
        <w:fldChar w:fldCharType="separate"/>
      </w:r>
      <w:r>
        <w:rPr>
          <w:color w:val="auto"/>
          <w:sz w:val="24"/>
        </w:rPr>
        <w:t>182</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"_Toc10101" </w:instrText>
      </w:r>
      <w:r>
        <w:rPr>
          <w:color w:val="auto"/>
        </w:rPr>
        <w:fldChar w:fldCharType="separate"/>
      </w:r>
      <w:r>
        <w:rPr>
          <w:rFonts w:hint="eastAsia" w:cs="Times New Roman"/>
          <w:bCs/>
          <w:snapToGrid w:val="0"/>
          <w:color w:val="auto"/>
          <w:kern w:val="0"/>
          <w:sz w:val="24"/>
        </w:rPr>
        <w:t>8.3 丙烯酸树脂</w:t>
      </w:r>
      <w:r>
        <w:rPr>
          <w:color w:val="auto"/>
          <w:sz w:val="24"/>
        </w:rPr>
        <w:tab/>
      </w:r>
      <w:r>
        <w:rPr>
          <w:color w:val="auto"/>
          <w:sz w:val="24"/>
        </w:rPr>
        <w:fldChar w:fldCharType="begin"/>
      </w:r>
      <w:r>
        <w:rPr>
          <w:color w:val="auto"/>
          <w:sz w:val="24"/>
        </w:rPr>
        <w:instrText xml:space="preserve"> PAGEREF _Toc10101 \h </w:instrText>
      </w:r>
      <w:r>
        <w:rPr>
          <w:color w:val="auto"/>
          <w:sz w:val="24"/>
        </w:rPr>
        <w:fldChar w:fldCharType="separate"/>
      </w:r>
      <w:r>
        <w:rPr>
          <w:color w:val="auto"/>
          <w:sz w:val="24"/>
        </w:rPr>
        <w:t>189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"_Toc16025" </w:instrText>
      </w:r>
      <w:r>
        <w:rPr>
          <w:color w:val="auto"/>
        </w:rPr>
        <w:fldChar w:fldCharType="separate"/>
      </w:r>
      <w:r>
        <w:rPr>
          <w:rFonts w:hint="eastAsia" w:cs="Times New Roman"/>
          <w:bCs/>
          <w:snapToGrid w:val="0"/>
          <w:color w:val="auto"/>
          <w:kern w:val="0"/>
          <w:sz w:val="24"/>
        </w:rPr>
        <w:t>8.4 聚氨酯树脂</w:t>
      </w:r>
      <w:r>
        <w:rPr>
          <w:color w:val="auto"/>
          <w:sz w:val="24"/>
        </w:rPr>
        <w:tab/>
      </w:r>
      <w:r>
        <w:rPr>
          <w:color w:val="auto"/>
          <w:sz w:val="24"/>
        </w:rPr>
        <w:fldChar w:fldCharType="begin"/>
      </w:r>
      <w:r>
        <w:rPr>
          <w:color w:val="auto"/>
          <w:sz w:val="24"/>
        </w:rPr>
        <w:instrText xml:space="preserve"> PAGEREF _Toc16025 \h </w:instrText>
      </w:r>
      <w:r>
        <w:rPr>
          <w:color w:val="auto"/>
          <w:sz w:val="24"/>
        </w:rPr>
        <w:fldChar w:fldCharType="separate"/>
      </w:r>
      <w:r>
        <w:rPr>
          <w:color w:val="auto"/>
          <w:sz w:val="24"/>
        </w:rPr>
        <w:t>196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"_Toc17921" </w:instrText>
      </w:r>
      <w:r>
        <w:rPr>
          <w:color w:val="auto"/>
        </w:rPr>
        <w:fldChar w:fldCharType="separate"/>
      </w:r>
      <w:r>
        <w:rPr>
          <w:rFonts w:hint="eastAsia" w:cs="Times New Roman"/>
          <w:bCs/>
          <w:snapToGrid w:val="0"/>
          <w:color w:val="auto"/>
          <w:kern w:val="0"/>
          <w:sz w:val="24"/>
        </w:rPr>
        <w:t>8.5 溶剂型氟碳树脂</w:t>
      </w:r>
      <w:r>
        <w:rPr>
          <w:color w:val="auto"/>
          <w:sz w:val="24"/>
        </w:rPr>
        <w:tab/>
      </w:r>
      <w:r>
        <w:rPr>
          <w:color w:val="auto"/>
          <w:sz w:val="24"/>
        </w:rPr>
        <w:fldChar w:fldCharType="begin"/>
      </w:r>
      <w:r>
        <w:rPr>
          <w:color w:val="auto"/>
          <w:sz w:val="24"/>
        </w:rPr>
        <w:instrText xml:space="preserve"> PAGEREF _Toc17921 \h </w:instrText>
      </w:r>
      <w:r>
        <w:rPr>
          <w:color w:val="auto"/>
          <w:sz w:val="24"/>
        </w:rPr>
        <w:fldChar w:fldCharType="separate"/>
      </w:r>
      <w:r>
        <w:rPr>
          <w:color w:val="auto"/>
          <w:sz w:val="24"/>
        </w:rPr>
        <w:t>203</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"_Toc27843" </w:instrText>
      </w:r>
      <w:r>
        <w:rPr>
          <w:color w:val="auto"/>
        </w:rPr>
        <w:fldChar w:fldCharType="separate"/>
      </w:r>
      <w:r>
        <w:rPr>
          <w:rFonts w:hint="eastAsia" w:cs="Times New Roman"/>
          <w:bCs/>
          <w:snapToGrid w:val="0"/>
          <w:color w:val="auto"/>
          <w:kern w:val="0"/>
          <w:sz w:val="24"/>
        </w:rPr>
        <w:t>8.6 二甲苯</w:t>
      </w:r>
      <w:r>
        <w:rPr>
          <w:color w:val="auto"/>
          <w:sz w:val="24"/>
        </w:rPr>
        <w:tab/>
      </w:r>
      <w:r>
        <w:rPr>
          <w:color w:val="auto"/>
          <w:sz w:val="24"/>
        </w:rPr>
        <w:fldChar w:fldCharType="begin"/>
      </w:r>
      <w:r>
        <w:rPr>
          <w:color w:val="auto"/>
          <w:sz w:val="24"/>
        </w:rPr>
        <w:instrText xml:space="preserve"> PAGEREF _Toc27843 \h </w:instrText>
      </w:r>
      <w:r>
        <w:rPr>
          <w:color w:val="auto"/>
          <w:sz w:val="24"/>
        </w:rPr>
        <w:fldChar w:fldCharType="separate"/>
      </w:r>
      <w:r>
        <w:rPr>
          <w:color w:val="auto"/>
          <w:sz w:val="24"/>
        </w:rPr>
        <w:t>210</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"_Toc5951" </w:instrText>
      </w:r>
      <w:r>
        <w:rPr>
          <w:color w:val="auto"/>
        </w:rPr>
        <w:fldChar w:fldCharType="separate"/>
      </w:r>
      <w:r>
        <w:rPr>
          <w:rFonts w:hint="eastAsia" w:cs="Times New Roman"/>
          <w:bCs/>
          <w:snapToGrid w:val="0"/>
          <w:color w:val="auto"/>
          <w:kern w:val="0"/>
          <w:sz w:val="24"/>
        </w:rPr>
        <w:t>8.7 醋酸丁酯</w:t>
      </w:r>
      <w:r>
        <w:rPr>
          <w:color w:val="auto"/>
          <w:sz w:val="24"/>
        </w:rPr>
        <w:tab/>
      </w:r>
      <w:r>
        <w:rPr>
          <w:color w:val="auto"/>
          <w:sz w:val="24"/>
        </w:rPr>
        <w:fldChar w:fldCharType="begin"/>
      </w:r>
      <w:r>
        <w:rPr>
          <w:color w:val="auto"/>
          <w:sz w:val="24"/>
        </w:rPr>
        <w:instrText xml:space="preserve"> PAGEREF _Toc5951 \h </w:instrText>
      </w:r>
      <w:r>
        <w:rPr>
          <w:color w:val="auto"/>
          <w:sz w:val="24"/>
        </w:rPr>
        <w:fldChar w:fldCharType="separate"/>
      </w:r>
      <w:r>
        <w:rPr>
          <w:color w:val="auto"/>
          <w:sz w:val="24"/>
        </w:rPr>
        <w:t>213</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"_Toc31347" </w:instrText>
      </w:r>
      <w:r>
        <w:rPr>
          <w:color w:val="auto"/>
        </w:rPr>
        <w:fldChar w:fldCharType="separate"/>
      </w:r>
      <w:r>
        <w:rPr>
          <w:rFonts w:hint="eastAsia" w:cs="Times New Roman"/>
          <w:bCs/>
          <w:snapToGrid w:val="0"/>
          <w:color w:val="auto"/>
          <w:kern w:val="0"/>
          <w:sz w:val="24"/>
        </w:rPr>
        <w:t>8.8 正丁醇</w:t>
      </w:r>
      <w:r>
        <w:rPr>
          <w:color w:val="auto"/>
          <w:sz w:val="24"/>
        </w:rPr>
        <w:tab/>
      </w:r>
      <w:r>
        <w:rPr>
          <w:color w:val="auto"/>
          <w:sz w:val="24"/>
        </w:rPr>
        <w:fldChar w:fldCharType="begin"/>
      </w:r>
      <w:r>
        <w:rPr>
          <w:color w:val="auto"/>
          <w:sz w:val="24"/>
        </w:rPr>
        <w:instrText xml:space="preserve"> PAGEREF _Toc31347 \h </w:instrText>
      </w:r>
      <w:r>
        <w:rPr>
          <w:color w:val="auto"/>
          <w:sz w:val="24"/>
        </w:rPr>
        <w:fldChar w:fldCharType="separate"/>
      </w:r>
      <w:r>
        <w:rPr>
          <w:color w:val="auto"/>
          <w:sz w:val="24"/>
        </w:rPr>
        <w:t>216</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"_Toc11281" </w:instrText>
      </w:r>
      <w:r>
        <w:rPr>
          <w:color w:val="auto"/>
        </w:rPr>
        <w:fldChar w:fldCharType="separate"/>
      </w:r>
      <w:r>
        <w:rPr>
          <w:rFonts w:hint="eastAsia" w:cs="Times New Roman"/>
          <w:bCs/>
          <w:snapToGrid w:val="0"/>
          <w:color w:val="auto"/>
          <w:kern w:val="0"/>
          <w:sz w:val="24"/>
        </w:rPr>
        <w:t>8.9 丙烯酸树脂涂料</w:t>
      </w:r>
      <w:r>
        <w:rPr>
          <w:color w:val="auto"/>
          <w:sz w:val="24"/>
        </w:rPr>
        <w:tab/>
      </w:r>
      <w:r>
        <w:rPr>
          <w:color w:val="auto"/>
          <w:sz w:val="24"/>
        </w:rPr>
        <w:fldChar w:fldCharType="begin"/>
      </w:r>
      <w:r>
        <w:rPr>
          <w:color w:val="auto"/>
          <w:sz w:val="24"/>
        </w:rPr>
        <w:instrText xml:space="preserve"> PAGEREF _Toc11281 \h </w:instrText>
      </w:r>
      <w:r>
        <w:rPr>
          <w:color w:val="auto"/>
          <w:sz w:val="24"/>
        </w:rPr>
        <w:fldChar w:fldCharType="separate"/>
      </w:r>
      <w:r>
        <w:rPr>
          <w:color w:val="auto"/>
          <w:sz w:val="24"/>
        </w:rPr>
        <w:t>219</w:t>
      </w:r>
      <w:r>
        <w:rPr>
          <w:color w:val="auto"/>
          <w:sz w:val="24"/>
        </w:rPr>
        <w:fldChar w:fldCharType="end"/>
      </w:r>
      <w:r>
        <w:rPr>
          <w:color w:val="auto"/>
          <w:sz w:val="24"/>
        </w:rPr>
        <w:fldChar w:fldCharType="end"/>
      </w:r>
    </w:p>
    <w:p>
      <w:pPr>
        <w:pStyle w:val="18"/>
        <w:tabs>
          <w:tab w:val="right" w:leader="dot" w:pos="9070"/>
        </w:tabs>
        <w:spacing w:line="420" w:lineRule="exact"/>
        <w:ind w:left="560"/>
        <w:rPr>
          <w:color w:val="auto"/>
          <w:sz w:val="24"/>
        </w:rPr>
      </w:pPr>
      <w:r>
        <w:rPr>
          <w:color w:val="auto"/>
        </w:rPr>
        <w:fldChar w:fldCharType="begin"/>
      </w:r>
      <w:r>
        <w:rPr>
          <w:color w:val="auto"/>
        </w:rPr>
        <w:instrText xml:space="preserve"> HYPERLINK \l "_Toc15352" </w:instrText>
      </w:r>
      <w:r>
        <w:rPr>
          <w:color w:val="auto"/>
        </w:rPr>
        <w:fldChar w:fldCharType="separate"/>
      </w:r>
      <w:r>
        <w:rPr>
          <w:rFonts w:hint="eastAsia" w:cs="Times New Roman"/>
          <w:bCs/>
          <w:snapToGrid w:val="0"/>
          <w:color w:val="auto"/>
          <w:kern w:val="0"/>
          <w:sz w:val="24"/>
        </w:rPr>
        <w:t>8.10 聚氨酯树脂涂料、环氧树脂涂料、氟碳树脂涂料溶剂油</w:t>
      </w:r>
      <w:r>
        <w:rPr>
          <w:color w:val="auto"/>
          <w:sz w:val="24"/>
        </w:rPr>
        <w:tab/>
      </w:r>
      <w:r>
        <w:rPr>
          <w:color w:val="auto"/>
          <w:sz w:val="24"/>
        </w:rPr>
        <w:fldChar w:fldCharType="begin"/>
      </w:r>
      <w:r>
        <w:rPr>
          <w:color w:val="auto"/>
          <w:sz w:val="24"/>
        </w:rPr>
        <w:instrText xml:space="preserve"> PAGEREF _Toc15352 \h </w:instrText>
      </w:r>
      <w:r>
        <w:rPr>
          <w:color w:val="auto"/>
          <w:sz w:val="24"/>
        </w:rPr>
        <w:fldChar w:fldCharType="separate"/>
      </w:r>
      <w:r>
        <w:rPr>
          <w:color w:val="auto"/>
          <w:sz w:val="24"/>
        </w:rPr>
        <w:t>223</w:t>
      </w:r>
      <w:r>
        <w:rPr>
          <w:color w:val="auto"/>
          <w:sz w:val="24"/>
        </w:rPr>
        <w:fldChar w:fldCharType="end"/>
      </w:r>
      <w:r>
        <w:rPr>
          <w:color w:val="auto"/>
          <w:sz w:val="24"/>
        </w:rPr>
        <w:fldChar w:fldCharType="end"/>
      </w:r>
    </w:p>
    <w:p>
      <w:pPr>
        <w:pStyle w:val="18"/>
        <w:tabs>
          <w:tab w:val="right" w:leader="dot" w:pos="9070"/>
        </w:tabs>
        <w:spacing w:line="420" w:lineRule="exact"/>
        <w:ind w:left="0" w:leftChars="0" w:firstLine="0" w:firstLineChars="0"/>
        <w:rPr>
          <w:color w:val="auto"/>
          <w:sz w:val="24"/>
        </w:rPr>
      </w:pPr>
      <w:r>
        <w:rPr>
          <w:color w:val="auto"/>
        </w:rPr>
        <w:fldChar w:fldCharType="begin"/>
      </w:r>
      <w:r>
        <w:rPr>
          <w:color w:val="auto"/>
        </w:rPr>
        <w:instrText xml:space="preserve"> HYPERLINK \l "_Toc15028" </w:instrText>
      </w:r>
      <w:r>
        <w:rPr>
          <w:color w:val="auto"/>
        </w:rPr>
        <w:fldChar w:fldCharType="separate"/>
      </w:r>
      <w:r>
        <w:rPr>
          <w:rFonts w:hint="eastAsia"/>
          <w:color w:val="auto"/>
          <w:kern w:val="0"/>
          <w:sz w:val="24"/>
        </w:rPr>
        <w:t>9 与建设单位交换意见情况</w:t>
      </w:r>
      <w:r>
        <w:rPr>
          <w:color w:val="auto"/>
          <w:sz w:val="24"/>
        </w:rPr>
        <w:tab/>
      </w:r>
      <w:r>
        <w:rPr>
          <w:color w:val="auto"/>
          <w:sz w:val="24"/>
        </w:rPr>
        <w:fldChar w:fldCharType="begin"/>
      </w:r>
      <w:r>
        <w:rPr>
          <w:color w:val="auto"/>
          <w:sz w:val="24"/>
        </w:rPr>
        <w:instrText xml:space="preserve"> PAGEREF _Toc15028 \h </w:instrText>
      </w:r>
      <w:r>
        <w:rPr>
          <w:color w:val="auto"/>
          <w:sz w:val="24"/>
        </w:rPr>
        <w:fldChar w:fldCharType="separate"/>
      </w:r>
      <w:r>
        <w:rPr>
          <w:color w:val="auto"/>
          <w:sz w:val="24"/>
        </w:rPr>
        <w:t>224</w:t>
      </w:r>
      <w:r>
        <w:rPr>
          <w:color w:val="auto"/>
          <w:sz w:val="24"/>
        </w:rPr>
        <w:fldChar w:fldCharType="end"/>
      </w:r>
      <w:r>
        <w:rPr>
          <w:color w:val="auto"/>
          <w:sz w:val="24"/>
        </w:rPr>
        <w:fldChar w:fldCharType="end"/>
      </w:r>
      <w:bookmarkStart w:id="325" w:name="_GoBack"/>
      <w:bookmarkEnd w:id="325"/>
    </w:p>
    <w:p>
      <w:pPr>
        <w:pStyle w:val="16"/>
        <w:tabs>
          <w:tab w:val="right" w:leader="dot" w:pos="9070"/>
        </w:tabs>
        <w:spacing w:line="420" w:lineRule="exact"/>
        <w:rPr>
          <w:color w:val="auto"/>
          <w:sz w:val="24"/>
        </w:rPr>
      </w:pPr>
      <w:r>
        <w:rPr>
          <w:color w:val="auto"/>
        </w:rPr>
        <w:fldChar w:fldCharType="begin"/>
      </w:r>
      <w:r>
        <w:rPr>
          <w:color w:val="auto"/>
        </w:rPr>
        <w:instrText xml:space="preserve"> HYPERLINK \l "_Toc7450" </w:instrText>
      </w:r>
      <w:r>
        <w:rPr>
          <w:color w:val="auto"/>
        </w:rPr>
        <w:fldChar w:fldCharType="separate"/>
      </w:r>
      <w:r>
        <w:rPr>
          <w:rFonts w:hint="eastAsia"/>
          <w:color w:val="auto"/>
          <w:kern w:val="0"/>
          <w:sz w:val="24"/>
        </w:rPr>
        <w:t>10 附件</w:t>
      </w:r>
      <w:r>
        <w:rPr>
          <w:color w:val="auto"/>
          <w:sz w:val="24"/>
        </w:rPr>
        <w:tab/>
      </w:r>
      <w:r>
        <w:rPr>
          <w:color w:val="auto"/>
          <w:sz w:val="24"/>
        </w:rPr>
        <w:fldChar w:fldCharType="begin"/>
      </w:r>
      <w:r>
        <w:rPr>
          <w:color w:val="auto"/>
          <w:sz w:val="24"/>
        </w:rPr>
        <w:instrText xml:space="preserve"> PAGEREF _Toc7450 \h </w:instrText>
      </w:r>
      <w:r>
        <w:rPr>
          <w:color w:val="auto"/>
          <w:sz w:val="24"/>
        </w:rPr>
        <w:fldChar w:fldCharType="separate"/>
      </w:r>
      <w:r>
        <w:rPr>
          <w:color w:val="auto"/>
          <w:sz w:val="24"/>
        </w:rPr>
        <w:t>225</w:t>
      </w:r>
      <w:r>
        <w:rPr>
          <w:color w:val="auto"/>
          <w:sz w:val="24"/>
        </w:rPr>
        <w:fldChar w:fldCharType="end"/>
      </w:r>
      <w:r>
        <w:rPr>
          <w:color w:val="auto"/>
          <w:sz w:val="24"/>
        </w:rPr>
        <w:fldChar w:fldCharType="end"/>
      </w:r>
    </w:p>
    <w:p>
      <w:pPr>
        <w:wordWrap w:val="0"/>
        <w:adjustRightInd w:val="0"/>
        <w:snapToGrid w:val="0"/>
        <w:spacing w:line="420" w:lineRule="exact"/>
        <w:textAlignment w:val="center"/>
        <w:rPr>
          <w:rFonts w:cs="Times New Roman"/>
          <w:b/>
          <w:bCs/>
          <w:color w:val="auto"/>
          <w:kern w:val="0"/>
          <w:sz w:val="24"/>
        </w:rPr>
      </w:pPr>
      <w:r>
        <w:rPr>
          <w:rFonts w:cs="Times New Roman"/>
          <w:bCs/>
          <w:color w:val="auto"/>
          <w:kern w:val="0"/>
          <w:sz w:val="24"/>
        </w:rPr>
        <w:fldChar w:fldCharType="end"/>
      </w:r>
    </w:p>
    <w:p>
      <w:pPr>
        <w:pStyle w:val="23"/>
        <w:ind w:left="0" w:leftChars="0" w:firstLine="0" w:firstLineChars="0"/>
        <w:rPr>
          <w:color w:val="auto"/>
        </w:rPr>
        <w:sectPr>
          <w:footerReference r:id="rId10" w:type="first"/>
          <w:headerReference r:id="rId8" w:type="default"/>
          <w:footerReference r:id="rId9" w:type="default"/>
          <w:pgSz w:w="11906" w:h="16838"/>
          <w:pgMar w:top="1417" w:right="1418" w:bottom="1417" w:left="1418" w:header="850" w:footer="794" w:gutter="0"/>
          <w:pgNumType w:fmt="upperRoman" w:start="1"/>
          <w:cols w:space="0" w:num="1"/>
          <w:docGrid w:type="lines" w:linePitch="394" w:charSpace="0"/>
        </w:sectPr>
      </w:pPr>
    </w:p>
    <w:p>
      <w:pPr>
        <w:pStyle w:val="9"/>
        <w:rPr>
          <w:color w:val="auto"/>
        </w:rPr>
      </w:pPr>
    </w:p>
    <w:p>
      <w:pPr>
        <w:wordWrap w:val="0"/>
        <w:adjustRightInd w:val="0"/>
        <w:snapToGrid w:val="0"/>
        <w:jc w:val="center"/>
        <w:textAlignment w:val="center"/>
        <w:rPr>
          <w:b/>
          <w:bCs/>
          <w:color w:val="auto"/>
          <w:kern w:val="0"/>
          <w:sz w:val="32"/>
          <w:szCs w:val="32"/>
        </w:rPr>
      </w:pPr>
      <w:r>
        <w:rPr>
          <w:rFonts w:hint="eastAsia"/>
          <w:b/>
          <w:bCs/>
          <w:color w:val="auto"/>
          <w:kern w:val="0"/>
          <w:sz w:val="32"/>
          <w:szCs w:val="32"/>
        </w:rPr>
        <w:t>江西景新漆业股份有限公司</w:t>
      </w:r>
    </w:p>
    <w:p>
      <w:pPr>
        <w:wordWrap w:val="0"/>
        <w:adjustRightInd w:val="0"/>
        <w:snapToGrid w:val="0"/>
        <w:jc w:val="center"/>
        <w:textAlignment w:val="center"/>
        <w:rPr>
          <w:b/>
          <w:bCs/>
          <w:color w:val="auto"/>
          <w:kern w:val="0"/>
          <w:sz w:val="32"/>
          <w:szCs w:val="32"/>
        </w:rPr>
      </w:pPr>
      <w:r>
        <w:rPr>
          <w:rFonts w:hint="eastAsia"/>
          <w:b/>
          <w:bCs/>
          <w:color w:val="auto"/>
          <w:kern w:val="0"/>
          <w:sz w:val="32"/>
          <w:szCs w:val="32"/>
        </w:rPr>
        <w:t>安全生产设施技术改造项目（106甲类仓库）</w:t>
      </w:r>
    </w:p>
    <w:p>
      <w:pPr>
        <w:wordWrap w:val="0"/>
        <w:adjustRightInd w:val="0"/>
        <w:snapToGrid w:val="0"/>
        <w:jc w:val="center"/>
        <w:textAlignment w:val="center"/>
        <w:rPr>
          <w:color w:val="auto"/>
          <w:kern w:val="0"/>
        </w:rPr>
      </w:pPr>
      <w:r>
        <w:rPr>
          <w:b/>
          <w:bCs/>
          <w:color w:val="auto"/>
          <w:kern w:val="0"/>
          <w:sz w:val="32"/>
          <w:szCs w:val="32"/>
        </w:rPr>
        <w:t>安全验收评价报告</w:t>
      </w:r>
    </w:p>
    <w:p>
      <w:pPr>
        <w:wordWrap w:val="0"/>
        <w:adjustRightInd w:val="0"/>
        <w:snapToGrid w:val="0"/>
        <w:textAlignment w:val="center"/>
        <w:rPr>
          <w:color w:val="auto"/>
          <w:kern w:val="0"/>
          <w:sz w:val="32"/>
          <w:szCs w:val="32"/>
        </w:rPr>
      </w:pPr>
      <w:bookmarkStart w:id="1" w:name="_Toc10628"/>
    </w:p>
    <w:p>
      <w:pPr>
        <w:pStyle w:val="3"/>
        <w:keepNext w:val="0"/>
        <w:keepLines w:val="0"/>
        <w:wordWrap w:val="0"/>
        <w:adjustRightInd w:val="0"/>
        <w:snapToGrid w:val="0"/>
        <w:jc w:val="center"/>
        <w:textAlignment w:val="center"/>
        <w:rPr>
          <w:color w:val="auto"/>
          <w:kern w:val="0"/>
          <w:sz w:val="32"/>
          <w:szCs w:val="32"/>
        </w:rPr>
      </w:pPr>
      <w:bookmarkStart w:id="2" w:name="_Toc30297"/>
      <w:bookmarkStart w:id="3" w:name="_Toc19900"/>
      <w:r>
        <w:rPr>
          <w:rFonts w:hint="eastAsia"/>
          <w:color w:val="auto"/>
          <w:kern w:val="0"/>
          <w:sz w:val="32"/>
          <w:szCs w:val="32"/>
        </w:rPr>
        <w:t>1 编制说明</w:t>
      </w:r>
      <w:bookmarkEnd w:id="1"/>
      <w:bookmarkEnd w:id="2"/>
      <w:bookmarkEnd w:id="3"/>
    </w:p>
    <w:p>
      <w:pPr>
        <w:pStyle w:val="4"/>
        <w:keepNext w:val="0"/>
        <w:keepLines w:val="0"/>
        <w:wordWrap w:val="0"/>
        <w:adjustRightInd w:val="0"/>
        <w:snapToGrid w:val="0"/>
        <w:jc w:val="center"/>
        <w:textAlignment w:val="center"/>
        <w:rPr>
          <w:color w:val="auto"/>
          <w:kern w:val="0"/>
        </w:rPr>
      </w:pPr>
      <w:bookmarkStart w:id="4" w:name="_Toc24648"/>
      <w:bookmarkStart w:id="5" w:name="_Toc22089"/>
      <w:bookmarkStart w:id="6" w:name="_Toc31199"/>
      <w:r>
        <w:rPr>
          <w:rFonts w:hint="eastAsia"/>
          <w:color w:val="auto"/>
          <w:kern w:val="0"/>
        </w:rPr>
        <w:t>1.1 评价目的及评价原则</w:t>
      </w:r>
      <w:bookmarkEnd w:id="4"/>
      <w:bookmarkEnd w:id="5"/>
      <w:bookmarkEnd w:id="6"/>
    </w:p>
    <w:p>
      <w:pPr>
        <w:pStyle w:val="5"/>
        <w:keepNext w:val="0"/>
        <w:keepLines w:val="0"/>
        <w:wordWrap w:val="0"/>
        <w:adjustRightInd w:val="0"/>
        <w:snapToGrid w:val="0"/>
        <w:textAlignment w:val="center"/>
        <w:rPr>
          <w:color w:val="auto"/>
          <w:kern w:val="0"/>
        </w:rPr>
      </w:pPr>
      <w:bookmarkStart w:id="7" w:name="_Toc408"/>
      <w:r>
        <w:rPr>
          <w:rFonts w:hint="eastAsia"/>
          <w:color w:val="auto"/>
          <w:kern w:val="0"/>
        </w:rPr>
        <w:t>1.1.1 评价目的</w:t>
      </w:r>
      <w:bookmarkEnd w:id="7"/>
    </w:p>
    <w:p>
      <w:pPr>
        <w:wordWrap w:val="0"/>
        <w:adjustRightInd w:val="0"/>
        <w:snapToGrid w:val="0"/>
        <w:ind w:firstLine="560" w:firstLineChars="200"/>
        <w:textAlignment w:val="center"/>
        <w:rPr>
          <w:color w:val="auto"/>
          <w:kern w:val="0"/>
        </w:rPr>
      </w:pPr>
      <w:r>
        <w:rPr>
          <w:color w:val="auto"/>
          <w:kern w:val="0"/>
        </w:rPr>
        <w:t>项目安全设施验收评价的目的主要有：</w:t>
      </w:r>
    </w:p>
    <w:p>
      <w:pPr>
        <w:wordWrap w:val="0"/>
        <w:adjustRightInd w:val="0"/>
        <w:snapToGrid w:val="0"/>
        <w:ind w:firstLine="560" w:firstLineChars="200"/>
        <w:textAlignment w:val="center"/>
        <w:rPr>
          <w:color w:val="auto"/>
          <w:kern w:val="0"/>
        </w:rPr>
      </w:pPr>
      <w:r>
        <w:rPr>
          <w:color w:val="auto"/>
          <w:kern w:val="0"/>
        </w:rPr>
        <w:t>1、贯彻“安全第一、预防为主、综合治理”的方针，对建设项目及其安全设施试生产（使用）情况进行安全验收评价，为建设项目安全设施竣工安全验收提供技术依据，为</w:t>
      </w:r>
      <w:r>
        <w:rPr>
          <w:rFonts w:hint="eastAsia"/>
          <w:color w:val="auto"/>
          <w:kern w:val="0"/>
        </w:rPr>
        <w:t>应急管理部门</w:t>
      </w:r>
      <w:r>
        <w:rPr>
          <w:color w:val="auto"/>
          <w:kern w:val="0"/>
        </w:rPr>
        <w:t>实施行政许可提供依据。</w:t>
      </w:r>
    </w:p>
    <w:p>
      <w:pPr>
        <w:wordWrap w:val="0"/>
        <w:adjustRightInd w:val="0"/>
        <w:snapToGrid w:val="0"/>
        <w:ind w:firstLine="560" w:firstLineChars="200"/>
        <w:textAlignment w:val="center"/>
        <w:rPr>
          <w:color w:val="auto"/>
          <w:kern w:val="0"/>
        </w:rPr>
      </w:pPr>
      <w:r>
        <w:rPr>
          <w:color w:val="auto"/>
          <w:kern w:val="0"/>
        </w:rPr>
        <w:t>2、通过对建设项目的安全设施、设备、装置及实际运行状况及安全管理状况的安全评价，查找、辨识及分析建设项目运行过程潜在的危险、有害因素，预测其发生事故的可能性及严重程度。</w:t>
      </w:r>
    </w:p>
    <w:p>
      <w:pPr>
        <w:wordWrap w:val="0"/>
        <w:adjustRightInd w:val="0"/>
        <w:snapToGrid w:val="0"/>
        <w:ind w:firstLine="560" w:firstLineChars="200"/>
        <w:textAlignment w:val="center"/>
        <w:rPr>
          <w:color w:val="auto"/>
          <w:kern w:val="0"/>
        </w:rPr>
      </w:pPr>
      <w:r>
        <w:rPr>
          <w:color w:val="auto"/>
          <w:kern w:val="0"/>
        </w:rPr>
        <w:t>3、检查建设项目中安全设施与主体工程同时设计、同时施工、同时投入生产和使用的情况，检查建设项目的安全设施与安全生产法律、法规、规章、标准、规范的符合性及安装、施工、调试、检验、检测情况，检查安全生产管理规章制度、安全规程、事故应急预案的健全情况及安全管理措施到位情况，得出建设项目与安全生产法律、法规、规章、标准、规范符合性的结论；根据预测发生事故的可能性及严重程度，评价项目采取的安全设施及措施后的风险可接受程度，提出合理可行的安全对策措施建议。</w:t>
      </w:r>
    </w:p>
    <w:p>
      <w:pPr>
        <w:wordWrap w:val="0"/>
        <w:adjustRightInd w:val="0"/>
        <w:snapToGrid w:val="0"/>
        <w:ind w:firstLine="560" w:firstLineChars="200"/>
        <w:textAlignment w:val="center"/>
        <w:rPr>
          <w:color w:val="auto"/>
          <w:kern w:val="0"/>
        </w:rPr>
      </w:pPr>
      <w:r>
        <w:rPr>
          <w:color w:val="auto"/>
          <w:kern w:val="0"/>
        </w:rPr>
        <w:t>4、为建设项目的安全生产管理，事故应急预案，安全标准化等工作提供指导。</w:t>
      </w:r>
    </w:p>
    <w:p>
      <w:pPr>
        <w:pStyle w:val="5"/>
        <w:keepNext w:val="0"/>
        <w:keepLines w:val="0"/>
        <w:wordWrap w:val="0"/>
        <w:adjustRightInd w:val="0"/>
        <w:snapToGrid w:val="0"/>
        <w:textAlignment w:val="center"/>
        <w:rPr>
          <w:color w:val="auto"/>
          <w:kern w:val="0"/>
        </w:rPr>
      </w:pPr>
      <w:bookmarkStart w:id="8" w:name="_Toc2933"/>
      <w:r>
        <w:rPr>
          <w:rFonts w:hint="eastAsia"/>
          <w:color w:val="auto"/>
          <w:kern w:val="0"/>
        </w:rPr>
        <w:t>1.1.2 评价原则</w:t>
      </w:r>
      <w:bookmarkEnd w:id="8"/>
    </w:p>
    <w:p>
      <w:pPr>
        <w:wordWrap w:val="0"/>
        <w:adjustRightInd w:val="0"/>
        <w:snapToGrid w:val="0"/>
        <w:ind w:firstLine="560" w:firstLineChars="200"/>
        <w:textAlignment w:val="center"/>
        <w:rPr>
          <w:color w:val="auto"/>
          <w:kern w:val="0"/>
        </w:rPr>
      </w:pPr>
      <w:r>
        <w:rPr>
          <w:rFonts w:hint="eastAsia"/>
          <w:color w:val="auto"/>
          <w:kern w:val="0"/>
        </w:rPr>
        <w:t>本次对《江西景新漆业股份有限公司安全生产设施技术改造项目（106甲类仓库）》进行安全验收评价所遵循的原则是：</w:t>
      </w:r>
    </w:p>
    <w:p>
      <w:pPr>
        <w:wordWrap w:val="0"/>
        <w:adjustRightInd w:val="0"/>
        <w:snapToGrid w:val="0"/>
        <w:ind w:firstLine="560" w:firstLineChars="200"/>
        <w:textAlignment w:val="center"/>
        <w:rPr>
          <w:color w:val="auto"/>
          <w:kern w:val="0"/>
        </w:rPr>
      </w:pPr>
      <w:r>
        <w:rPr>
          <w:rFonts w:hint="eastAsia"/>
          <w:color w:val="auto"/>
          <w:kern w:val="0"/>
        </w:rPr>
        <w:t>1、认真贯彻国家现行安全生产法律、法规，严格执行国家标准与规范，力求评价的科学性与公正性。</w:t>
      </w:r>
    </w:p>
    <w:p>
      <w:pPr>
        <w:wordWrap w:val="0"/>
        <w:adjustRightInd w:val="0"/>
        <w:snapToGrid w:val="0"/>
        <w:ind w:firstLine="560" w:firstLineChars="200"/>
        <w:textAlignment w:val="center"/>
        <w:rPr>
          <w:color w:val="auto"/>
          <w:kern w:val="0"/>
        </w:rPr>
      </w:pPr>
      <w:r>
        <w:rPr>
          <w:rFonts w:hint="eastAsia"/>
          <w:color w:val="auto"/>
          <w:kern w:val="0"/>
        </w:rPr>
        <w:t>2、采用科学、适用的评价技术方法，力求使评价结论客观，符合建设项目的生产实际。</w:t>
      </w:r>
    </w:p>
    <w:p>
      <w:pPr>
        <w:wordWrap w:val="0"/>
        <w:adjustRightInd w:val="0"/>
        <w:snapToGrid w:val="0"/>
        <w:ind w:firstLine="560" w:firstLineChars="200"/>
        <w:textAlignment w:val="center"/>
        <w:rPr>
          <w:color w:val="auto"/>
          <w:kern w:val="0"/>
        </w:rPr>
      </w:pPr>
      <w:r>
        <w:rPr>
          <w:rFonts w:hint="eastAsia"/>
          <w:color w:val="auto"/>
          <w:kern w:val="0"/>
        </w:rPr>
        <w:t>3、深入现场，深入实际，充分发挥评价人员和有关专家的专业技术优势，在全面分析危险、有害因素，查找安全隐患的基础上，提出较为有效的安全对策措施。</w:t>
      </w:r>
    </w:p>
    <w:p>
      <w:pPr>
        <w:wordWrap w:val="0"/>
        <w:adjustRightInd w:val="0"/>
        <w:snapToGrid w:val="0"/>
        <w:ind w:firstLine="560" w:firstLineChars="200"/>
        <w:textAlignment w:val="center"/>
        <w:rPr>
          <w:color w:val="auto"/>
          <w:kern w:val="0"/>
        </w:rPr>
      </w:pPr>
      <w:r>
        <w:rPr>
          <w:rFonts w:hint="eastAsia"/>
          <w:color w:val="auto"/>
          <w:kern w:val="0"/>
        </w:rPr>
        <w:t>4、诚信、负责，为企业服务。</w:t>
      </w:r>
    </w:p>
    <w:p>
      <w:pPr>
        <w:pStyle w:val="4"/>
        <w:keepNext w:val="0"/>
        <w:keepLines w:val="0"/>
        <w:wordWrap w:val="0"/>
        <w:adjustRightInd w:val="0"/>
        <w:snapToGrid w:val="0"/>
        <w:jc w:val="center"/>
        <w:textAlignment w:val="center"/>
        <w:rPr>
          <w:color w:val="auto"/>
          <w:kern w:val="0"/>
        </w:rPr>
      </w:pPr>
      <w:bookmarkStart w:id="9" w:name="_Toc17657"/>
      <w:bookmarkStart w:id="10" w:name="_Toc1417"/>
      <w:bookmarkStart w:id="11" w:name="_Toc31342"/>
      <w:r>
        <w:rPr>
          <w:rFonts w:hint="eastAsia"/>
          <w:color w:val="auto"/>
          <w:kern w:val="0"/>
        </w:rPr>
        <w:t>1.2 评价依据</w:t>
      </w:r>
      <w:bookmarkEnd w:id="9"/>
      <w:bookmarkEnd w:id="10"/>
      <w:bookmarkEnd w:id="11"/>
    </w:p>
    <w:p>
      <w:pPr>
        <w:pStyle w:val="5"/>
        <w:keepNext w:val="0"/>
        <w:keepLines w:val="0"/>
        <w:wordWrap w:val="0"/>
        <w:adjustRightInd w:val="0"/>
        <w:snapToGrid w:val="0"/>
        <w:textAlignment w:val="center"/>
        <w:rPr>
          <w:color w:val="auto"/>
          <w:kern w:val="0"/>
        </w:rPr>
      </w:pPr>
      <w:bookmarkStart w:id="12" w:name="_Toc14343"/>
      <w:r>
        <w:rPr>
          <w:rFonts w:hint="eastAsia"/>
          <w:color w:val="auto"/>
          <w:kern w:val="0"/>
        </w:rPr>
        <w:t>1.2.1 法律法规</w:t>
      </w:r>
      <w:bookmarkEnd w:id="12"/>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w:t>
      </w:r>
      <w:r>
        <w:rPr>
          <w:rFonts w:cs="Times New Roman"/>
          <w:snapToGrid w:val="0"/>
          <w:color w:val="auto"/>
          <w:kern w:val="0"/>
          <w:szCs w:val="28"/>
        </w:rPr>
        <w:t>《中华人民共和国安全生产法》主席令［2014］第13号，2014年8月31日第十二届全国人民代表大会常务委员会第十次会议通过，2014年12月1日起实施；2021年6月10日第十三届全国人民代表大会常务委员会第二十九次会议于通过《全国人民代表大会常务委员会关于修改〈中华人民共和国安全生产法〉的决定》，自2021年9月1日起施行</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w:t>
      </w:r>
      <w:r>
        <w:rPr>
          <w:rFonts w:cs="Times New Roman"/>
          <w:snapToGrid w:val="0"/>
          <w:color w:val="auto"/>
          <w:kern w:val="0"/>
          <w:szCs w:val="28"/>
        </w:rPr>
        <w:t>《中华人民共和国行政许可法》主席令［2003］第7号，中华人民共和国第十届全国人民代表大会常务委员会第四次会议于2003年8月27日通过，自2004年7月1日起施行，2019年4月23日第十三届全国人民代表大会常务委员会第十次会议《关于修改〈中华人民共和国建筑法〉等八部法律的决定》修正</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3、</w:t>
      </w:r>
      <w:r>
        <w:rPr>
          <w:rFonts w:cs="Times New Roman"/>
          <w:snapToGrid w:val="0"/>
          <w:color w:val="auto"/>
          <w:kern w:val="0"/>
          <w:szCs w:val="28"/>
        </w:rPr>
        <w:t>《中华人民共和国劳动法》主席令［1994］第28号，1994年7月5日第八届全国人民代表大会常务委员会第八次会议通过，1995年1月1日起实施，2018年12月29日第十三届全国人民代表大会常务委员会第七次会议通过修正</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4、</w:t>
      </w:r>
      <w:r>
        <w:rPr>
          <w:rFonts w:cs="Times New Roman"/>
          <w:snapToGrid w:val="0"/>
          <w:color w:val="auto"/>
          <w:kern w:val="0"/>
          <w:szCs w:val="28"/>
        </w:rPr>
        <w:t>《中华人民共和国消防法》主席令［2008］第6号，2008年10月28日第十一届全国人民代表大会常务委员会第五次会议通过，2009年5月1日起实施，2019年4月23日第十三届全国人民代表大会常务委员会第十次会议通过修改，2021年4月29日由中华人民共和国第十三届全国人民代表大会常务委员会第二十八次会议修订</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5、</w:t>
      </w:r>
      <w:r>
        <w:rPr>
          <w:rFonts w:cs="Times New Roman"/>
          <w:snapToGrid w:val="0"/>
          <w:color w:val="auto"/>
          <w:kern w:val="0"/>
          <w:szCs w:val="28"/>
        </w:rPr>
        <w:t>《中华人民共和国职业病防治法》主席令［2001］第60号，2018年12月29日第十三届全国人民代表大会常务委员会第七次会议《关于修改等七部法律的决定》第四次修正</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6、</w:t>
      </w:r>
      <w:r>
        <w:rPr>
          <w:rFonts w:cs="Times New Roman"/>
          <w:snapToGrid w:val="0"/>
          <w:color w:val="auto"/>
          <w:kern w:val="0"/>
          <w:szCs w:val="28"/>
        </w:rPr>
        <w:t>《中华人民共和国环境保护法》国家主席令[2014]第9号，2014年4月24日第十二届全国人民代表大会常务委员会第八次会议修订</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7、</w:t>
      </w:r>
      <w:r>
        <w:rPr>
          <w:rFonts w:cs="Times New Roman"/>
          <w:snapToGrid w:val="0"/>
          <w:color w:val="auto"/>
          <w:kern w:val="0"/>
          <w:szCs w:val="28"/>
        </w:rPr>
        <w:t>《中华人民共和国突发事件应对法》国家主席令[2007]第69号，由中华人民共和国第十届全国人民代表大会常务委员会第二十九次会议于2007年8月30日通过，自2007年11月1日起施行</w:t>
      </w:r>
      <w:r>
        <w:rPr>
          <w:rFonts w:hint="eastAsia" w:cs="Times New Roman"/>
          <w:snapToGrid w:val="0"/>
          <w:color w:val="auto"/>
          <w:kern w:val="0"/>
          <w:szCs w:val="28"/>
        </w:rPr>
        <w:t>；</w:t>
      </w:r>
    </w:p>
    <w:p>
      <w:pPr>
        <w:wordWrap w:val="0"/>
        <w:adjustRightInd w:val="0"/>
        <w:snapToGrid w:val="0"/>
        <w:ind w:firstLine="536" w:firstLineChars="200"/>
        <w:textAlignment w:val="center"/>
        <w:rPr>
          <w:rFonts w:cs="Times New Roman"/>
          <w:snapToGrid w:val="0"/>
          <w:color w:val="auto"/>
          <w:kern w:val="0"/>
          <w:szCs w:val="28"/>
        </w:rPr>
      </w:pPr>
      <w:r>
        <w:rPr>
          <w:rFonts w:hint="eastAsia" w:cs="Times New Roman"/>
          <w:snapToGrid w:val="0"/>
          <w:color w:val="auto"/>
          <w:spacing w:val="-6"/>
          <w:kern w:val="0"/>
          <w:szCs w:val="28"/>
        </w:rPr>
        <w:t>8、</w:t>
      </w:r>
      <w:r>
        <w:rPr>
          <w:rFonts w:cs="Times New Roman"/>
          <w:snapToGrid w:val="0"/>
          <w:color w:val="auto"/>
          <w:spacing w:val="-6"/>
          <w:kern w:val="0"/>
          <w:szCs w:val="28"/>
        </w:rPr>
        <w:t>《中华人民共和国道路交通安全法》国家主席令[2011]第47号，由中华人民共和国第十一届全国人民代表大会常务委员会第二十次会议于2011年4月22日通过，自2011年5月1日起施行，2021年4月29日由中华人民共和国第十三届全国人民代表大会常务委员会第二十八次会议修订</w:t>
      </w:r>
      <w:r>
        <w:rPr>
          <w:rFonts w:hint="eastAsia" w:cs="Times New Roman"/>
          <w:snapToGrid w:val="0"/>
          <w:color w:val="auto"/>
          <w:spacing w:val="-6"/>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9、</w:t>
      </w:r>
      <w:r>
        <w:rPr>
          <w:rFonts w:cs="Times New Roman"/>
          <w:snapToGrid w:val="0"/>
          <w:color w:val="auto"/>
          <w:kern w:val="0"/>
          <w:szCs w:val="28"/>
        </w:rPr>
        <w:t>《中华人民共和国防震减灾法》国家主席令[2008]第7号，由1997年12月29日第八届全国人民代表大会常务委员会第二十九次会议通过2008年12月27日第十一届全国人民代表大会常务委员会第六次会议修订</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10、</w:t>
      </w:r>
      <w:r>
        <w:rPr>
          <w:rFonts w:cs="Times New Roman"/>
          <w:snapToGrid w:val="0"/>
          <w:color w:val="auto"/>
          <w:kern w:val="0"/>
          <w:szCs w:val="28"/>
        </w:rPr>
        <w:t>《危险化学品安全管理条例》国务院令第591号，2011年12月1日起施行，国务院令第645号修改</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11、</w:t>
      </w:r>
      <w:r>
        <w:rPr>
          <w:rFonts w:cs="Times New Roman"/>
          <w:snapToGrid w:val="0"/>
          <w:color w:val="auto"/>
          <w:kern w:val="0"/>
          <w:szCs w:val="28"/>
        </w:rPr>
        <w:t>《工伤保险条例》国务院令第586号，2011年1月1日起施行</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12、</w:t>
      </w:r>
      <w:r>
        <w:rPr>
          <w:rFonts w:cs="Times New Roman"/>
          <w:snapToGrid w:val="0"/>
          <w:color w:val="auto"/>
          <w:kern w:val="0"/>
          <w:szCs w:val="28"/>
        </w:rPr>
        <w:t>《生产安全事故报告和调查处理条例》国务院令[2007]第493号</w:t>
      </w:r>
      <w:r>
        <w:rPr>
          <w:rFonts w:hint="eastAsia" w:cs="Times New Roman"/>
          <w:snapToGrid w:val="0"/>
          <w:color w:val="auto"/>
          <w:kern w:val="0"/>
          <w:szCs w:val="28"/>
        </w:rPr>
        <w:t>；</w:t>
      </w:r>
    </w:p>
    <w:p>
      <w:pPr>
        <w:wordWrap w:val="0"/>
        <w:adjustRightInd w:val="0"/>
        <w:snapToGrid w:val="0"/>
        <w:ind w:firstLine="536" w:firstLineChars="200"/>
        <w:textAlignment w:val="center"/>
        <w:rPr>
          <w:rFonts w:cs="Times New Roman"/>
          <w:snapToGrid w:val="0"/>
          <w:color w:val="auto"/>
          <w:kern w:val="0"/>
          <w:szCs w:val="28"/>
        </w:rPr>
      </w:pPr>
      <w:r>
        <w:rPr>
          <w:rFonts w:hint="eastAsia" w:cs="Times New Roman"/>
          <w:snapToGrid w:val="0"/>
          <w:color w:val="auto"/>
          <w:spacing w:val="-6"/>
          <w:kern w:val="0"/>
          <w:szCs w:val="28"/>
        </w:rPr>
        <w:t>13、</w:t>
      </w:r>
      <w:r>
        <w:rPr>
          <w:rFonts w:cs="Times New Roman"/>
          <w:snapToGrid w:val="0"/>
          <w:color w:val="auto"/>
          <w:spacing w:val="-6"/>
          <w:kern w:val="0"/>
          <w:szCs w:val="28"/>
        </w:rPr>
        <w:t>《劳动保障监察条例》国务院令第423号，2004年12月1日起施行</w:t>
      </w:r>
      <w:r>
        <w:rPr>
          <w:rFonts w:hint="eastAsia" w:cs="Times New Roman"/>
          <w:snapToGrid w:val="0"/>
          <w:color w:val="auto"/>
          <w:spacing w:val="-6"/>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14、</w:t>
      </w:r>
      <w:r>
        <w:rPr>
          <w:rFonts w:cs="Times New Roman"/>
          <w:snapToGrid w:val="0"/>
          <w:color w:val="auto"/>
          <w:kern w:val="0"/>
          <w:szCs w:val="28"/>
        </w:rPr>
        <w:t>《使用有毒物品作业场所劳动保护条例》国务院令第352号，2002年5月12日起施行</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15、</w:t>
      </w:r>
      <w:r>
        <w:rPr>
          <w:rFonts w:cs="Times New Roman"/>
          <w:snapToGrid w:val="0"/>
          <w:color w:val="auto"/>
          <w:kern w:val="0"/>
          <w:szCs w:val="28"/>
        </w:rPr>
        <w:t>《中华人民共和国监控化学品管理条例》国务院令第190号，1995年12月27日起施行，2011年588号令修订</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16、</w:t>
      </w:r>
      <w:r>
        <w:rPr>
          <w:rFonts w:cs="Times New Roman"/>
          <w:snapToGrid w:val="0"/>
          <w:color w:val="auto"/>
          <w:kern w:val="0"/>
          <w:szCs w:val="28"/>
        </w:rPr>
        <w:t>《易制毒化学品管理条例》国务院令第445号，2005年11月1日起施行，2018年国务院令第703号修订</w:t>
      </w:r>
      <w:r>
        <w:rPr>
          <w:rFonts w:hint="eastAsia" w:cs="Times New Roman"/>
          <w:snapToGrid w:val="0"/>
          <w:color w:val="auto"/>
          <w:kern w:val="0"/>
          <w:szCs w:val="28"/>
        </w:rPr>
        <w:t>；</w:t>
      </w:r>
    </w:p>
    <w:p>
      <w:pPr>
        <w:wordWrap w:val="0"/>
        <w:adjustRightInd w:val="0"/>
        <w:snapToGrid w:val="0"/>
        <w:ind w:firstLine="536" w:firstLineChars="200"/>
        <w:textAlignment w:val="center"/>
        <w:rPr>
          <w:rFonts w:cs="Times New Roman"/>
          <w:snapToGrid w:val="0"/>
          <w:color w:val="auto"/>
          <w:kern w:val="0"/>
          <w:szCs w:val="28"/>
        </w:rPr>
      </w:pPr>
      <w:r>
        <w:rPr>
          <w:rFonts w:hint="eastAsia" w:cs="Times New Roman"/>
          <w:snapToGrid w:val="0"/>
          <w:color w:val="auto"/>
          <w:spacing w:val="-6"/>
          <w:kern w:val="0"/>
          <w:szCs w:val="28"/>
        </w:rPr>
        <w:t>17、</w:t>
      </w:r>
      <w:r>
        <w:rPr>
          <w:rFonts w:cs="Times New Roman"/>
          <w:snapToGrid w:val="0"/>
          <w:color w:val="auto"/>
          <w:spacing w:val="-6"/>
          <w:kern w:val="0"/>
          <w:szCs w:val="28"/>
        </w:rPr>
        <w:t>《公路安全保护条例》国务院令第593号，2011年7月1日起施行</w:t>
      </w:r>
      <w:r>
        <w:rPr>
          <w:rFonts w:hint="eastAsia" w:cs="Times New Roman"/>
          <w:snapToGrid w:val="0"/>
          <w:color w:val="auto"/>
          <w:spacing w:val="-6"/>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18、</w:t>
      </w:r>
      <w:r>
        <w:rPr>
          <w:rFonts w:cs="Times New Roman"/>
          <w:snapToGrid w:val="0"/>
          <w:color w:val="auto"/>
          <w:kern w:val="0"/>
          <w:szCs w:val="28"/>
        </w:rPr>
        <w:t>《关于特大安全事故行政责任追究的规定》国务院令第302号，2001年4月21日起实施</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19、</w:t>
      </w:r>
      <w:r>
        <w:rPr>
          <w:rFonts w:cs="Times New Roman"/>
          <w:snapToGrid w:val="0"/>
          <w:color w:val="auto"/>
          <w:kern w:val="0"/>
          <w:szCs w:val="28"/>
        </w:rPr>
        <w:t>《女职工劳动保护特别规定》国务院令[2012]第619号，经2012年4月18日国务院第200次常务会议通过，自公布之日起施行</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20、</w:t>
      </w:r>
      <w:r>
        <w:rPr>
          <w:rFonts w:cs="Times New Roman"/>
          <w:snapToGrid w:val="0"/>
          <w:color w:val="auto"/>
          <w:kern w:val="0"/>
          <w:szCs w:val="28"/>
        </w:rPr>
        <w:t>《生产安全事故应急条例》国务院令第708号，2018年12月5日国务院第33次常务会议通过，自2019年4月1日起施行</w:t>
      </w:r>
      <w:r>
        <w:rPr>
          <w:rFonts w:hint="eastAsia"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21、</w:t>
      </w:r>
      <w:r>
        <w:rPr>
          <w:rFonts w:cs="Times New Roman"/>
          <w:snapToGrid w:val="0"/>
          <w:color w:val="auto"/>
          <w:kern w:val="0"/>
          <w:szCs w:val="28"/>
        </w:rPr>
        <w:t>《江西省安全生产条例》2007年3月29日江西省第十届人民代表大会常务委员会第二十八次会议通过，2023年7月26日江西省第十</w:t>
      </w:r>
      <w:r>
        <w:rPr>
          <w:rFonts w:hint="eastAsia" w:cs="Times New Roman"/>
          <w:snapToGrid w:val="0"/>
          <w:color w:val="auto"/>
          <w:kern w:val="0"/>
          <w:szCs w:val="28"/>
        </w:rPr>
        <w:t>四</w:t>
      </w:r>
      <w:r>
        <w:rPr>
          <w:rFonts w:cs="Times New Roman"/>
          <w:snapToGrid w:val="0"/>
          <w:color w:val="auto"/>
          <w:kern w:val="0"/>
          <w:szCs w:val="28"/>
        </w:rPr>
        <w:t>届人民代表大会常务委员会第三次会议修订</w:t>
      </w:r>
      <w:r>
        <w:rPr>
          <w:rFonts w:hint="eastAsia" w:cs="Times New Roman"/>
          <w:snapToGrid w:val="0"/>
          <w:color w:val="auto"/>
          <w:kern w:val="0"/>
          <w:szCs w:val="28"/>
        </w:rPr>
        <w:t>第二次修订；</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22、</w:t>
      </w:r>
      <w:r>
        <w:rPr>
          <w:rFonts w:cs="Times New Roman"/>
          <w:snapToGrid w:val="0"/>
          <w:color w:val="auto"/>
          <w:kern w:val="0"/>
          <w:szCs w:val="28"/>
        </w:rPr>
        <w:t>《江西省消防条例》江西省人大常委会公号第57号，2010年11月9日起实施，2020年11月25日江西省第十三届人民代表大会常务委员会第二十五次会议第六次修正</w:t>
      </w:r>
      <w:r>
        <w:rPr>
          <w:rFonts w:hint="eastAsia" w:cs="Times New Roman"/>
          <w:snapToGrid w:val="0"/>
          <w:color w:val="auto"/>
          <w:kern w:val="0"/>
          <w:szCs w:val="28"/>
        </w:rPr>
        <w:t>；</w:t>
      </w:r>
    </w:p>
    <w:p>
      <w:pPr>
        <w:wordWrap w:val="0"/>
        <w:adjustRightInd w:val="0"/>
        <w:snapToGrid w:val="0"/>
        <w:ind w:firstLine="543" w:firstLineChars="194"/>
        <w:textAlignment w:val="center"/>
        <w:rPr>
          <w:rFonts w:cs="Times New Roman"/>
          <w:snapToGrid w:val="0"/>
          <w:color w:val="auto"/>
          <w:kern w:val="0"/>
          <w:szCs w:val="28"/>
        </w:rPr>
      </w:pPr>
      <w:r>
        <w:rPr>
          <w:rFonts w:hint="eastAsia" w:cs="Times New Roman"/>
          <w:snapToGrid w:val="0"/>
          <w:color w:val="auto"/>
          <w:kern w:val="0"/>
          <w:szCs w:val="28"/>
        </w:rPr>
        <w:t>23、</w:t>
      </w:r>
      <w:r>
        <w:rPr>
          <w:rFonts w:cs="Times New Roman"/>
          <w:snapToGrid w:val="0"/>
          <w:color w:val="auto"/>
          <w:kern w:val="0"/>
          <w:szCs w:val="28"/>
        </w:rPr>
        <w:t>《江西省生产安全事故隐患排查治理办法》江西省人民政府令第238号，2018年9月28日省人民政府第11次常务会议审议通过，自2018年12月1日起施行</w:t>
      </w:r>
      <w:r>
        <w:rPr>
          <w:rFonts w:hint="eastAsia" w:cs="Times New Roman"/>
          <w:snapToGrid w:val="0"/>
          <w:color w:val="auto"/>
          <w:kern w:val="0"/>
          <w:szCs w:val="28"/>
        </w:rPr>
        <w:t>；</w:t>
      </w:r>
    </w:p>
    <w:p>
      <w:pPr>
        <w:wordWrap w:val="0"/>
        <w:adjustRightInd w:val="0"/>
        <w:snapToGrid w:val="0"/>
        <w:ind w:firstLine="543" w:firstLineChars="194"/>
        <w:textAlignment w:val="center"/>
        <w:rPr>
          <w:rFonts w:cs="Times New Roman"/>
          <w:snapToGrid w:val="0"/>
          <w:color w:val="auto"/>
          <w:kern w:val="0"/>
          <w:szCs w:val="28"/>
        </w:rPr>
      </w:pPr>
      <w:r>
        <w:rPr>
          <w:rFonts w:cs="Times New Roman"/>
          <w:snapToGrid w:val="0"/>
          <w:color w:val="auto"/>
          <w:kern w:val="0"/>
          <w:szCs w:val="28"/>
        </w:rPr>
        <w:t>2</w:t>
      </w:r>
      <w:r>
        <w:rPr>
          <w:rFonts w:hint="eastAsia" w:cs="Times New Roman"/>
          <w:snapToGrid w:val="0"/>
          <w:color w:val="auto"/>
          <w:kern w:val="0"/>
          <w:szCs w:val="28"/>
        </w:rPr>
        <w:t>4</w:t>
      </w:r>
      <w:r>
        <w:rPr>
          <w:rFonts w:cs="Times New Roman"/>
          <w:snapToGrid w:val="0"/>
          <w:color w:val="auto"/>
          <w:kern w:val="0"/>
          <w:szCs w:val="28"/>
        </w:rPr>
        <w:t>、其他相关法律法规。</w:t>
      </w:r>
    </w:p>
    <w:p>
      <w:pPr>
        <w:pStyle w:val="5"/>
        <w:keepNext w:val="0"/>
        <w:keepLines w:val="0"/>
        <w:wordWrap w:val="0"/>
        <w:adjustRightInd w:val="0"/>
        <w:snapToGrid w:val="0"/>
        <w:textAlignment w:val="center"/>
        <w:rPr>
          <w:color w:val="auto"/>
          <w:kern w:val="0"/>
        </w:rPr>
      </w:pPr>
      <w:bookmarkStart w:id="13" w:name="_Toc3868"/>
      <w:r>
        <w:rPr>
          <w:rFonts w:hint="eastAsia"/>
          <w:color w:val="auto"/>
          <w:kern w:val="0"/>
        </w:rPr>
        <w:t>1.2.2 部门规章及规范性文件</w:t>
      </w:r>
      <w:bookmarkEnd w:id="13"/>
    </w:p>
    <w:p>
      <w:pPr>
        <w:wordWrap w:val="0"/>
        <w:adjustRightInd w:val="0"/>
        <w:snapToGrid w:val="0"/>
        <w:ind w:firstLine="560" w:firstLineChars="200"/>
        <w:jc w:val="left"/>
        <w:textAlignment w:val="center"/>
        <w:rPr>
          <w:color w:val="auto"/>
          <w:szCs w:val="28"/>
        </w:rPr>
      </w:pPr>
      <w:r>
        <w:rPr>
          <w:color w:val="auto"/>
          <w:szCs w:val="28"/>
        </w:rPr>
        <w:t>1</w:t>
      </w:r>
      <w:r>
        <w:rPr>
          <w:rFonts w:hint="eastAsia"/>
          <w:color w:val="auto"/>
          <w:szCs w:val="28"/>
        </w:rPr>
        <w:t>、《生产经营单位安全培训规定》国家安全生产监督管理总局2006年令第3号（国家安全生产监督管理总局80号令修改）</w:t>
      </w:r>
    </w:p>
    <w:p>
      <w:pPr>
        <w:wordWrap w:val="0"/>
        <w:adjustRightInd w:val="0"/>
        <w:snapToGrid w:val="0"/>
        <w:ind w:firstLine="560" w:firstLineChars="200"/>
        <w:jc w:val="left"/>
        <w:textAlignment w:val="center"/>
        <w:rPr>
          <w:color w:val="auto"/>
          <w:szCs w:val="28"/>
        </w:rPr>
      </w:pPr>
      <w:r>
        <w:rPr>
          <w:color w:val="auto"/>
          <w:szCs w:val="28"/>
        </w:rPr>
        <w:t>2</w:t>
      </w:r>
      <w:r>
        <w:rPr>
          <w:rFonts w:hint="eastAsia"/>
          <w:color w:val="auto"/>
          <w:szCs w:val="28"/>
        </w:rPr>
        <w:t>、《安全生产事故隐患排查治理暂行规定》国家安全生产监督管理总局令2007年第16号</w:t>
      </w:r>
    </w:p>
    <w:p>
      <w:pPr>
        <w:wordWrap w:val="0"/>
        <w:adjustRightInd w:val="0"/>
        <w:snapToGrid w:val="0"/>
        <w:ind w:firstLine="560" w:firstLineChars="200"/>
        <w:jc w:val="left"/>
        <w:textAlignment w:val="center"/>
        <w:rPr>
          <w:color w:val="auto"/>
          <w:szCs w:val="28"/>
        </w:rPr>
      </w:pPr>
      <w:r>
        <w:rPr>
          <w:color w:val="auto"/>
          <w:szCs w:val="28"/>
        </w:rPr>
        <w:t>3</w:t>
      </w:r>
      <w:r>
        <w:rPr>
          <w:rFonts w:hint="eastAsia"/>
          <w:color w:val="auto"/>
          <w:szCs w:val="28"/>
        </w:rPr>
        <w:t>、《生产安全事故应急预案管理办法》（2016年6月3日国家安全生产监督管理总局令第88号公布，根据2019年7月11日应急管理部令第2号《应急管理部关于修改生产安全事故应急预案管理办法的决定》修正）</w:t>
      </w:r>
    </w:p>
    <w:p>
      <w:pPr>
        <w:wordWrap w:val="0"/>
        <w:adjustRightInd w:val="0"/>
        <w:snapToGrid w:val="0"/>
        <w:ind w:firstLine="560" w:firstLineChars="200"/>
        <w:jc w:val="left"/>
        <w:textAlignment w:val="center"/>
        <w:rPr>
          <w:color w:val="auto"/>
          <w:szCs w:val="28"/>
        </w:rPr>
      </w:pPr>
      <w:r>
        <w:rPr>
          <w:color w:val="auto"/>
          <w:szCs w:val="28"/>
        </w:rPr>
        <w:t>4</w:t>
      </w:r>
      <w:r>
        <w:rPr>
          <w:rFonts w:hint="eastAsia"/>
          <w:color w:val="auto"/>
          <w:szCs w:val="28"/>
        </w:rPr>
        <w:t>、《特种作业人员安全技术培训考核管理规定》国家安全生产监督管理总局令2010年第30号（国家安全生产监督管理总局80号令修改）</w:t>
      </w:r>
    </w:p>
    <w:p>
      <w:pPr>
        <w:wordWrap w:val="0"/>
        <w:adjustRightInd w:val="0"/>
        <w:snapToGrid w:val="0"/>
        <w:ind w:firstLine="560" w:firstLineChars="200"/>
        <w:jc w:val="left"/>
        <w:textAlignment w:val="center"/>
        <w:rPr>
          <w:color w:val="auto"/>
          <w:szCs w:val="28"/>
        </w:rPr>
      </w:pPr>
      <w:r>
        <w:rPr>
          <w:color w:val="auto"/>
          <w:szCs w:val="28"/>
        </w:rPr>
        <w:t>5</w:t>
      </w:r>
      <w:r>
        <w:rPr>
          <w:rFonts w:hint="eastAsia"/>
          <w:color w:val="auto"/>
          <w:szCs w:val="28"/>
        </w:rPr>
        <w:t>、《建设项目安全设施“三同时”监督管理办法》国家安全生产监督管理总局令2010年第36号（国家安全生产监督管理总局77号令修改）</w:t>
      </w:r>
    </w:p>
    <w:p>
      <w:pPr>
        <w:wordWrap w:val="0"/>
        <w:adjustRightInd w:val="0"/>
        <w:snapToGrid w:val="0"/>
        <w:ind w:firstLine="560" w:firstLineChars="200"/>
        <w:jc w:val="left"/>
        <w:textAlignment w:val="center"/>
        <w:rPr>
          <w:color w:val="auto"/>
          <w:szCs w:val="28"/>
        </w:rPr>
      </w:pPr>
      <w:r>
        <w:rPr>
          <w:color w:val="auto"/>
          <w:szCs w:val="28"/>
        </w:rPr>
        <w:t>6</w:t>
      </w:r>
      <w:r>
        <w:rPr>
          <w:rFonts w:hint="eastAsia"/>
          <w:color w:val="auto"/>
          <w:szCs w:val="28"/>
        </w:rPr>
        <w:t>、《危险化学品重大危险源监督管理暂行规定》国家安全生产监督管理总局令2011年第40号（国家安全生产监督管理总局79号令修改）</w:t>
      </w:r>
    </w:p>
    <w:p>
      <w:pPr>
        <w:wordWrap w:val="0"/>
        <w:adjustRightInd w:val="0"/>
        <w:snapToGrid w:val="0"/>
        <w:ind w:firstLine="560" w:firstLineChars="200"/>
        <w:jc w:val="left"/>
        <w:textAlignment w:val="center"/>
        <w:rPr>
          <w:color w:val="auto"/>
          <w:szCs w:val="28"/>
        </w:rPr>
      </w:pPr>
      <w:r>
        <w:rPr>
          <w:color w:val="auto"/>
          <w:szCs w:val="28"/>
        </w:rPr>
        <w:t>7</w:t>
      </w:r>
      <w:r>
        <w:rPr>
          <w:rFonts w:hint="eastAsia"/>
          <w:color w:val="auto"/>
          <w:szCs w:val="28"/>
        </w:rPr>
        <w:t>、《危险化学品生产企业安全生产许可证实施办法》国家安全生产监督管理总局令2011年第41号（国家安全生产监督管理总局89号令修改）</w:t>
      </w:r>
    </w:p>
    <w:p>
      <w:pPr>
        <w:wordWrap w:val="0"/>
        <w:adjustRightInd w:val="0"/>
        <w:snapToGrid w:val="0"/>
        <w:ind w:firstLine="560" w:firstLineChars="200"/>
        <w:jc w:val="left"/>
        <w:textAlignment w:val="center"/>
        <w:rPr>
          <w:color w:val="auto"/>
          <w:szCs w:val="28"/>
        </w:rPr>
      </w:pPr>
      <w:r>
        <w:rPr>
          <w:color w:val="auto"/>
          <w:szCs w:val="28"/>
        </w:rPr>
        <w:t>8</w:t>
      </w:r>
      <w:r>
        <w:rPr>
          <w:rFonts w:hint="eastAsia"/>
          <w:color w:val="auto"/>
          <w:szCs w:val="28"/>
        </w:rPr>
        <w:t>、《国家安全监管总局关于修改&lt;生产安全事故报告和调查处理条例&gt;罚款处罚暂行规定》国家安全生产监督管理总局令2011年第42号（国家安全生产监督管理总局77号令修改）</w:t>
      </w:r>
    </w:p>
    <w:p>
      <w:pPr>
        <w:wordWrap w:val="0"/>
        <w:adjustRightInd w:val="0"/>
        <w:snapToGrid w:val="0"/>
        <w:ind w:firstLine="560" w:firstLineChars="200"/>
        <w:jc w:val="left"/>
        <w:textAlignment w:val="center"/>
        <w:rPr>
          <w:color w:val="auto"/>
          <w:szCs w:val="28"/>
        </w:rPr>
      </w:pPr>
      <w:r>
        <w:rPr>
          <w:color w:val="auto"/>
          <w:szCs w:val="28"/>
        </w:rPr>
        <w:t>9</w:t>
      </w:r>
      <w:r>
        <w:rPr>
          <w:rFonts w:hint="eastAsia"/>
          <w:color w:val="auto"/>
          <w:szCs w:val="28"/>
        </w:rPr>
        <w:t>、《安全生产培训管理办法》国家安全生产监督管理总局令2011年第44号（国家安全生产监督管理总局80号令修改）</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0</w:t>
      </w:r>
      <w:r>
        <w:rPr>
          <w:rFonts w:hint="eastAsia"/>
          <w:color w:val="auto"/>
          <w:szCs w:val="28"/>
        </w:rPr>
        <w:t>、《危险化学品建设项目安全监督管理办法》国家安全生产监督管理总局令2012年第45号（国家安全生产监督管理总局79号令修改）</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1</w:t>
      </w:r>
      <w:r>
        <w:rPr>
          <w:rFonts w:hint="eastAsia"/>
          <w:color w:val="auto"/>
          <w:szCs w:val="28"/>
        </w:rPr>
        <w:t>、《化学品物理危险性鉴定与分类管理办法》国家安全生产监督管理总局令2013年第60号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2</w:t>
      </w:r>
      <w:r>
        <w:rPr>
          <w:rFonts w:hint="eastAsia"/>
          <w:color w:val="auto"/>
          <w:szCs w:val="28"/>
        </w:rPr>
        <w:t>、《关于督促化工企业切实做好几项安全环保重点工作的紧急通知》国家安全生产监督管理总局、国家环境保护总局安监总危化［2006］10号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3</w:t>
      </w:r>
      <w:r>
        <w:rPr>
          <w:rFonts w:hint="eastAsia"/>
          <w:color w:val="auto"/>
          <w:szCs w:val="28"/>
        </w:rPr>
        <w:t>、《国家安全监管总局办公厅关于印发企业非药品类易制毒化学品规范化管理指南的通知》国家安全监管总局安监总厅管三〔2014〕70号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4</w:t>
      </w:r>
      <w:r>
        <w:rPr>
          <w:rFonts w:hint="eastAsia"/>
          <w:color w:val="auto"/>
          <w:szCs w:val="28"/>
        </w:rPr>
        <w:t>、《国家安全监管总局关于加强化工过程安全管理的指导意见》国家安全监管总局安监总管三〔2013〕88号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5</w:t>
      </w:r>
      <w:r>
        <w:rPr>
          <w:rFonts w:hint="eastAsia"/>
          <w:color w:val="auto"/>
          <w:szCs w:val="28"/>
        </w:rPr>
        <w:t>、《国家安全监管总局关于加强化工企业泄漏管理的指导意见》国家安全监管总局安监总管三〔2014〕94号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6</w:t>
      </w:r>
      <w:r>
        <w:rPr>
          <w:rFonts w:hint="eastAsia"/>
          <w:color w:val="auto"/>
          <w:szCs w:val="28"/>
        </w:rPr>
        <w:t>、《国家安全监管总局关于印发&lt;化工和危险化学品生产经营单位重大生产安全事故隐患判定标准（试行）&gt;和&lt;烟花爆竹生产经营单位重大生产安全事故隐患判定标准（试行）&gt;的通知》安监总管三〔2017〕121号</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7</w:t>
      </w:r>
      <w:r>
        <w:rPr>
          <w:rFonts w:hint="eastAsia"/>
          <w:color w:val="auto"/>
          <w:szCs w:val="28"/>
        </w:rPr>
        <w:t>、《应急管理部关于印发危险化学品生产储存企业安全风险评估诊断分级指南（试行）的通知》应急〔2018〕19号</w:t>
      </w:r>
    </w:p>
    <w:p>
      <w:pPr>
        <w:wordWrap w:val="0"/>
        <w:adjustRightInd w:val="0"/>
        <w:snapToGrid w:val="0"/>
        <w:ind w:firstLine="536" w:firstLineChars="200"/>
        <w:jc w:val="left"/>
        <w:textAlignment w:val="center"/>
        <w:rPr>
          <w:color w:val="auto"/>
          <w:szCs w:val="28"/>
        </w:rPr>
      </w:pPr>
      <w:r>
        <w:rPr>
          <w:rFonts w:hint="eastAsia"/>
          <w:color w:val="auto"/>
          <w:spacing w:val="-6"/>
          <w:szCs w:val="28"/>
        </w:rPr>
        <w:t>1</w:t>
      </w:r>
      <w:r>
        <w:rPr>
          <w:color w:val="auto"/>
          <w:spacing w:val="-6"/>
          <w:szCs w:val="28"/>
        </w:rPr>
        <w:t>8</w:t>
      </w:r>
      <w:r>
        <w:rPr>
          <w:rFonts w:hint="eastAsia"/>
          <w:color w:val="auto"/>
          <w:spacing w:val="-6"/>
          <w:szCs w:val="28"/>
        </w:rPr>
        <w:t>、《应急管理部关于印发&lt;化工园区安全风险排查治理导则（试行）》和《危险化学品企业安全风险隐患排查治理导则&gt;的通知》应急〔2019〕78号</w:t>
      </w:r>
    </w:p>
    <w:p>
      <w:pPr>
        <w:wordWrap w:val="0"/>
        <w:adjustRightInd w:val="0"/>
        <w:snapToGrid w:val="0"/>
        <w:ind w:firstLine="560" w:firstLineChars="200"/>
        <w:jc w:val="left"/>
        <w:textAlignment w:val="center"/>
        <w:rPr>
          <w:color w:val="auto"/>
          <w:szCs w:val="28"/>
        </w:rPr>
      </w:pPr>
      <w:r>
        <w:rPr>
          <w:color w:val="auto"/>
          <w:szCs w:val="28"/>
        </w:rPr>
        <w:t>19</w:t>
      </w:r>
      <w:r>
        <w:rPr>
          <w:rFonts w:hint="eastAsia"/>
          <w:color w:val="auto"/>
          <w:szCs w:val="28"/>
        </w:rPr>
        <w:t>、《国家安全生产监管总局、工业和信息化部关于危险化学品企业贯彻落实&lt;国务院关于进一步加强企业安全生产工作的通知&gt;的实施意见》安监总管三［2010］186号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0</w:t>
      </w:r>
      <w:r>
        <w:rPr>
          <w:rFonts w:hint="eastAsia"/>
          <w:color w:val="auto"/>
          <w:szCs w:val="28"/>
        </w:rPr>
        <w:t>、《关于认真学习和贯彻落实《国务院关于进一步加强企业安全生产工作的通知》的通知》国务院安委会办公室安委办〔2010〕15号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1</w:t>
      </w:r>
      <w:r>
        <w:rPr>
          <w:rFonts w:hint="eastAsia"/>
          <w:color w:val="auto"/>
          <w:szCs w:val="28"/>
        </w:rPr>
        <w:t>、《国务院安委会办公室关于进一步加强危险化学品安全生产工作的指导意见》国务院安委会办公室安委办〔2008〕26号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2</w:t>
      </w:r>
      <w:r>
        <w:rPr>
          <w:rFonts w:hint="eastAsia"/>
          <w:color w:val="auto"/>
          <w:szCs w:val="28"/>
        </w:rPr>
        <w:t>、《国家发展和改革委员会 国家安全生产监督管理局关于加强建设项目安全设施“三同时”工作的通知》（发改投资[2003]1346号）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3</w:t>
      </w:r>
      <w:r>
        <w:rPr>
          <w:rFonts w:hint="eastAsia"/>
          <w:color w:val="auto"/>
          <w:szCs w:val="28"/>
        </w:rPr>
        <w:t>、《国务院关于进一步加强企业安全生产工作的通知》（国发〔2010〕23）号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4</w:t>
      </w:r>
      <w:r>
        <w:rPr>
          <w:rFonts w:hint="eastAsia"/>
          <w:color w:val="auto"/>
          <w:szCs w:val="28"/>
        </w:rPr>
        <w:t>、《部分工业行业淘汰落后生产工艺装备和产品指导目录（2010年本）》中华人民共和国工业和信息化部工产业[2010]第122号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5</w:t>
      </w:r>
      <w:r>
        <w:rPr>
          <w:rFonts w:hint="eastAsia"/>
          <w:color w:val="auto"/>
          <w:szCs w:val="28"/>
        </w:rPr>
        <w:t>、应急管理部办公厅关于印发《淘汰落后危险化学品安全生产工艺技术设备目录（第一批）》的通知应急厅〔2020〕38号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6</w:t>
      </w:r>
      <w:r>
        <w:rPr>
          <w:rFonts w:hint="eastAsia"/>
          <w:color w:val="auto"/>
          <w:szCs w:val="28"/>
        </w:rPr>
        <w:t>、《特种设备作业人员监督管理办法》国家质量监督检验检疫总局令第140号</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7</w:t>
      </w:r>
      <w:r>
        <w:rPr>
          <w:rFonts w:hint="eastAsia"/>
          <w:color w:val="auto"/>
          <w:szCs w:val="28"/>
        </w:rPr>
        <w:t>、《江西省生产安全事故隐患排查治理办法》江西省省政府令[2018]第238号</w:t>
      </w:r>
    </w:p>
    <w:p>
      <w:pPr>
        <w:wordWrap w:val="0"/>
        <w:adjustRightInd w:val="0"/>
        <w:snapToGrid w:val="0"/>
        <w:ind w:firstLine="560" w:firstLineChars="200"/>
        <w:jc w:val="left"/>
        <w:textAlignment w:val="center"/>
        <w:rPr>
          <w:color w:val="auto"/>
          <w:szCs w:val="28"/>
        </w:rPr>
      </w:pPr>
      <w:r>
        <w:rPr>
          <w:color w:val="auto"/>
          <w:szCs w:val="28"/>
        </w:rPr>
        <w:t>28</w:t>
      </w:r>
      <w:r>
        <w:rPr>
          <w:rFonts w:hint="eastAsia"/>
          <w:color w:val="auto"/>
          <w:szCs w:val="28"/>
        </w:rPr>
        <w:t>、《江西省人民政府关于进一步加强企业安全生产工作的实施意见》江西省人民政府赣府发﹝2010﹞32号</w:t>
      </w:r>
    </w:p>
    <w:p>
      <w:pPr>
        <w:wordWrap w:val="0"/>
        <w:adjustRightInd w:val="0"/>
        <w:snapToGrid w:val="0"/>
        <w:ind w:firstLine="560" w:firstLineChars="200"/>
        <w:jc w:val="left"/>
        <w:textAlignment w:val="center"/>
        <w:rPr>
          <w:color w:val="auto"/>
          <w:szCs w:val="28"/>
        </w:rPr>
      </w:pPr>
      <w:r>
        <w:rPr>
          <w:color w:val="auto"/>
          <w:szCs w:val="28"/>
        </w:rPr>
        <w:t>29</w:t>
      </w:r>
      <w:r>
        <w:rPr>
          <w:rFonts w:hint="eastAsia"/>
          <w:color w:val="auto"/>
          <w:szCs w:val="28"/>
        </w:rPr>
        <w:t>、《关于加强全省建设项目安全设施“三同时”工作的通知》江西省赣计工字[2003]1312号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0</w:t>
      </w:r>
      <w:r>
        <w:rPr>
          <w:rFonts w:hint="eastAsia"/>
          <w:color w:val="auto"/>
          <w:szCs w:val="28"/>
        </w:rPr>
        <w:t>、《江西省人民政府办公厅关于切实加强危险化学品安全生产工作的意见》江西省人民政府办公厅赣府厅发[2010]3号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1</w:t>
      </w:r>
      <w:r>
        <w:rPr>
          <w:rFonts w:hint="eastAsia"/>
          <w:color w:val="auto"/>
          <w:szCs w:val="28"/>
        </w:rPr>
        <w:t>、《江西省人民政府办公厅关于印发鄱阳湖生态环境综合整治三年行动计划（2018-2020年）的通知》江西省人民政府2018年5月30日</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2</w:t>
      </w:r>
      <w:r>
        <w:rPr>
          <w:rFonts w:hint="eastAsia"/>
          <w:color w:val="auto"/>
          <w:szCs w:val="28"/>
        </w:rPr>
        <w:t>、《关于贯彻落实《危险化学品重大危险源监督管理暂行规定》的通知》江西省安全生产监督管理局赣安监管二字〔2012〕29号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3</w:t>
      </w:r>
      <w:r>
        <w:rPr>
          <w:rFonts w:hint="eastAsia"/>
          <w:color w:val="auto"/>
          <w:szCs w:val="28"/>
        </w:rPr>
        <w:t>、《江西省安监局关于印发江西省化工企业安全生产五十条禁令的通知》赣安监管二字〔2013〕15号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4</w:t>
      </w:r>
      <w:r>
        <w:rPr>
          <w:rFonts w:hint="eastAsia"/>
          <w:color w:val="auto"/>
          <w:szCs w:val="28"/>
        </w:rPr>
        <w:t>、《江西省关于进一步加强高危行业企业生产安全事故应急预案管理规定（暂行）》赣安监管应急字[2012]63号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5</w:t>
      </w:r>
      <w:r>
        <w:rPr>
          <w:rFonts w:hint="eastAsia"/>
          <w:color w:val="auto"/>
          <w:szCs w:val="28"/>
        </w:rPr>
        <w:t>、《高毒物品目录》（2003版）卫法监［2003］142号</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6</w:t>
      </w:r>
      <w:r>
        <w:rPr>
          <w:rFonts w:hint="eastAsia"/>
          <w:color w:val="auto"/>
          <w:szCs w:val="28"/>
        </w:rPr>
        <w:t>、《易制爆危险化学品名录》（2017年版）</w:t>
      </w:r>
    </w:p>
    <w:p>
      <w:pPr>
        <w:wordWrap w:val="0"/>
        <w:topLinePunct/>
        <w:adjustRightInd w:val="0"/>
        <w:snapToGrid w:val="0"/>
        <w:ind w:firstLine="560" w:firstLineChars="200"/>
        <w:jc w:val="left"/>
        <w:textAlignment w:val="center"/>
        <w:rPr>
          <w:rFonts w:cs="Times New Roman"/>
          <w:bCs/>
          <w:color w:val="auto"/>
          <w:kern w:val="0"/>
          <w:szCs w:val="28"/>
        </w:rPr>
      </w:pPr>
      <w:r>
        <w:rPr>
          <w:rFonts w:hint="eastAsia"/>
          <w:color w:val="auto"/>
          <w:szCs w:val="28"/>
        </w:rPr>
        <w:t>3</w:t>
      </w:r>
      <w:r>
        <w:rPr>
          <w:color w:val="auto"/>
          <w:szCs w:val="28"/>
        </w:rPr>
        <w:t>7</w:t>
      </w:r>
      <w:r>
        <w:rPr>
          <w:rFonts w:hint="eastAsia"/>
          <w:color w:val="auto"/>
          <w:szCs w:val="28"/>
        </w:rPr>
        <w:t>、</w:t>
      </w:r>
      <w:r>
        <w:rPr>
          <w:rFonts w:cs="Times New Roman"/>
          <w:color w:val="auto"/>
          <w:szCs w:val="28"/>
        </w:rPr>
        <w:t>《</w:t>
      </w:r>
      <w:r>
        <w:rPr>
          <w:rFonts w:cs="Times New Roman"/>
          <w:bCs/>
          <w:color w:val="auto"/>
          <w:kern w:val="0"/>
          <w:szCs w:val="28"/>
        </w:rPr>
        <w:t>国家安全监管总局关于公布首批重点监管的危险化学品目录的通知</w:t>
      </w:r>
      <w:r>
        <w:rPr>
          <w:rFonts w:cs="Times New Roman"/>
          <w:color w:val="auto"/>
          <w:szCs w:val="28"/>
        </w:rPr>
        <w:t>》（</w:t>
      </w:r>
      <w:r>
        <w:rPr>
          <w:rFonts w:cs="Times New Roman"/>
          <w:bCs/>
          <w:color w:val="auto"/>
          <w:kern w:val="0"/>
          <w:szCs w:val="28"/>
        </w:rPr>
        <w:t>安监总管三〔2011〕95号）</w:t>
      </w:r>
    </w:p>
    <w:p>
      <w:pPr>
        <w:wordWrap w:val="0"/>
        <w:topLinePunct/>
        <w:adjustRightInd w:val="0"/>
        <w:snapToGrid w:val="0"/>
        <w:ind w:firstLine="560" w:firstLineChars="200"/>
        <w:jc w:val="left"/>
        <w:textAlignment w:val="center"/>
        <w:rPr>
          <w:rFonts w:cs="Times New Roman"/>
          <w:color w:val="auto"/>
          <w:szCs w:val="28"/>
        </w:rPr>
      </w:pPr>
      <w:r>
        <w:rPr>
          <w:rFonts w:cs="Times New Roman"/>
          <w:color w:val="auto"/>
          <w:szCs w:val="28"/>
        </w:rPr>
        <w:t>38</w:t>
      </w:r>
      <w:r>
        <w:rPr>
          <w:rFonts w:hint="eastAsia" w:cs="Times New Roman"/>
          <w:color w:val="auto"/>
          <w:szCs w:val="28"/>
        </w:rPr>
        <w:t>、</w:t>
      </w:r>
      <w:r>
        <w:rPr>
          <w:rFonts w:cs="Times New Roman"/>
          <w:color w:val="auto"/>
          <w:szCs w:val="28"/>
        </w:rPr>
        <w:t>《</w:t>
      </w:r>
      <w:r>
        <w:rPr>
          <w:rFonts w:cs="Times New Roman"/>
          <w:bCs/>
          <w:color w:val="auto"/>
          <w:kern w:val="0"/>
          <w:szCs w:val="28"/>
        </w:rPr>
        <w:t>国家安全监管总局关于公布第二批重点监管的危险化学品目录的通知</w:t>
      </w:r>
      <w:r>
        <w:rPr>
          <w:rFonts w:cs="Times New Roman"/>
          <w:color w:val="auto"/>
          <w:szCs w:val="28"/>
        </w:rPr>
        <w:t>》（</w:t>
      </w:r>
      <w:r>
        <w:rPr>
          <w:rFonts w:cs="Times New Roman"/>
          <w:bCs/>
          <w:color w:val="auto"/>
          <w:kern w:val="0"/>
          <w:szCs w:val="28"/>
        </w:rPr>
        <w:t>安监总管三〔2013〕12号）</w:t>
      </w:r>
    </w:p>
    <w:p>
      <w:pPr>
        <w:wordWrap w:val="0"/>
        <w:topLinePunct/>
        <w:adjustRightInd w:val="0"/>
        <w:snapToGrid w:val="0"/>
        <w:ind w:firstLine="560" w:firstLineChars="200"/>
        <w:jc w:val="left"/>
        <w:textAlignment w:val="center"/>
        <w:rPr>
          <w:rFonts w:cs="Times New Roman"/>
          <w:bCs/>
          <w:color w:val="auto"/>
          <w:kern w:val="0"/>
          <w:szCs w:val="28"/>
        </w:rPr>
      </w:pPr>
      <w:r>
        <w:rPr>
          <w:rFonts w:cs="Times New Roman"/>
          <w:color w:val="auto"/>
          <w:szCs w:val="28"/>
        </w:rPr>
        <w:t>39</w:t>
      </w:r>
      <w:r>
        <w:rPr>
          <w:rFonts w:hint="eastAsia" w:cs="Times New Roman"/>
          <w:color w:val="auto"/>
          <w:szCs w:val="28"/>
        </w:rPr>
        <w:t>、</w:t>
      </w:r>
      <w:r>
        <w:rPr>
          <w:rFonts w:cs="Times New Roman"/>
          <w:color w:val="auto"/>
          <w:szCs w:val="28"/>
        </w:rPr>
        <w:t>《首批重点监管的危险化学品安全措施和事故应急处置原则》（</w:t>
      </w:r>
      <w:r>
        <w:rPr>
          <w:rFonts w:cs="Times New Roman"/>
          <w:bCs/>
          <w:color w:val="auto"/>
          <w:kern w:val="0"/>
          <w:szCs w:val="28"/>
        </w:rPr>
        <w:t>安监总管三〔2011〕142号）</w:t>
      </w:r>
    </w:p>
    <w:p>
      <w:pPr>
        <w:wordWrap w:val="0"/>
        <w:topLinePunct/>
        <w:adjustRightInd w:val="0"/>
        <w:snapToGrid w:val="0"/>
        <w:ind w:firstLine="560" w:firstLineChars="200"/>
        <w:jc w:val="left"/>
        <w:textAlignment w:val="center"/>
        <w:rPr>
          <w:rFonts w:cs="Times New Roman"/>
          <w:bCs/>
          <w:color w:val="auto"/>
          <w:szCs w:val="28"/>
        </w:rPr>
      </w:pPr>
      <w:r>
        <w:rPr>
          <w:rFonts w:hint="eastAsia" w:cs="Times New Roman"/>
          <w:color w:val="auto"/>
          <w:szCs w:val="28"/>
        </w:rPr>
        <w:t>4</w:t>
      </w:r>
      <w:r>
        <w:rPr>
          <w:rFonts w:cs="Times New Roman"/>
          <w:color w:val="auto"/>
          <w:szCs w:val="28"/>
        </w:rPr>
        <w:t>0</w:t>
      </w:r>
      <w:r>
        <w:rPr>
          <w:rFonts w:hint="eastAsia" w:cs="Times New Roman"/>
          <w:color w:val="auto"/>
          <w:szCs w:val="28"/>
        </w:rPr>
        <w:t>、</w:t>
      </w:r>
      <w:r>
        <w:rPr>
          <w:rFonts w:cs="Times New Roman"/>
          <w:color w:val="auto"/>
          <w:szCs w:val="28"/>
        </w:rPr>
        <w:t>《国务院安委会办公室关于切实加强</w:t>
      </w:r>
      <w:r>
        <w:rPr>
          <w:rFonts w:cs="Times New Roman"/>
          <w:bCs/>
          <w:color w:val="auto"/>
          <w:szCs w:val="28"/>
        </w:rPr>
        <w:t>危险化学品安全生产工作的指导意见</w:t>
      </w:r>
      <w:r>
        <w:rPr>
          <w:rFonts w:cs="Times New Roman"/>
          <w:color w:val="auto"/>
          <w:szCs w:val="28"/>
        </w:rPr>
        <w:t>》安委办</w:t>
      </w:r>
      <w:r>
        <w:rPr>
          <w:rFonts w:cs="Times New Roman"/>
          <w:bCs/>
          <w:color w:val="auto"/>
          <w:szCs w:val="28"/>
        </w:rPr>
        <w:t>[2008]26号</w:t>
      </w:r>
    </w:p>
    <w:p>
      <w:pPr>
        <w:wordWrap w:val="0"/>
        <w:topLinePunct/>
        <w:adjustRightInd w:val="0"/>
        <w:snapToGrid w:val="0"/>
        <w:ind w:firstLine="560" w:firstLineChars="200"/>
        <w:jc w:val="left"/>
        <w:textAlignment w:val="center"/>
        <w:rPr>
          <w:rFonts w:cs="Times New Roman"/>
          <w:color w:val="auto"/>
          <w:szCs w:val="28"/>
        </w:rPr>
      </w:pPr>
      <w:r>
        <w:rPr>
          <w:rFonts w:hint="eastAsia" w:cs="Times New Roman"/>
          <w:color w:val="auto"/>
          <w:szCs w:val="28"/>
        </w:rPr>
        <w:t>4</w:t>
      </w:r>
      <w:r>
        <w:rPr>
          <w:rFonts w:cs="Times New Roman"/>
          <w:color w:val="auto"/>
          <w:szCs w:val="28"/>
        </w:rPr>
        <w:t>1</w:t>
      </w:r>
      <w:r>
        <w:rPr>
          <w:rFonts w:hint="eastAsia" w:cs="Times New Roman"/>
          <w:color w:val="auto"/>
          <w:szCs w:val="28"/>
        </w:rPr>
        <w:t>、</w:t>
      </w:r>
      <w:r>
        <w:rPr>
          <w:rFonts w:cs="Times New Roman"/>
          <w:color w:val="auto"/>
          <w:szCs w:val="28"/>
        </w:rPr>
        <w:t>《国家安全监管总局关于公布首批重点监管的危险化工工艺目录的通知》（安监总管三[2009]116号）</w:t>
      </w:r>
    </w:p>
    <w:p>
      <w:pPr>
        <w:wordWrap w:val="0"/>
        <w:topLinePunct/>
        <w:adjustRightInd w:val="0"/>
        <w:snapToGrid w:val="0"/>
        <w:ind w:firstLine="560" w:firstLineChars="200"/>
        <w:jc w:val="left"/>
        <w:textAlignment w:val="center"/>
        <w:rPr>
          <w:rFonts w:cs="Times New Roman"/>
          <w:color w:val="auto"/>
          <w:szCs w:val="28"/>
        </w:rPr>
      </w:pPr>
      <w:r>
        <w:rPr>
          <w:rFonts w:hint="eastAsia" w:cs="Times New Roman"/>
          <w:color w:val="auto"/>
          <w:szCs w:val="28"/>
        </w:rPr>
        <w:t>4</w:t>
      </w:r>
      <w:r>
        <w:rPr>
          <w:rFonts w:cs="Times New Roman"/>
          <w:color w:val="auto"/>
          <w:szCs w:val="28"/>
        </w:rPr>
        <w:t>2</w:t>
      </w:r>
      <w:r>
        <w:rPr>
          <w:rFonts w:hint="eastAsia" w:cs="Times New Roman"/>
          <w:color w:val="auto"/>
          <w:szCs w:val="28"/>
        </w:rPr>
        <w:t>、</w:t>
      </w:r>
      <w:r>
        <w:rPr>
          <w:rFonts w:cs="Times New Roman"/>
          <w:color w:val="auto"/>
          <w:szCs w:val="28"/>
        </w:rPr>
        <w:t>《国家安全监管总局关于公布第二批重点监管危险化工工艺目录和调整首重点监管危险化工工艺中部分典型工艺的通知》（安监总管三[2013]3号）</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3</w:t>
      </w:r>
      <w:r>
        <w:rPr>
          <w:rFonts w:hint="eastAsia"/>
          <w:color w:val="auto"/>
          <w:szCs w:val="28"/>
        </w:rPr>
        <w:t>、《特种设备目录》质监总局2014年第114号</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4</w:t>
      </w:r>
      <w:r>
        <w:rPr>
          <w:rFonts w:hint="eastAsia"/>
          <w:color w:val="auto"/>
          <w:szCs w:val="28"/>
        </w:rPr>
        <w:t>、《危险化学品目录》（20</w:t>
      </w:r>
      <w:r>
        <w:rPr>
          <w:color w:val="auto"/>
          <w:szCs w:val="28"/>
        </w:rPr>
        <w:t>22</w:t>
      </w:r>
      <w:r>
        <w:rPr>
          <w:rFonts w:hint="eastAsia"/>
          <w:color w:val="auto"/>
          <w:szCs w:val="28"/>
        </w:rPr>
        <w:t>年版） 应急部等十部门[2</w:t>
      </w:r>
      <w:r>
        <w:rPr>
          <w:color w:val="auto"/>
          <w:szCs w:val="28"/>
        </w:rPr>
        <w:t>022]</w:t>
      </w:r>
      <w:r>
        <w:rPr>
          <w:rFonts w:hint="eastAsia"/>
          <w:color w:val="auto"/>
          <w:szCs w:val="28"/>
        </w:rPr>
        <w:t>第8号</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5</w:t>
      </w:r>
      <w:r>
        <w:rPr>
          <w:rFonts w:hint="eastAsia"/>
          <w:color w:val="auto"/>
          <w:szCs w:val="28"/>
        </w:rPr>
        <w:t>、《特别管控危险化学品目录》（第一版）</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6</w:t>
      </w:r>
      <w:r>
        <w:rPr>
          <w:rFonts w:hint="eastAsia"/>
          <w:color w:val="auto"/>
          <w:szCs w:val="28"/>
        </w:rPr>
        <w:t>、《企业安全生产费用提取和使用管理办法》财资[2022]136号；</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7</w:t>
      </w:r>
      <w:r>
        <w:rPr>
          <w:rFonts w:hint="eastAsia"/>
          <w:color w:val="auto"/>
          <w:szCs w:val="28"/>
        </w:rPr>
        <w:t>、其他</w:t>
      </w:r>
    </w:p>
    <w:p>
      <w:pPr>
        <w:pStyle w:val="5"/>
        <w:keepNext w:val="0"/>
        <w:keepLines w:val="0"/>
        <w:wordWrap w:val="0"/>
        <w:adjustRightInd w:val="0"/>
        <w:snapToGrid w:val="0"/>
        <w:textAlignment w:val="center"/>
        <w:rPr>
          <w:color w:val="auto"/>
          <w:kern w:val="0"/>
        </w:rPr>
      </w:pPr>
      <w:bookmarkStart w:id="14" w:name="_Toc3052"/>
      <w:r>
        <w:rPr>
          <w:rFonts w:hint="eastAsia"/>
          <w:color w:val="auto"/>
          <w:kern w:val="0"/>
        </w:rPr>
        <w:t>1.2.3 国家标准</w:t>
      </w:r>
      <w:bookmarkEnd w:id="14"/>
    </w:p>
    <w:p>
      <w:pPr>
        <w:wordWrap w:val="0"/>
        <w:adjustRightInd w:val="0"/>
        <w:snapToGrid w:val="0"/>
        <w:ind w:firstLine="560" w:firstLineChars="200"/>
        <w:jc w:val="left"/>
        <w:textAlignment w:val="center"/>
        <w:rPr>
          <w:color w:val="auto"/>
          <w:szCs w:val="28"/>
        </w:rPr>
      </w:pPr>
      <w:r>
        <w:rPr>
          <w:rFonts w:hint="eastAsia"/>
          <w:color w:val="auto"/>
          <w:szCs w:val="28"/>
        </w:rPr>
        <w:t>1、《建筑设计防火规范》GB50016-2014（2018年版）；</w:t>
      </w:r>
    </w:p>
    <w:p>
      <w:pPr>
        <w:wordWrap w:val="0"/>
        <w:adjustRightInd w:val="0"/>
        <w:snapToGrid w:val="0"/>
        <w:ind w:firstLine="560" w:firstLineChars="200"/>
        <w:jc w:val="left"/>
        <w:textAlignment w:val="center"/>
        <w:rPr>
          <w:color w:val="auto"/>
          <w:szCs w:val="28"/>
        </w:rPr>
      </w:pPr>
      <w:r>
        <w:rPr>
          <w:rFonts w:hint="eastAsia"/>
          <w:color w:val="auto"/>
          <w:szCs w:val="28"/>
        </w:rPr>
        <w:t>2、《精细化工企业工程设计防火标准》GB51283-2020；</w:t>
      </w:r>
    </w:p>
    <w:p>
      <w:pPr>
        <w:pStyle w:val="2"/>
        <w:ind w:firstLine="560"/>
        <w:rPr>
          <w:color w:val="auto"/>
        </w:rPr>
      </w:pPr>
      <w:r>
        <w:rPr>
          <w:rFonts w:hint="eastAsia"/>
          <w:color w:val="auto"/>
        </w:rPr>
        <w:t>3、《建筑防火通用规范》GB</w:t>
      </w:r>
      <w:r>
        <w:rPr>
          <w:color w:val="auto"/>
        </w:rPr>
        <w:t>55037-2022</w:t>
      </w:r>
    </w:p>
    <w:p>
      <w:pPr>
        <w:wordWrap w:val="0"/>
        <w:adjustRightInd w:val="0"/>
        <w:snapToGrid w:val="0"/>
        <w:ind w:firstLine="560" w:firstLineChars="200"/>
        <w:jc w:val="left"/>
        <w:textAlignment w:val="center"/>
        <w:rPr>
          <w:color w:val="auto"/>
          <w:szCs w:val="28"/>
        </w:rPr>
      </w:pPr>
      <w:r>
        <w:rPr>
          <w:color w:val="auto"/>
          <w:szCs w:val="28"/>
        </w:rPr>
        <w:t>4</w:t>
      </w:r>
      <w:r>
        <w:rPr>
          <w:rFonts w:hint="eastAsia"/>
          <w:color w:val="auto"/>
          <w:szCs w:val="28"/>
        </w:rPr>
        <w:t>、《工业企业总平面设计规范》GB50187-2012；</w:t>
      </w:r>
    </w:p>
    <w:p>
      <w:pPr>
        <w:wordWrap w:val="0"/>
        <w:adjustRightInd w:val="0"/>
        <w:snapToGrid w:val="0"/>
        <w:ind w:firstLine="560" w:firstLineChars="200"/>
        <w:jc w:val="left"/>
        <w:textAlignment w:val="center"/>
        <w:rPr>
          <w:color w:val="auto"/>
          <w:szCs w:val="28"/>
        </w:rPr>
      </w:pPr>
      <w:r>
        <w:rPr>
          <w:color w:val="auto"/>
          <w:szCs w:val="28"/>
        </w:rPr>
        <w:t>5</w:t>
      </w:r>
      <w:r>
        <w:rPr>
          <w:rFonts w:hint="eastAsia"/>
          <w:color w:val="auto"/>
          <w:szCs w:val="28"/>
        </w:rPr>
        <w:t>、《生产过程安全卫生要求总则》GB/T12801-2008；</w:t>
      </w:r>
    </w:p>
    <w:p>
      <w:pPr>
        <w:wordWrap w:val="0"/>
        <w:adjustRightInd w:val="0"/>
        <w:snapToGrid w:val="0"/>
        <w:ind w:firstLine="560" w:firstLineChars="200"/>
        <w:jc w:val="left"/>
        <w:textAlignment w:val="center"/>
        <w:rPr>
          <w:color w:val="auto"/>
          <w:szCs w:val="28"/>
        </w:rPr>
      </w:pPr>
      <w:r>
        <w:rPr>
          <w:color w:val="auto"/>
          <w:szCs w:val="28"/>
        </w:rPr>
        <w:t>6</w:t>
      </w:r>
      <w:r>
        <w:rPr>
          <w:rFonts w:hint="eastAsia"/>
          <w:color w:val="auto"/>
          <w:szCs w:val="28"/>
        </w:rPr>
        <w:t>、《工业企业设计卫生标准》GBZ1-2010；</w:t>
      </w:r>
    </w:p>
    <w:p>
      <w:pPr>
        <w:wordWrap w:val="0"/>
        <w:adjustRightInd w:val="0"/>
        <w:snapToGrid w:val="0"/>
        <w:ind w:firstLine="560" w:firstLineChars="200"/>
        <w:jc w:val="left"/>
        <w:textAlignment w:val="center"/>
        <w:rPr>
          <w:color w:val="auto"/>
          <w:szCs w:val="28"/>
        </w:rPr>
      </w:pPr>
      <w:r>
        <w:rPr>
          <w:color w:val="auto"/>
          <w:szCs w:val="28"/>
        </w:rPr>
        <w:t>7</w:t>
      </w:r>
      <w:r>
        <w:rPr>
          <w:rFonts w:hint="eastAsia"/>
          <w:color w:val="auto"/>
          <w:szCs w:val="28"/>
        </w:rPr>
        <w:t>、《企业职工伤亡事故分类》GB6441-1986；</w:t>
      </w:r>
    </w:p>
    <w:p>
      <w:pPr>
        <w:wordWrap w:val="0"/>
        <w:adjustRightInd w:val="0"/>
        <w:snapToGrid w:val="0"/>
        <w:ind w:firstLine="560" w:firstLineChars="200"/>
        <w:jc w:val="left"/>
        <w:textAlignment w:val="center"/>
        <w:rPr>
          <w:color w:val="auto"/>
          <w:szCs w:val="28"/>
        </w:rPr>
      </w:pPr>
      <w:r>
        <w:rPr>
          <w:color w:val="auto"/>
          <w:szCs w:val="28"/>
        </w:rPr>
        <w:t>8</w:t>
      </w:r>
      <w:r>
        <w:rPr>
          <w:rFonts w:hint="eastAsia"/>
          <w:color w:val="auto"/>
          <w:szCs w:val="28"/>
        </w:rPr>
        <w:t>、《建筑抗震设计规范》GB50011-2010（2016年版）；</w:t>
      </w:r>
    </w:p>
    <w:p>
      <w:pPr>
        <w:wordWrap w:val="0"/>
        <w:adjustRightInd w:val="0"/>
        <w:snapToGrid w:val="0"/>
        <w:ind w:firstLine="560" w:firstLineChars="200"/>
        <w:jc w:val="left"/>
        <w:textAlignment w:val="center"/>
        <w:rPr>
          <w:color w:val="auto"/>
          <w:szCs w:val="28"/>
        </w:rPr>
      </w:pPr>
      <w:r>
        <w:rPr>
          <w:color w:val="auto"/>
          <w:szCs w:val="28"/>
        </w:rPr>
        <w:t>9</w:t>
      </w:r>
      <w:r>
        <w:rPr>
          <w:rFonts w:hint="eastAsia"/>
          <w:color w:val="auto"/>
          <w:szCs w:val="28"/>
        </w:rPr>
        <w:t>、《构筑物抗震设计规范》GB50191-2012；</w:t>
      </w:r>
    </w:p>
    <w:p>
      <w:pPr>
        <w:wordWrap w:val="0"/>
        <w:adjustRightInd w:val="0"/>
        <w:snapToGrid w:val="0"/>
        <w:ind w:firstLine="560" w:firstLineChars="200"/>
        <w:jc w:val="left"/>
        <w:textAlignment w:val="center"/>
        <w:rPr>
          <w:color w:val="auto"/>
          <w:szCs w:val="28"/>
        </w:rPr>
      </w:pPr>
      <w:r>
        <w:rPr>
          <w:color w:val="auto"/>
          <w:szCs w:val="28"/>
        </w:rPr>
        <w:t>10</w:t>
      </w:r>
      <w:r>
        <w:rPr>
          <w:rFonts w:hint="eastAsia"/>
          <w:color w:val="auto"/>
          <w:szCs w:val="28"/>
        </w:rPr>
        <w:t>、《建筑工程抗震设防分类标准》GB50223-2008；</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1</w:t>
      </w:r>
      <w:r>
        <w:rPr>
          <w:rFonts w:hint="eastAsia"/>
          <w:color w:val="auto"/>
          <w:szCs w:val="28"/>
        </w:rPr>
        <w:t>、《建筑物防雷设计规范》GB50057-2010；</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2</w:t>
      </w:r>
      <w:r>
        <w:rPr>
          <w:rFonts w:hint="eastAsia"/>
          <w:color w:val="auto"/>
          <w:szCs w:val="28"/>
        </w:rPr>
        <w:t>、《建筑灭火器配置设计规范》GB50140-2005；</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3</w:t>
      </w:r>
      <w:r>
        <w:rPr>
          <w:rFonts w:hint="eastAsia"/>
          <w:color w:val="auto"/>
          <w:szCs w:val="28"/>
        </w:rPr>
        <w:t>、《国家电气设备安全技术规范》GB19517-2009；</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4</w:t>
      </w:r>
      <w:r>
        <w:rPr>
          <w:rFonts w:hint="eastAsia"/>
          <w:color w:val="auto"/>
          <w:szCs w:val="28"/>
        </w:rPr>
        <w:t>、《火灾自动报警系统设计规范》GB50116-2013；</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5</w:t>
      </w:r>
      <w:r>
        <w:rPr>
          <w:rFonts w:hint="eastAsia"/>
          <w:color w:val="auto"/>
          <w:szCs w:val="28"/>
        </w:rPr>
        <w:t>、《工作场所有害因素职业接触限值 第1部分：化学有害因素》GBZ2.1-2019；</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6</w:t>
      </w:r>
      <w:r>
        <w:rPr>
          <w:rFonts w:hint="eastAsia"/>
          <w:color w:val="auto"/>
          <w:szCs w:val="28"/>
        </w:rPr>
        <w:t>、《工作场所有害因素职业接触限值 第2部分：物理因素》GBZ2.2-2007；</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7</w:t>
      </w:r>
      <w:r>
        <w:rPr>
          <w:rFonts w:hint="eastAsia"/>
          <w:color w:val="auto"/>
          <w:szCs w:val="28"/>
        </w:rPr>
        <w:t>、《生产设备安全卫生设计总则》GB5083-1999</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8</w:t>
      </w:r>
      <w:r>
        <w:rPr>
          <w:rFonts w:hint="eastAsia"/>
          <w:color w:val="auto"/>
          <w:szCs w:val="28"/>
        </w:rPr>
        <w:t>、《20kV及以下变电所设计规范》GB50053-2013；</w:t>
      </w:r>
    </w:p>
    <w:p>
      <w:pPr>
        <w:wordWrap w:val="0"/>
        <w:adjustRightInd w:val="0"/>
        <w:snapToGrid w:val="0"/>
        <w:ind w:firstLine="560" w:firstLineChars="200"/>
        <w:jc w:val="left"/>
        <w:textAlignment w:val="center"/>
        <w:rPr>
          <w:color w:val="auto"/>
          <w:szCs w:val="28"/>
        </w:rPr>
      </w:pPr>
      <w:r>
        <w:rPr>
          <w:rFonts w:hint="eastAsia"/>
          <w:color w:val="auto"/>
          <w:szCs w:val="28"/>
        </w:rPr>
        <w:t>1</w:t>
      </w:r>
      <w:r>
        <w:rPr>
          <w:color w:val="auto"/>
          <w:szCs w:val="28"/>
        </w:rPr>
        <w:t>9</w:t>
      </w:r>
      <w:r>
        <w:rPr>
          <w:rFonts w:hint="eastAsia"/>
          <w:color w:val="auto"/>
          <w:szCs w:val="28"/>
        </w:rPr>
        <w:t>、《供配电系统设计规范》GB50052-2009；</w:t>
      </w:r>
    </w:p>
    <w:p>
      <w:pPr>
        <w:wordWrap w:val="0"/>
        <w:adjustRightInd w:val="0"/>
        <w:snapToGrid w:val="0"/>
        <w:ind w:firstLine="560" w:firstLineChars="200"/>
        <w:jc w:val="left"/>
        <w:textAlignment w:val="center"/>
        <w:rPr>
          <w:color w:val="auto"/>
          <w:szCs w:val="28"/>
        </w:rPr>
      </w:pPr>
      <w:r>
        <w:rPr>
          <w:color w:val="auto"/>
          <w:szCs w:val="28"/>
        </w:rPr>
        <w:t>20</w:t>
      </w:r>
      <w:r>
        <w:rPr>
          <w:rFonts w:hint="eastAsia"/>
          <w:color w:val="auto"/>
          <w:szCs w:val="28"/>
        </w:rPr>
        <w:t>、《化学品分类和危险性公示 通则》GB13690-2009；</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1</w:t>
      </w:r>
      <w:r>
        <w:rPr>
          <w:rFonts w:hint="eastAsia"/>
          <w:color w:val="auto"/>
          <w:szCs w:val="28"/>
        </w:rPr>
        <w:t>、《系统接地的型式及安全技术要求》GB14050-2008；</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2</w:t>
      </w:r>
      <w:r>
        <w:rPr>
          <w:rFonts w:hint="eastAsia"/>
          <w:color w:val="auto"/>
          <w:szCs w:val="28"/>
        </w:rPr>
        <w:t>、《防止静电事故通用导则》GB12158-2006；</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3</w:t>
      </w:r>
      <w:r>
        <w:rPr>
          <w:rFonts w:hint="eastAsia"/>
          <w:color w:val="auto"/>
          <w:szCs w:val="28"/>
        </w:rPr>
        <w:t>、《用电安全导则》GB/T13869-2017；</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4</w:t>
      </w:r>
      <w:r>
        <w:rPr>
          <w:rFonts w:hint="eastAsia"/>
          <w:color w:val="auto"/>
          <w:szCs w:val="28"/>
        </w:rPr>
        <w:t>、《工业建筑供暖通风与空气调节设计规范》GB50019-2015；</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5</w:t>
      </w:r>
      <w:r>
        <w:rPr>
          <w:rFonts w:hint="eastAsia"/>
          <w:color w:val="auto"/>
          <w:szCs w:val="28"/>
        </w:rPr>
        <w:t>、《工业企业厂内铁路、道路运输安全规程》GB4387-2008；</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6</w:t>
      </w:r>
      <w:r>
        <w:rPr>
          <w:rFonts w:hint="eastAsia"/>
          <w:color w:val="auto"/>
          <w:szCs w:val="28"/>
        </w:rPr>
        <w:t>、《机械安全 防护装置 固定式和活动式防护装置的设计与制造一般要求》GB/T8196-2018；</w:t>
      </w:r>
    </w:p>
    <w:p>
      <w:pPr>
        <w:wordWrap w:val="0"/>
        <w:adjustRightInd w:val="0"/>
        <w:snapToGrid w:val="0"/>
        <w:ind w:firstLine="536" w:firstLineChars="200"/>
        <w:jc w:val="left"/>
        <w:textAlignment w:val="center"/>
        <w:rPr>
          <w:color w:val="auto"/>
          <w:spacing w:val="-6"/>
          <w:szCs w:val="28"/>
        </w:rPr>
      </w:pPr>
      <w:r>
        <w:rPr>
          <w:rFonts w:hint="eastAsia"/>
          <w:color w:val="auto"/>
          <w:spacing w:val="-6"/>
          <w:szCs w:val="28"/>
        </w:rPr>
        <w:t>2</w:t>
      </w:r>
      <w:r>
        <w:rPr>
          <w:color w:val="auto"/>
          <w:spacing w:val="-6"/>
          <w:szCs w:val="28"/>
        </w:rPr>
        <w:t>7</w:t>
      </w:r>
      <w:r>
        <w:rPr>
          <w:rFonts w:hint="eastAsia"/>
          <w:color w:val="auto"/>
          <w:spacing w:val="-6"/>
          <w:szCs w:val="28"/>
        </w:rPr>
        <w:t>、《固定式钢梯及平台安全要求 第1部分：钢直梯》GB4053.1-2009；</w:t>
      </w:r>
    </w:p>
    <w:p>
      <w:pPr>
        <w:wordWrap w:val="0"/>
        <w:adjustRightInd w:val="0"/>
        <w:snapToGrid w:val="0"/>
        <w:ind w:firstLine="536" w:firstLineChars="200"/>
        <w:jc w:val="left"/>
        <w:textAlignment w:val="center"/>
        <w:rPr>
          <w:color w:val="auto"/>
          <w:szCs w:val="28"/>
        </w:rPr>
      </w:pPr>
      <w:r>
        <w:rPr>
          <w:rFonts w:hint="eastAsia"/>
          <w:color w:val="auto"/>
          <w:spacing w:val="-6"/>
          <w:szCs w:val="28"/>
        </w:rPr>
        <w:t>2</w:t>
      </w:r>
      <w:r>
        <w:rPr>
          <w:color w:val="auto"/>
          <w:spacing w:val="-6"/>
          <w:szCs w:val="28"/>
        </w:rPr>
        <w:t>8</w:t>
      </w:r>
      <w:r>
        <w:rPr>
          <w:rFonts w:hint="eastAsia"/>
          <w:color w:val="auto"/>
          <w:spacing w:val="-6"/>
          <w:szCs w:val="28"/>
        </w:rPr>
        <w:t>、《固定式钢梯及平台安全要求 第2部分：钢斜梯》GB4053.2-2009；</w:t>
      </w:r>
    </w:p>
    <w:p>
      <w:pPr>
        <w:wordWrap w:val="0"/>
        <w:adjustRightInd w:val="0"/>
        <w:snapToGrid w:val="0"/>
        <w:ind w:firstLine="560" w:firstLineChars="200"/>
        <w:jc w:val="left"/>
        <w:textAlignment w:val="center"/>
        <w:rPr>
          <w:color w:val="auto"/>
          <w:szCs w:val="28"/>
        </w:rPr>
      </w:pPr>
      <w:r>
        <w:rPr>
          <w:rFonts w:hint="eastAsia"/>
          <w:color w:val="auto"/>
          <w:szCs w:val="28"/>
        </w:rPr>
        <w:t>2</w:t>
      </w:r>
      <w:r>
        <w:rPr>
          <w:color w:val="auto"/>
          <w:szCs w:val="28"/>
        </w:rPr>
        <w:t>9</w:t>
      </w:r>
      <w:r>
        <w:rPr>
          <w:rFonts w:hint="eastAsia"/>
          <w:color w:val="auto"/>
          <w:szCs w:val="28"/>
        </w:rPr>
        <w:t>、《固定式钢梯及平台安全要求 第3部分：工业防护栏杆及钢平台》GB4053.3-2009；</w:t>
      </w:r>
    </w:p>
    <w:p>
      <w:pPr>
        <w:wordWrap w:val="0"/>
        <w:adjustRightInd w:val="0"/>
        <w:snapToGrid w:val="0"/>
        <w:ind w:firstLine="560" w:firstLineChars="200"/>
        <w:jc w:val="left"/>
        <w:textAlignment w:val="center"/>
        <w:rPr>
          <w:color w:val="auto"/>
          <w:szCs w:val="28"/>
        </w:rPr>
      </w:pPr>
      <w:r>
        <w:rPr>
          <w:color w:val="auto"/>
          <w:szCs w:val="28"/>
        </w:rPr>
        <w:t>30</w:t>
      </w:r>
      <w:r>
        <w:rPr>
          <w:rFonts w:hint="eastAsia"/>
          <w:color w:val="auto"/>
          <w:szCs w:val="28"/>
        </w:rPr>
        <w:t>、《安全色》GB2893-2008；</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1</w:t>
      </w:r>
      <w:r>
        <w:rPr>
          <w:rFonts w:hint="eastAsia"/>
          <w:color w:val="auto"/>
          <w:szCs w:val="28"/>
        </w:rPr>
        <w:t>、《安全标志及其使用导则》GB2894-2008；</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2</w:t>
      </w:r>
      <w:r>
        <w:rPr>
          <w:rFonts w:hint="eastAsia"/>
          <w:color w:val="auto"/>
          <w:szCs w:val="28"/>
        </w:rPr>
        <w:t>、《个体防护装备配备规范》GB</w:t>
      </w:r>
      <w:r>
        <w:rPr>
          <w:color w:val="auto"/>
          <w:szCs w:val="28"/>
        </w:rPr>
        <w:t>39800.1-2020</w:t>
      </w:r>
      <w:r>
        <w:rPr>
          <w:rFonts w:hint="eastAsia"/>
          <w:color w:val="auto"/>
          <w:szCs w:val="28"/>
        </w:rPr>
        <w:t>；</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3</w:t>
      </w:r>
      <w:r>
        <w:rPr>
          <w:rFonts w:hint="eastAsia"/>
          <w:color w:val="auto"/>
          <w:szCs w:val="28"/>
        </w:rPr>
        <w:t>、《生产过程危险和有害因素分类与代码》GB/T13861-2022；</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4</w:t>
      </w:r>
      <w:r>
        <w:rPr>
          <w:rFonts w:hint="eastAsia"/>
          <w:color w:val="auto"/>
          <w:szCs w:val="28"/>
        </w:rPr>
        <w:t>、《危险化学品仓库储存通则》GB15603-</w:t>
      </w:r>
      <w:r>
        <w:rPr>
          <w:color w:val="auto"/>
          <w:szCs w:val="28"/>
        </w:rPr>
        <w:t>2022</w:t>
      </w:r>
      <w:r>
        <w:rPr>
          <w:rFonts w:hint="eastAsia"/>
          <w:color w:val="auto"/>
          <w:szCs w:val="28"/>
        </w:rPr>
        <w:t>；</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5</w:t>
      </w:r>
      <w:r>
        <w:rPr>
          <w:rFonts w:hint="eastAsia"/>
          <w:color w:val="auto"/>
          <w:szCs w:val="28"/>
        </w:rPr>
        <w:t>、《机械安全 防止上下肢触及危险区的安全距离》GB23821-2009；</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6</w:t>
      </w:r>
      <w:r>
        <w:rPr>
          <w:rFonts w:hint="eastAsia"/>
          <w:color w:val="auto"/>
          <w:szCs w:val="28"/>
        </w:rPr>
        <w:t>、《电力装置的继电保护和自动装置设计规范》GB/T50062-2008；</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7</w:t>
      </w:r>
      <w:r>
        <w:rPr>
          <w:rFonts w:hint="eastAsia"/>
          <w:color w:val="auto"/>
          <w:szCs w:val="28"/>
        </w:rPr>
        <w:t>、《设备及管道绝热技术通则》GB/T4272-2008；</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8</w:t>
      </w:r>
      <w:r>
        <w:rPr>
          <w:rFonts w:hint="eastAsia"/>
          <w:color w:val="auto"/>
          <w:szCs w:val="28"/>
        </w:rPr>
        <w:t>、《工业企业噪声控制设计规范》GB/T50087-2013；</w:t>
      </w:r>
    </w:p>
    <w:p>
      <w:pPr>
        <w:wordWrap w:val="0"/>
        <w:adjustRightInd w:val="0"/>
        <w:snapToGrid w:val="0"/>
        <w:ind w:firstLine="560" w:firstLineChars="200"/>
        <w:jc w:val="left"/>
        <w:textAlignment w:val="center"/>
        <w:rPr>
          <w:color w:val="auto"/>
          <w:szCs w:val="28"/>
        </w:rPr>
      </w:pPr>
      <w:r>
        <w:rPr>
          <w:rFonts w:hint="eastAsia"/>
          <w:color w:val="auto"/>
          <w:szCs w:val="28"/>
        </w:rPr>
        <w:t>3</w:t>
      </w:r>
      <w:r>
        <w:rPr>
          <w:color w:val="auto"/>
          <w:szCs w:val="28"/>
        </w:rPr>
        <w:t>9</w:t>
      </w:r>
      <w:r>
        <w:rPr>
          <w:rFonts w:hint="eastAsia"/>
          <w:color w:val="auto"/>
          <w:szCs w:val="28"/>
        </w:rPr>
        <w:t>、《建筑照明设计标准》GB50034-2013；</w:t>
      </w:r>
    </w:p>
    <w:p>
      <w:pPr>
        <w:wordWrap w:val="0"/>
        <w:adjustRightInd w:val="0"/>
        <w:snapToGrid w:val="0"/>
        <w:ind w:firstLine="560" w:firstLineChars="200"/>
        <w:jc w:val="left"/>
        <w:textAlignment w:val="center"/>
        <w:rPr>
          <w:color w:val="auto"/>
          <w:szCs w:val="28"/>
        </w:rPr>
      </w:pPr>
      <w:r>
        <w:rPr>
          <w:color w:val="auto"/>
          <w:szCs w:val="28"/>
        </w:rPr>
        <w:t>40</w:t>
      </w:r>
      <w:r>
        <w:rPr>
          <w:rFonts w:hint="eastAsia"/>
          <w:color w:val="auto"/>
          <w:szCs w:val="28"/>
        </w:rPr>
        <w:t>、《建筑给水排水设计标准》GB50015-2019；</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1</w:t>
      </w:r>
      <w:r>
        <w:rPr>
          <w:rFonts w:hint="eastAsia"/>
          <w:color w:val="auto"/>
          <w:szCs w:val="28"/>
        </w:rPr>
        <w:t>、《工业设备及管道防腐蚀工程施工规范》GB50726-2011；</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2</w:t>
      </w:r>
      <w:r>
        <w:rPr>
          <w:rFonts w:hint="eastAsia"/>
          <w:color w:val="auto"/>
          <w:szCs w:val="28"/>
        </w:rPr>
        <w:t>、《消防安全标志 第1部分：标志》GB13495.1-2015；</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3</w:t>
      </w:r>
      <w:r>
        <w:rPr>
          <w:rFonts w:hint="eastAsia"/>
          <w:color w:val="auto"/>
          <w:szCs w:val="28"/>
        </w:rPr>
        <w:t>、《危险化学品企业特殊作业安全规范》GB30871-2022；</w:t>
      </w:r>
    </w:p>
    <w:p>
      <w:pPr>
        <w:wordWrap w:val="0"/>
        <w:adjustRightInd w:val="0"/>
        <w:snapToGrid w:val="0"/>
        <w:ind w:firstLine="536" w:firstLineChars="200"/>
        <w:jc w:val="left"/>
        <w:textAlignment w:val="center"/>
        <w:rPr>
          <w:color w:val="auto"/>
          <w:szCs w:val="28"/>
        </w:rPr>
      </w:pPr>
      <w:r>
        <w:rPr>
          <w:rFonts w:hint="eastAsia"/>
          <w:color w:val="auto"/>
          <w:spacing w:val="-6"/>
          <w:szCs w:val="28"/>
        </w:rPr>
        <w:t>4</w:t>
      </w:r>
      <w:r>
        <w:rPr>
          <w:color w:val="auto"/>
          <w:spacing w:val="-6"/>
          <w:szCs w:val="28"/>
        </w:rPr>
        <w:t>4</w:t>
      </w:r>
      <w:r>
        <w:rPr>
          <w:rFonts w:hint="eastAsia"/>
          <w:color w:val="auto"/>
          <w:spacing w:val="-6"/>
          <w:szCs w:val="28"/>
        </w:rPr>
        <w:t>、《生产经营单位生产安全事故应急预案编制导则》GB/T29639-2020；</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5</w:t>
      </w:r>
      <w:r>
        <w:rPr>
          <w:rFonts w:hint="eastAsia"/>
          <w:color w:val="auto"/>
          <w:szCs w:val="28"/>
        </w:rPr>
        <w:t>、《建筑采光设计标准》GB50033-2013；</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6</w:t>
      </w:r>
      <w:r>
        <w:rPr>
          <w:rFonts w:hint="eastAsia"/>
          <w:color w:val="auto"/>
          <w:szCs w:val="28"/>
        </w:rPr>
        <w:t>、《消防给水及消火栓系统技术规范》GB50974-2014；</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7</w:t>
      </w:r>
      <w:r>
        <w:rPr>
          <w:rFonts w:hint="eastAsia"/>
          <w:color w:val="auto"/>
          <w:szCs w:val="28"/>
        </w:rPr>
        <w:t>、《易燃易爆性商品储存养护技术条件》GB17914-2013；</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8</w:t>
      </w:r>
      <w:r>
        <w:rPr>
          <w:rFonts w:hint="eastAsia"/>
          <w:color w:val="auto"/>
          <w:szCs w:val="28"/>
        </w:rPr>
        <w:t>、《爆炸危险环境电力装置设计规范》GB50058-2014；</w:t>
      </w:r>
    </w:p>
    <w:p>
      <w:pPr>
        <w:wordWrap w:val="0"/>
        <w:adjustRightInd w:val="0"/>
        <w:snapToGrid w:val="0"/>
        <w:ind w:firstLine="560" w:firstLineChars="200"/>
        <w:jc w:val="left"/>
        <w:textAlignment w:val="center"/>
        <w:rPr>
          <w:color w:val="auto"/>
          <w:szCs w:val="28"/>
        </w:rPr>
      </w:pPr>
      <w:r>
        <w:rPr>
          <w:rFonts w:hint="eastAsia"/>
          <w:color w:val="auto"/>
          <w:szCs w:val="28"/>
        </w:rPr>
        <w:t>4</w:t>
      </w:r>
      <w:r>
        <w:rPr>
          <w:color w:val="auto"/>
          <w:szCs w:val="28"/>
        </w:rPr>
        <w:t>9</w:t>
      </w:r>
      <w:r>
        <w:rPr>
          <w:rFonts w:hint="eastAsia"/>
          <w:color w:val="auto"/>
          <w:szCs w:val="28"/>
        </w:rPr>
        <w:t>、《危险化学品重大危险源辨识》GB18218-2018；；</w:t>
      </w:r>
    </w:p>
    <w:p>
      <w:pPr>
        <w:wordWrap w:val="0"/>
        <w:adjustRightInd w:val="0"/>
        <w:snapToGrid w:val="0"/>
        <w:ind w:firstLine="560" w:firstLineChars="200"/>
        <w:jc w:val="left"/>
        <w:textAlignment w:val="center"/>
        <w:rPr>
          <w:color w:val="auto"/>
          <w:szCs w:val="28"/>
        </w:rPr>
      </w:pPr>
      <w:r>
        <w:rPr>
          <w:color w:val="auto"/>
          <w:szCs w:val="28"/>
        </w:rPr>
        <w:t>50</w:t>
      </w:r>
      <w:r>
        <w:rPr>
          <w:rFonts w:hint="eastAsia"/>
          <w:color w:val="auto"/>
          <w:szCs w:val="28"/>
        </w:rPr>
        <w:t>、《化工企业总图运输设计规范》GB50489-2009；</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1</w:t>
      </w:r>
      <w:r>
        <w:rPr>
          <w:rFonts w:hint="eastAsia"/>
          <w:color w:val="auto"/>
          <w:szCs w:val="28"/>
        </w:rPr>
        <w:t>、《工业建筑防腐蚀设计规范》GB50046-2018；</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2</w:t>
      </w:r>
      <w:r>
        <w:rPr>
          <w:rFonts w:hint="eastAsia"/>
          <w:color w:val="auto"/>
          <w:szCs w:val="28"/>
        </w:rPr>
        <w:t>、《低压配电设计规范》GB50054-2011；</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3</w:t>
      </w:r>
      <w:r>
        <w:rPr>
          <w:rFonts w:hint="eastAsia"/>
          <w:color w:val="auto"/>
          <w:szCs w:val="28"/>
        </w:rPr>
        <w:t>、《电气装置安装工程接地装置施工及验收规范》GB50169-2016；</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4</w:t>
      </w:r>
      <w:r>
        <w:rPr>
          <w:rFonts w:hint="eastAsia"/>
          <w:color w:val="auto"/>
          <w:szCs w:val="28"/>
        </w:rPr>
        <w:t>、《交流电气装置的接地设计规范》GB/T50065-2011；</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5</w:t>
      </w:r>
      <w:r>
        <w:rPr>
          <w:rFonts w:hint="eastAsia"/>
          <w:color w:val="auto"/>
          <w:szCs w:val="28"/>
        </w:rPr>
        <w:t>、《工业企业厂内铁路、道路运输安全规程》GB4387-2008；</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6</w:t>
      </w:r>
      <w:r>
        <w:rPr>
          <w:rFonts w:hint="eastAsia"/>
          <w:color w:val="auto"/>
          <w:szCs w:val="28"/>
        </w:rPr>
        <w:t>、《粉尘防爆安全规程》</w:t>
      </w:r>
      <w:r>
        <w:rPr>
          <w:rFonts w:hint="eastAsia"/>
          <w:color w:val="auto"/>
          <w:szCs w:val="28"/>
          <w:lang w:val="zh-CN"/>
        </w:rPr>
        <w:t>GB15577-20</w:t>
      </w:r>
      <w:r>
        <w:rPr>
          <w:rFonts w:hint="eastAsia"/>
          <w:color w:val="auto"/>
          <w:szCs w:val="28"/>
        </w:rPr>
        <w:t>18</w:t>
      </w:r>
      <w:r>
        <w:rPr>
          <w:rFonts w:hint="eastAsia"/>
          <w:color w:val="auto"/>
          <w:szCs w:val="28"/>
          <w:lang w:val="zh-CN"/>
        </w:rPr>
        <w:t>；</w:t>
      </w:r>
    </w:p>
    <w:p>
      <w:pPr>
        <w:wordWrap w:val="0"/>
        <w:adjustRightInd w:val="0"/>
        <w:snapToGrid w:val="0"/>
        <w:ind w:firstLine="536" w:firstLineChars="200"/>
        <w:jc w:val="left"/>
        <w:textAlignment w:val="center"/>
        <w:rPr>
          <w:color w:val="auto"/>
          <w:spacing w:val="-6"/>
          <w:szCs w:val="28"/>
        </w:rPr>
      </w:pPr>
      <w:r>
        <w:rPr>
          <w:rFonts w:hint="eastAsia"/>
          <w:color w:val="auto"/>
          <w:spacing w:val="-6"/>
          <w:szCs w:val="28"/>
        </w:rPr>
        <w:t>5</w:t>
      </w:r>
      <w:r>
        <w:rPr>
          <w:color w:val="auto"/>
          <w:spacing w:val="-6"/>
          <w:szCs w:val="28"/>
        </w:rPr>
        <w:t>7</w:t>
      </w:r>
      <w:r>
        <w:rPr>
          <w:rFonts w:hint="eastAsia"/>
          <w:color w:val="auto"/>
          <w:spacing w:val="-6"/>
          <w:szCs w:val="28"/>
        </w:rPr>
        <w:t>、《石油化工可燃气体和有毒气体检测报警设计标准》GB50493-2019；</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8</w:t>
      </w:r>
      <w:r>
        <w:rPr>
          <w:rFonts w:hint="eastAsia"/>
          <w:color w:val="auto"/>
          <w:szCs w:val="28"/>
        </w:rPr>
        <w:t>、《起重机械安全规程 第一部分：总则》GB6067.1-2010；</w:t>
      </w:r>
    </w:p>
    <w:p>
      <w:pPr>
        <w:wordWrap w:val="0"/>
        <w:adjustRightInd w:val="0"/>
        <w:snapToGrid w:val="0"/>
        <w:ind w:firstLine="560" w:firstLineChars="200"/>
        <w:jc w:val="left"/>
        <w:textAlignment w:val="center"/>
        <w:rPr>
          <w:color w:val="auto"/>
          <w:szCs w:val="28"/>
        </w:rPr>
      </w:pPr>
      <w:r>
        <w:rPr>
          <w:rFonts w:hint="eastAsia"/>
          <w:color w:val="auto"/>
          <w:szCs w:val="28"/>
        </w:rPr>
        <w:t>5</w:t>
      </w:r>
      <w:r>
        <w:rPr>
          <w:color w:val="auto"/>
          <w:szCs w:val="28"/>
        </w:rPr>
        <w:t>9</w:t>
      </w:r>
      <w:r>
        <w:rPr>
          <w:rFonts w:hint="eastAsia"/>
          <w:color w:val="auto"/>
          <w:szCs w:val="28"/>
        </w:rPr>
        <w:t>、《危险货物品名表》GB12268-2012；</w:t>
      </w:r>
    </w:p>
    <w:p>
      <w:pPr>
        <w:wordWrap w:val="0"/>
        <w:adjustRightInd w:val="0"/>
        <w:snapToGrid w:val="0"/>
        <w:ind w:firstLine="560" w:firstLineChars="200"/>
        <w:jc w:val="left"/>
        <w:textAlignment w:val="center"/>
        <w:rPr>
          <w:color w:val="auto"/>
          <w:szCs w:val="28"/>
        </w:rPr>
      </w:pPr>
      <w:r>
        <w:rPr>
          <w:color w:val="auto"/>
          <w:szCs w:val="28"/>
        </w:rPr>
        <w:t>60</w:t>
      </w:r>
      <w:r>
        <w:rPr>
          <w:rFonts w:hint="eastAsia"/>
          <w:color w:val="auto"/>
          <w:szCs w:val="28"/>
        </w:rPr>
        <w:t>、《危险化学品单位应急救援物资配备要求》GB30077-2013；</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1</w:t>
      </w:r>
      <w:r>
        <w:rPr>
          <w:rFonts w:hint="eastAsia"/>
          <w:color w:val="auto"/>
          <w:szCs w:val="28"/>
        </w:rPr>
        <w:t>、《化工企业安全卫生设计规范》HG20571-2014；</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2</w:t>
      </w:r>
      <w:r>
        <w:rPr>
          <w:rFonts w:hint="eastAsia"/>
          <w:color w:val="auto"/>
          <w:szCs w:val="28"/>
        </w:rPr>
        <w:t>、《化工企业工艺安全管理实施导则》AQ/T3034-2010；</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3</w:t>
      </w:r>
      <w:r>
        <w:rPr>
          <w:rFonts w:hint="eastAsia"/>
          <w:color w:val="auto"/>
          <w:szCs w:val="28"/>
        </w:rPr>
        <w:t>、《信号报警、安全联锁系统设计规定》HG/T 20511-2014；</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4</w:t>
      </w:r>
      <w:r>
        <w:rPr>
          <w:rFonts w:hint="eastAsia"/>
          <w:color w:val="auto"/>
          <w:szCs w:val="28"/>
        </w:rPr>
        <w:t>、《生产安全事故应急演练指南》AQ/T9007-2011；</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5</w:t>
      </w:r>
      <w:r>
        <w:rPr>
          <w:rFonts w:hint="eastAsia"/>
          <w:color w:val="auto"/>
          <w:szCs w:val="28"/>
        </w:rPr>
        <w:t>、《消防应急照明和疏散指示系统》GB17945-2010；</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6</w:t>
      </w:r>
      <w:r>
        <w:rPr>
          <w:rFonts w:hint="eastAsia"/>
          <w:color w:val="auto"/>
          <w:szCs w:val="28"/>
        </w:rPr>
        <w:t>、</w:t>
      </w:r>
      <w:r>
        <w:rPr>
          <w:rFonts w:hint="eastAsia"/>
          <w:color w:val="auto"/>
          <w:szCs w:val="28"/>
          <w:lang w:val="zh-CN"/>
        </w:rPr>
        <w:t>《特种设备使用管理规则》</w:t>
      </w:r>
      <w:r>
        <w:rPr>
          <w:rFonts w:hint="eastAsia"/>
          <w:color w:val="auto"/>
          <w:szCs w:val="28"/>
        </w:rPr>
        <w:t>TSG 08-2017；</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7</w:t>
      </w:r>
      <w:r>
        <w:rPr>
          <w:rFonts w:hint="eastAsia"/>
          <w:color w:val="auto"/>
          <w:szCs w:val="28"/>
        </w:rPr>
        <w:t>、《场（厂）内专用机动车辆安全技术监察规程》TSG N0001-2017</w:t>
      </w:r>
    </w:p>
    <w:p>
      <w:pPr>
        <w:wordWrap w:val="0"/>
        <w:adjustRightInd w:val="0"/>
        <w:snapToGrid w:val="0"/>
        <w:ind w:firstLine="560" w:firstLineChars="200"/>
        <w:jc w:val="left"/>
        <w:textAlignment w:val="center"/>
        <w:rPr>
          <w:color w:val="auto"/>
          <w:szCs w:val="28"/>
        </w:rPr>
      </w:pPr>
      <w:r>
        <w:rPr>
          <w:rFonts w:hint="eastAsia"/>
          <w:color w:val="auto"/>
          <w:szCs w:val="28"/>
        </w:rPr>
        <w:t>6</w:t>
      </w:r>
      <w:r>
        <w:rPr>
          <w:color w:val="auto"/>
          <w:szCs w:val="28"/>
        </w:rPr>
        <w:t>8</w:t>
      </w:r>
      <w:r>
        <w:rPr>
          <w:rFonts w:hint="eastAsia"/>
          <w:color w:val="auto"/>
          <w:szCs w:val="28"/>
        </w:rPr>
        <w:t>、《涂料生产企业职业健康技术规范》AQ4254-2015；</w:t>
      </w:r>
    </w:p>
    <w:p>
      <w:pPr>
        <w:wordWrap w:val="0"/>
        <w:adjustRightInd w:val="0"/>
        <w:snapToGrid w:val="0"/>
        <w:ind w:firstLine="560" w:firstLineChars="200"/>
        <w:jc w:val="left"/>
        <w:textAlignment w:val="center"/>
        <w:rPr>
          <w:color w:val="auto"/>
          <w:szCs w:val="28"/>
        </w:rPr>
      </w:pPr>
      <w:r>
        <w:rPr>
          <w:color w:val="auto"/>
          <w:szCs w:val="28"/>
        </w:rPr>
        <w:t>69</w:t>
      </w:r>
      <w:r>
        <w:rPr>
          <w:rFonts w:hint="eastAsia"/>
          <w:color w:val="auto"/>
          <w:szCs w:val="28"/>
        </w:rPr>
        <w:t>、《涂料产品包装通则》GB/T13491-1992</w:t>
      </w:r>
    </w:p>
    <w:p>
      <w:pPr>
        <w:wordWrap w:val="0"/>
        <w:adjustRightInd w:val="0"/>
        <w:snapToGrid w:val="0"/>
        <w:ind w:firstLine="560" w:firstLineChars="200"/>
        <w:jc w:val="left"/>
        <w:textAlignment w:val="center"/>
        <w:rPr>
          <w:color w:val="auto"/>
          <w:szCs w:val="28"/>
        </w:rPr>
      </w:pPr>
      <w:r>
        <w:rPr>
          <w:color w:val="auto"/>
          <w:szCs w:val="28"/>
        </w:rPr>
        <w:t>70</w:t>
      </w:r>
      <w:r>
        <w:rPr>
          <w:rFonts w:hint="eastAsia"/>
          <w:color w:val="auto"/>
          <w:szCs w:val="28"/>
        </w:rPr>
        <w:t>、《涂料生产企业安全技术规程》AQ5204-2008</w:t>
      </w:r>
    </w:p>
    <w:p>
      <w:pPr>
        <w:wordWrap w:val="0"/>
        <w:adjustRightInd w:val="0"/>
        <w:snapToGrid w:val="0"/>
        <w:ind w:firstLine="560" w:firstLineChars="200"/>
        <w:jc w:val="left"/>
        <w:textAlignment w:val="center"/>
        <w:rPr>
          <w:color w:val="auto"/>
          <w:szCs w:val="28"/>
        </w:rPr>
      </w:pPr>
      <w:r>
        <w:rPr>
          <w:rFonts w:hint="eastAsia"/>
          <w:color w:val="auto"/>
          <w:szCs w:val="28"/>
        </w:rPr>
        <w:t>7</w:t>
      </w:r>
      <w:r>
        <w:rPr>
          <w:color w:val="auto"/>
          <w:szCs w:val="28"/>
        </w:rPr>
        <w:t>1</w:t>
      </w:r>
      <w:r>
        <w:rPr>
          <w:rFonts w:hint="eastAsia"/>
          <w:color w:val="auto"/>
          <w:szCs w:val="28"/>
        </w:rPr>
        <w:t>、《安全评价通则》AQ8001-2007；</w:t>
      </w:r>
    </w:p>
    <w:p>
      <w:pPr>
        <w:wordWrap w:val="0"/>
        <w:adjustRightInd w:val="0"/>
        <w:snapToGrid w:val="0"/>
        <w:ind w:firstLine="560" w:firstLineChars="200"/>
        <w:textAlignment w:val="center"/>
        <w:rPr>
          <w:color w:val="auto"/>
          <w:kern w:val="0"/>
        </w:rPr>
      </w:pPr>
      <w:r>
        <w:rPr>
          <w:rFonts w:hint="eastAsia"/>
          <w:color w:val="auto"/>
          <w:szCs w:val="28"/>
        </w:rPr>
        <w:t>7</w:t>
      </w:r>
      <w:r>
        <w:rPr>
          <w:color w:val="auto"/>
          <w:szCs w:val="28"/>
        </w:rPr>
        <w:t>2</w:t>
      </w:r>
      <w:r>
        <w:rPr>
          <w:rFonts w:hint="eastAsia"/>
          <w:color w:val="auto"/>
          <w:kern w:val="0"/>
        </w:rPr>
        <w:t>、</w:t>
      </w:r>
      <w:r>
        <w:rPr>
          <w:rFonts w:hint="eastAsia" w:cs="宋体"/>
          <w:color w:val="auto"/>
          <w:kern w:val="0"/>
        </w:rPr>
        <w:t>《安全验收评价导则》</w:t>
      </w:r>
      <w:r>
        <w:rPr>
          <w:color w:val="auto"/>
          <w:kern w:val="0"/>
        </w:rPr>
        <w:t>AQ800</w:t>
      </w:r>
      <w:r>
        <w:rPr>
          <w:rFonts w:hint="eastAsia"/>
          <w:color w:val="auto"/>
          <w:kern w:val="0"/>
        </w:rPr>
        <w:t>3</w:t>
      </w:r>
      <w:r>
        <w:rPr>
          <w:color w:val="auto"/>
          <w:kern w:val="0"/>
        </w:rPr>
        <w:t>-2007</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3</w:t>
      </w:r>
      <w:r>
        <w:rPr>
          <w:rFonts w:hint="eastAsia"/>
          <w:color w:val="auto"/>
          <w:kern w:val="0"/>
        </w:rPr>
        <w:t>、</w:t>
      </w:r>
      <w:r>
        <w:rPr>
          <w:rFonts w:hint="eastAsia" w:cs="宋体"/>
          <w:color w:val="auto"/>
          <w:kern w:val="0"/>
        </w:rPr>
        <w:t>《化工企业安全卫生设计规范》</w:t>
      </w:r>
      <w:r>
        <w:rPr>
          <w:color w:val="auto"/>
          <w:kern w:val="0"/>
        </w:rPr>
        <w:t>HG20571-2014</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4</w:t>
      </w:r>
      <w:r>
        <w:rPr>
          <w:rFonts w:hint="eastAsia"/>
          <w:color w:val="auto"/>
          <w:kern w:val="0"/>
        </w:rPr>
        <w:t>、</w:t>
      </w:r>
      <w:r>
        <w:rPr>
          <w:rFonts w:hint="eastAsia" w:cs="宋体"/>
          <w:color w:val="auto"/>
          <w:kern w:val="0"/>
        </w:rPr>
        <w:t>《化工企业静电接地设计规程》</w:t>
      </w:r>
      <w:r>
        <w:rPr>
          <w:color w:val="auto"/>
          <w:kern w:val="0"/>
        </w:rPr>
        <w:t>HG/T20675-1990</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5</w:t>
      </w:r>
      <w:r>
        <w:rPr>
          <w:rFonts w:hint="eastAsia"/>
          <w:color w:val="auto"/>
          <w:kern w:val="0"/>
        </w:rPr>
        <w:t>、</w:t>
      </w:r>
      <w:r>
        <w:rPr>
          <w:rFonts w:hint="eastAsia" w:cs="宋体"/>
          <w:color w:val="auto"/>
          <w:kern w:val="0"/>
        </w:rPr>
        <w:t>《危险化学品重大危险源安全监控通用技术规范》</w:t>
      </w:r>
      <w:r>
        <w:rPr>
          <w:color w:val="auto"/>
          <w:kern w:val="0"/>
        </w:rPr>
        <w:t>AQ3035-2010</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6</w:t>
      </w:r>
      <w:r>
        <w:rPr>
          <w:rFonts w:hint="eastAsia"/>
          <w:color w:val="auto"/>
          <w:kern w:val="0"/>
        </w:rPr>
        <w:t>、</w:t>
      </w:r>
      <w:r>
        <w:rPr>
          <w:rFonts w:hint="eastAsia" w:cs="宋体"/>
          <w:color w:val="auto"/>
          <w:kern w:val="0"/>
        </w:rPr>
        <w:t>《化工设备基础设计规定》</w:t>
      </w:r>
      <w:r>
        <w:rPr>
          <w:color w:val="auto"/>
          <w:kern w:val="0"/>
        </w:rPr>
        <w:t>HG/T20643-2012</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7</w:t>
      </w:r>
      <w:r>
        <w:rPr>
          <w:rFonts w:hint="eastAsia"/>
          <w:color w:val="auto"/>
          <w:kern w:val="0"/>
        </w:rPr>
        <w:t>、</w:t>
      </w:r>
      <w:r>
        <w:rPr>
          <w:rFonts w:hint="eastAsia" w:cs="宋体"/>
          <w:color w:val="auto"/>
          <w:kern w:val="0"/>
        </w:rPr>
        <w:t>《化工设备、管道外防腐设计规范》</w:t>
      </w:r>
      <w:r>
        <w:rPr>
          <w:color w:val="auto"/>
          <w:kern w:val="0"/>
        </w:rPr>
        <w:t>HG/T20679-2014</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8</w:t>
      </w:r>
      <w:r>
        <w:rPr>
          <w:rFonts w:hint="eastAsia"/>
          <w:color w:val="auto"/>
          <w:kern w:val="0"/>
        </w:rPr>
        <w:t>、</w:t>
      </w:r>
      <w:r>
        <w:rPr>
          <w:rFonts w:hint="eastAsia" w:cs="宋体"/>
          <w:color w:val="auto"/>
          <w:kern w:val="0"/>
        </w:rPr>
        <w:t>《危险场所电气防爆安全规范》</w:t>
      </w:r>
      <w:r>
        <w:rPr>
          <w:color w:val="auto"/>
          <w:kern w:val="0"/>
        </w:rPr>
        <w:t>AQ3009-2007</w:t>
      </w:r>
      <w:r>
        <w:rPr>
          <w:rFonts w:hint="eastAsia"/>
          <w:color w:val="auto"/>
          <w:kern w:val="0"/>
        </w:rPr>
        <w:t>；</w:t>
      </w:r>
    </w:p>
    <w:p>
      <w:pPr>
        <w:wordWrap w:val="0"/>
        <w:adjustRightInd w:val="0"/>
        <w:snapToGrid w:val="0"/>
        <w:ind w:left="560" w:leftChars="200"/>
        <w:textAlignment w:val="center"/>
        <w:rPr>
          <w:color w:val="auto"/>
          <w:kern w:val="0"/>
        </w:rPr>
      </w:pPr>
      <w:r>
        <w:rPr>
          <w:color w:val="auto"/>
          <w:kern w:val="0"/>
        </w:rPr>
        <w:t>79</w:t>
      </w:r>
      <w:r>
        <w:rPr>
          <w:rFonts w:hint="eastAsia"/>
          <w:color w:val="auto"/>
          <w:kern w:val="0"/>
        </w:rPr>
        <w:t>、</w:t>
      </w:r>
      <w:r>
        <w:rPr>
          <w:rFonts w:hint="eastAsia" w:cs="宋体"/>
          <w:color w:val="auto"/>
          <w:kern w:val="0"/>
        </w:rPr>
        <w:t>《场（厂）内专用机动车辆安全技术监察规程》</w:t>
      </w:r>
      <w:r>
        <w:rPr>
          <w:color w:val="auto"/>
          <w:kern w:val="0"/>
        </w:rPr>
        <w:t>TSGN0001-2017</w:t>
      </w:r>
      <w:r>
        <w:rPr>
          <w:rFonts w:hint="eastAsia"/>
          <w:color w:val="auto"/>
          <w:kern w:val="0"/>
        </w:rPr>
        <w:t>；</w:t>
      </w:r>
      <w:r>
        <w:rPr>
          <w:color w:val="auto"/>
          <w:kern w:val="0"/>
        </w:rPr>
        <w:t>80</w:t>
      </w:r>
      <w:r>
        <w:rPr>
          <w:rFonts w:hint="eastAsia"/>
          <w:color w:val="auto"/>
          <w:kern w:val="0"/>
        </w:rPr>
        <w:t>、其他。</w:t>
      </w:r>
    </w:p>
    <w:p>
      <w:pPr>
        <w:pStyle w:val="5"/>
        <w:keepNext w:val="0"/>
        <w:keepLines w:val="0"/>
        <w:wordWrap w:val="0"/>
        <w:adjustRightInd w:val="0"/>
        <w:snapToGrid w:val="0"/>
        <w:textAlignment w:val="center"/>
        <w:rPr>
          <w:color w:val="auto"/>
          <w:kern w:val="0"/>
        </w:rPr>
      </w:pPr>
      <w:bookmarkStart w:id="15" w:name="_Toc14915"/>
      <w:r>
        <w:rPr>
          <w:rFonts w:hint="eastAsia"/>
          <w:color w:val="auto"/>
          <w:kern w:val="0"/>
        </w:rPr>
        <w:t>1.2.4 项目文件、工程资料</w:t>
      </w:r>
      <w:bookmarkEnd w:id="15"/>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1、</w:t>
      </w:r>
      <w:r>
        <w:rPr>
          <w:rFonts w:cs="Times New Roman"/>
          <w:color w:val="auto"/>
          <w:kern w:val="0"/>
          <w:szCs w:val="28"/>
        </w:rPr>
        <w:t>整改回复</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2、</w:t>
      </w:r>
      <w:r>
        <w:rPr>
          <w:rFonts w:cs="Times New Roman"/>
          <w:color w:val="auto"/>
          <w:kern w:val="0"/>
          <w:szCs w:val="28"/>
        </w:rPr>
        <w:t>营业执照</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3、</w:t>
      </w:r>
      <w:r>
        <w:rPr>
          <w:rFonts w:ascii="Times New Roman" w:hAnsi="Times New Roman" w:cs="Times New Roman"/>
          <w:color w:val="auto"/>
          <w:sz w:val="28"/>
          <w:szCs w:val="28"/>
        </w:rPr>
        <w:t>立项</w:t>
      </w:r>
      <w:r>
        <w:rPr>
          <w:rFonts w:hint="eastAsia" w:ascii="Times New Roman" w:hAnsi="Times New Roman" w:cs="Times New Roman"/>
          <w:color w:val="auto"/>
          <w:sz w:val="28"/>
          <w:szCs w:val="28"/>
        </w:rPr>
        <w:t>文件</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4、</w:t>
      </w:r>
      <w:r>
        <w:rPr>
          <w:rFonts w:ascii="Times New Roman" w:hAnsi="Times New Roman" w:cs="Times New Roman"/>
          <w:color w:val="auto"/>
          <w:sz w:val="28"/>
          <w:szCs w:val="28"/>
        </w:rPr>
        <w:t>建设用地规划许可</w:t>
      </w:r>
    </w:p>
    <w:p>
      <w:pPr>
        <w:pStyle w:val="34"/>
        <w:tabs>
          <w:tab w:val="left" w:pos="799"/>
        </w:tabs>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5、</w:t>
      </w:r>
      <w:r>
        <w:rPr>
          <w:rFonts w:ascii="Times New Roman" w:hAnsi="Times New Roman" w:cs="Times New Roman"/>
          <w:color w:val="auto"/>
          <w:sz w:val="28"/>
          <w:szCs w:val="28"/>
        </w:rPr>
        <w:t>土地证</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6、</w:t>
      </w:r>
      <w:r>
        <w:rPr>
          <w:rFonts w:ascii="Times New Roman" w:hAnsi="Times New Roman" w:cs="Times New Roman"/>
          <w:color w:val="auto"/>
          <w:sz w:val="28"/>
          <w:szCs w:val="28"/>
        </w:rPr>
        <w:t>设计、施工、监理资质和总结报告</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7、</w:t>
      </w:r>
      <w:r>
        <w:rPr>
          <w:rFonts w:ascii="Times New Roman" w:hAnsi="Times New Roman" w:cs="Times New Roman"/>
          <w:color w:val="auto"/>
          <w:sz w:val="28"/>
          <w:szCs w:val="28"/>
        </w:rPr>
        <w:t>安全条件</w:t>
      </w:r>
      <w:r>
        <w:rPr>
          <w:rFonts w:hint="eastAsia" w:ascii="Times New Roman" w:hAnsi="Times New Roman" w:cs="Times New Roman"/>
          <w:color w:val="auto"/>
          <w:sz w:val="28"/>
          <w:szCs w:val="28"/>
        </w:rPr>
        <w:t>专家评审意见</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8、</w:t>
      </w:r>
      <w:r>
        <w:rPr>
          <w:rFonts w:ascii="Times New Roman" w:hAnsi="Times New Roman" w:cs="Times New Roman"/>
          <w:color w:val="auto"/>
          <w:sz w:val="28"/>
          <w:szCs w:val="28"/>
        </w:rPr>
        <w:t>安全设施设计</w:t>
      </w:r>
      <w:r>
        <w:rPr>
          <w:rFonts w:hint="eastAsia" w:ascii="Times New Roman" w:hAnsi="Times New Roman" w:cs="Times New Roman"/>
          <w:color w:val="auto"/>
          <w:sz w:val="28"/>
          <w:szCs w:val="28"/>
        </w:rPr>
        <w:t>专家评审意见</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9、</w:t>
      </w:r>
      <w:r>
        <w:rPr>
          <w:rFonts w:ascii="Times New Roman" w:hAnsi="Times New Roman" w:cs="Times New Roman"/>
          <w:color w:val="auto"/>
          <w:sz w:val="28"/>
          <w:szCs w:val="28"/>
        </w:rPr>
        <w:t>安全管理机构及安全管理人员任命文件</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10、</w:t>
      </w:r>
      <w:r>
        <w:rPr>
          <w:rFonts w:ascii="Times New Roman" w:hAnsi="Times New Roman" w:cs="Times New Roman"/>
          <w:color w:val="auto"/>
          <w:sz w:val="28"/>
          <w:szCs w:val="28"/>
        </w:rPr>
        <w:t>安全教育台账</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11、</w:t>
      </w:r>
      <w:r>
        <w:rPr>
          <w:rFonts w:ascii="Times New Roman" w:hAnsi="Times New Roman" w:cs="Times New Roman"/>
          <w:color w:val="auto"/>
          <w:sz w:val="28"/>
          <w:szCs w:val="28"/>
        </w:rPr>
        <w:t>应急救援预案备案登记表及演练记录</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12、</w:t>
      </w:r>
      <w:r>
        <w:rPr>
          <w:rFonts w:ascii="Times New Roman" w:hAnsi="Times New Roman" w:cs="Times New Roman"/>
          <w:color w:val="auto"/>
          <w:sz w:val="28"/>
          <w:szCs w:val="28"/>
        </w:rPr>
        <w:t>主要负责人和安全管理人员证书</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13、</w:t>
      </w:r>
      <w:r>
        <w:rPr>
          <w:rFonts w:ascii="Times New Roman" w:hAnsi="Times New Roman" w:cs="Times New Roman"/>
          <w:color w:val="auto"/>
          <w:sz w:val="28"/>
          <w:szCs w:val="28"/>
        </w:rPr>
        <w:t>特种作业人员清单及证书</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14、</w:t>
      </w:r>
      <w:r>
        <w:rPr>
          <w:rFonts w:ascii="Times New Roman" w:hAnsi="Times New Roman" w:cs="Times New Roman"/>
          <w:color w:val="auto"/>
          <w:sz w:val="28"/>
          <w:szCs w:val="28"/>
        </w:rPr>
        <w:t>工伤保险缴纳清单</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15、</w:t>
      </w:r>
      <w:r>
        <w:rPr>
          <w:rFonts w:ascii="Times New Roman" w:hAnsi="Times New Roman" w:cs="Times New Roman"/>
          <w:color w:val="auto"/>
          <w:sz w:val="28"/>
          <w:szCs w:val="28"/>
        </w:rPr>
        <w:t>防雷检测报告</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16、</w:t>
      </w:r>
      <w:r>
        <w:rPr>
          <w:rFonts w:ascii="Times New Roman" w:hAnsi="Times New Roman" w:cs="Times New Roman"/>
          <w:color w:val="auto"/>
          <w:sz w:val="28"/>
          <w:szCs w:val="28"/>
        </w:rPr>
        <w:t>安全生产责任制和安全生产管理制度</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17、</w:t>
      </w:r>
      <w:r>
        <w:rPr>
          <w:rFonts w:ascii="Times New Roman" w:hAnsi="Times New Roman" w:cs="Times New Roman"/>
          <w:color w:val="auto"/>
          <w:sz w:val="28"/>
          <w:szCs w:val="28"/>
        </w:rPr>
        <w:t>岗位操作规程</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18、</w:t>
      </w:r>
      <w:r>
        <w:rPr>
          <w:rFonts w:ascii="Times New Roman" w:hAnsi="Times New Roman" w:cs="Times New Roman"/>
          <w:color w:val="auto"/>
          <w:sz w:val="28"/>
          <w:szCs w:val="28"/>
        </w:rPr>
        <w:t>试生产方案评审意见</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19、</w:t>
      </w:r>
      <w:r>
        <w:rPr>
          <w:rFonts w:ascii="Times New Roman" w:hAnsi="Times New Roman" w:cs="Times New Roman"/>
          <w:color w:val="auto"/>
          <w:sz w:val="28"/>
          <w:szCs w:val="28"/>
        </w:rPr>
        <w:t>安全阀、压力表检测报告</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20、</w:t>
      </w:r>
      <w:r>
        <w:rPr>
          <w:rFonts w:ascii="Times New Roman" w:hAnsi="Times New Roman" w:cs="Times New Roman"/>
          <w:color w:val="auto"/>
          <w:sz w:val="28"/>
          <w:szCs w:val="28"/>
        </w:rPr>
        <w:t>总平面布置图</w:t>
      </w:r>
    </w:p>
    <w:p>
      <w:pPr>
        <w:pStyle w:val="34"/>
        <w:wordWrap w:val="0"/>
        <w:autoSpaceDE/>
        <w:autoSpaceDN/>
        <w:snapToGrid w:val="0"/>
        <w:spacing w:line="600" w:lineRule="exact"/>
        <w:ind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21、其他相关资料</w:t>
      </w:r>
    </w:p>
    <w:p>
      <w:pPr>
        <w:pStyle w:val="4"/>
        <w:keepNext w:val="0"/>
        <w:keepLines w:val="0"/>
        <w:wordWrap w:val="0"/>
        <w:adjustRightInd w:val="0"/>
        <w:snapToGrid w:val="0"/>
        <w:jc w:val="center"/>
        <w:textAlignment w:val="center"/>
        <w:rPr>
          <w:color w:val="auto"/>
          <w:kern w:val="0"/>
        </w:rPr>
      </w:pPr>
      <w:bookmarkStart w:id="16" w:name="_Toc30986"/>
      <w:bookmarkStart w:id="17" w:name="_Toc27"/>
      <w:bookmarkStart w:id="18" w:name="_Toc22166"/>
      <w:r>
        <w:rPr>
          <w:rFonts w:hint="eastAsia"/>
          <w:color w:val="auto"/>
          <w:kern w:val="0"/>
        </w:rPr>
        <w:t>1.3 评价范围及评价程序</w:t>
      </w:r>
      <w:bookmarkEnd w:id="16"/>
      <w:bookmarkEnd w:id="17"/>
      <w:bookmarkEnd w:id="18"/>
    </w:p>
    <w:p>
      <w:pPr>
        <w:pStyle w:val="5"/>
        <w:keepNext w:val="0"/>
        <w:keepLines w:val="0"/>
        <w:wordWrap w:val="0"/>
        <w:adjustRightInd w:val="0"/>
        <w:snapToGrid w:val="0"/>
        <w:textAlignment w:val="center"/>
        <w:rPr>
          <w:color w:val="auto"/>
          <w:kern w:val="0"/>
        </w:rPr>
      </w:pPr>
      <w:bookmarkStart w:id="19" w:name="_Toc15979"/>
      <w:r>
        <w:rPr>
          <w:rFonts w:hint="eastAsia"/>
          <w:color w:val="auto"/>
          <w:kern w:val="0"/>
        </w:rPr>
        <w:t>1.3.1 评价对象、范围</w:t>
      </w:r>
      <w:bookmarkEnd w:id="19"/>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的评价对象</w:t>
      </w:r>
      <w:r>
        <w:rPr>
          <w:rFonts w:hint="eastAsia"/>
          <w:color w:val="auto"/>
          <w:kern w:val="0"/>
        </w:rPr>
        <w:t>为江西景新漆业股份有限公司安全生产设施技术改造项目（106甲类仓库）主体工程、</w:t>
      </w:r>
      <w:r>
        <w:rPr>
          <w:rFonts w:hint="eastAsia"/>
          <w:color w:val="auto"/>
          <w:kern w:val="0"/>
        </w:rPr>
        <w:t>存储设施</w:t>
      </w:r>
      <w:r>
        <w:rPr>
          <w:rFonts w:hint="eastAsia"/>
          <w:color w:val="auto"/>
          <w:kern w:val="0"/>
        </w:rPr>
        <w:t>及配套的公用、辅助设施。</w:t>
      </w:r>
    </w:p>
    <w:p>
      <w:pPr>
        <w:wordWrap w:val="0"/>
        <w:adjustRightInd w:val="0"/>
        <w:snapToGrid w:val="0"/>
        <w:ind w:firstLine="560" w:firstLineChars="200"/>
        <w:textAlignment w:val="center"/>
        <w:rPr>
          <w:color w:val="auto"/>
          <w:kern w:val="0"/>
        </w:rPr>
      </w:pPr>
      <w:r>
        <w:rPr>
          <w:color w:val="auto"/>
          <w:kern w:val="0"/>
        </w:rPr>
        <w:t>根据试生产情况，与业主协商，确定本评价的范围</w:t>
      </w:r>
      <w:r>
        <w:rPr>
          <w:rFonts w:hint="eastAsia"/>
          <w:color w:val="auto"/>
          <w:kern w:val="0"/>
        </w:rPr>
        <w:t>详见下表内容：</w:t>
      </w:r>
    </w:p>
    <w:p>
      <w:pPr>
        <w:wordWrap w:val="0"/>
        <w:adjustRightInd w:val="0"/>
        <w:snapToGrid w:val="0"/>
        <w:jc w:val="center"/>
        <w:textAlignment w:val="center"/>
        <w:rPr>
          <w:rFonts w:cs="宋体"/>
          <w:color w:val="auto"/>
          <w:kern w:val="0"/>
        </w:rPr>
      </w:pPr>
      <w:r>
        <w:rPr>
          <w:rFonts w:hint="eastAsia" w:cs="宋体"/>
          <w:color w:val="auto"/>
          <w:kern w:val="0"/>
        </w:rPr>
        <w:t>表1.3-1  本期项目内容组成表</w:t>
      </w:r>
    </w:p>
    <w:tbl>
      <w:tblPr>
        <w:tblStyle w:val="24"/>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4"/>
        <w:gridCol w:w="1375"/>
        <w:gridCol w:w="1860"/>
        <w:gridCol w:w="4122"/>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jc w:val="center"/>
        </w:trPr>
        <w:tc>
          <w:tcPr>
            <w:tcW w:w="634" w:type="dxa"/>
            <w:vAlign w:val="center"/>
          </w:tcPr>
          <w:p>
            <w:pPr>
              <w:pStyle w:val="48"/>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序号</w:t>
            </w:r>
          </w:p>
        </w:tc>
        <w:tc>
          <w:tcPr>
            <w:tcW w:w="1375" w:type="dxa"/>
            <w:vAlign w:val="center"/>
          </w:tcPr>
          <w:p>
            <w:pPr>
              <w:pStyle w:val="48"/>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主项目名称</w:t>
            </w:r>
          </w:p>
        </w:tc>
        <w:tc>
          <w:tcPr>
            <w:tcW w:w="1860" w:type="dxa"/>
            <w:vAlign w:val="center"/>
          </w:tcPr>
          <w:p>
            <w:pPr>
              <w:pStyle w:val="48"/>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主要组成内容</w:t>
            </w:r>
          </w:p>
        </w:tc>
        <w:tc>
          <w:tcPr>
            <w:tcW w:w="4122" w:type="dxa"/>
            <w:vAlign w:val="center"/>
          </w:tcPr>
          <w:p>
            <w:pPr>
              <w:pStyle w:val="48"/>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功能</w:t>
            </w:r>
          </w:p>
        </w:tc>
        <w:tc>
          <w:tcPr>
            <w:tcW w:w="1027" w:type="dxa"/>
            <w:vAlign w:val="center"/>
          </w:tcPr>
          <w:p>
            <w:pPr>
              <w:pStyle w:val="48"/>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8" w:hRule="atLeast"/>
          <w:jc w:val="center"/>
        </w:trPr>
        <w:tc>
          <w:tcPr>
            <w:tcW w:w="634"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w w:val="99"/>
                <w:sz w:val="21"/>
                <w:szCs w:val="21"/>
              </w:rPr>
              <w:t>1</w:t>
            </w:r>
          </w:p>
        </w:tc>
        <w:tc>
          <w:tcPr>
            <w:tcW w:w="1375"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总体</w:t>
            </w:r>
          </w:p>
        </w:tc>
        <w:tc>
          <w:tcPr>
            <w:tcW w:w="1860"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总平面布置、道路、外管、厂区供电网、厂区给排水管网、消防水管网等</w:t>
            </w:r>
          </w:p>
        </w:tc>
        <w:tc>
          <w:tcPr>
            <w:tcW w:w="4122"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公辅工程</w:t>
            </w:r>
          </w:p>
        </w:tc>
        <w:tc>
          <w:tcPr>
            <w:tcW w:w="1027" w:type="dxa"/>
            <w:vAlign w:val="center"/>
          </w:tcPr>
          <w:p>
            <w:pPr>
              <w:wordWrap w:val="0"/>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5" w:hRule="atLeast"/>
          <w:jc w:val="center"/>
        </w:trPr>
        <w:tc>
          <w:tcPr>
            <w:tcW w:w="634"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w w:val="99"/>
                <w:sz w:val="21"/>
                <w:szCs w:val="21"/>
              </w:rPr>
              <w:t>2</w:t>
            </w:r>
          </w:p>
        </w:tc>
        <w:tc>
          <w:tcPr>
            <w:tcW w:w="1375"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仓储区</w:t>
            </w:r>
          </w:p>
        </w:tc>
        <w:tc>
          <w:tcPr>
            <w:tcW w:w="1860"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106甲类仓库</w:t>
            </w:r>
          </w:p>
        </w:tc>
        <w:tc>
          <w:tcPr>
            <w:tcW w:w="4122"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防火分区一储存丙二醇、丙二醇单丁醚、环氧树脂、环氧树脂固化剂、溶剂型丙烯酸树脂、聚氨酯树脂、氟碳树脂；防火分区二储存丙烯酸乳液、二甲苯、醋酸丁酯、正丁醇；防火分区三储存丙烯酸树脂涂料、聚氨酯树脂涂料、环氧树脂涂料、氟碳树脂涂料。</w:t>
            </w:r>
          </w:p>
        </w:tc>
        <w:tc>
          <w:tcPr>
            <w:tcW w:w="1027" w:type="dxa"/>
            <w:vAlign w:val="center"/>
          </w:tcPr>
          <w:p>
            <w:pPr>
              <w:pStyle w:val="48"/>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新建</w:t>
            </w:r>
          </w:p>
        </w:tc>
      </w:tr>
    </w:tbl>
    <w:p>
      <w:pPr>
        <w:wordWrap w:val="0"/>
        <w:adjustRightInd w:val="0"/>
        <w:snapToGrid w:val="0"/>
        <w:ind w:firstLine="560"/>
        <w:textAlignment w:val="center"/>
        <w:rPr>
          <w:color w:val="auto"/>
          <w:kern w:val="0"/>
        </w:rPr>
      </w:pPr>
      <w:r>
        <w:rPr>
          <w:color w:val="auto"/>
          <w:kern w:val="0"/>
        </w:rPr>
        <w:t>本评价针对评价范围内的厂址、总平面布置，建筑、设备、装置所涉及的危险、有害因素进行辨识，根据相应法律、法规、标准、规范及安全设施设计专篇的要求检查安全设施的配置及相关检测检验情况，审核评价安全生产管理机构、制度、人员培训、设备管理、操作规程中、事故应急体系等保障措施，对整个工程安全设施及安全措施进行符合性评价。</w:t>
      </w:r>
    </w:p>
    <w:p>
      <w:pPr>
        <w:wordWrap w:val="0"/>
        <w:adjustRightInd w:val="0"/>
        <w:snapToGrid w:val="0"/>
        <w:ind w:firstLine="560" w:firstLineChars="200"/>
        <w:jc w:val="left"/>
        <w:textAlignment w:val="center"/>
        <w:rPr>
          <w:color w:val="auto"/>
          <w:szCs w:val="28"/>
        </w:rPr>
      </w:pPr>
      <w:r>
        <w:rPr>
          <w:rFonts w:hint="eastAsia"/>
          <w:color w:val="auto"/>
          <w:szCs w:val="28"/>
        </w:rPr>
        <w:t>本项目106甲类仓库西北侧10m处原有一栋闲置建筑（已停用），与本项目106甲类仓库安全间距不足，考虑到企业已废置停用，不纳入本次评价范围内。</w:t>
      </w:r>
    </w:p>
    <w:p>
      <w:pPr>
        <w:wordWrap w:val="0"/>
        <w:adjustRightInd w:val="0"/>
        <w:snapToGrid w:val="0"/>
        <w:ind w:firstLine="560" w:firstLineChars="200"/>
        <w:jc w:val="left"/>
        <w:textAlignment w:val="center"/>
        <w:rPr>
          <w:color w:val="auto"/>
          <w:kern w:val="0"/>
        </w:rPr>
      </w:pPr>
      <w:r>
        <w:rPr>
          <w:color w:val="auto"/>
          <w:kern w:val="0"/>
        </w:rPr>
        <w:t>涉及</w:t>
      </w:r>
      <w:r>
        <w:rPr>
          <w:rFonts w:hint="eastAsia"/>
          <w:color w:val="auto"/>
          <w:kern w:val="0"/>
        </w:rPr>
        <w:t>本项目</w:t>
      </w:r>
      <w:r>
        <w:rPr>
          <w:color w:val="auto"/>
          <w:kern w:val="0"/>
        </w:rPr>
        <w:t>的环保、职卫、厂外运输等问题则应执行国家的相关规定及相关标准，不包括在本次安全评价范围内。</w:t>
      </w:r>
    </w:p>
    <w:p>
      <w:pPr>
        <w:pStyle w:val="5"/>
        <w:keepNext w:val="0"/>
        <w:keepLines w:val="0"/>
        <w:wordWrap w:val="0"/>
        <w:adjustRightInd w:val="0"/>
        <w:snapToGrid w:val="0"/>
        <w:textAlignment w:val="center"/>
        <w:rPr>
          <w:color w:val="auto"/>
          <w:kern w:val="0"/>
        </w:rPr>
      </w:pPr>
      <w:bookmarkStart w:id="20" w:name="_Toc3238"/>
      <w:r>
        <w:rPr>
          <w:rFonts w:hint="eastAsia"/>
          <w:color w:val="auto"/>
          <w:kern w:val="0"/>
        </w:rPr>
        <w:t>1.3.2 评价程序</w:t>
      </w:r>
      <w:bookmarkEnd w:id="20"/>
    </w:p>
    <w:p>
      <w:pPr>
        <w:wordWrap w:val="0"/>
        <w:adjustRightInd w:val="0"/>
        <w:snapToGrid w:val="0"/>
        <w:spacing w:line="520" w:lineRule="exact"/>
        <w:ind w:firstLine="560" w:firstLineChars="200"/>
        <w:textAlignment w:val="center"/>
        <w:rPr>
          <w:color w:val="auto"/>
          <w:kern w:val="0"/>
        </w:rPr>
      </w:pPr>
      <w:r>
        <w:rPr>
          <w:color w:val="auto"/>
          <w:kern w:val="0"/>
        </w:rPr>
        <w:t>评价工作大体可分为三个阶段。</w:t>
      </w:r>
    </w:p>
    <w:p>
      <w:pPr>
        <w:wordWrap w:val="0"/>
        <w:adjustRightInd w:val="0"/>
        <w:snapToGrid w:val="0"/>
        <w:spacing w:line="520" w:lineRule="exact"/>
        <w:ind w:firstLine="560" w:firstLineChars="200"/>
        <w:textAlignment w:val="center"/>
        <w:rPr>
          <w:color w:val="auto"/>
          <w:kern w:val="0"/>
        </w:rPr>
      </w:pPr>
      <w:r>
        <w:rPr>
          <w:color w:val="auto"/>
          <w:kern w:val="0"/>
        </w:rPr>
        <w:t>第一阶段为准备阶段，主要收集有关资料，进行初步的分析和危险、有害因素识别，选择评价方法，编制评价大纲；</w:t>
      </w:r>
    </w:p>
    <w:p>
      <w:pPr>
        <w:wordWrap w:val="0"/>
        <w:adjustRightInd w:val="0"/>
        <w:snapToGrid w:val="0"/>
        <w:spacing w:line="520" w:lineRule="exact"/>
        <w:ind w:firstLine="560" w:firstLineChars="200"/>
        <w:textAlignment w:val="center"/>
        <w:rPr>
          <w:color w:val="auto"/>
          <w:kern w:val="0"/>
        </w:rPr>
      </w:pPr>
      <w:r>
        <w:rPr>
          <w:color w:val="auto"/>
          <w:kern w:val="0"/>
        </w:rPr>
        <w:t>第二阶段为实施评价阶段，通过对</w:t>
      </w:r>
      <w:r>
        <w:rPr>
          <w:rFonts w:hint="eastAsia"/>
          <w:color w:val="auto"/>
          <w:kern w:val="0"/>
        </w:rPr>
        <w:t>江西景新漆业股份有限公司</w:t>
      </w:r>
      <w:r>
        <w:rPr>
          <w:color w:val="auto"/>
          <w:kern w:val="0"/>
        </w:rPr>
        <w:t>现场、相关资料的检查、整理，运用合适的评价方法进行定性或定量分析，提出安全对策措施；</w:t>
      </w:r>
    </w:p>
    <w:p>
      <w:pPr>
        <w:wordWrap w:val="0"/>
        <w:adjustRightInd w:val="0"/>
        <w:snapToGrid w:val="0"/>
        <w:spacing w:line="520" w:lineRule="exact"/>
        <w:ind w:firstLine="560" w:firstLineChars="200"/>
        <w:textAlignment w:val="center"/>
        <w:rPr>
          <w:color w:val="auto"/>
          <w:kern w:val="0"/>
        </w:rPr>
      </w:pPr>
      <w:r>
        <w:rPr>
          <w:color w:val="auto"/>
          <w:kern w:val="0"/>
        </w:rPr>
        <w:t>第三阶段为报告编制阶段，主要是汇总第二阶段所得到的各种资料、数据，综合分析，提出结论与建议，完成安全评价报告的编制。</w:t>
      </w:r>
    </w:p>
    <w:p>
      <w:pPr>
        <w:wordWrap w:val="0"/>
        <w:adjustRightInd w:val="0"/>
        <w:snapToGrid w:val="0"/>
        <w:spacing w:line="540" w:lineRule="exact"/>
        <w:ind w:firstLine="560" w:firstLineChars="200"/>
        <w:textAlignment w:val="center"/>
        <w:rPr>
          <w:color w:val="auto"/>
          <w:kern w:val="0"/>
        </w:rPr>
      </w:pPr>
      <w:r>
        <w:rPr>
          <w:color w:val="auto"/>
          <w:kern w:val="0"/>
        </w:rPr>
        <w:t>本次安全评价工作程序如图1-1所示。</w:t>
      </w:r>
    </w:p>
    <w:p>
      <w:pPr>
        <w:wordWrap w:val="0"/>
        <w:adjustRightInd w:val="0"/>
        <w:snapToGrid w:val="0"/>
        <w:spacing w:line="240" w:lineRule="auto"/>
        <w:jc w:val="center"/>
        <w:textAlignment w:val="center"/>
        <w:rPr>
          <w:color w:val="auto"/>
          <w:kern w:val="0"/>
        </w:rPr>
      </w:pPr>
      <w:r>
        <w:rPr>
          <w:rFonts w:cs="Times New Roman"/>
          <w:snapToGrid w:val="0"/>
          <w:color w:val="auto"/>
          <w:kern w:val="0"/>
          <w:szCs w:val="28"/>
        </w:rPr>
        <mc:AlternateContent>
          <mc:Choice Requires="wpg">
            <w:drawing>
              <wp:inline distT="0" distB="0" distL="114300" distR="114300">
                <wp:extent cx="2339975" cy="5039995"/>
                <wp:effectExtent l="5080" t="4445" r="17145" b="22860"/>
                <wp:docPr id="17" name="组合 2"/>
                <wp:cNvGraphicFramePr/>
                <a:graphic xmlns:a="http://schemas.openxmlformats.org/drawingml/2006/main">
                  <a:graphicData uri="http://schemas.microsoft.com/office/word/2010/wordprocessingGroup">
                    <wpg:wgp>
                      <wpg:cNvGrpSpPr/>
                      <wpg:grpSpPr>
                        <a:xfrm>
                          <a:off x="0" y="0"/>
                          <a:ext cx="2339975" cy="5039995"/>
                          <a:chOff x="0" y="0"/>
                          <a:chExt cx="3060" cy="6853"/>
                        </a:xfrm>
                      </wpg:grpSpPr>
                      <wps:wsp>
                        <wps:cNvPr id="18" name="文本框 3"/>
                        <wps:cNvSpPr txBox="1"/>
                        <wps:spPr>
                          <a:xfrm>
                            <a:off x="0" y="926"/>
                            <a:ext cx="30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辩识与分析危险、有害因素</w:t>
                              </w:r>
                            </w:p>
                          </w:txbxContent>
                        </wps:txbx>
                        <wps:bodyPr upright="1"/>
                      </wps:wsp>
                      <wps:wsp>
                        <wps:cNvPr id="19" name="文本框 4"/>
                        <wps:cNvSpPr txBox="1"/>
                        <wps:spPr>
                          <a:xfrm>
                            <a:off x="0" y="1861"/>
                            <a:ext cx="304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划分评价单元</w:t>
                              </w:r>
                            </w:p>
                          </w:txbxContent>
                        </wps:txbx>
                        <wps:bodyPr upright="1"/>
                      </wps:wsp>
                      <wps:wsp>
                        <wps:cNvPr id="20" name="文本框 5"/>
                        <wps:cNvSpPr txBox="1"/>
                        <wps:spPr>
                          <a:xfrm>
                            <a:off x="0" y="2797"/>
                            <a:ext cx="304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选择评价方法</w:t>
                              </w:r>
                            </w:p>
                          </w:txbxContent>
                        </wps:txbx>
                        <wps:bodyPr upright="1"/>
                      </wps:wsp>
                      <wps:wsp>
                        <wps:cNvPr id="21" name="文本框 6"/>
                        <wps:cNvSpPr txBox="1"/>
                        <wps:spPr>
                          <a:xfrm>
                            <a:off x="0" y="3733"/>
                            <a:ext cx="304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定性、定量评价</w:t>
                              </w:r>
                            </w:p>
                          </w:txbxContent>
                        </wps:txbx>
                        <wps:bodyPr upright="1"/>
                      </wps:wsp>
                      <wps:wsp>
                        <wps:cNvPr id="22" name="文本框 7"/>
                        <wps:cNvSpPr txBox="1"/>
                        <wps:spPr>
                          <a:xfrm>
                            <a:off x="0" y="4669"/>
                            <a:ext cx="30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提出安全对策措施建议</w:t>
                              </w:r>
                            </w:p>
                          </w:txbxContent>
                        </wps:txbx>
                        <wps:bodyPr upright="1"/>
                      </wps:wsp>
                      <wps:wsp>
                        <wps:cNvPr id="23" name="文本框 8"/>
                        <wps:cNvSpPr txBox="1"/>
                        <wps:spPr>
                          <a:xfrm>
                            <a:off x="0" y="5605"/>
                            <a:ext cx="304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宋体"/>
                                  <w:szCs w:val="28"/>
                                </w:rPr>
                              </w:pPr>
                              <w:r>
                                <w:rPr>
                                  <w:rFonts w:hint="eastAsia" w:cs="宋体"/>
                                  <w:szCs w:val="28"/>
                                </w:rPr>
                                <w:t>做出评价结论</w:t>
                              </w:r>
                            </w:p>
                          </w:txbxContent>
                        </wps:txbx>
                        <wps:bodyPr upright="1"/>
                      </wps:wsp>
                      <wps:wsp>
                        <wps:cNvPr id="24" name="文本框 9"/>
                        <wps:cNvSpPr txBox="1"/>
                        <wps:spPr>
                          <a:xfrm>
                            <a:off x="0" y="6385"/>
                            <a:ext cx="304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400" w:lineRule="exact"/>
                                <w:jc w:val="center"/>
                                <w:textAlignment w:val="center"/>
                                <w:rPr>
                                  <w:rFonts w:cs="宋体"/>
                                  <w:szCs w:val="28"/>
                                </w:rPr>
                              </w:pPr>
                              <w:r>
                                <w:rPr>
                                  <w:rFonts w:hint="eastAsia" w:cs="宋体"/>
                                  <w:szCs w:val="28"/>
                                </w:rPr>
                                <w:t>编制安全评价报告</w:t>
                              </w:r>
                            </w:p>
                          </w:txbxContent>
                        </wps:txbx>
                        <wps:bodyPr upright="1"/>
                      </wps:wsp>
                      <wps:wsp>
                        <wps:cNvPr id="25" name="直线 10"/>
                        <wps:cNvCnPr/>
                        <wps:spPr>
                          <a:xfrm>
                            <a:off x="1440" y="468"/>
                            <a:ext cx="0" cy="468"/>
                          </a:xfrm>
                          <a:prstGeom prst="line">
                            <a:avLst/>
                          </a:prstGeom>
                          <a:ln w="9525" cap="flat" cmpd="sng">
                            <a:solidFill>
                              <a:srgbClr val="000000"/>
                            </a:solidFill>
                            <a:prstDash val="solid"/>
                            <a:headEnd type="none" w="med" len="med"/>
                            <a:tailEnd type="triangle" w="med" len="med"/>
                          </a:ln>
                        </wps:spPr>
                        <wps:bodyPr/>
                      </wps:wsp>
                      <wps:wsp>
                        <wps:cNvPr id="26" name="直线 11"/>
                        <wps:cNvCnPr/>
                        <wps:spPr>
                          <a:xfrm>
                            <a:off x="1440" y="1393"/>
                            <a:ext cx="0" cy="468"/>
                          </a:xfrm>
                          <a:prstGeom prst="line">
                            <a:avLst/>
                          </a:prstGeom>
                          <a:ln w="9525" cap="flat" cmpd="sng">
                            <a:solidFill>
                              <a:srgbClr val="000000"/>
                            </a:solidFill>
                            <a:prstDash val="solid"/>
                            <a:headEnd type="none" w="med" len="med"/>
                            <a:tailEnd type="triangle" w="med" len="med"/>
                          </a:ln>
                        </wps:spPr>
                        <wps:bodyPr/>
                      </wps:wsp>
                      <wps:wsp>
                        <wps:cNvPr id="27" name="直线 12"/>
                        <wps:cNvCnPr/>
                        <wps:spPr>
                          <a:xfrm>
                            <a:off x="1440" y="2391"/>
                            <a:ext cx="0" cy="468"/>
                          </a:xfrm>
                          <a:prstGeom prst="line">
                            <a:avLst/>
                          </a:prstGeom>
                          <a:ln w="9525" cap="flat" cmpd="sng">
                            <a:solidFill>
                              <a:srgbClr val="000000"/>
                            </a:solidFill>
                            <a:prstDash val="solid"/>
                            <a:headEnd type="none" w="med" len="med"/>
                            <a:tailEnd type="triangle" w="med" len="med"/>
                          </a:ln>
                        </wps:spPr>
                        <wps:bodyPr/>
                      </wps:wsp>
                      <wps:wsp>
                        <wps:cNvPr id="28" name="直线 13"/>
                        <wps:cNvCnPr/>
                        <wps:spPr>
                          <a:xfrm>
                            <a:off x="1440" y="3327"/>
                            <a:ext cx="0" cy="468"/>
                          </a:xfrm>
                          <a:prstGeom prst="line">
                            <a:avLst/>
                          </a:prstGeom>
                          <a:ln w="9525" cap="flat" cmpd="sng">
                            <a:solidFill>
                              <a:srgbClr val="000000"/>
                            </a:solidFill>
                            <a:prstDash val="solid"/>
                            <a:headEnd type="none" w="med" len="med"/>
                            <a:tailEnd type="triangle" w="med" len="med"/>
                          </a:ln>
                        </wps:spPr>
                        <wps:bodyPr/>
                      </wps:wsp>
                      <wps:wsp>
                        <wps:cNvPr id="29" name="直线 14"/>
                        <wps:cNvCnPr/>
                        <wps:spPr>
                          <a:xfrm>
                            <a:off x="1440" y="4263"/>
                            <a:ext cx="0" cy="312"/>
                          </a:xfrm>
                          <a:prstGeom prst="line">
                            <a:avLst/>
                          </a:prstGeom>
                          <a:ln w="9525" cap="flat" cmpd="sng">
                            <a:solidFill>
                              <a:srgbClr val="000000"/>
                            </a:solidFill>
                            <a:prstDash val="solid"/>
                            <a:headEnd type="none" w="med" len="med"/>
                            <a:tailEnd type="triangle" w="med" len="med"/>
                          </a:ln>
                        </wps:spPr>
                        <wps:bodyPr/>
                      </wps:wsp>
                      <wps:wsp>
                        <wps:cNvPr id="30" name="直线 15"/>
                        <wps:cNvCnPr/>
                        <wps:spPr>
                          <a:xfrm>
                            <a:off x="1440" y="5199"/>
                            <a:ext cx="0" cy="312"/>
                          </a:xfrm>
                          <a:prstGeom prst="line">
                            <a:avLst/>
                          </a:prstGeom>
                          <a:ln w="9525" cap="flat" cmpd="sng">
                            <a:solidFill>
                              <a:srgbClr val="000000"/>
                            </a:solidFill>
                            <a:prstDash val="solid"/>
                            <a:headEnd type="none" w="med" len="med"/>
                            <a:tailEnd type="triangle" w="med" len="med"/>
                          </a:ln>
                        </wps:spPr>
                        <wps:bodyPr/>
                      </wps:wsp>
                      <wps:wsp>
                        <wps:cNvPr id="31" name="直线 16"/>
                        <wps:cNvCnPr/>
                        <wps:spPr>
                          <a:xfrm>
                            <a:off x="1440" y="6073"/>
                            <a:ext cx="0" cy="312"/>
                          </a:xfrm>
                          <a:prstGeom prst="line">
                            <a:avLst/>
                          </a:prstGeom>
                          <a:ln w="9525" cap="flat" cmpd="sng">
                            <a:solidFill>
                              <a:srgbClr val="000000"/>
                            </a:solidFill>
                            <a:prstDash val="solid"/>
                            <a:headEnd type="none" w="med" len="med"/>
                            <a:tailEnd type="triangle" w="med" len="med"/>
                          </a:ln>
                        </wps:spPr>
                        <wps:bodyPr/>
                      </wps:wsp>
                      <wps:wsp>
                        <wps:cNvPr id="32" name="文本框 17"/>
                        <wps:cNvSpPr txBox="1"/>
                        <wps:spPr>
                          <a:xfrm>
                            <a:off x="0" y="0"/>
                            <a:ext cx="3060" cy="4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ordWrap w:val="0"/>
                                <w:adjustRightInd w:val="0"/>
                                <w:snapToGrid w:val="0"/>
                                <w:spacing w:line="240" w:lineRule="auto"/>
                                <w:jc w:val="center"/>
                                <w:textAlignment w:val="center"/>
                                <w:rPr>
                                  <w:rFonts w:cs="Times New Roman"/>
                                  <w:szCs w:val="28"/>
                                </w:rPr>
                              </w:pPr>
                              <w:r>
                                <w:rPr>
                                  <w:rFonts w:hint="eastAsia" w:cs="宋体"/>
                                  <w:szCs w:val="28"/>
                                </w:rPr>
                                <w:t>前期准备</w:t>
                              </w:r>
                            </w:p>
                          </w:txbxContent>
                        </wps:txbx>
                        <wps:bodyPr upright="1"/>
                      </wps:wsp>
                    </wpg:wgp>
                  </a:graphicData>
                </a:graphic>
              </wp:inline>
            </w:drawing>
          </mc:Choice>
          <mc:Fallback>
            <w:pict>
              <v:group id="组合 2" o:spid="_x0000_s1026" o:spt="203" style="height:396.85pt;width:184.25pt;" coordsize="3060,6853" o:gfxdata="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">
                <o:lock v:ext="edit" aspectratio="f"/>
                <v:shape id="文本框 3" o:spid="_x0000_s1026" o:spt="202" type="#_x0000_t202" style="position:absolute;left:0;top:926;height:468;width:3060;" fillcolor="#FFFFFF" filled="t" stroked="t" coordsize="21600,21600" o:gfxdata="UEsDBAoAAAAAAIdO4kAAAAAAAAAAAAAAAAAEAAAAZHJzL1BLAwQUAAAACACHTuJAhzLT37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1j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T3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辩识与分析危险、有害因素</w:t>
                        </w:r>
                      </w:p>
                    </w:txbxContent>
                  </v:textbox>
                </v:shape>
                <v:shape id="文本框 4" o:spid="_x0000_s1026" o:spt="202" type="#_x0000_t202" style="position:absolute;left:0;top:1861;height:468;width:3045;" fillcolor="#FFFFFF" filled="t" stroked="t" coordsize="21600,21600" o:gfxdata="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dkS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划分评价单元</w:t>
                        </w:r>
                      </w:p>
                    </w:txbxContent>
                  </v:textbox>
                </v:shape>
                <v:shape id="文本框 5" o:spid="_x0000_s1026" o:spt="202" type="#_x0000_t202" style="position:absolute;left:0;top:2797;height:468;width:3045;"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选择评价方法</w:t>
                        </w:r>
                      </w:p>
                    </w:txbxContent>
                  </v:textbox>
                </v:shape>
                <v:shape id="文本框 6" o:spid="_x0000_s1026" o:spt="202" type="#_x0000_t202" style="position:absolute;left:0;top:3733;height:468;width:3045;" fillcolor="#FFFFFF" filled="t" stroked="t" coordsize="21600,21600" o:gfxdata="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S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定性、定量评价</w:t>
                        </w:r>
                      </w:p>
                    </w:txbxContent>
                  </v:textbox>
                </v:shape>
                <v:shape id="文本框 7" o:spid="_x0000_s1026" o:spt="202" type="#_x0000_t202" style="position:absolute;left:0;top:4669;height:468;width:3060;" fillcolor="#FFFFFF" filled="t" stroked="t" coordsize="21600,21600"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提出安全对策措施建议</w:t>
                        </w:r>
                      </w:p>
                    </w:txbxContent>
                  </v:textbox>
                </v:shape>
                <v:shape id="文本框 8" o:spid="_x0000_s1026" o:spt="202" type="#_x0000_t202" style="position:absolute;left:0;top:5605;height:468;width:3045;" fillcolor="#FFFFFF" filled="t" stroked="t" coordsize="21600,21600" o:gfxdata="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os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宋体"/>
                            <w:szCs w:val="28"/>
                          </w:rPr>
                        </w:pPr>
                        <w:r>
                          <w:rPr>
                            <w:rFonts w:hint="eastAsia" w:cs="宋体"/>
                            <w:szCs w:val="28"/>
                          </w:rPr>
                          <w:t>做出评价结论</w:t>
                        </w:r>
                      </w:p>
                    </w:txbxContent>
                  </v:textbox>
                </v:shape>
                <v:shape id="文本框 9" o:spid="_x0000_s1026" o:spt="202" type="#_x0000_t202" style="position:absolute;left:0;top:6385;height:468;width:3045;"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wordWrap w:val="0"/>
                          <w:adjustRightInd w:val="0"/>
                          <w:snapToGrid w:val="0"/>
                          <w:spacing w:line="400" w:lineRule="exact"/>
                          <w:jc w:val="center"/>
                          <w:textAlignment w:val="center"/>
                          <w:rPr>
                            <w:rFonts w:cs="宋体"/>
                            <w:szCs w:val="28"/>
                          </w:rPr>
                        </w:pPr>
                        <w:r>
                          <w:rPr>
                            <w:rFonts w:hint="eastAsia" w:cs="宋体"/>
                            <w:szCs w:val="28"/>
                          </w:rPr>
                          <w:t>编制安全评价报告</w:t>
                        </w:r>
                      </w:p>
                    </w:txbxContent>
                  </v:textbox>
                </v:shape>
                <v:line id="直线 10" o:spid="_x0000_s1026" o:spt="20" style="position:absolute;left:1440;top:468;height:468;width:0;" filled="f" stroked="t" coordsize="21600,21600" o:gfxdata="UEsDBAoAAAAAAIdO4kAAAAAAAAAAAAAAAAAEAAAAZHJzL1BLAwQUAAAACACHTuJAt7KVjr8AAADb&#10;AAAADwAAAGRycy9kb3ducmV2LnhtbEWPT2vCQBTE7wW/w/IEb3UTw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ylY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11" o:spid="_x0000_s1026" o:spt="20" style="position:absolute;left:1440;top:1393;height:468;width:0;"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12" o:spid="_x0000_s1026" o:spt="20" style="position:absolute;left:1440;top:2391;height:468;width:0;"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13" o:spid="_x0000_s1026" o:spt="20" style="position:absolute;left:1440;top:3327;height:468;width:0;" filled="f" stroked="t" coordsize="21600,21600" o:gfxdata="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zOhC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14" o:spid="_x0000_s1026" o:spt="20" style="position:absolute;left:1440;top:4263;height:312;width:0;" filled="f" stroked="t" coordsize="21600,21600" o:gfxdata="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n4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15" o:spid="_x0000_s1026" o:spt="20" style="position:absolute;left:1440;top:5199;height:312;width:0;" filled="f" stroked="t" coordsize="21600,21600" o:gfxdata="UEsDBAoAAAAAAIdO4kAAAAAAAAAAAAAAAAAEAAAAZHJzL1BLAwQUAAAACACHTuJAIhygy7sAAADb&#10;AAAADwAAAGRycy9kb3ducmV2LnhtbEVPy4rCMBTdC/MP4Q6407QK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ygy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线 16" o:spid="_x0000_s1026" o:spt="20" style="position:absolute;left:1440;top:6073;height:312;width:0;" filled="f" stroked="t" coordsize="21600,21600" o:gfxdata="UEsDBAoAAAAAAIdO4kAAAAAAAAAAAAAAAAAEAAAAZHJzL1BLAwQUAAAACACHTuJATVAFUL4AAADb&#10;AAAADwAAAGRycy9kb3ducmV2LnhtbEWPQWvCQBSE7wX/w/IEb3UTh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AFU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文本框 17" o:spid="_x0000_s1026" o:spt="202" type="#_x0000_t202" style="position:absolute;left:0;top:0;height:496;width:3060;"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wordWrap w:val="0"/>
                          <w:adjustRightInd w:val="0"/>
                          <w:snapToGrid w:val="0"/>
                          <w:spacing w:line="240" w:lineRule="auto"/>
                          <w:jc w:val="center"/>
                          <w:textAlignment w:val="center"/>
                          <w:rPr>
                            <w:rFonts w:cs="Times New Roman"/>
                            <w:szCs w:val="28"/>
                          </w:rPr>
                        </w:pPr>
                        <w:r>
                          <w:rPr>
                            <w:rFonts w:hint="eastAsia" w:cs="宋体"/>
                            <w:szCs w:val="28"/>
                          </w:rPr>
                          <w:t>前期准备</w:t>
                        </w:r>
                      </w:p>
                    </w:txbxContent>
                  </v:textbox>
                </v:shape>
                <w10:wrap type="none"/>
                <w10:anchorlock/>
              </v:group>
            </w:pict>
          </mc:Fallback>
        </mc:AlternateContent>
      </w:r>
    </w:p>
    <w:p>
      <w:pPr>
        <w:pStyle w:val="9"/>
        <w:adjustRightInd w:val="0"/>
        <w:snapToGrid w:val="0"/>
        <w:spacing w:after="0"/>
        <w:jc w:val="center"/>
        <w:textAlignment w:val="center"/>
        <w:rPr>
          <w:color w:val="auto"/>
          <w:kern w:val="0"/>
        </w:rPr>
      </w:pPr>
      <w:r>
        <w:rPr>
          <w:rFonts w:hint="eastAsia"/>
          <w:color w:val="auto"/>
          <w:kern w:val="0"/>
        </w:rPr>
        <w:t>图1-1  安全评价工作程序</w:t>
      </w:r>
      <w:r>
        <w:rPr>
          <w:rFonts w:hint="eastAsia"/>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21" w:name="_Toc11552"/>
      <w:bookmarkStart w:id="22" w:name="_Toc7263"/>
      <w:bookmarkStart w:id="23" w:name="_Toc29950"/>
      <w:r>
        <w:rPr>
          <w:rFonts w:hint="eastAsia"/>
          <w:color w:val="auto"/>
          <w:kern w:val="0"/>
          <w:sz w:val="32"/>
          <w:szCs w:val="32"/>
        </w:rPr>
        <w:t>2 建设项目概况</w:t>
      </w:r>
      <w:bookmarkEnd w:id="21"/>
      <w:bookmarkEnd w:id="22"/>
      <w:bookmarkEnd w:id="23"/>
    </w:p>
    <w:p>
      <w:pPr>
        <w:pStyle w:val="4"/>
        <w:keepNext w:val="0"/>
        <w:keepLines w:val="0"/>
        <w:wordWrap w:val="0"/>
        <w:adjustRightInd w:val="0"/>
        <w:snapToGrid w:val="0"/>
        <w:jc w:val="center"/>
        <w:textAlignment w:val="center"/>
        <w:rPr>
          <w:color w:val="auto"/>
          <w:kern w:val="0"/>
        </w:rPr>
      </w:pPr>
      <w:bookmarkStart w:id="24" w:name="_Toc26640"/>
      <w:bookmarkStart w:id="25" w:name="_Toc28652"/>
      <w:bookmarkStart w:id="26" w:name="_Toc31784"/>
      <w:r>
        <w:rPr>
          <w:rFonts w:hint="eastAsia"/>
          <w:color w:val="auto"/>
          <w:kern w:val="0"/>
        </w:rPr>
        <w:t>2.1 建设单位简介</w:t>
      </w:r>
      <w:bookmarkEnd w:id="24"/>
      <w:bookmarkEnd w:id="25"/>
      <w:bookmarkEnd w:id="26"/>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w:t>
      </w:r>
      <w:r>
        <w:rPr>
          <w:rFonts w:cs="Times New Roman"/>
          <w:snapToGrid w:val="0"/>
          <w:color w:val="auto"/>
          <w:kern w:val="0"/>
          <w:szCs w:val="28"/>
        </w:rPr>
        <w:t>.</w:t>
      </w:r>
      <w:r>
        <w:rPr>
          <w:rFonts w:hint="eastAsia" w:cs="Times New Roman"/>
          <w:snapToGrid w:val="0"/>
          <w:color w:val="auto"/>
          <w:kern w:val="0"/>
          <w:szCs w:val="28"/>
        </w:rPr>
        <w:t>单位简介</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江西景新漆业股份有限公司20</w:t>
      </w:r>
      <w:r>
        <w:rPr>
          <w:rFonts w:hint="eastAsia" w:cs="Times New Roman"/>
          <w:snapToGrid w:val="0"/>
          <w:color w:val="auto"/>
          <w:kern w:val="0"/>
          <w:szCs w:val="28"/>
        </w:rPr>
        <w:t>21</w:t>
      </w:r>
      <w:r>
        <w:rPr>
          <w:rFonts w:cs="Times New Roman"/>
          <w:snapToGrid w:val="0"/>
          <w:color w:val="auto"/>
          <w:kern w:val="0"/>
          <w:szCs w:val="28"/>
        </w:rPr>
        <w:t>年</w:t>
      </w:r>
      <w:r>
        <w:rPr>
          <w:rFonts w:hint="eastAsia" w:cs="Times New Roman"/>
          <w:snapToGrid w:val="0"/>
          <w:color w:val="auto"/>
          <w:kern w:val="0"/>
          <w:szCs w:val="28"/>
        </w:rPr>
        <w:t>09</w:t>
      </w:r>
      <w:r>
        <w:rPr>
          <w:rFonts w:cs="Times New Roman"/>
          <w:snapToGrid w:val="0"/>
          <w:color w:val="auto"/>
          <w:kern w:val="0"/>
          <w:szCs w:val="28"/>
        </w:rPr>
        <w:t>月</w:t>
      </w:r>
      <w:r>
        <w:rPr>
          <w:rFonts w:hint="eastAsia" w:cs="Times New Roman"/>
          <w:snapToGrid w:val="0"/>
          <w:color w:val="auto"/>
          <w:kern w:val="0"/>
          <w:szCs w:val="28"/>
        </w:rPr>
        <w:t>01</w:t>
      </w:r>
      <w:r>
        <w:rPr>
          <w:rFonts w:cs="Times New Roman"/>
          <w:snapToGrid w:val="0"/>
          <w:color w:val="auto"/>
          <w:kern w:val="0"/>
          <w:szCs w:val="28"/>
        </w:rPr>
        <w:t>日经</w:t>
      </w:r>
      <w:r>
        <w:rPr>
          <w:rFonts w:hint="eastAsia" w:cs="Times New Roman"/>
          <w:snapToGrid w:val="0"/>
          <w:color w:val="auto"/>
          <w:kern w:val="0"/>
          <w:szCs w:val="28"/>
        </w:rPr>
        <w:t>丰城市</w:t>
      </w:r>
      <w:r>
        <w:rPr>
          <w:rFonts w:cs="Times New Roman"/>
          <w:snapToGrid w:val="0"/>
          <w:color w:val="auto"/>
          <w:kern w:val="0"/>
          <w:szCs w:val="28"/>
        </w:rPr>
        <w:t>行政审批局核发营业执照（统一社会信用代码：</w:t>
      </w:r>
      <w:r>
        <w:rPr>
          <w:rFonts w:hint="eastAsia" w:cs="Times New Roman"/>
          <w:snapToGrid w:val="0"/>
          <w:color w:val="auto"/>
          <w:kern w:val="0"/>
          <w:szCs w:val="28"/>
        </w:rPr>
        <w:t>913609815610778412</w:t>
      </w:r>
      <w:r>
        <w:rPr>
          <w:rFonts w:cs="Times New Roman"/>
          <w:snapToGrid w:val="0"/>
          <w:color w:val="auto"/>
          <w:kern w:val="0"/>
          <w:szCs w:val="28"/>
        </w:rPr>
        <w:t>），法人代表为</w:t>
      </w:r>
      <w:r>
        <w:rPr>
          <w:rFonts w:hint="eastAsia" w:cs="Times New Roman"/>
          <w:snapToGrid w:val="0"/>
          <w:color w:val="auto"/>
          <w:kern w:val="0"/>
          <w:szCs w:val="28"/>
        </w:rPr>
        <w:t>许栋</w:t>
      </w:r>
      <w:r>
        <w:rPr>
          <w:rFonts w:cs="Times New Roman"/>
          <w:snapToGrid w:val="0"/>
          <w:color w:val="auto"/>
          <w:kern w:val="0"/>
          <w:szCs w:val="28"/>
        </w:rPr>
        <w:t>，营业执照经营范围：丙烯酸树脂涂料、聚氨酯树脂涂料、氟碳树脂涂料、环氧树脂涂料、水性涂料、催化剂、助剂的生产、销售（安全生产许可证有效期至2018年08月16日止）；保温材料、精细化学品（不含危化品）、环保水处理剂、化工原料、化工机械销售；建筑安装.（依法须经批准的项目，经相关部门批准后方可开展经营活动）</w:t>
      </w:r>
      <w:r>
        <w:rPr>
          <w:rFonts w:hint="eastAsia" w:cs="Times New Roman"/>
          <w:snapToGrid w:val="0"/>
          <w:color w:val="auto"/>
          <w:kern w:val="0"/>
          <w:szCs w:val="28"/>
        </w:rPr>
        <w:t>。</w:t>
      </w:r>
    </w:p>
    <w:p>
      <w:pPr>
        <w:wordWrap w:val="0"/>
        <w:adjustRightInd w:val="0"/>
        <w:snapToGrid w:val="0"/>
        <w:ind w:firstLine="560" w:firstLineChars="200"/>
        <w:textAlignment w:val="center"/>
        <w:rPr>
          <w:color w:val="auto"/>
          <w:szCs w:val="28"/>
        </w:rPr>
      </w:pPr>
      <w:r>
        <w:rPr>
          <w:rFonts w:cs="Times New Roman"/>
          <w:snapToGrid w:val="0"/>
          <w:color w:val="auto"/>
          <w:kern w:val="0"/>
          <w:szCs w:val="28"/>
        </w:rPr>
        <w:t>江西景新漆业股份有限公司位于江西省丰城市高新技术产业园区晓莹路8号，是一家主要从事涂料生产化工企业，该公司占地面积约34235</w:t>
      </w:r>
      <w:r>
        <w:rPr>
          <w:rFonts w:hint="eastAsia" w:cs="Times New Roman"/>
          <w:snapToGrid w:val="0"/>
          <w:color w:val="auto"/>
          <w:kern w:val="0"/>
          <w:szCs w:val="28"/>
        </w:rPr>
        <w:t>㎡</w:t>
      </w:r>
      <w:r>
        <w:rPr>
          <w:rFonts w:cs="Times New Roman"/>
          <w:snapToGrid w:val="0"/>
          <w:color w:val="auto"/>
          <w:kern w:val="0"/>
          <w:szCs w:val="28"/>
        </w:rPr>
        <w:t>，公司现有生产装置产能为5000t/a水性涂料，1500t/a溶剂型涂料。</w:t>
      </w:r>
      <w:r>
        <w:rPr>
          <w:rFonts w:hint="eastAsia"/>
          <w:color w:val="auto"/>
          <w:szCs w:val="28"/>
        </w:rPr>
        <w:t>本项目涉及的物料中的二甲苯、正丁醇、醋酸丁酯、环氧树脂、环氧树脂固化剂、溶剂型丙烯酸树脂、氟碳树脂以及聚氨酯树脂、聚氨酯树脂涂料、丙烯酸树脂涂料、环氧树脂涂料、氟碳树脂涂料等属于危险化学品，本项目不涉及重点监管的危险化学品、不涉及危险工艺和不构成重大危险源。</w:t>
      </w:r>
    </w:p>
    <w:p>
      <w:pPr>
        <w:wordWrap w:val="0"/>
        <w:adjustRightInd w:val="0"/>
        <w:snapToGrid w:val="0"/>
        <w:ind w:firstLine="560" w:firstLineChars="200"/>
        <w:textAlignment w:val="center"/>
        <w:rPr>
          <w:rFonts w:cs="Times New Roman"/>
          <w:snapToGrid w:val="0"/>
          <w:color w:val="auto"/>
          <w:kern w:val="0"/>
          <w:szCs w:val="28"/>
        </w:rPr>
      </w:pPr>
      <w:r>
        <w:rPr>
          <w:rFonts w:hint="eastAsia"/>
          <w:color w:val="auto"/>
          <w:szCs w:val="28"/>
        </w:rPr>
        <w:t>企业于2021年8月取得江西省应急管理局颁发的安全生产许可证（延期换证），其证号为：（赣）WH安许证字[2012]0712号，许可范围为：丙烯酸树脂涂料、聚氨酯树脂涂料、环氧树脂涂料、氟碳树脂涂料，有效期至2024年8月30日。</w:t>
      </w:r>
    </w:p>
    <w:p>
      <w:pPr>
        <w:wordWrap w:val="0"/>
        <w:adjustRightInd w:val="0"/>
        <w:snapToGrid w:val="0"/>
        <w:ind w:firstLine="560" w:firstLineChars="200"/>
        <w:jc w:val="left"/>
        <w:textAlignment w:val="center"/>
        <w:rPr>
          <w:rFonts w:cs="Times New Roman"/>
          <w:snapToGrid w:val="0"/>
          <w:color w:val="auto"/>
          <w:kern w:val="0"/>
          <w:szCs w:val="28"/>
        </w:rPr>
      </w:pPr>
      <w:r>
        <w:rPr>
          <w:rFonts w:cs="Times New Roman"/>
          <w:snapToGrid w:val="0"/>
          <w:color w:val="auto"/>
          <w:kern w:val="0"/>
          <w:szCs w:val="28"/>
        </w:rPr>
        <w:t>本次改造只涉及增加一个仓库，</w:t>
      </w:r>
      <w:r>
        <w:rPr>
          <w:rFonts w:hint="eastAsia" w:cs="Times New Roman"/>
          <w:snapToGrid w:val="0"/>
          <w:color w:val="auto"/>
          <w:kern w:val="0"/>
          <w:szCs w:val="28"/>
        </w:rPr>
        <w:t>在厂区原有场地新建，不新增用地，</w:t>
      </w:r>
      <w:r>
        <w:rPr>
          <w:rFonts w:cs="Times New Roman"/>
          <w:snapToGrid w:val="0"/>
          <w:color w:val="auto"/>
          <w:kern w:val="0"/>
          <w:szCs w:val="28"/>
        </w:rPr>
        <w:t>不改变工艺路线，不改变产品种类，</w:t>
      </w:r>
      <w:r>
        <w:rPr>
          <w:rFonts w:hint="eastAsia" w:cs="Times New Roman"/>
          <w:snapToGrid w:val="0"/>
          <w:color w:val="auto"/>
          <w:kern w:val="0"/>
          <w:szCs w:val="28"/>
        </w:rPr>
        <w:t>不增加全厂总储存量，</w:t>
      </w:r>
      <w:r>
        <w:rPr>
          <w:rFonts w:cs="Times New Roman"/>
          <w:snapToGrid w:val="0"/>
          <w:color w:val="auto"/>
          <w:kern w:val="0"/>
          <w:szCs w:val="28"/>
        </w:rPr>
        <w:t>无需进行许可证变更。</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公司现有人员50人，设置有</w:t>
      </w:r>
      <w:r>
        <w:rPr>
          <w:rFonts w:hint="eastAsia" w:cs="Times New Roman"/>
          <w:snapToGrid w:val="0"/>
          <w:color w:val="auto"/>
          <w:kern w:val="0"/>
          <w:szCs w:val="28"/>
        </w:rPr>
        <w:t>安全管理部</w:t>
      </w:r>
      <w:r>
        <w:rPr>
          <w:rFonts w:cs="Times New Roman"/>
          <w:snapToGrid w:val="0"/>
          <w:color w:val="auto"/>
          <w:kern w:val="0"/>
          <w:szCs w:val="28"/>
        </w:rPr>
        <w:t>、销售部、行政部、财务部等职能部门，并设置</w:t>
      </w:r>
      <w:r>
        <w:rPr>
          <w:rFonts w:hint="eastAsia" w:cs="Times New Roman"/>
          <w:snapToGrid w:val="0"/>
          <w:color w:val="auto"/>
          <w:kern w:val="0"/>
          <w:szCs w:val="28"/>
        </w:rPr>
        <w:t>安全管理部</w:t>
      </w:r>
      <w:r>
        <w:rPr>
          <w:rFonts w:cs="Times New Roman"/>
          <w:snapToGrid w:val="0"/>
          <w:color w:val="auto"/>
          <w:kern w:val="0"/>
          <w:szCs w:val="28"/>
        </w:rPr>
        <w:t>为公司安全管理部门，配备1名专职安全管理人员，企业主要负责人许栋和专职安全员曾小丽均已取得由</w:t>
      </w:r>
      <w:r>
        <w:rPr>
          <w:rFonts w:hint="eastAsia" w:cs="Times New Roman"/>
          <w:snapToGrid w:val="0"/>
          <w:color w:val="auto"/>
          <w:kern w:val="0"/>
          <w:szCs w:val="28"/>
        </w:rPr>
        <w:t>丰城市</w:t>
      </w:r>
      <w:r>
        <w:rPr>
          <w:rFonts w:cs="Times New Roman"/>
          <w:snapToGrid w:val="0"/>
          <w:color w:val="auto"/>
          <w:kern w:val="0"/>
          <w:szCs w:val="28"/>
        </w:rPr>
        <w:t>应急管理</w:t>
      </w:r>
      <w:r>
        <w:rPr>
          <w:rFonts w:hint="eastAsia" w:cs="Times New Roman"/>
          <w:snapToGrid w:val="0"/>
          <w:color w:val="auto"/>
          <w:kern w:val="0"/>
          <w:szCs w:val="28"/>
        </w:rPr>
        <w:t>局</w:t>
      </w:r>
      <w:r>
        <w:rPr>
          <w:rFonts w:cs="Times New Roman"/>
          <w:snapToGrid w:val="0"/>
          <w:color w:val="auto"/>
          <w:kern w:val="0"/>
          <w:szCs w:val="28"/>
        </w:rPr>
        <w:t>颁发的资格证书。</w:t>
      </w:r>
    </w:p>
    <w:p>
      <w:pPr>
        <w:pStyle w:val="64"/>
        <w:widowControl w:val="0"/>
        <w:wordWrap w:val="0"/>
        <w:topLinePunct/>
        <w:spacing w:line="600" w:lineRule="exact"/>
        <w:ind w:firstLine="560"/>
        <w:textAlignment w:val="center"/>
        <w:rPr>
          <w:rFonts w:hAnsi="Times New Roman"/>
          <w:color w:val="auto"/>
          <w:sz w:val="28"/>
          <w:szCs w:val="28"/>
        </w:rPr>
      </w:pPr>
      <w:r>
        <w:rPr>
          <w:rFonts w:hint="eastAsia" w:hAnsi="Times New Roman"/>
          <w:color w:val="auto"/>
          <w:sz w:val="28"/>
          <w:szCs w:val="28"/>
        </w:rPr>
        <w:t>该公司已建立了完整的安全生产管理体系，设立有专门的安全管理机构，制定了较为健全的安全管理制度和安全操作规程。公司实行现代企业管理制，实行总经理负责制，各生产车间有专人负责安全工作。各级安全管理人员负责安全方面的日常管理工作，班组明确了兼职安全员，构成了三级安全管理网络。该公司确立以各行政一把手为各部门（单位）安全生产第一负责人的安全生产管理体制。成立了以公司负责人为主任委员的安全生产领导小组。安全生产领导小组由企业各部门负责人和专职安全管理人员组成。</w:t>
      </w:r>
    </w:p>
    <w:p>
      <w:pPr>
        <w:pStyle w:val="64"/>
        <w:widowControl w:val="0"/>
        <w:wordWrap w:val="0"/>
        <w:topLinePunct/>
        <w:spacing w:line="600" w:lineRule="exact"/>
        <w:ind w:firstLine="560"/>
        <w:textAlignment w:val="center"/>
        <w:rPr>
          <w:rFonts w:hAnsi="Times New Roman"/>
          <w:color w:val="auto"/>
          <w:sz w:val="28"/>
          <w:szCs w:val="28"/>
        </w:rPr>
      </w:pPr>
      <w:r>
        <w:rPr>
          <w:rFonts w:hint="eastAsia" w:hAnsi="Times New Roman"/>
          <w:color w:val="auto"/>
          <w:sz w:val="28"/>
          <w:szCs w:val="28"/>
        </w:rPr>
        <w:t>该公司设有安全机构（安全管理部）和专职安全管理人员，各车间和班组岗位均设有专、兼职安全员，建立了安全管理网络。公司安全生产领导小组下专设安全管理部，安全管理部为企业的安全生产专门管理机构，其主要任务是对全厂生产过程中的安全卫生实行标准化管理，贯彻落实国家和上级主管部门的指令和规定，制订必要的规章制度，组织开展安全检查、安全教育培训、监测等安全管理工作。</w:t>
      </w:r>
    </w:p>
    <w:p>
      <w:pPr>
        <w:pStyle w:val="64"/>
        <w:widowControl w:val="0"/>
        <w:wordWrap w:val="0"/>
        <w:topLinePunct/>
        <w:spacing w:line="600" w:lineRule="exact"/>
        <w:ind w:firstLine="560"/>
        <w:textAlignment w:val="center"/>
        <w:rPr>
          <w:rFonts w:hAnsi="Times New Roman"/>
          <w:color w:val="auto"/>
          <w:sz w:val="28"/>
          <w:szCs w:val="28"/>
        </w:rPr>
      </w:pPr>
      <w:r>
        <w:rPr>
          <w:rFonts w:hint="eastAsia" w:hAnsi="Times New Roman"/>
          <w:color w:val="auto"/>
          <w:sz w:val="28"/>
          <w:szCs w:val="28"/>
        </w:rPr>
        <w:t>该公司现有员工约50人，安全管理部配置1名专职安全生产管理人员，各车间班组配备了兼职安全员，现有专、兼职安全管理人员5人，配备1名注册安全工程师；安全生产管理人员均已通过江西省安全生产监督管理部门培训考核，取得安全生产管理人员证书；该公司配备专职安全员、注册安全工程师，具有相关安全工作经验。该公司安全生产管理人员数量配置满足《江西省安全生产条例》的要求。公司在安全管理方面，建立了完善的安全管理体系，积累了生产经营管理经验。按照《中华人民共和国安全生产法》及相关法律法规成立了安全生产委员会，并设有安全机构及组织网络。做到了组织机构、人员配备和安全职责三落实。公司设置了安全风险分级管控措施清单，安全风险评价、风险管控责任清单，安全风险应急处置措施清单等一系列安全风险管理清单台账，为公司的安全运行提供了有效保障。</w:t>
      </w:r>
    </w:p>
    <w:p>
      <w:pPr>
        <w:pStyle w:val="64"/>
        <w:widowControl w:val="0"/>
        <w:wordWrap w:val="0"/>
        <w:topLinePunct/>
        <w:spacing w:line="600" w:lineRule="exact"/>
        <w:ind w:firstLine="560"/>
        <w:textAlignment w:val="center"/>
        <w:rPr>
          <w:rFonts w:hAnsi="Times New Roman"/>
          <w:color w:val="auto"/>
          <w:sz w:val="28"/>
          <w:szCs w:val="28"/>
        </w:rPr>
      </w:pPr>
      <w:r>
        <w:rPr>
          <w:rFonts w:hint="eastAsia" w:hAnsi="Times New Roman"/>
          <w:color w:val="auto"/>
          <w:sz w:val="28"/>
          <w:szCs w:val="28"/>
        </w:rPr>
        <w:t>2</w:t>
      </w:r>
      <w:r>
        <w:rPr>
          <w:rFonts w:hAnsi="Times New Roman"/>
          <w:color w:val="auto"/>
          <w:sz w:val="28"/>
          <w:szCs w:val="28"/>
        </w:rPr>
        <w:t>.</w:t>
      </w:r>
      <w:r>
        <w:rPr>
          <w:rFonts w:hint="eastAsia" w:hAnsi="Times New Roman"/>
          <w:color w:val="auto"/>
          <w:sz w:val="28"/>
          <w:szCs w:val="28"/>
        </w:rPr>
        <w:t>项目由来</w:t>
      </w:r>
    </w:p>
    <w:p>
      <w:pPr>
        <w:pStyle w:val="64"/>
        <w:widowControl w:val="0"/>
        <w:wordWrap w:val="0"/>
        <w:topLinePunct/>
        <w:spacing w:line="600" w:lineRule="exact"/>
        <w:ind w:firstLine="560"/>
        <w:textAlignment w:val="center"/>
        <w:rPr>
          <w:rFonts w:hAnsi="Times New Roman"/>
          <w:color w:val="auto"/>
          <w:sz w:val="28"/>
          <w:szCs w:val="28"/>
        </w:rPr>
      </w:pPr>
      <w:r>
        <w:rPr>
          <w:rFonts w:hint="eastAsia" w:hAnsi="Times New Roman"/>
          <w:color w:val="auto"/>
          <w:sz w:val="28"/>
          <w:szCs w:val="28"/>
        </w:rPr>
        <w:t>公司因原辅材料及产品用料较大生产批次多，需要频繁使用货车运输，成本较高，且公司考虑到厂区现有甲类仓库建设时间较早，使用年限较长，且甲类仓库内现有的安全设施和储存条件相对落后，存在一定的安全风险。为了确保甲类仓库储存的安全性，新建一个1</w:t>
      </w:r>
      <w:r>
        <w:rPr>
          <w:rFonts w:hAnsi="Times New Roman"/>
          <w:color w:val="auto"/>
          <w:sz w:val="28"/>
          <w:szCs w:val="28"/>
        </w:rPr>
        <w:t>06</w:t>
      </w:r>
      <w:r>
        <w:rPr>
          <w:rFonts w:hint="eastAsia" w:hAnsi="Times New Roman"/>
          <w:color w:val="auto"/>
          <w:sz w:val="28"/>
          <w:szCs w:val="28"/>
        </w:rPr>
        <w:t>甲类仓库进行物料储存。</w:t>
      </w:r>
    </w:p>
    <w:p>
      <w:pPr>
        <w:pStyle w:val="4"/>
        <w:keepNext w:val="0"/>
        <w:keepLines w:val="0"/>
        <w:wordWrap w:val="0"/>
        <w:adjustRightInd w:val="0"/>
        <w:snapToGrid w:val="0"/>
        <w:jc w:val="center"/>
        <w:textAlignment w:val="center"/>
        <w:rPr>
          <w:color w:val="auto"/>
          <w:kern w:val="0"/>
        </w:rPr>
      </w:pPr>
      <w:bookmarkStart w:id="27" w:name="_Toc7216"/>
      <w:bookmarkStart w:id="28" w:name="_Toc6534"/>
      <w:bookmarkStart w:id="29" w:name="_Toc30053"/>
      <w:r>
        <w:rPr>
          <w:rFonts w:hint="eastAsia"/>
          <w:color w:val="auto"/>
          <w:kern w:val="0"/>
        </w:rPr>
        <w:t>2.2 项目概况</w:t>
      </w:r>
      <w:bookmarkEnd w:id="27"/>
      <w:bookmarkEnd w:id="28"/>
      <w:bookmarkEnd w:id="29"/>
    </w:p>
    <w:p>
      <w:pPr>
        <w:numPr>
          <w:ilvl w:val="0"/>
          <w:numId w:val="1"/>
        </w:numPr>
        <w:wordWrap w:val="0"/>
        <w:adjustRightInd w:val="0"/>
        <w:snapToGrid w:val="0"/>
        <w:ind w:firstLine="560" w:firstLineChars="200"/>
        <w:textAlignment w:val="center"/>
        <w:rPr>
          <w:color w:val="auto"/>
          <w:kern w:val="0"/>
        </w:rPr>
      </w:pPr>
      <w:r>
        <w:rPr>
          <w:rFonts w:hint="eastAsia"/>
          <w:color w:val="auto"/>
          <w:kern w:val="0"/>
        </w:rPr>
        <w:t>项目简介</w:t>
      </w:r>
    </w:p>
    <w:p>
      <w:pPr>
        <w:wordWrap w:val="0"/>
        <w:adjustRightInd w:val="0"/>
        <w:snapToGrid w:val="0"/>
        <w:ind w:firstLine="560" w:firstLineChars="200"/>
        <w:textAlignment w:val="center"/>
        <w:rPr>
          <w:color w:val="auto"/>
          <w:kern w:val="0"/>
        </w:rPr>
      </w:pPr>
      <w:r>
        <w:rPr>
          <w:rFonts w:hint="eastAsia"/>
          <w:color w:val="auto"/>
          <w:kern w:val="0"/>
        </w:rPr>
        <w:t>建设单位：江西景新漆业股份有限公司</w:t>
      </w:r>
    </w:p>
    <w:p>
      <w:pPr>
        <w:wordWrap w:val="0"/>
        <w:adjustRightInd w:val="0"/>
        <w:snapToGrid w:val="0"/>
        <w:ind w:firstLine="560" w:firstLineChars="200"/>
        <w:textAlignment w:val="center"/>
        <w:rPr>
          <w:color w:val="auto"/>
          <w:kern w:val="0"/>
        </w:rPr>
      </w:pPr>
      <w:r>
        <w:rPr>
          <w:rFonts w:hint="eastAsia"/>
          <w:color w:val="auto"/>
          <w:kern w:val="0"/>
        </w:rPr>
        <w:t>建设单位类型：有限责任公司</w:t>
      </w:r>
    </w:p>
    <w:p>
      <w:pPr>
        <w:wordWrap w:val="0"/>
        <w:adjustRightInd w:val="0"/>
        <w:snapToGrid w:val="0"/>
        <w:ind w:firstLine="560" w:firstLineChars="200"/>
        <w:textAlignment w:val="center"/>
        <w:rPr>
          <w:color w:val="auto"/>
          <w:kern w:val="0"/>
        </w:rPr>
      </w:pPr>
      <w:r>
        <w:rPr>
          <w:rFonts w:hint="eastAsia"/>
          <w:color w:val="auto"/>
          <w:kern w:val="0"/>
        </w:rPr>
        <w:t>注册地址：江西省丰城市高新技术产业园区晓莹路8号</w:t>
      </w:r>
    </w:p>
    <w:p>
      <w:pPr>
        <w:wordWrap w:val="0"/>
        <w:adjustRightInd w:val="0"/>
        <w:snapToGrid w:val="0"/>
        <w:ind w:firstLine="560" w:firstLineChars="200"/>
        <w:textAlignment w:val="center"/>
        <w:rPr>
          <w:color w:val="auto"/>
          <w:kern w:val="0"/>
        </w:rPr>
      </w:pPr>
      <w:r>
        <w:rPr>
          <w:rFonts w:hint="eastAsia"/>
          <w:color w:val="auto"/>
          <w:kern w:val="0"/>
        </w:rPr>
        <w:t>企业法定代表人：许栋</w:t>
      </w:r>
    </w:p>
    <w:p>
      <w:pPr>
        <w:wordWrap w:val="0"/>
        <w:adjustRightInd w:val="0"/>
        <w:snapToGrid w:val="0"/>
        <w:ind w:firstLine="560" w:firstLineChars="200"/>
        <w:textAlignment w:val="center"/>
        <w:rPr>
          <w:color w:val="auto"/>
          <w:kern w:val="0"/>
        </w:rPr>
      </w:pPr>
      <w:r>
        <w:rPr>
          <w:rFonts w:hint="eastAsia"/>
          <w:color w:val="auto"/>
          <w:kern w:val="0"/>
        </w:rPr>
        <w:t>投资总额：440万元，其中固定资产投资320万元，铺底流动资金120万元。</w:t>
      </w:r>
    </w:p>
    <w:p>
      <w:pPr>
        <w:wordWrap w:val="0"/>
        <w:adjustRightInd w:val="0"/>
        <w:snapToGrid w:val="0"/>
        <w:ind w:firstLine="560" w:firstLineChars="200"/>
        <w:textAlignment w:val="center"/>
        <w:rPr>
          <w:color w:val="auto"/>
          <w:kern w:val="0"/>
        </w:rPr>
      </w:pPr>
      <w:r>
        <w:rPr>
          <w:rFonts w:hint="eastAsia"/>
          <w:color w:val="auto"/>
          <w:kern w:val="0"/>
        </w:rPr>
        <w:t>项目建设性质：技改项目</w:t>
      </w:r>
    </w:p>
    <w:p>
      <w:pPr>
        <w:wordWrap w:val="0"/>
        <w:adjustRightInd w:val="0"/>
        <w:snapToGrid w:val="0"/>
        <w:ind w:firstLine="560" w:firstLineChars="200"/>
        <w:textAlignment w:val="center"/>
        <w:rPr>
          <w:color w:val="auto"/>
          <w:kern w:val="0"/>
        </w:rPr>
      </w:pPr>
      <w:r>
        <w:rPr>
          <w:rFonts w:hint="eastAsia"/>
          <w:color w:val="auto"/>
          <w:kern w:val="0"/>
        </w:rPr>
        <w:t>公司现有员工人数50人，安全管理部配置1名专职安全生产管理人员，各车间班组配备了兼职安全员，现有专、兼职安全管理人员5人，配备1名注册安全工程师；本项目人员由现有人员进行调配，年工作日330天，每天1班，每班8小时。</w:t>
      </w:r>
    </w:p>
    <w:p>
      <w:pPr>
        <w:wordWrap w:val="0"/>
        <w:adjustRightInd w:val="0"/>
        <w:snapToGrid w:val="0"/>
        <w:ind w:firstLine="560" w:firstLineChars="200"/>
        <w:textAlignment w:val="center"/>
        <w:rPr>
          <w:color w:val="auto"/>
          <w:kern w:val="0"/>
        </w:rPr>
      </w:pPr>
      <w:r>
        <w:rPr>
          <w:rFonts w:hint="eastAsia"/>
          <w:color w:val="auto"/>
          <w:kern w:val="0"/>
        </w:rPr>
        <w:t>主要建设验收内容见下表：</w:t>
      </w:r>
    </w:p>
    <w:p>
      <w:pPr>
        <w:wordWrap w:val="0"/>
        <w:adjustRightInd w:val="0"/>
        <w:snapToGrid w:val="0"/>
        <w:jc w:val="center"/>
        <w:textAlignment w:val="center"/>
        <w:rPr>
          <w:color w:val="auto"/>
          <w:kern w:val="0"/>
        </w:rPr>
      </w:pPr>
      <w:r>
        <w:rPr>
          <w:rFonts w:hint="eastAsia"/>
          <w:color w:val="auto"/>
          <w:kern w:val="0"/>
        </w:rPr>
        <w:t>表2.2-1  项目建设验收内容一览表</w:t>
      </w:r>
    </w:p>
    <w:tbl>
      <w:tblPr>
        <w:tblStyle w:val="24"/>
        <w:tblW w:w="48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0"/>
        <w:gridCol w:w="7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shd w:val="clear" w:color="auto" w:fill="auto"/>
            <w:vAlign w:val="center"/>
          </w:tcPr>
          <w:p>
            <w:pPr>
              <w:pStyle w:val="53"/>
              <w:widowControl w:val="0"/>
              <w:wordWrap w:val="0"/>
              <w:adjustRightInd w:val="0"/>
              <w:spacing w:line="240" w:lineRule="auto"/>
              <w:textAlignment w:val="center"/>
              <w:rPr>
                <w:rFonts w:ascii="Times New Roman" w:hAnsi="Times New Roman"/>
                <w:b/>
                <w:color w:val="auto"/>
              </w:rPr>
            </w:pPr>
            <w:r>
              <w:rPr>
                <w:rFonts w:ascii="Times New Roman" w:hAnsi="Times New Roman"/>
                <w:b/>
                <w:color w:val="auto"/>
              </w:rPr>
              <w:t>新建工程</w:t>
            </w:r>
          </w:p>
        </w:tc>
        <w:tc>
          <w:tcPr>
            <w:tcW w:w="3963" w:type="pct"/>
            <w:shd w:val="clear" w:color="auto" w:fill="auto"/>
            <w:vAlign w:val="center"/>
          </w:tcPr>
          <w:p>
            <w:pPr>
              <w:pStyle w:val="53"/>
              <w:widowControl w:val="0"/>
              <w:wordWrap w:val="0"/>
              <w:adjustRightInd w:val="0"/>
              <w:spacing w:line="240" w:lineRule="auto"/>
              <w:textAlignment w:val="center"/>
              <w:rPr>
                <w:rFonts w:ascii="Times New Roman" w:hAnsi="Times New Roman"/>
                <w:b/>
                <w:color w:val="auto"/>
              </w:rPr>
            </w:pPr>
            <w:r>
              <w:rPr>
                <w:rFonts w:ascii="Times New Roman" w:hAnsi="Times New Roman"/>
                <w:b/>
                <w:color w:val="auto"/>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储存区</w:t>
            </w:r>
          </w:p>
        </w:tc>
        <w:tc>
          <w:tcPr>
            <w:tcW w:w="3963"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新建106甲类仓库一座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公辅工程</w:t>
            </w:r>
          </w:p>
        </w:tc>
        <w:tc>
          <w:tcPr>
            <w:tcW w:w="3963"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依托公司现有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办公区</w:t>
            </w:r>
          </w:p>
        </w:tc>
        <w:tc>
          <w:tcPr>
            <w:tcW w:w="3963" w:type="pct"/>
            <w:shd w:val="clear" w:color="auto" w:fill="auto"/>
            <w:vAlign w:val="center"/>
          </w:tcPr>
          <w:p>
            <w:pPr>
              <w:pStyle w:val="53"/>
              <w:widowControl w:val="0"/>
              <w:wordWrap w:val="0"/>
              <w:adjustRightInd w:val="0"/>
              <w:spacing w:line="240" w:lineRule="auto"/>
              <w:textAlignment w:val="center"/>
              <w:rPr>
                <w:rFonts w:ascii="Times New Roman" w:hAnsi="Times New Roman"/>
                <w:color w:val="auto"/>
              </w:rPr>
            </w:pPr>
            <w:r>
              <w:rPr>
                <w:rFonts w:hint="eastAsia" w:ascii="Times New Roman" w:hAnsi="Times New Roman"/>
                <w:color w:val="auto"/>
              </w:rPr>
              <w:t>依托公司现有</w:t>
            </w:r>
          </w:p>
        </w:tc>
      </w:tr>
    </w:tbl>
    <w:p>
      <w:pPr>
        <w:wordWrap w:val="0"/>
        <w:adjustRightInd w:val="0"/>
        <w:snapToGrid w:val="0"/>
        <w:ind w:firstLine="560" w:firstLineChars="200"/>
        <w:textAlignment w:val="center"/>
        <w:rPr>
          <w:color w:val="auto"/>
          <w:kern w:val="0"/>
        </w:rPr>
      </w:pPr>
      <w:r>
        <w:rPr>
          <w:rFonts w:hint="eastAsia"/>
          <w:color w:val="auto"/>
          <w:kern w:val="0"/>
        </w:rPr>
        <w:t>二、项目三同时情况</w:t>
      </w:r>
    </w:p>
    <w:p>
      <w:pPr>
        <w:wordWrap w:val="0"/>
        <w:adjustRightInd w:val="0"/>
        <w:snapToGrid w:val="0"/>
        <w:ind w:firstLine="560" w:firstLineChars="200"/>
        <w:textAlignment w:val="center"/>
        <w:rPr>
          <w:color w:val="auto"/>
          <w:kern w:val="0"/>
        </w:rPr>
      </w:pPr>
      <w:r>
        <w:rPr>
          <w:rFonts w:hint="eastAsia"/>
          <w:color w:val="auto"/>
          <w:kern w:val="0"/>
        </w:rPr>
        <w:t>1、项目立项</w:t>
      </w:r>
    </w:p>
    <w:p>
      <w:pPr>
        <w:wordWrap w:val="0"/>
        <w:adjustRightInd w:val="0"/>
        <w:snapToGrid w:val="0"/>
        <w:ind w:firstLine="560" w:firstLineChars="200"/>
        <w:textAlignment w:val="center"/>
        <w:rPr>
          <w:color w:val="auto"/>
          <w:kern w:val="0"/>
        </w:rPr>
      </w:pPr>
      <w:r>
        <w:rPr>
          <w:rFonts w:hint="eastAsia"/>
          <w:color w:val="auto"/>
          <w:kern w:val="0"/>
        </w:rPr>
        <w:t>本项目为安全设施提升项目，2022年07月05日通过丰城市行政审批局的备案通知，项目文号：JG2205-360981-07-02-497709。根据《产业结构调整指导目录（2019年本）》（2021年4</w:t>
      </w:r>
      <w:r>
        <w:rPr>
          <w:color w:val="auto"/>
          <w:kern w:val="0"/>
        </w:rPr>
        <w:t>9</w:t>
      </w:r>
      <w:r>
        <w:rPr>
          <w:rFonts w:hint="eastAsia"/>
          <w:color w:val="auto"/>
          <w:kern w:val="0"/>
        </w:rPr>
        <w:t>号修改）的规定，本项目不属于国家限制类和淘汰类的产业项目。</w:t>
      </w:r>
    </w:p>
    <w:p>
      <w:pPr>
        <w:wordWrap w:val="0"/>
        <w:adjustRightInd w:val="0"/>
        <w:snapToGrid w:val="0"/>
        <w:ind w:firstLine="560" w:firstLineChars="200"/>
        <w:textAlignment w:val="center"/>
        <w:rPr>
          <w:color w:val="auto"/>
          <w:kern w:val="0"/>
        </w:rPr>
      </w:pPr>
      <w:r>
        <w:rPr>
          <w:rFonts w:hint="eastAsia"/>
          <w:color w:val="auto"/>
          <w:kern w:val="0"/>
        </w:rPr>
        <w:t>2、安全预评价</w:t>
      </w:r>
    </w:p>
    <w:p>
      <w:pPr>
        <w:wordWrap w:val="0"/>
        <w:adjustRightInd w:val="0"/>
        <w:snapToGrid w:val="0"/>
        <w:ind w:firstLine="560" w:firstLineChars="200"/>
        <w:textAlignment w:val="center"/>
        <w:rPr>
          <w:color w:val="auto"/>
          <w:kern w:val="0"/>
        </w:rPr>
      </w:pPr>
      <w:r>
        <w:rPr>
          <w:rFonts w:hint="eastAsia"/>
          <w:color w:val="auto"/>
          <w:kern w:val="0"/>
        </w:rPr>
        <w:t>本项目安全预评价</w:t>
      </w:r>
      <w:r>
        <w:rPr>
          <w:color w:val="auto"/>
          <w:kern w:val="0"/>
        </w:rPr>
        <w:t>报告由</w:t>
      </w:r>
      <w:r>
        <w:rPr>
          <w:rFonts w:hint="eastAsia"/>
          <w:color w:val="auto"/>
          <w:kern w:val="0"/>
        </w:rPr>
        <w:t>江西赣昌安全生产科技服务有限公司编制，于2022年07月25日获得丰城市应急管理局颁发的《化学品建设项目安全条件申查意书》，文号：丰危化项目安条审字〔2022]04号。</w:t>
      </w:r>
    </w:p>
    <w:p>
      <w:pPr>
        <w:wordWrap w:val="0"/>
        <w:adjustRightInd w:val="0"/>
        <w:snapToGrid w:val="0"/>
        <w:ind w:firstLine="560" w:firstLineChars="200"/>
        <w:textAlignment w:val="center"/>
        <w:rPr>
          <w:color w:val="auto"/>
          <w:kern w:val="0"/>
        </w:rPr>
      </w:pPr>
      <w:r>
        <w:rPr>
          <w:rFonts w:hint="eastAsia"/>
          <w:color w:val="auto"/>
          <w:kern w:val="0"/>
        </w:rPr>
        <w:t>3、安全设施设计</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安全设施设计由</w:t>
      </w:r>
      <w:r>
        <w:rPr>
          <w:rFonts w:hint="eastAsia"/>
          <w:color w:val="auto"/>
          <w:kern w:val="0"/>
        </w:rPr>
        <w:t>海湾工程有限公司承担，该安全设施设计已经审查并于2022年11月11日通过专家评审。海湾工程有限公司证书编号：A213000696，资质等级：化工石化医药行业乙级。</w:t>
      </w:r>
    </w:p>
    <w:p>
      <w:pPr>
        <w:wordWrap w:val="0"/>
        <w:adjustRightInd w:val="0"/>
        <w:snapToGrid w:val="0"/>
        <w:ind w:firstLine="560" w:firstLineChars="200"/>
        <w:textAlignment w:val="center"/>
        <w:rPr>
          <w:color w:val="auto"/>
          <w:kern w:val="0"/>
        </w:rPr>
      </w:pPr>
      <w:r>
        <w:rPr>
          <w:rFonts w:hint="eastAsia"/>
          <w:color w:val="auto"/>
          <w:kern w:val="0"/>
        </w:rPr>
        <w:t>4、施工、监理情况</w:t>
      </w:r>
    </w:p>
    <w:p>
      <w:pPr>
        <w:wordWrap w:val="0"/>
        <w:adjustRightInd w:val="0"/>
        <w:snapToGrid w:val="0"/>
        <w:ind w:firstLine="560" w:firstLineChars="200"/>
        <w:textAlignment w:val="center"/>
        <w:rPr>
          <w:color w:val="auto"/>
          <w:kern w:val="0"/>
        </w:rPr>
      </w:pPr>
      <w:r>
        <w:rPr>
          <w:rFonts w:hint="eastAsia"/>
          <w:color w:val="auto"/>
          <w:kern w:val="0"/>
        </w:rPr>
        <w:t>施工单位：</w:t>
      </w:r>
      <w:r>
        <w:rPr>
          <w:rFonts w:hint="eastAsia"/>
          <w:color w:val="auto"/>
          <w:kern w:val="0"/>
          <w:lang w:val="en-US" w:eastAsia="zh-CN"/>
        </w:rPr>
        <w:t>浙江省工业设备安装集团有限公司，该建筑公司消防工程专业承包壹级、建筑工程施工总承包贰级、电力工程施工总承包贰级、石油化工工程施工总承包壹级、机电工程总承包壹级，证书编号D233009474。</w:t>
      </w:r>
      <w:r>
        <w:rPr>
          <w:rFonts w:hint="eastAsia"/>
          <w:color w:val="auto"/>
          <w:kern w:val="0"/>
        </w:rPr>
        <w:t>江西昊屹建筑工程有限公司，该建筑公司具有</w:t>
      </w:r>
      <w:r>
        <w:rPr>
          <w:rFonts w:hint="eastAsia"/>
          <w:color w:val="auto"/>
          <w:kern w:val="0"/>
        </w:rPr>
        <w:t>建筑工程施工总承包</w:t>
      </w:r>
      <w:r>
        <w:rPr>
          <w:rFonts w:hint="eastAsia"/>
          <w:color w:val="auto"/>
          <w:kern w:val="0"/>
          <w:lang w:val="en-US" w:eastAsia="zh-CN"/>
        </w:rPr>
        <w:t>叁</w:t>
      </w:r>
      <w:r>
        <w:rPr>
          <w:rFonts w:hint="eastAsia"/>
          <w:color w:val="auto"/>
          <w:kern w:val="0"/>
        </w:rPr>
        <w:t>级、机电工程施工总承包</w:t>
      </w:r>
      <w:r>
        <w:rPr>
          <w:rFonts w:hint="eastAsia"/>
          <w:color w:val="auto"/>
          <w:kern w:val="0"/>
          <w:lang w:val="en-US" w:eastAsia="zh-CN"/>
        </w:rPr>
        <w:t>叁</w:t>
      </w:r>
      <w:r>
        <w:rPr>
          <w:rFonts w:hint="eastAsia"/>
          <w:color w:val="auto"/>
          <w:kern w:val="0"/>
        </w:rPr>
        <w:t>级、消防设施工程专业承包</w:t>
      </w:r>
      <w:r>
        <w:rPr>
          <w:rFonts w:hint="eastAsia"/>
          <w:color w:val="auto"/>
          <w:kern w:val="0"/>
          <w:lang w:val="en-US" w:eastAsia="zh-CN"/>
        </w:rPr>
        <w:t>贰</w:t>
      </w:r>
      <w:r>
        <w:rPr>
          <w:rFonts w:hint="eastAsia"/>
          <w:color w:val="auto"/>
          <w:kern w:val="0"/>
        </w:rPr>
        <w:t>级</w:t>
      </w:r>
      <w:r>
        <w:rPr>
          <w:rFonts w:hint="eastAsia"/>
          <w:color w:val="auto"/>
          <w:kern w:val="0"/>
        </w:rPr>
        <w:t>，证书编号：D336039372。</w:t>
      </w:r>
    </w:p>
    <w:p>
      <w:pPr>
        <w:wordWrap w:val="0"/>
        <w:adjustRightInd w:val="0"/>
        <w:snapToGrid w:val="0"/>
        <w:ind w:firstLine="560" w:firstLineChars="200"/>
        <w:textAlignment w:val="center"/>
        <w:rPr>
          <w:color w:val="auto"/>
          <w:kern w:val="0"/>
        </w:rPr>
      </w:pPr>
      <w:r>
        <w:rPr>
          <w:rFonts w:hint="eastAsia"/>
          <w:color w:val="auto"/>
          <w:kern w:val="0"/>
        </w:rPr>
        <w:t>监理单位：江西致远工程技术有限公司，该公司具有房屋建筑工程监理甲级、，证书编号E136009948。</w:t>
      </w:r>
    </w:p>
    <w:p>
      <w:pPr>
        <w:pStyle w:val="2"/>
        <w:ind w:firstLine="560"/>
        <w:rPr>
          <w:color w:val="auto"/>
        </w:rPr>
      </w:pPr>
      <w:r>
        <w:rPr>
          <w:rFonts w:hint="eastAsia"/>
          <w:color w:val="auto"/>
        </w:rPr>
        <w:t>5、检测、调试情况</w:t>
      </w:r>
    </w:p>
    <w:p>
      <w:pPr>
        <w:pStyle w:val="2"/>
        <w:ind w:firstLine="560"/>
        <w:rPr>
          <w:color w:val="auto"/>
        </w:rPr>
      </w:pPr>
      <w:r>
        <w:rPr>
          <w:rFonts w:hint="eastAsia"/>
          <w:color w:val="auto"/>
        </w:rPr>
        <w:t>本项目气体检测报警系统已通过杭州和利时自动化有限公司进行调试，并于2</w:t>
      </w:r>
      <w:r>
        <w:rPr>
          <w:color w:val="auto"/>
        </w:rPr>
        <w:t>023</w:t>
      </w:r>
      <w:r>
        <w:rPr>
          <w:rFonts w:hint="eastAsia"/>
          <w:color w:val="auto"/>
        </w:rPr>
        <w:t>年3月1</w:t>
      </w:r>
      <w:r>
        <w:rPr>
          <w:color w:val="auto"/>
        </w:rPr>
        <w:t>5</w:t>
      </w:r>
      <w:r>
        <w:rPr>
          <w:rFonts w:hint="eastAsia"/>
          <w:color w:val="auto"/>
        </w:rPr>
        <w:t>日出具调试报告。</w:t>
      </w:r>
    </w:p>
    <w:p>
      <w:pPr>
        <w:pStyle w:val="2"/>
        <w:ind w:firstLine="560"/>
        <w:rPr>
          <w:color w:val="auto"/>
        </w:rPr>
      </w:pPr>
      <w:r>
        <w:rPr>
          <w:rFonts w:hint="eastAsia"/>
          <w:color w:val="auto"/>
        </w:rPr>
        <w:t>气体检测报警仪已经广东六零二计量检测有限公司检测校准，校准日期2</w:t>
      </w:r>
      <w:r>
        <w:rPr>
          <w:color w:val="auto"/>
        </w:rPr>
        <w:t>023</w:t>
      </w:r>
      <w:r>
        <w:rPr>
          <w:rFonts w:hint="eastAsia"/>
          <w:color w:val="auto"/>
        </w:rPr>
        <w:t>年1</w:t>
      </w:r>
      <w:r>
        <w:rPr>
          <w:color w:val="auto"/>
        </w:rPr>
        <w:t>0</w:t>
      </w:r>
      <w:r>
        <w:rPr>
          <w:rFonts w:hint="eastAsia"/>
          <w:color w:val="auto"/>
        </w:rPr>
        <w:t>月1</w:t>
      </w:r>
      <w:r>
        <w:rPr>
          <w:color w:val="auto"/>
        </w:rPr>
        <w:t>8</w:t>
      </w:r>
      <w:r>
        <w:rPr>
          <w:rFonts w:hint="eastAsia"/>
          <w:color w:val="auto"/>
        </w:rPr>
        <w:t>日。</w:t>
      </w:r>
    </w:p>
    <w:p>
      <w:pPr>
        <w:pStyle w:val="2"/>
        <w:ind w:firstLine="560"/>
        <w:rPr>
          <w:rFonts w:hint="default" w:eastAsia="宋体"/>
          <w:color w:val="auto"/>
          <w:lang w:val="en-US" w:eastAsia="zh-CN"/>
        </w:rPr>
      </w:pPr>
      <w:r>
        <w:rPr>
          <w:rFonts w:hint="eastAsia"/>
          <w:color w:val="auto"/>
          <w:lang w:val="en-US" w:eastAsia="zh-CN"/>
        </w:rPr>
        <w:t>本项目防雷检测由</w:t>
      </w:r>
      <w:r>
        <w:rPr>
          <w:rFonts w:hint="eastAsia"/>
          <w:color w:val="auto"/>
        </w:rPr>
        <w:t>江西赣象防雷检测中心有限公司</w:t>
      </w:r>
      <w:r>
        <w:rPr>
          <w:rFonts w:hint="eastAsia"/>
          <w:color w:val="auto"/>
          <w:lang w:val="en-US" w:eastAsia="zh-CN"/>
        </w:rPr>
        <w:t>进行，并出具了合格的防雷检测报告，有效期至2024年6月26日。</w:t>
      </w:r>
    </w:p>
    <w:p>
      <w:pPr>
        <w:wordWrap w:val="0"/>
        <w:adjustRightInd w:val="0"/>
        <w:snapToGrid w:val="0"/>
        <w:ind w:firstLine="560" w:firstLineChars="200"/>
        <w:textAlignment w:val="center"/>
        <w:rPr>
          <w:color w:val="auto"/>
          <w:kern w:val="0"/>
        </w:rPr>
      </w:pPr>
      <w:r>
        <w:rPr>
          <w:rFonts w:hint="eastAsia"/>
          <w:color w:val="auto"/>
          <w:kern w:val="0"/>
        </w:rPr>
        <w:t>三、建设项目与设计时的变化情况</w:t>
      </w:r>
    </w:p>
    <w:p>
      <w:pPr>
        <w:wordWrap w:val="0"/>
        <w:adjustRightInd w:val="0"/>
        <w:snapToGrid w:val="0"/>
        <w:ind w:firstLine="560" w:firstLineChars="200"/>
        <w:textAlignment w:val="center"/>
        <w:rPr>
          <w:color w:val="auto"/>
          <w:kern w:val="0"/>
        </w:rPr>
      </w:pPr>
      <w:r>
        <w:rPr>
          <w:rFonts w:hint="eastAsia"/>
          <w:color w:val="auto"/>
          <w:kern w:val="0"/>
        </w:rPr>
        <w:t>本项目于2</w:t>
      </w:r>
      <w:r>
        <w:rPr>
          <w:color w:val="auto"/>
          <w:kern w:val="0"/>
        </w:rPr>
        <w:t>023</w:t>
      </w:r>
      <w:r>
        <w:rPr>
          <w:rFonts w:hint="eastAsia"/>
          <w:color w:val="auto"/>
          <w:kern w:val="0"/>
        </w:rPr>
        <w:t>年5月</w:t>
      </w:r>
      <w:r>
        <w:rPr>
          <w:color w:val="auto"/>
          <w:kern w:val="0"/>
        </w:rPr>
        <w:t>8</w:t>
      </w:r>
      <w:r>
        <w:rPr>
          <w:rFonts w:hint="eastAsia"/>
          <w:color w:val="auto"/>
          <w:kern w:val="0"/>
        </w:rPr>
        <w:t>日由海湾工程有限公司出具设计变更（补充）通知单（编号：K</w:t>
      </w:r>
      <w:r>
        <w:rPr>
          <w:color w:val="auto"/>
          <w:kern w:val="0"/>
        </w:rPr>
        <w:t>984</w:t>
      </w:r>
      <w:r>
        <w:rPr>
          <w:rFonts w:hint="eastAsia"/>
          <w:color w:val="auto"/>
          <w:kern w:val="0"/>
        </w:rPr>
        <w:t>GY</w:t>
      </w:r>
      <w:r>
        <w:rPr>
          <w:color w:val="auto"/>
          <w:kern w:val="0"/>
        </w:rPr>
        <w:t>-00-30-1</w:t>
      </w:r>
      <w:r>
        <w:rPr>
          <w:rFonts w:hint="eastAsia"/>
          <w:color w:val="auto"/>
          <w:kern w:val="0"/>
        </w:rPr>
        <w:t>变更0</w:t>
      </w:r>
      <w:r>
        <w:rPr>
          <w:color w:val="auto"/>
          <w:kern w:val="0"/>
        </w:rPr>
        <w:t>1</w:t>
      </w:r>
      <w:r>
        <w:rPr>
          <w:rFonts w:hint="eastAsia"/>
          <w:color w:val="auto"/>
          <w:kern w:val="0"/>
        </w:rPr>
        <w:t>），具体变更内容为：经核对甲类仓库周围道路现场情况为西面和北面为次要道路，南面和东面为主要道路与总图和规范要求核实后，满足规范间距要求。</w:t>
      </w:r>
    </w:p>
    <w:p>
      <w:pPr>
        <w:wordWrap w:val="0"/>
        <w:adjustRightInd w:val="0"/>
        <w:snapToGrid w:val="0"/>
        <w:ind w:firstLine="560" w:firstLineChars="200"/>
        <w:textAlignment w:val="center"/>
        <w:rPr>
          <w:color w:val="auto"/>
          <w:kern w:val="0"/>
        </w:rPr>
      </w:pPr>
      <w:r>
        <w:rPr>
          <w:rFonts w:hint="eastAsia"/>
          <w:color w:val="auto"/>
          <w:kern w:val="0"/>
        </w:rPr>
        <w:t>除上述内容外，本项目建设严格依据设计进行，总体做到与设计相符。</w:t>
      </w:r>
    </w:p>
    <w:p>
      <w:pPr>
        <w:pStyle w:val="5"/>
        <w:keepNext w:val="0"/>
        <w:keepLines w:val="0"/>
        <w:wordWrap w:val="0"/>
        <w:adjustRightInd w:val="0"/>
        <w:snapToGrid w:val="0"/>
        <w:textAlignment w:val="center"/>
        <w:rPr>
          <w:color w:val="auto"/>
          <w:kern w:val="0"/>
        </w:rPr>
      </w:pPr>
      <w:bookmarkStart w:id="30" w:name="_Toc12181"/>
      <w:r>
        <w:rPr>
          <w:rFonts w:hint="eastAsia"/>
          <w:color w:val="auto"/>
          <w:kern w:val="0"/>
        </w:rPr>
        <w:t>2.2.1 地理位置及周边情况</w:t>
      </w:r>
      <w:bookmarkEnd w:id="30"/>
    </w:p>
    <w:p>
      <w:pPr>
        <w:numPr>
          <w:ilvl w:val="0"/>
          <w:numId w:val="2"/>
        </w:numPr>
        <w:wordWrap w:val="0"/>
        <w:adjustRightInd w:val="0"/>
        <w:snapToGrid w:val="0"/>
        <w:ind w:firstLine="560" w:firstLineChars="200"/>
        <w:textAlignment w:val="center"/>
        <w:rPr>
          <w:color w:val="auto"/>
          <w:kern w:val="0"/>
        </w:rPr>
      </w:pPr>
      <w:r>
        <w:rPr>
          <w:rFonts w:hint="eastAsia"/>
          <w:color w:val="auto"/>
          <w:kern w:val="0"/>
        </w:rPr>
        <w:t>地理位置及交通</w:t>
      </w:r>
    </w:p>
    <w:p>
      <w:pPr>
        <w:wordWrap w:val="0"/>
        <w:adjustRightInd w:val="0"/>
        <w:snapToGrid w:val="0"/>
        <w:ind w:firstLine="560" w:firstLineChars="200"/>
        <w:textAlignment w:val="center"/>
        <w:rPr>
          <w:color w:val="auto"/>
          <w:kern w:val="0"/>
        </w:rPr>
      </w:pPr>
      <w:r>
        <w:rPr>
          <w:rFonts w:hint="eastAsia"/>
          <w:color w:val="auto"/>
          <w:kern w:val="0"/>
        </w:rPr>
        <w:t>项目位于江西省丰城市高新技术产业园区内，交通运输方便快捷。项目所在企业总占地面积为34235㎡（约51.35亩），其中本项目占地749.52㎡，总建筑面积749.52㎡。</w:t>
      </w:r>
    </w:p>
    <w:p>
      <w:pPr>
        <w:wordWrap w:val="0"/>
        <w:adjustRightInd w:val="0"/>
        <w:snapToGrid w:val="0"/>
        <w:ind w:firstLine="560" w:firstLineChars="200"/>
        <w:textAlignment w:val="center"/>
        <w:rPr>
          <w:color w:val="auto"/>
          <w:kern w:val="0"/>
        </w:rPr>
      </w:pPr>
      <w:r>
        <w:rPr>
          <w:rFonts w:hint="eastAsia"/>
          <w:color w:val="auto"/>
          <w:kern w:val="0"/>
        </w:rPr>
        <w:t>丰城地理坐标为东经115°24′34″~116°2′28″，北纬27°42′44″~28°26′18″，全境东西宽70.5km，南北长74.4km，全市总面积2845km²，丰城市属鄱阳湖盆地南端，地势由西南向东北部倾斜，属丘陵、岗埠地区，在海拔100~500m之间，境内最高峰玉华山为海拔1169.1m，最低点是城区东北方向的药湖为海拔18m，全市以丘陵为主，平原与低丘、岗地相互交错，河湖水系纵横，水库水塘星罗棋布，赣江自西南向东北斜贯全境，丰、芗、富、秀、白、株和锦江诸水遍布全市，丰城工业园紧临浙赣、京九铁路、赣粤高速公路和105国道，有专线铁路直通园区，新梅一级公路穿园而过，距南昌和昌北机场60公里，区位优越，交通便利。园区位于赣江之滨、紧邻丰城电厂，有丰富的水、电和蒸汽资源。</w:t>
      </w:r>
    </w:p>
    <w:p>
      <w:pPr>
        <w:wordWrap w:val="0"/>
        <w:adjustRightInd w:val="0"/>
        <w:snapToGrid w:val="0"/>
        <w:spacing w:line="580" w:lineRule="exact"/>
        <w:ind w:firstLine="560" w:firstLineChars="200"/>
        <w:textAlignment w:val="center"/>
        <w:rPr>
          <w:color w:val="auto"/>
          <w:kern w:val="0"/>
        </w:rPr>
      </w:pPr>
      <w:r>
        <w:rPr>
          <w:rFonts w:hint="eastAsia"/>
          <w:color w:val="auto"/>
          <w:kern w:val="0"/>
        </w:rPr>
        <w:t>2、周边环境</w:t>
      </w:r>
    </w:p>
    <w:p>
      <w:pPr>
        <w:wordWrap w:val="0"/>
        <w:adjustRightInd w:val="0"/>
        <w:snapToGrid w:val="0"/>
        <w:spacing w:line="580" w:lineRule="exact"/>
        <w:ind w:firstLine="618" w:firstLineChars="221"/>
        <w:textAlignment w:val="center"/>
        <w:rPr>
          <w:bCs/>
          <w:color w:val="auto"/>
          <w:szCs w:val="28"/>
        </w:rPr>
      </w:pPr>
      <w:r>
        <w:rPr>
          <w:rFonts w:hint="eastAsia"/>
          <w:bCs/>
          <w:color w:val="auto"/>
          <w:szCs w:val="28"/>
        </w:rPr>
        <w:t>江西景新漆业股份有限公司</w:t>
      </w:r>
      <w:r>
        <w:rPr>
          <w:bCs/>
          <w:color w:val="auto"/>
          <w:szCs w:val="28"/>
        </w:rPr>
        <w:t>位于</w:t>
      </w:r>
      <w:r>
        <w:rPr>
          <w:rFonts w:cs="Times New Roman"/>
          <w:snapToGrid w:val="0"/>
          <w:color w:val="auto"/>
          <w:kern w:val="0"/>
          <w:szCs w:val="28"/>
        </w:rPr>
        <w:t>江西省丰城市高新技术产业园区</w:t>
      </w:r>
      <w:r>
        <w:rPr>
          <w:rFonts w:hint="eastAsia"/>
          <w:bCs/>
          <w:color w:val="auto"/>
          <w:szCs w:val="28"/>
        </w:rPr>
        <w:t>内</w:t>
      </w:r>
      <w:r>
        <w:rPr>
          <w:bCs/>
          <w:color w:val="auto"/>
          <w:szCs w:val="28"/>
        </w:rPr>
        <w:t>。</w:t>
      </w:r>
      <w:r>
        <w:rPr>
          <w:rFonts w:hint="eastAsia"/>
          <w:bCs/>
          <w:color w:val="auto"/>
          <w:szCs w:val="28"/>
        </w:rPr>
        <w:t>厂区坐北朝南布置，厂区总体呈长方形。本项目新建的106甲类仓库位于厂区现有西北角的预留地处。厂区东面为剑丰门业有限公司；东北面距离厂区720m处为丰家小区；东南面距离厂区720m处为丰城中等专业学校；南面为园区道路、道路对面为丰城市水泥制品厂、泰山石膏江西有限公司，距离厂区300m处为邬家村庄，距离厂区1100m处为宏岗社区，距离厂区1300m处为丰城工业园小学，距离厂区2700m处为赣江；西面为江西酷客新型建材有限公司厂房（丁类），距离厂区615m处为北坑社区；西南面为江西添峰新型建材公司民建；北面为丰城巨龙管业有限公司、江西铭远传动设备有限公司，距离厂区295m处为渔梓洲村庄，距离厂区710m处为邹家村，距离厂区760m处为杨溪小学及杨溪社区。厂区中部现存的一条500kV架空高压线塔（塔高40m）。</w:t>
      </w:r>
    </w:p>
    <w:p>
      <w:pPr>
        <w:wordWrap w:val="0"/>
        <w:adjustRightInd w:val="0"/>
        <w:snapToGrid w:val="0"/>
        <w:spacing w:line="580" w:lineRule="exact"/>
        <w:ind w:firstLine="618" w:firstLineChars="221"/>
        <w:textAlignment w:val="center"/>
        <w:rPr>
          <w:bCs/>
          <w:color w:val="auto"/>
          <w:szCs w:val="28"/>
        </w:rPr>
      </w:pPr>
      <w:r>
        <w:rPr>
          <w:rFonts w:hint="eastAsia"/>
          <w:bCs/>
          <w:color w:val="auto"/>
          <w:szCs w:val="28"/>
        </w:rPr>
        <w:t>项目周边内无其他重要公共建筑、供水水源地、水厂及水源保护区、车站码头、湖泊、风景名胜区和自然保护区等《危险化学品安全管理条例》规定8类区域或重要环境敏感点。</w:t>
      </w:r>
    </w:p>
    <w:p>
      <w:pPr>
        <w:wordWrap w:val="0"/>
        <w:adjustRightInd w:val="0"/>
        <w:snapToGrid w:val="0"/>
        <w:spacing w:line="580" w:lineRule="exact"/>
        <w:ind w:firstLine="560" w:firstLineChars="200"/>
        <w:textAlignment w:val="center"/>
        <w:rPr>
          <w:color w:val="auto"/>
          <w:kern w:val="0"/>
        </w:rPr>
      </w:pPr>
      <w:r>
        <w:rPr>
          <w:rFonts w:hint="eastAsia"/>
          <w:color w:val="auto"/>
          <w:kern w:val="0"/>
        </w:rPr>
        <w:t>项目周边详细情况见下表：</w:t>
      </w:r>
    </w:p>
    <w:p>
      <w:pPr>
        <w:wordWrap w:val="0"/>
        <w:adjustRightInd w:val="0"/>
        <w:snapToGrid w:val="0"/>
        <w:jc w:val="center"/>
        <w:textAlignment w:val="center"/>
        <w:rPr>
          <w:color w:val="auto"/>
          <w:kern w:val="0"/>
          <w:szCs w:val="28"/>
        </w:rPr>
      </w:pPr>
      <w:r>
        <w:rPr>
          <w:rFonts w:hint="eastAsia"/>
          <w:color w:val="auto"/>
          <w:kern w:val="0"/>
          <w:szCs w:val="28"/>
        </w:rPr>
        <w:t>表2.2-2  厂址周边情况一览表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732"/>
        <w:gridCol w:w="2805"/>
        <w:gridCol w:w="1200"/>
        <w:gridCol w:w="1559"/>
        <w:gridCol w:w="19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建构筑物</w:t>
            </w:r>
          </w:p>
        </w:tc>
        <w:tc>
          <w:tcPr>
            <w:tcW w:w="732"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方位</w:t>
            </w:r>
          </w:p>
        </w:tc>
        <w:tc>
          <w:tcPr>
            <w:tcW w:w="2805"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厂外建构筑物</w:t>
            </w:r>
          </w:p>
        </w:tc>
        <w:tc>
          <w:tcPr>
            <w:tcW w:w="1200"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现场距离m</w:t>
            </w:r>
          </w:p>
        </w:tc>
        <w:tc>
          <w:tcPr>
            <w:tcW w:w="1559"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标准距离m</w:t>
            </w:r>
          </w:p>
        </w:tc>
        <w:tc>
          <w:tcPr>
            <w:tcW w:w="1998"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106甲类仓库</w:t>
            </w:r>
          </w:p>
        </w:tc>
        <w:tc>
          <w:tcPr>
            <w:tcW w:w="732"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东</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剑丰门业有限公司仓库（丁类）</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193</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高压线塔（塔高为40m）</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60.1</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60（1.5倍杆高）</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《建规》表10.2.1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东南</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丰城市水泥制品厂民建</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145</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南</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泰山石膏江西有限公司民建</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165</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西</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江西酷客新型建材有限公司厂房（丁类）</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17.5</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西南</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江西添峰新型建材公司民建</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122</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北</w:t>
            </w: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丰城巨龙管业有限公司厂房（丁类）</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70</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732"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280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江西铭远传动设备有限公司生产车间（丁类）</w:t>
            </w:r>
          </w:p>
        </w:tc>
        <w:tc>
          <w:tcPr>
            <w:tcW w:w="120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34</w:t>
            </w:r>
          </w:p>
        </w:tc>
        <w:tc>
          <w:tcPr>
            <w:tcW w:w="1559"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998"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r>
    </w:tbl>
    <w:p>
      <w:pPr>
        <w:pStyle w:val="67"/>
        <w:spacing w:line="240" w:lineRule="exact"/>
        <w:ind w:firstLine="0" w:firstLineChars="0"/>
        <w:rPr>
          <w:color w:val="auto"/>
        </w:rPr>
      </w:pPr>
      <w:r>
        <w:rPr>
          <w:rFonts w:hint="eastAsia"/>
          <w:color w:val="auto"/>
          <w:kern w:val="0"/>
          <w:sz w:val="18"/>
          <w:szCs w:val="18"/>
        </w:rPr>
        <w:t>注：表中所列《建规》、《精标》分别指《建筑设计防火规范（2</w:t>
      </w:r>
      <w:r>
        <w:rPr>
          <w:color w:val="auto"/>
          <w:kern w:val="0"/>
          <w:sz w:val="18"/>
          <w:szCs w:val="18"/>
        </w:rPr>
        <w:t>018</w:t>
      </w:r>
      <w:r>
        <w:rPr>
          <w:rFonts w:hint="eastAsia"/>
          <w:color w:val="auto"/>
          <w:kern w:val="0"/>
          <w:sz w:val="18"/>
          <w:szCs w:val="18"/>
        </w:rPr>
        <w:t>版）》GB</w:t>
      </w:r>
      <w:r>
        <w:rPr>
          <w:color w:val="auto"/>
          <w:kern w:val="0"/>
          <w:sz w:val="18"/>
          <w:szCs w:val="18"/>
        </w:rPr>
        <w:t>50016-2014</w:t>
      </w:r>
      <w:r>
        <w:rPr>
          <w:rFonts w:hint="eastAsia"/>
          <w:color w:val="auto"/>
          <w:kern w:val="0"/>
          <w:sz w:val="18"/>
          <w:szCs w:val="18"/>
        </w:rPr>
        <w:t>、《精细化工企业工程设计防火标准》GB</w:t>
      </w:r>
      <w:r>
        <w:rPr>
          <w:color w:val="auto"/>
          <w:kern w:val="0"/>
          <w:sz w:val="18"/>
          <w:szCs w:val="18"/>
        </w:rPr>
        <w:t>51283-2020</w:t>
      </w:r>
      <w:r>
        <w:rPr>
          <w:rFonts w:hint="eastAsia"/>
          <w:color w:val="auto"/>
          <w:kern w:val="0"/>
          <w:sz w:val="18"/>
          <w:szCs w:val="18"/>
        </w:rPr>
        <w:t>。</w:t>
      </w:r>
    </w:p>
    <w:p>
      <w:pPr>
        <w:pStyle w:val="5"/>
        <w:keepNext w:val="0"/>
        <w:keepLines w:val="0"/>
        <w:wordWrap w:val="0"/>
        <w:adjustRightInd w:val="0"/>
        <w:snapToGrid w:val="0"/>
        <w:textAlignment w:val="center"/>
        <w:rPr>
          <w:color w:val="auto"/>
          <w:kern w:val="0"/>
        </w:rPr>
      </w:pPr>
      <w:bookmarkStart w:id="31" w:name="_Toc61"/>
      <w:r>
        <w:rPr>
          <w:rFonts w:hint="eastAsia"/>
          <w:color w:val="auto"/>
          <w:kern w:val="0"/>
        </w:rPr>
        <w:t>2.2.2 厂址概况</w:t>
      </w:r>
      <w:bookmarkEnd w:id="31"/>
    </w:p>
    <w:p>
      <w:pPr>
        <w:wordWrap w:val="0"/>
        <w:adjustRightInd w:val="0"/>
        <w:snapToGrid w:val="0"/>
        <w:ind w:firstLine="570"/>
        <w:textAlignment w:val="center"/>
        <w:rPr>
          <w:color w:val="auto"/>
        </w:rPr>
      </w:pPr>
      <w:r>
        <w:rPr>
          <w:color w:val="auto"/>
        </w:rPr>
        <w:t>1、地形</w:t>
      </w:r>
      <w:r>
        <w:rPr>
          <w:rFonts w:hint="eastAsia"/>
          <w:color w:val="auto"/>
        </w:rPr>
        <w:t>地貌及水文</w:t>
      </w:r>
    </w:p>
    <w:p>
      <w:pPr>
        <w:wordWrap w:val="0"/>
        <w:adjustRightInd w:val="0"/>
        <w:snapToGrid w:val="0"/>
        <w:ind w:firstLine="560" w:firstLineChars="200"/>
        <w:textAlignment w:val="center"/>
        <w:rPr>
          <w:color w:val="auto"/>
          <w:szCs w:val="28"/>
        </w:rPr>
      </w:pPr>
      <w:r>
        <w:rPr>
          <w:rFonts w:hint="eastAsia"/>
          <w:color w:val="auto"/>
          <w:szCs w:val="28"/>
        </w:rPr>
        <w:t>丰城市全境东西宽70.5km，南北长74.4km，全市总面积2845.0k㎡，属鄱阳湖盆地南端，地势由西南向东北部倾斜，属丘陵、岗埠地区，在海拔100～500m之间，境内最高峰玉华山为海拔1169.1m，最低点是城区东北方向的药湖为海拔18m，全市以丘陵为主，平原、低丘、岗地交错，波状起伏，南北高，中间低，呈马鞍形。河湖水系纵横，水库水塘星罗棋布，</w:t>
      </w:r>
      <w:r>
        <w:rPr>
          <w:rFonts w:hint="eastAsia"/>
          <w:color w:val="auto"/>
          <w:spacing w:val="-6"/>
          <w:szCs w:val="28"/>
        </w:rPr>
        <w:t>赣江自西南向东北斜贯全境，丰、芗、富、秀、白、株和锦江诸水遍布全市。</w:t>
      </w:r>
    </w:p>
    <w:p>
      <w:pPr>
        <w:wordWrap w:val="0"/>
        <w:adjustRightInd w:val="0"/>
        <w:snapToGrid w:val="0"/>
        <w:ind w:firstLine="560" w:firstLineChars="200"/>
        <w:textAlignment w:val="center"/>
        <w:rPr>
          <w:color w:val="auto"/>
          <w:szCs w:val="28"/>
        </w:rPr>
      </w:pPr>
      <w:r>
        <w:rPr>
          <w:rFonts w:hint="eastAsia"/>
          <w:color w:val="auto"/>
          <w:szCs w:val="28"/>
        </w:rPr>
        <w:t>本项目生产装置距离赣江水域直线距离2.7km。厂址原属丘陵地，地势较高。</w:t>
      </w:r>
    </w:p>
    <w:p>
      <w:pPr>
        <w:wordWrap w:val="0"/>
        <w:adjustRightInd w:val="0"/>
        <w:snapToGrid w:val="0"/>
        <w:ind w:firstLine="482"/>
        <w:jc w:val="left"/>
        <w:textAlignment w:val="center"/>
        <w:rPr>
          <w:color w:val="auto"/>
          <w:szCs w:val="28"/>
        </w:rPr>
      </w:pPr>
      <w:r>
        <w:rPr>
          <w:rFonts w:hint="eastAsia"/>
          <w:color w:val="auto"/>
          <w:szCs w:val="28"/>
        </w:rPr>
        <w:t>2、地震</w:t>
      </w:r>
    </w:p>
    <w:p>
      <w:pPr>
        <w:wordWrap w:val="0"/>
        <w:adjustRightInd w:val="0"/>
        <w:snapToGrid w:val="0"/>
        <w:ind w:firstLine="560" w:firstLineChars="200"/>
        <w:textAlignment w:val="center"/>
        <w:rPr>
          <w:color w:val="auto"/>
          <w:szCs w:val="28"/>
        </w:rPr>
      </w:pPr>
      <w:r>
        <w:rPr>
          <w:color w:val="auto"/>
          <w:szCs w:val="28"/>
        </w:rPr>
        <w:t>根据《中国地震动参数区划图》（GB18306-2001）和《建筑抗震设计规定》（GB50011-2010，2016年修改）等有关规定，企业所在地地震动峰加速度0.05g，地震烈度为6度，区域稳定性较好。</w:t>
      </w:r>
    </w:p>
    <w:p>
      <w:pPr>
        <w:wordWrap w:val="0"/>
        <w:adjustRightInd w:val="0"/>
        <w:snapToGrid w:val="0"/>
        <w:ind w:firstLine="560" w:firstLineChars="200"/>
        <w:textAlignment w:val="center"/>
        <w:rPr>
          <w:color w:val="auto"/>
          <w:szCs w:val="28"/>
        </w:rPr>
      </w:pPr>
      <w:r>
        <w:rPr>
          <w:rFonts w:hint="eastAsia"/>
          <w:color w:val="auto"/>
          <w:szCs w:val="28"/>
        </w:rPr>
        <w:t>3</w:t>
      </w:r>
      <w:r>
        <w:rPr>
          <w:color w:val="auto"/>
          <w:szCs w:val="28"/>
        </w:rPr>
        <w:t>、气象条件</w:t>
      </w:r>
    </w:p>
    <w:p>
      <w:pPr>
        <w:wordWrap w:val="0"/>
        <w:adjustRightInd w:val="0"/>
        <w:snapToGrid w:val="0"/>
        <w:ind w:firstLine="560" w:firstLineChars="200"/>
        <w:textAlignment w:val="center"/>
        <w:rPr>
          <w:color w:val="auto"/>
          <w:szCs w:val="28"/>
        </w:rPr>
      </w:pPr>
      <w:r>
        <w:rPr>
          <w:rFonts w:hint="eastAsia"/>
          <w:color w:val="auto"/>
          <w:szCs w:val="28"/>
        </w:rPr>
        <w:t>全年平均气温为15.3-17.7摄氏度，日最高气温大于或等于35摄氏度的日数年平均为27.9天，日最低气温少于或等于0度的日数年平均为23.4天。全年日照时数1935.7小时，年平均降水量1552.1毫米，4-6月降水量约占全年降水量的50%，年平均降水日数为154天，年平均空气相对湿度81%，无霜期274天。年均雷暴天数：56d。</w:t>
      </w:r>
    </w:p>
    <w:p>
      <w:pPr>
        <w:wordWrap w:val="0"/>
        <w:adjustRightInd w:val="0"/>
        <w:snapToGrid w:val="0"/>
        <w:ind w:firstLine="560" w:firstLineChars="200"/>
        <w:textAlignment w:val="center"/>
        <w:rPr>
          <w:color w:val="auto"/>
          <w:szCs w:val="28"/>
        </w:rPr>
      </w:pPr>
      <w:r>
        <w:rPr>
          <w:color w:val="auto"/>
          <w:szCs w:val="28"/>
        </w:rPr>
        <w:t>丰城市属典型的中亚热带大陆季风气候，冬冷夏热，四季分明，日照充足，雨量充沛。</w:t>
      </w:r>
      <w:r>
        <w:rPr>
          <w:rFonts w:hint="eastAsia"/>
          <w:color w:val="auto"/>
          <w:szCs w:val="28"/>
        </w:rPr>
        <w:t>全年平均气温为15.3-17.7摄氏度，</w:t>
      </w:r>
      <w:r>
        <w:rPr>
          <w:color w:val="auto"/>
          <w:szCs w:val="28"/>
          <w:lang w:val="zh-CN"/>
        </w:rPr>
        <w:t>年最高气温出现在</w:t>
      </w:r>
      <w:r>
        <w:rPr>
          <w:color w:val="auto"/>
          <w:szCs w:val="28"/>
        </w:rPr>
        <w:t>7</w:t>
      </w:r>
      <w:r>
        <w:rPr>
          <w:color w:val="auto"/>
          <w:szCs w:val="28"/>
          <w:lang w:val="zh-CN"/>
        </w:rPr>
        <w:t>月份</w:t>
      </w:r>
      <w:r>
        <w:rPr>
          <w:color w:val="auto"/>
          <w:szCs w:val="28"/>
        </w:rPr>
        <w:t>39.7</w:t>
      </w:r>
      <w:r>
        <w:rPr>
          <w:color w:val="auto"/>
          <w:szCs w:val="28"/>
          <w:lang w:val="zh-CN"/>
        </w:rPr>
        <w:t>℃，年最低气温出现在</w:t>
      </w:r>
      <w:r>
        <w:rPr>
          <w:color w:val="auto"/>
          <w:szCs w:val="28"/>
        </w:rPr>
        <w:t>1</w:t>
      </w:r>
      <w:r>
        <w:rPr>
          <w:color w:val="auto"/>
          <w:szCs w:val="28"/>
          <w:lang w:val="zh-CN"/>
        </w:rPr>
        <w:t>月份，</w:t>
      </w:r>
      <w:r>
        <w:rPr>
          <w:color w:val="auto"/>
          <w:szCs w:val="28"/>
        </w:rPr>
        <w:t>-10.5</w:t>
      </w:r>
      <w:r>
        <w:rPr>
          <w:color w:val="auto"/>
          <w:szCs w:val="28"/>
          <w:lang w:val="zh-CN"/>
        </w:rPr>
        <w:t>℃，</w:t>
      </w:r>
      <w:r>
        <w:rPr>
          <w:rFonts w:hint="eastAsia"/>
          <w:color w:val="auto"/>
          <w:szCs w:val="28"/>
        </w:rPr>
        <w:t>日最高气温大于或等于35摄氏度的日数年平均为27.9天，日最低气温少于或等于0度的日数年平均为23.4天。全年日照时数1935.7小时，年平均降水量1552.1毫米，4-6月降水量约占全年降水量的50%，年平均降水日数为154天，年平均空气相对湿度81%，无霜期274天。年均雷暴天数：56d</w:t>
      </w:r>
      <w:r>
        <w:rPr>
          <w:color w:val="auto"/>
          <w:szCs w:val="28"/>
          <w:lang w:val="zh-CN"/>
        </w:rPr>
        <w:t>。</w:t>
      </w:r>
    </w:p>
    <w:p>
      <w:pPr>
        <w:wordWrap w:val="0"/>
        <w:adjustRightInd w:val="0"/>
        <w:snapToGrid w:val="0"/>
        <w:ind w:firstLine="560" w:firstLineChars="200"/>
        <w:textAlignment w:val="center"/>
        <w:rPr>
          <w:color w:val="auto"/>
          <w:szCs w:val="28"/>
        </w:rPr>
      </w:pPr>
      <w:r>
        <w:rPr>
          <w:color w:val="auto"/>
          <w:szCs w:val="28"/>
        </w:rPr>
        <w:t>极端最高温度</w:t>
      </w:r>
      <w:r>
        <w:rPr>
          <w:rFonts w:hint="eastAsia"/>
          <w:color w:val="auto"/>
          <w:szCs w:val="28"/>
        </w:rPr>
        <w:t>：</w:t>
      </w:r>
      <w:r>
        <w:rPr>
          <w:color w:val="auto"/>
          <w:szCs w:val="28"/>
        </w:rPr>
        <w:t>39.7℃</w:t>
      </w:r>
    </w:p>
    <w:p>
      <w:pPr>
        <w:wordWrap w:val="0"/>
        <w:adjustRightInd w:val="0"/>
        <w:snapToGrid w:val="0"/>
        <w:ind w:firstLine="560" w:firstLineChars="200"/>
        <w:textAlignment w:val="center"/>
        <w:rPr>
          <w:color w:val="auto"/>
          <w:szCs w:val="28"/>
        </w:rPr>
      </w:pPr>
      <w:r>
        <w:rPr>
          <w:color w:val="auto"/>
          <w:szCs w:val="28"/>
        </w:rPr>
        <w:t>极端最低温度</w:t>
      </w:r>
      <w:r>
        <w:rPr>
          <w:rFonts w:hint="eastAsia"/>
          <w:color w:val="auto"/>
          <w:szCs w:val="28"/>
        </w:rPr>
        <w:t>：</w:t>
      </w:r>
      <w:r>
        <w:rPr>
          <w:color w:val="auto"/>
          <w:szCs w:val="28"/>
        </w:rPr>
        <w:t>-10.5℃</w:t>
      </w:r>
    </w:p>
    <w:p>
      <w:pPr>
        <w:wordWrap w:val="0"/>
        <w:adjustRightInd w:val="0"/>
        <w:snapToGrid w:val="0"/>
        <w:ind w:firstLine="560" w:firstLineChars="200"/>
        <w:textAlignment w:val="center"/>
        <w:rPr>
          <w:color w:val="auto"/>
          <w:szCs w:val="28"/>
        </w:rPr>
      </w:pPr>
      <w:r>
        <w:rPr>
          <w:color w:val="auto"/>
          <w:szCs w:val="28"/>
        </w:rPr>
        <w:t>多年平均气温</w:t>
      </w:r>
      <w:r>
        <w:rPr>
          <w:rFonts w:hint="eastAsia"/>
          <w:color w:val="auto"/>
          <w:szCs w:val="28"/>
        </w:rPr>
        <w:t>：</w:t>
      </w:r>
      <w:r>
        <w:rPr>
          <w:color w:val="auto"/>
          <w:szCs w:val="28"/>
        </w:rPr>
        <w:t>16.5℃</w:t>
      </w:r>
    </w:p>
    <w:p>
      <w:pPr>
        <w:wordWrap w:val="0"/>
        <w:adjustRightInd w:val="0"/>
        <w:snapToGrid w:val="0"/>
        <w:ind w:firstLine="560" w:firstLineChars="200"/>
        <w:textAlignment w:val="center"/>
        <w:rPr>
          <w:color w:val="auto"/>
          <w:szCs w:val="28"/>
        </w:rPr>
      </w:pPr>
      <w:r>
        <w:rPr>
          <w:color w:val="auto"/>
          <w:szCs w:val="28"/>
        </w:rPr>
        <w:t>最热月平均温度</w:t>
      </w:r>
      <w:r>
        <w:rPr>
          <w:rFonts w:hint="eastAsia"/>
          <w:color w:val="auto"/>
          <w:szCs w:val="28"/>
        </w:rPr>
        <w:t>：</w:t>
      </w:r>
      <w:r>
        <w:rPr>
          <w:color w:val="auto"/>
          <w:szCs w:val="28"/>
        </w:rPr>
        <w:t>28.3℃</w:t>
      </w:r>
    </w:p>
    <w:p>
      <w:pPr>
        <w:wordWrap w:val="0"/>
        <w:adjustRightInd w:val="0"/>
        <w:snapToGrid w:val="0"/>
        <w:ind w:firstLine="560" w:firstLineChars="200"/>
        <w:textAlignment w:val="center"/>
        <w:rPr>
          <w:color w:val="auto"/>
          <w:szCs w:val="28"/>
        </w:rPr>
      </w:pPr>
      <w:r>
        <w:rPr>
          <w:color w:val="auto"/>
          <w:szCs w:val="28"/>
        </w:rPr>
        <w:t>最冷月平均温度</w:t>
      </w:r>
      <w:r>
        <w:rPr>
          <w:rFonts w:hint="eastAsia"/>
          <w:color w:val="auto"/>
          <w:szCs w:val="28"/>
        </w:rPr>
        <w:t>：</w:t>
      </w:r>
      <w:r>
        <w:rPr>
          <w:color w:val="auto"/>
          <w:szCs w:val="28"/>
        </w:rPr>
        <w:t>5.1℃</w:t>
      </w:r>
    </w:p>
    <w:p>
      <w:pPr>
        <w:wordWrap w:val="0"/>
        <w:adjustRightInd w:val="0"/>
        <w:snapToGrid w:val="0"/>
        <w:ind w:firstLine="560" w:firstLineChars="200"/>
        <w:textAlignment w:val="center"/>
        <w:rPr>
          <w:color w:val="auto"/>
          <w:szCs w:val="28"/>
        </w:rPr>
      </w:pPr>
      <w:r>
        <w:rPr>
          <w:color w:val="auto"/>
          <w:szCs w:val="28"/>
        </w:rPr>
        <w:t>多年平均总降水量</w:t>
      </w:r>
      <w:r>
        <w:rPr>
          <w:rFonts w:hint="eastAsia"/>
          <w:color w:val="auto"/>
          <w:szCs w:val="28"/>
        </w:rPr>
        <w:t>：1552.1</w:t>
      </w:r>
      <w:r>
        <w:rPr>
          <w:color w:val="auto"/>
          <w:szCs w:val="28"/>
        </w:rPr>
        <w:t>mm</w:t>
      </w:r>
    </w:p>
    <w:p>
      <w:pPr>
        <w:wordWrap w:val="0"/>
        <w:adjustRightInd w:val="0"/>
        <w:snapToGrid w:val="0"/>
        <w:ind w:firstLine="560" w:firstLineChars="200"/>
        <w:textAlignment w:val="center"/>
        <w:rPr>
          <w:color w:val="auto"/>
          <w:szCs w:val="28"/>
        </w:rPr>
      </w:pPr>
      <w:r>
        <w:rPr>
          <w:color w:val="auto"/>
          <w:szCs w:val="28"/>
        </w:rPr>
        <w:t>年最大降水量</w:t>
      </w:r>
      <w:r>
        <w:rPr>
          <w:rFonts w:hint="eastAsia"/>
          <w:color w:val="auto"/>
          <w:szCs w:val="28"/>
        </w:rPr>
        <w:t>：</w:t>
      </w:r>
      <w:r>
        <w:rPr>
          <w:color w:val="auto"/>
          <w:szCs w:val="28"/>
        </w:rPr>
        <w:t>2689mm</w:t>
      </w:r>
    </w:p>
    <w:p>
      <w:pPr>
        <w:wordWrap w:val="0"/>
        <w:adjustRightInd w:val="0"/>
        <w:snapToGrid w:val="0"/>
        <w:ind w:firstLine="560" w:firstLineChars="200"/>
        <w:textAlignment w:val="center"/>
        <w:rPr>
          <w:color w:val="auto"/>
          <w:szCs w:val="28"/>
        </w:rPr>
      </w:pPr>
      <w:r>
        <w:rPr>
          <w:color w:val="auto"/>
          <w:szCs w:val="28"/>
        </w:rPr>
        <w:t>年最小降水量</w:t>
      </w:r>
      <w:r>
        <w:rPr>
          <w:rFonts w:hint="eastAsia"/>
          <w:color w:val="auto"/>
          <w:szCs w:val="28"/>
        </w:rPr>
        <w:t>：</w:t>
      </w:r>
      <w:r>
        <w:rPr>
          <w:color w:val="auto"/>
          <w:szCs w:val="28"/>
        </w:rPr>
        <w:t>1024.6mm</w:t>
      </w:r>
    </w:p>
    <w:p>
      <w:pPr>
        <w:wordWrap w:val="0"/>
        <w:adjustRightInd w:val="0"/>
        <w:snapToGrid w:val="0"/>
        <w:ind w:firstLine="560" w:firstLineChars="200"/>
        <w:textAlignment w:val="center"/>
        <w:rPr>
          <w:color w:val="auto"/>
          <w:szCs w:val="28"/>
        </w:rPr>
      </w:pPr>
      <w:r>
        <w:rPr>
          <w:color w:val="auto"/>
          <w:szCs w:val="28"/>
        </w:rPr>
        <w:t>多年平均蒸发量</w:t>
      </w:r>
      <w:r>
        <w:rPr>
          <w:rFonts w:hint="eastAsia"/>
          <w:color w:val="auto"/>
          <w:szCs w:val="28"/>
        </w:rPr>
        <w:t>：</w:t>
      </w:r>
      <w:r>
        <w:rPr>
          <w:color w:val="auto"/>
          <w:szCs w:val="28"/>
        </w:rPr>
        <w:t>1542.8mm</w:t>
      </w:r>
    </w:p>
    <w:p>
      <w:pPr>
        <w:wordWrap w:val="0"/>
        <w:adjustRightInd w:val="0"/>
        <w:snapToGrid w:val="0"/>
        <w:ind w:firstLine="560" w:firstLineChars="200"/>
        <w:textAlignment w:val="center"/>
        <w:rPr>
          <w:color w:val="auto"/>
          <w:szCs w:val="28"/>
        </w:rPr>
      </w:pPr>
      <w:r>
        <w:rPr>
          <w:color w:val="auto"/>
          <w:szCs w:val="28"/>
        </w:rPr>
        <w:t>年平均相对湿度</w:t>
      </w:r>
      <w:r>
        <w:rPr>
          <w:rFonts w:hint="eastAsia"/>
          <w:color w:val="auto"/>
          <w:szCs w:val="28"/>
        </w:rPr>
        <w:t>：</w:t>
      </w:r>
      <w:r>
        <w:rPr>
          <w:color w:val="auto"/>
          <w:szCs w:val="28"/>
        </w:rPr>
        <w:t>79％</w:t>
      </w:r>
    </w:p>
    <w:p>
      <w:pPr>
        <w:wordWrap w:val="0"/>
        <w:adjustRightInd w:val="0"/>
        <w:snapToGrid w:val="0"/>
        <w:ind w:firstLine="560" w:firstLineChars="200"/>
        <w:textAlignment w:val="center"/>
        <w:rPr>
          <w:color w:val="auto"/>
          <w:szCs w:val="28"/>
        </w:rPr>
      </w:pPr>
      <w:r>
        <w:rPr>
          <w:color w:val="auto"/>
          <w:szCs w:val="28"/>
        </w:rPr>
        <w:t>年平均无霜期天数</w:t>
      </w:r>
      <w:r>
        <w:rPr>
          <w:rFonts w:hint="eastAsia"/>
          <w:color w:val="auto"/>
          <w:szCs w:val="28"/>
        </w:rPr>
        <w:t>：</w:t>
      </w:r>
      <w:r>
        <w:rPr>
          <w:color w:val="auto"/>
          <w:szCs w:val="28"/>
        </w:rPr>
        <w:t>2</w:t>
      </w:r>
      <w:r>
        <w:rPr>
          <w:rFonts w:hint="eastAsia"/>
          <w:color w:val="auto"/>
          <w:szCs w:val="28"/>
        </w:rPr>
        <w:t>74</w:t>
      </w:r>
      <w:r>
        <w:rPr>
          <w:color w:val="auto"/>
          <w:szCs w:val="28"/>
        </w:rPr>
        <w:t>天</w:t>
      </w:r>
    </w:p>
    <w:p>
      <w:pPr>
        <w:wordWrap w:val="0"/>
        <w:adjustRightInd w:val="0"/>
        <w:snapToGrid w:val="0"/>
        <w:ind w:firstLine="560" w:firstLineChars="200"/>
        <w:textAlignment w:val="center"/>
        <w:rPr>
          <w:color w:val="auto"/>
          <w:szCs w:val="28"/>
        </w:rPr>
      </w:pPr>
      <w:r>
        <w:rPr>
          <w:color w:val="auto"/>
          <w:szCs w:val="28"/>
        </w:rPr>
        <w:t>年平均出现有霜日</w:t>
      </w:r>
      <w:r>
        <w:rPr>
          <w:rFonts w:hint="eastAsia"/>
          <w:color w:val="auto"/>
          <w:szCs w:val="28"/>
        </w:rPr>
        <w:t>：</w:t>
      </w:r>
      <w:r>
        <w:rPr>
          <w:color w:val="auto"/>
          <w:szCs w:val="28"/>
        </w:rPr>
        <w:t>18.9天</w:t>
      </w:r>
    </w:p>
    <w:p>
      <w:pPr>
        <w:wordWrap w:val="0"/>
        <w:adjustRightInd w:val="0"/>
        <w:snapToGrid w:val="0"/>
        <w:ind w:firstLine="560" w:firstLineChars="200"/>
        <w:textAlignment w:val="center"/>
        <w:rPr>
          <w:color w:val="auto"/>
          <w:szCs w:val="28"/>
        </w:rPr>
      </w:pPr>
      <w:r>
        <w:rPr>
          <w:color w:val="auto"/>
          <w:szCs w:val="28"/>
        </w:rPr>
        <w:t>年平均风速</w:t>
      </w:r>
      <w:r>
        <w:rPr>
          <w:rFonts w:hint="eastAsia"/>
          <w:color w:val="auto"/>
          <w:szCs w:val="28"/>
        </w:rPr>
        <w:t>：</w:t>
      </w:r>
      <w:r>
        <w:rPr>
          <w:color w:val="auto"/>
          <w:szCs w:val="28"/>
        </w:rPr>
        <w:t>2.7m/s</w:t>
      </w:r>
      <w:r>
        <w:rPr>
          <w:rFonts w:hint="eastAsia"/>
          <w:color w:val="auto"/>
          <w:szCs w:val="28"/>
        </w:rPr>
        <w:t>，</w:t>
      </w:r>
      <w:r>
        <w:rPr>
          <w:color w:val="auto"/>
          <w:szCs w:val="28"/>
          <w:lang w:val="zh-CN"/>
        </w:rPr>
        <w:t>常年主导风向为东风，风频为</w:t>
      </w:r>
      <w:r>
        <w:rPr>
          <w:color w:val="auto"/>
          <w:szCs w:val="28"/>
        </w:rPr>
        <w:t>18%</w:t>
      </w:r>
      <w:r>
        <w:rPr>
          <w:color w:val="auto"/>
          <w:szCs w:val="28"/>
          <w:lang w:val="zh-CN"/>
        </w:rPr>
        <w:t>，次主导风向为东北风，静风频率为</w:t>
      </w:r>
      <w:r>
        <w:rPr>
          <w:color w:val="auto"/>
          <w:szCs w:val="28"/>
        </w:rPr>
        <w:t>5.4%</w:t>
      </w:r>
      <w:r>
        <w:rPr>
          <w:color w:val="auto"/>
          <w:szCs w:val="28"/>
          <w:lang w:val="zh-CN"/>
        </w:rPr>
        <w:t>。</w:t>
      </w:r>
    </w:p>
    <w:p>
      <w:pPr>
        <w:wordWrap w:val="0"/>
        <w:adjustRightInd w:val="0"/>
        <w:snapToGrid w:val="0"/>
        <w:ind w:firstLine="560" w:firstLineChars="200"/>
        <w:jc w:val="left"/>
        <w:textAlignment w:val="center"/>
        <w:rPr>
          <w:color w:val="auto"/>
          <w:szCs w:val="28"/>
        </w:rPr>
      </w:pPr>
      <w:r>
        <w:rPr>
          <w:color w:val="auto"/>
          <w:szCs w:val="28"/>
        </w:rPr>
        <w:t>该区域为雷暴高发区，每年的雷暴活动十分频繁，年平均雷暴日5</w:t>
      </w:r>
      <w:r>
        <w:rPr>
          <w:rFonts w:hint="eastAsia"/>
          <w:color w:val="auto"/>
          <w:szCs w:val="28"/>
        </w:rPr>
        <w:t>6</w:t>
      </w:r>
      <w:r>
        <w:rPr>
          <w:color w:val="auto"/>
          <w:szCs w:val="28"/>
        </w:rPr>
        <w:t>天。</w:t>
      </w:r>
    </w:p>
    <w:p>
      <w:pPr>
        <w:wordWrap w:val="0"/>
        <w:adjustRightInd w:val="0"/>
        <w:snapToGrid w:val="0"/>
        <w:ind w:firstLine="560" w:firstLineChars="200"/>
        <w:textAlignment w:val="center"/>
        <w:rPr>
          <w:color w:val="auto"/>
          <w:kern w:val="0"/>
        </w:rPr>
      </w:pPr>
      <w:r>
        <w:rPr>
          <w:rFonts w:hint="eastAsia"/>
          <w:color w:val="auto"/>
          <w:kern w:val="0"/>
        </w:rPr>
        <w:t>4、项目外部依托情况</w:t>
      </w:r>
    </w:p>
    <w:p>
      <w:pPr>
        <w:wordWrap w:val="0"/>
        <w:adjustRightInd w:val="0"/>
        <w:snapToGrid w:val="0"/>
        <w:ind w:firstLine="560" w:firstLineChars="200"/>
        <w:textAlignment w:val="center"/>
        <w:rPr>
          <w:color w:val="auto"/>
          <w:kern w:val="0"/>
        </w:rPr>
      </w:pPr>
      <w:r>
        <w:rPr>
          <w:rFonts w:hint="eastAsia"/>
          <w:color w:val="auto"/>
          <w:kern w:val="0"/>
        </w:rPr>
        <w:t>1）水源：</w:t>
      </w:r>
    </w:p>
    <w:p>
      <w:pPr>
        <w:wordWrap w:val="0"/>
        <w:adjustRightInd w:val="0"/>
        <w:snapToGrid w:val="0"/>
        <w:ind w:firstLine="560" w:firstLineChars="200"/>
        <w:textAlignment w:val="center"/>
        <w:rPr>
          <w:color w:val="auto"/>
          <w:kern w:val="0"/>
        </w:rPr>
      </w:pPr>
      <w:r>
        <w:rPr>
          <w:rFonts w:hint="eastAsia"/>
          <w:color w:val="auto"/>
          <w:kern w:val="0"/>
        </w:rPr>
        <w:t>水源取自江西省丰城市高新技术产业园区供水管网。</w:t>
      </w:r>
    </w:p>
    <w:p>
      <w:pPr>
        <w:wordWrap w:val="0"/>
        <w:adjustRightInd w:val="0"/>
        <w:snapToGrid w:val="0"/>
        <w:ind w:firstLine="560" w:firstLineChars="200"/>
        <w:textAlignment w:val="center"/>
        <w:rPr>
          <w:color w:val="auto"/>
          <w:kern w:val="0"/>
        </w:rPr>
      </w:pPr>
      <w:r>
        <w:rPr>
          <w:rFonts w:hint="eastAsia"/>
          <w:color w:val="auto"/>
          <w:kern w:val="0"/>
        </w:rPr>
        <w:t>2）电源：</w:t>
      </w:r>
    </w:p>
    <w:p>
      <w:pPr>
        <w:wordWrap w:val="0"/>
        <w:adjustRightInd w:val="0"/>
        <w:snapToGrid w:val="0"/>
        <w:ind w:firstLine="560" w:firstLineChars="200"/>
        <w:textAlignment w:val="center"/>
        <w:rPr>
          <w:color w:val="auto"/>
          <w:kern w:val="0"/>
        </w:rPr>
      </w:pPr>
      <w:r>
        <w:rPr>
          <w:rFonts w:hint="eastAsia"/>
          <w:color w:val="auto"/>
          <w:kern w:val="0"/>
        </w:rPr>
        <w:t>本项目电源由依托公司现有供电电源，由江西省丰城市高新技术产业园区内的变电站引入。</w:t>
      </w:r>
    </w:p>
    <w:p>
      <w:pPr>
        <w:wordWrap w:val="0"/>
        <w:adjustRightInd w:val="0"/>
        <w:snapToGrid w:val="0"/>
        <w:ind w:firstLine="560" w:firstLineChars="200"/>
        <w:textAlignment w:val="center"/>
        <w:rPr>
          <w:color w:val="auto"/>
          <w:kern w:val="0"/>
        </w:rPr>
      </w:pPr>
      <w:r>
        <w:rPr>
          <w:rFonts w:hint="eastAsia"/>
          <w:color w:val="auto"/>
          <w:kern w:val="0"/>
        </w:rPr>
        <w:t>3）消防：</w:t>
      </w:r>
    </w:p>
    <w:p>
      <w:pPr>
        <w:wordWrap w:val="0"/>
        <w:adjustRightInd w:val="0"/>
        <w:snapToGrid w:val="0"/>
        <w:ind w:firstLine="560" w:firstLineChars="200"/>
        <w:textAlignment w:val="center"/>
        <w:rPr>
          <w:color w:val="auto"/>
          <w:kern w:val="0"/>
        </w:rPr>
      </w:pPr>
      <w:r>
        <w:rPr>
          <w:rFonts w:hint="eastAsia"/>
          <w:color w:val="auto"/>
          <w:kern w:val="0"/>
        </w:rPr>
        <w:t>该公司外部消防主要依托丰城市消防大队，距离厂区路程约10公里，接警后可以在10分钟内赶到该公司现场。</w:t>
      </w:r>
    </w:p>
    <w:p>
      <w:pPr>
        <w:pStyle w:val="4"/>
        <w:keepNext w:val="0"/>
        <w:keepLines w:val="0"/>
        <w:wordWrap w:val="0"/>
        <w:adjustRightInd w:val="0"/>
        <w:snapToGrid w:val="0"/>
        <w:jc w:val="center"/>
        <w:textAlignment w:val="center"/>
        <w:rPr>
          <w:color w:val="auto"/>
          <w:kern w:val="0"/>
        </w:rPr>
      </w:pPr>
      <w:bookmarkStart w:id="32" w:name="_Toc32201"/>
      <w:bookmarkStart w:id="33" w:name="_Toc17388"/>
      <w:bookmarkStart w:id="34" w:name="_Toc17544"/>
      <w:r>
        <w:rPr>
          <w:rFonts w:hint="eastAsia"/>
          <w:color w:val="auto"/>
          <w:kern w:val="0"/>
        </w:rPr>
        <w:t>2.3 厂区总平面布置及其上下游生产装置的关系</w:t>
      </w:r>
      <w:bookmarkEnd w:id="32"/>
      <w:bookmarkEnd w:id="33"/>
      <w:bookmarkEnd w:id="34"/>
    </w:p>
    <w:p>
      <w:pPr>
        <w:wordWrap w:val="0"/>
        <w:adjustRightInd w:val="0"/>
        <w:snapToGrid w:val="0"/>
        <w:textAlignment w:val="center"/>
        <w:outlineLvl w:val="2"/>
        <w:rPr>
          <w:b/>
          <w:bCs/>
          <w:color w:val="auto"/>
          <w:kern w:val="0"/>
        </w:rPr>
      </w:pPr>
      <w:bookmarkStart w:id="35" w:name="_Toc12044"/>
      <w:r>
        <w:rPr>
          <w:rFonts w:hint="eastAsia"/>
          <w:b/>
          <w:bCs/>
          <w:color w:val="auto"/>
          <w:kern w:val="0"/>
        </w:rPr>
        <w:t>2.3.1 平面布置</w:t>
      </w:r>
      <w:bookmarkEnd w:id="35"/>
    </w:p>
    <w:p>
      <w:pPr>
        <w:wordWrap w:val="0"/>
        <w:adjustRightInd w:val="0"/>
        <w:snapToGrid w:val="0"/>
        <w:ind w:firstLine="560" w:firstLineChars="200"/>
        <w:textAlignment w:val="center"/>
        <w:rPr>
          <w:color w:val="auto"/>
          <w:kern w:val="0"/>
        </w:rPr>
      </w:pPr>
      <w:r>
        <w:rPr>
          <w:rFonts w:hint="eastAsia"/>
          <w:color w:val="auto"/>
          <w:kern w:val="0"/>
        </w:rPr>
        <w:t>江西景新漆业股份有限公司安全生产设施技术改造项目（106甲类仓库）</w:t>
      </w:r>
      <w:r>
        <w:rPr>
          <w:color w:val="auto"/>
          <w:kern w:val="0"/>
        </w:rPr>
        <w:t>位于江西省</w:t>
      </w:r>
      <w:r>
        <w:rPr>
          <w:rFonts w:hint="eastAsia"/>
          <w:color w:val="auto"/>
          <w:kern w:val="0"/>
        </w:rPr>
        <w:t>丰城市</w:t>
      </w:r>
      <w:r>
        <w:rPr>
          <w:rFonts w:cs="Times New Roman"/>
          <w:snapToGrid w:val="0"/>
          <w:color w:val="auto"/>
          <w:kern w:val="0"/>
          <w:szCs w:val="28"/>
        </w:rPr>
        <w:t>高新技术产业园区</w:t>
      </w:r>
      <w:r>
        <w:rPr>
          <w:rFonts w:hint="eastAsia"/>
          <w:color w:val="auto"/>
          <w:kern w:val="0"/>
        </w:rPr>
        <w:t>江西景新漆业股份有限公司内。</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公司厂区总占地面积为34235㎡（约51.35亩），建筑物占地总面积为7127㎡，本项目106甲类仓库占地面积749.52㎡。公司厂区建构筑物有：101水性车间、102油性车间、103原料仓库、104原料、成品仓库、105成品仓库、201污水池、202消防水池、203事故池、204配电室、301行政办公楼、302研发中心、303倒班楼、304食堂、305厕所，另有围墙、门卫等。</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中间有一条500KV的高压线从厂区区域中央分离带穿过，根据电力设施保护条例要求，高压线两边20m为电力线保护区域范围，本项目厂区内穿过的500KV高压线两边34m内的区域均为空地，满足电力设施保护条例的电力线保护区域范围要求。除去空地外，本工程厂区按功能分区大致分为四个区：办公区、绿化区、生产区。</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厂区设有两个出入口，在办公区与生产区之间设置了厂区主出入口，在厂区南侧围墙的东部设有生产区次出入口，在厂区南侧围墙的西部设主要出入口。厂区周边设实体围墙，可与周边有效隔开。</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厂区内主要道路路宽6.0m（厂区南侧次要出入口区域存在一段主要道路路宽为4m），次道路路宽不小于4.0m，生产区、仓库等场所道路呈环形布置，满足运输、消防的安全要求。</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该公司生产区总平面布置情况为：生产区东侧由东至西大体分成两排建（构）筑布置，南侧一排建（构）筑由东至西分布着204配电室、103原料仓库（丙类）、104原料、成品仓库（甲类）、203事故池（其中202消防水池布置在事故池南侧）；北侧一排建（构）筑由东至西分布着201污水处理池、101水性车间（丙类）、102油性车间（甲类）、105成品仓库（丁类）；生产区东北角及西北角均存在一栋原有闲置建筑（均已停用）。本项目新建的106甲类仓库单独设置在厂区西北角，位于302研发中心、303</w:t>
      </w:r>
      <w:r>
        <w:rPr>
          <w:rFonts w:hint="eastAsia" w:hAnsi="Times New Roman"/>
          <w:color w:val="auto"/>
          <w:sz w:val="28"/>
          <w:szCs w:val="28"/>
          <w:lang w:val="en-US" w:eastAsia="zh-CN"/>
        </w:rPr>
        <w:t>倒班楼</w:t>
      </w:r>
      <w:r>
        <w:rPr>
          <w:rFonts w:hint="eastAsia" w:hAnsi="Times New Roman"/>
          <w:color w:val="auto"/>
          <w:sz w:val="28"/>
          <w:szCs w:val="28"/>
        </w:rPr>
        <w:t>的北侧，西北侧距离106甲类仓库10m原有一栋闲置建筑（已停用），与本项目106甲类仓库安全间距不足，考虑到企业已废置停用，不纳入本次评价范围内。</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西南侧则为办公、生活性建筑物，主要分布着101行政办公楼、302研发中心、303倒班楼、304食堂和门卫等。具体布置情况：302研发中心位于行政办公楼北侧，与行政办公楼相连，304倒班楼和食堂则位于行政办公楼西侧。门卫设在厂区主出入口靠着围墙设置。</w:t>
      </w:r>
    </w:p>
    <w:p>
      <w:pPr>
        <w:wordWrap w:val="0"/>
        <w:adjustRightInd w:val="0"/>
        <w:snapToGrid w:val="0"/>
        <w:ind w:firstLine="537" w:firstLineChars="192"/>
        <w:jc w:val="left"/>
        <w:textAlignment w:val="center"/>
        <w:rPr>
          <w:color w:val="auto"/>
          <w:szCs w:val="28"/>
        </w:rPr>
      </w:pPr>
      <w:r>
        <w:rPr>
          <w:rFonts w:hint="eastAsia"/>
          <w:color w:val="auto"/>
          <w:szCs w:val="28"/>
        </w:rPr>
        <w:t>本项目除新增106甲类仓库外，</w:t>
      </w:r>
      <w:r>
        <w:rPr>
          <w:color w:val="auto"/>
          <w:szCs w:val="28"/>
        </w:rPr>
        <w:t>平面布置</w:t>
      </w:r>
      <w:r>
        <w:rPr>
          <w:rFonts w:hint="eastAsia"/>
          <w:color w:val="auto"/>
          <w:szCs w:val="28"/>
        </w:rPr>
        <w:t>内容均不发生改动，总平面布置前期已验收，包括道路系统、出入口的设置、围墙，本次评价只评价新建建筑物及其周边道路。</w:t>
      </w:r>
    </w:p>
    <w:p>
      <w:pPr>
        <w:wordWrap w:val="0"/>
        <w:adjustRightInd w:val="0"/>
        <w:snapToGrid w:val="0"/>
        <w:ind w:firstLine="560" w:firstLineChars="200"/>
        <w:textAlignment w:val="center"/>
        <w:rPr>
          <w:color w:val="auto"/>
          <w:kern w:val="0"/>
        </w:rPr>
      </w:pPr>
      <w:r>
        <w:rPr>
          <w:color w:val="auto"/>
          <w:kern w:val="0"/>
        </w:rPr>
        <w:t>建构筑物的布置情况</w:t>
      </w:r>
      <w:r>
        <w:rPr>
          <w:rFonts w:hint="eastAsia"/>
          <w:color w:val="auto"/>
          <w:kern w:val="0"/>
        </w:rPr>
        <w:t>详见附件的总平面布置图。项目涉及到的建构筑物列表如下：</w:t>
      </w:r>
    </w:p>
    <w:p>
      <w:pPr>
        <w:wordWrap w:val="0"/>
        <w:adjustRightInd w:val="0"/>
        <w:snapToGrid w:val="0"/>
        <w:jc w:val="center"/>
        <w:textAlignment w:val="center"/>
        <w:rPr>
          <w:color w:val="auto"/>
          <w:kern w:val="0"/>
        </w:rPr>
      </w:pPr>
      <w:r>
        <w:rPr>
          <w:rFonts w:hint="eastAsia"/>
          <w:color w:val="auto"/>
          <w:kern w:val="0"/>
        </w:rPr>
        <w:t>表2.3-1  本项目主要建构筑物一览表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501"/>
        <w:gridCol w:w="622"/>
        <w:gridCol w:w="1086"/>
        <w:gridCol w:w="1061"/>
        <w:gridCol w:w="772"/>
        <w:gridCol w:w="828"/>
        <w:gridCol w:w="796"/>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471"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序号</w:t>
            </w:r>
          </w:p>
        </w:tc>
        <w:tc>
          <w:tcPr>
            <w:tcW w:w="1501"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建构筑物名称</w:t>
            </w:r>
          </w:p>
        </w:tc>
        <w:tc>
          <w:tcPr>
            <w:tcW w:w="622"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层数</w:t>
            </w:r>
          </w:p>
        </w:tc>
        <w:tc>
          <w:tcPr>
            <w:tcW w:w="1086"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占地面积</w:t>
            </w:r>
            <w:r>
              <w:rPr>
                <w:rFonts w:hint="eastAsia"/>
                <w:b/>
                <w:bCs/>
                <w:color w:val="auto"/>
                <w:kern w:val="0"/>
                <w:sz w:val="21"/>
                <w:szCs w:val="21"/>
              </w:rPr>
              <w:t>㎡</w:t>
            </w:r>
          </w:p>
        </w:tc>
        <w:tc>
          <w:tcPr>
            <w:tcW w:w="1061"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建筑面积</w:t>
            </w:r>
            <w:r>
              <w:rPr>
                <w:rFonts w:hint="eastAsia"/>
                <w:b/>
                <w:bCs/>
                <w:color w:val="auto"/>
                <w:kern w:val="0"/>
                <w:sz w:val="21"/>
                <w:szCs w:val="21"/>
              </w:rPr>
              <w:t>㎡</w:t>
            </w:r>
          </w:p>
        </w:tc>
        <w:tc>
          <w:tcPr>
            <w:tcW w:w="772"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生产类别</w:t>
            </w:r>
          </w:p>
        </w:tc>
        <w:tc>
          <w:tcPr>
            <w:tcW w:w="828"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耐火等级</w:t>
            </w:r>
          </w:p>
        </w:tc>
        <w:tc>
          <w:tcPr>
            <w:tcW w:w="796"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建筑结构</w:t>
            </w:r>
          </w:p>
        </w:tc>
        <w:tc>
          <w:tcPr>
            <w:tcW w:w="1920"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b/>
                <w:bCs/>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71"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1</w:t>
            </w:r>
          </w:p>
        </w:tc>
        <w:tc>
          <w:tcPr>
            <w:tcW w:w="1501"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106</w:t>
            </w:r>
            <w:r>
              <w:rPr>
                <w:rFonts w:cs="Times New Roman"/>
                <w:color w:val="auto"/>
                <w:sz w:val="21"/>
                <w:szCs w:val="21"/>
              </w:rPr>
              <w:t>甲类仓库</w:t>
            </w:r>
          </w:p>
        </w:tc>
        <w:tc>
          <w:tcPr>
            <w:tcW w:w="622"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1</w:t>
            </w:r>
          </w:p>
        </w:tc>
        <w:tc>
          <w:tcPr>
            <w:tcW w:w="1086"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749.52</w:t>
            </w:r>
          </w:p>
        </w:tc>
        <w:tc>
          <w:tcPr>
            <w:tcW w:w="1061"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749.52</w:t>
            </w:r>
          </w:p>
        </w:tc>
        <w:tc>
          <w:tcPr>
            <w:tcW w:w="772"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甲类</w:t>
            </w:r>
          </w:p>
        </w:tc>
        <w:tc>
          <w:tcPr>
            <w:tcW w:w="828"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二</w:t>
            </w:r>
            <w:r>
              <w:rPr>
                <w:rFonts w:cs="Times New Roman"/>
                <w:color w:val="auto"/>
                <w:sz w:val="21"/>
                <w:szCs w:val="21"/>
              </w:rPr>
              <w:t>级</w:t>
            </w:r>
          </w:p>
        </w:tc>
        <w:tc>
          <w:tcPr>
            <w:tcW w:w="796"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混凝土</w:t>
            </w:r>
          </w:p>
        </w:tc>
        <w:tc>
          <w:tcPr>
            <w:tcW w:w="1920" w:type="dxa"/>
            <w:vAlign w:val="center"/>
          </w:tcPr>
          <w:p>
            <w:pPr>
              <w:wordWrap w:val="0"/>
              <w:adjustRightInd w:val="0"/>
              <w:snapToGrid w:val="0"/>
              <w:spacing w:line="320" w:lineRule="exact"/>
              <w:jc w:val="center"/>
              <w:textAlignment w:val="center"/>
              <w:rPr>
                <w:rFonts w:cs="Times New Roman"/>
                <w:color w:val="auto"/>
                <w:sz w:val="21"/>
                <w:szCs w:val="21"/>
              </w:rPr>
            </w:pPr>
            <w:r>
              <w:rPr>
                <w:rFonts w:hint="eastAsia" w:cs="Times New Roman"/>
                <w:color w:val="auto"/>
                <w:sz w:val="21"/>
                <w:szCs w:val="21"/>
              </w:rPr>
              <w:t>采用防爆墙分隔为3个防火分区</w:t>
            </w:r>
          </w:p>
        </w:tc>
      </w:tr>
    </w:tbl>
    <w:p>
      <w:pPr>
        <w:wordWrap w:val="0"/>
        <w:adjustRightInd w:val="0"/>
        <w:snapToGrid w:val="0"/>
        <w:textAlignment w:val="center"/>
        <w:outlineLvl w:val="2"/>
        <w:rPr>
          <w:b/>
          <w:bCs/>
          <w:color w:val="auto"/>
          <w:kern w:val="0"/>
        </w:rPr>
      </w:pPr>
      <w:bookmarkStart w:id="36" w:name="_Toc29760"/>
      <w:r>
        <w:rPr>
          <w:rFonts w:hint="eastAsia"/>
          <w:b/>
          <w:bCs/>
          <w:color w:val="auto"/>
          <w:kern w:val="0"/>
        </w:rPr>
        <w:t>2.3.2 上下游生产装置的关系</w:t>
      </w:r>
      <w:bookmarkEnd w:id="36"/>
    </w:p>
    <w:p>
      <w:pPr>
        <w:wordWrap w:val="0"/>
        <w:adjustRightInd w:val="0"/>
        <w:snapToGrid w:val="0"/>
        <w:ind w:firstLine="560" w:firstLineChars="200"/>
        <w:textAlignment w:val="center"/>
        <w:rPr>
          <w:color w:val="auto"/>
          <w:kern w:val="0"/>
        </w:rPr>
      </w:pPr>
      <w:r>
        <w:rPr>
          <w:rFonts w:hint="eastAsia"/>
          <w:color w:val="auto"/>
          <w:kern w:val="0"/>
        </w:rPr>
        <w:t>本项目为危险化学品的仓储，不存在上下游生产装置的关系。本项目外购物料按设计储存于仓库。</w:t>
      </w:r>
    </w:p>
    <w:p>
      <w:pPr>
        <w:wordWrap w:val="0"/>
        <w:adjustRightInd w:val="0"/>
        <w:snapToGrid w:val="0"/>
        <w:textAlignment w:val="center"/>
        <w:outlineLvl w:val="2"/>
        <w:rPr>
          <w:b/>
          <w:bCs/>
          <w:color w:val="auto"/>
          <w:kern w:val="0"/>
        </w:rPr>
      </w:pPr>
      <w:bookmarkStart w:id="37" w:name="_Toc21913"/>
      <w:r>
        <w:rPr>
          <w:rFonts w:hint="eastAsia"/>
          <w:b/>
          <w:bCs/>
          <w:color w:val="auto"/>
          <w:kern w:val="0"/>
        </w:rPr>
        <w:t>2.3.3 主要建构筑物之间的间距</w:t>
      </w:r>
      <w:bookmarkEnd w:id="37"/>
    </w:p>
    <w:p>
      <w:pPr>
        <w:wordWrap w:val="0"/>
        <w:adjustRightInd w:val="0"/>
        <w:snapToGrid w:val="0"/>
        <w:jc w:val="center"/>
        <w:textAlignment w:val="center"/>
        <w:rPr>
          <w:color w:val="auto"/>
          <w:kern w:val="0"/>
        </w:rPr>
      </w:pPr>
      <w:r>
        <w:rPr>
          <w:color w:val="auto"/>
          <w:kern w:val="0"/>
        </w:rPr>
        <w:t>表2.</w:t>
      </w:r>
      <w:r>
        <w:rPr>
          <w:rFonts w:hint="eastAsia"/>
          <w:color w:val="auto"/>
          <w:kern w:val="0"/>
        </w:rPr>
        <w:t>3</w:t>
      </w:r>
      <w:r>
        <w:rPr>
          <w:color w:val="auto"/>
          <w:kern w:val="0"/>
        </w:rPr>
        <w:t xml:space="preserve">-2 </w:t>
      </w:r>
      <w:r>
        <w:rPr>
          <w:rFonts w:hint="eastAsia"/>
          <w:color w:val="auto"/>
          <w:kern w:val="0"/>
        </w:rPr>
        <w:t xml:space="preserve"> </w:t>
      </w:r>
      <w:r>
        <w:rPr>
          <w:color w:val="auto"/>
          <w:kern w:val="0"/>
        </w:rPr>
        <w:t>主要建构筑物间距一览表</w:t>
      </w:r>
    </w:p>
    <w:tbl>
      <w:tblPr>
        <w:tblStyle w:val="24"/>
        <w:tblW w:w="9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240"/>
        <w:gridCol w:w="828"/>
        <w:gridCol w:w="2057"/>
        <w:gridCol w:w="875"/>
        <w:gridCol w:w="844"/>
        <w:gridCol w:w="697"/>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464"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序号</w:t>
            </w:r>
          </w:p>
        </w:tc>
        <w:tc>
          <w:tcPr>
            <w:tcW w:w="1240"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建筑、装置、</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设施</w:t>
            </w:r>
          </w:p>
        </w:tc>
        <w:tc>
          <w:tcPr>
            <w:tcW w:w="828"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方位</w:t>
            </w:r>
          </w:p>
        </w:tc>
        <w:tc>
          <w:tcPr>
            <w:tcW w:w="2057"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建筑、装置、设施</w:t>
            </w:r>
          </w:p>
        </w:tc>
        <w:tc>
          <w:tcPr>
            <w:tcW w:w="875"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实际距</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离m</w:t>
            </w:r>
          </w:p>
        </w:tc>
        <w:tc>
          <w:tcPr>
            <w:tcW w:w="844"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规范距</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离 m</w:t>
            </w:r>
          </w:p>
        </w:tc>
        <w:tc>
          <w:tcPr>
            <w:tcW w:w="697"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结论</w:t>
            </w:r>
          </w:p>
        </w:tc>
        <w:tc>
          <w:tcPr>
            <w:tcW w:w="2031"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依据规范及条款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464" w:type="dxa"/>
            <w:vMerge w:val="restart"/>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w:t>
            </w:r>
          </w:p>
        </w:tc>
        <w:tc>
          <w:tcPr>
            <w:tcW w:w="1240" w:type="dxa"/>
            <w:vMerge w:val="restart"/>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106甲类仓</w:t>
            </w:r>
          </w:p>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库（新建</w:t>
            </w:r>
            <w:r>
              <w:rPr>
                <w:rFonts w:hint="eastAsia" w:cs="Times New Roman"/>
                <w:bCs/>
                <w:color w:val="auto"/>
                <w:sz w:val="21"/>
                <w:szCs w:val="21"/>
              </w:rPr>
              <w:t>，＞1</w:t>
            </w:r>
            <w:r>
              <w:rPr>
                <w:rFonts w:cs="Times New Roman"/>
                <w:bCs/>
                <w:color w:val="auto"/>
                <w:sz w:val="21"/>
                <w:szCs w:val="21"/>
              </w:rPr>
              <w:t>0</w:t>
            </w:r>
            <w:r>
              <w:rPr>
                <w:rFonts w:hint="eastAsia" w:cs="Times New Roman"/>
                <w:bCs/>
                <w:color w:val="auto"/>
                <w:sz w:val="21"/>
                <w:szCs w:val="21"/>
              </w:rPr>
              <w:t>t</w:t>
            </w:r>
            <w:r>
              <w:rPr>
                <w:rFonts w:cs="Times New Roman"/>
                <w:bCs/>
                <w:color w:val="auto"/>
                <w:sz w:val="21"/>
                <w:szCs w:val="21"/>
              </w:rPr>
              <w:t>）</w:t>
            </w: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消防道路</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厂区围墙</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西</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消防道路</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hint="eastAsia" w:cs="Times New Roman"/>
                <w:bCs/>
                <w:color w:val="auto"/>
                <w:sz w:val="21"/>
                <w:szCs w:val="21"/>
              </w:rPr>
              <w:t>5</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西</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厂区围墙</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主要道路</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w:t>
            </w:r>
            <w:r>
              <w:rPr>
                <w:rFonts w:hint="eastAsia" w:cs="Times New Roman"/>
                <w:bCs/>
                <w:color w:val="auto"/>
                <w:sz w:val="21"/>
                <w:szCs w:val="21"/>
              </w:rPr>
              <w:t>0</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《精标》表4.3.2</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hint="eastAsia" w:eastAsia="宋体" w:cs="Times New Roman"/>
                <w:bCs/>
                <w:color w:val="auto"/>
                <w:sz w:val="21"/>
                <w:szCs w:val="21"/>
                <w:lang w:eastAsia="zh-CN"/>
              </w:rPr>
            </w:pPr>
            <w:r>
              <w:rPr>
                <w:rFonts w:cs="Times New Roman"/>
                <w:bCs/>
                <w:color w:val="auto"/>
                <w:sz w:val="21"/>
                <w:szCs w:val="21"/>
              </w:rPr>
              <w:t>303</w:t>
            </w:r>
            <w:r>
              <w:rPr>
                <w:rFonts w:hint="eastAsia" w:cs="Times New Roman"/>
                <w:bCs/>
                <w:color w:val="auto"/>
                <w:sz w:val="21"/>
                <w:szCs w:val="21"/>
                <w:lang w:val="en-US" w:eastAsia="zh-CN"/>
              </w:rPr>
              <w:t>倒班楼</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31.7</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40" w:hRule="atLeast"/>
          <w:jc w:val="center"/>
        </w:trPr>
        <w:tc>
          <w:tcPr>
            <w:tcW w:w="464"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302研发中心</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48" w:hRule="atLeast"/>
          <w:jc w:val="center"/>
        </w:trPr>
        <w:tc>
          <w:tcPr>
            <w:tcW w:w="464" w:type="dxa"/>
            <w:vMerge w:val="continue"/>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0" w:type="dxa"/>
            <w:vMerge w:val="continue"/>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2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东北</w:t>
            </w:r>
          </w:p>
        </w:tc>
        <w:tc>
          <w:tcPr>
            <w:tcW w:w="205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500kv高压线</w:t>
            </w:r>
            <w:r>
              <w:rPr>
                <w:rFonts w:hint="eastAsia" w:cs="Times New Roman"/>
                <w:bCs/>
                <w:color w:val="auto"/>
                <w:sz w:val="21"/>
                <w:szCs w:val="21"/>
              </w:rPr>
              <w:t>（</w:t>
            </w:r>
            <w:r>
              <w:rPr>
                <w:rFonts w:cs="Times New Roman"/>
                <w:bCs/>
                <w:color w:val="auto"/>
                <w:sz w:val="21"/>
                <w:szCs w:val="21"/>
              </w:rPr>
              <w:t>40m</w:t>
            </w:r>
          </w:p>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高）</w:t>
            </w:r>
          </w:p>
        </w:tc>
        <w:tc>
          <w:tcPr>
            <w:tcW w:w="8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60.1</w:t>
            </w:r>
          </w:p>
        </w:tc>
        <w:tc>
          <w:tcPr>
            <w:tcW w:w="84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60</w:t>
            </w:r>
          </w:p>
        </w:tc>
        <w:tc>
          <w:tcPr>
            <w:tcW w:w="69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《建规》表10.2.1</w:t>
            </w:r>
          </w:p>
        </w:tc>
      </w:tr>
    </w:tbl>
    <w:p>
      <w:pPr>
        <w:wordWrap w:val="0"/>
        <w:adjustRightInd w:val="0"/>
        <w:snapToGrid w:val="0"/>
        <w:spacing w:line="240" w:lineRule="auto"/>
        <w:textAlignment w:val="center"/>
        <w:rPr>
          <w:color w:val="auto"/>
          <w:kern w:val="0"/>
          <w:sz w:val="18"/>
          <w:szCs w:val="18"/>
        </w:rPr>
      </w:pPr>
      <w:r>
        <w:rPr>
          <w:rFonts w:hint="eastAsia"/>
          <w:color w:val="auto"/>
          <w:kern w:val="0"/>
          <w:sz w:val="18"/>
          <w:szCs w:val="18"/>
        </w:rPr>
        <w:t>注：表中所列《建规》、《精标》分别指《建筑设计防火规范（2</w:t>
      </w:r>
      <w:r>
        <w:rPr>
          <w:color w:val="auto"/>
          <w:kern w:val="0"/>
          <w:sz w:val="18"/>
          <w:szCs w:val="18"/>
        </w:rPr>
        <w:t>018</w:t>
      </w:r>
      <w:r>
        <w:rPr>
          <w:rFonts w:hint="eastAsia"/>
          <w:color w:val="auto"/>
          <w:kern w:val="0"/>
          <w:sz w:val="18"/>
          <w:szCs w:val="18"/>
        </w:rPr>
        <w:t>版）》GB</w:t>
      </w:r>
      <w:r>
        <w:rPr>
          <w:color w:val="auto"/>
          <w:kern w:val="0"/>
          <w:sz w:val="18"/>
          <w:szCs w:val="18"/>
        </w:rPr>
        <w:t>50016-2014</w:t>
      </w:r>
      <w:r>
        <w:rPr>
          <w:rFonts w:hint="eastAsia"/>
          <w:color w:val="auto"/>
          <w:kern w:val="0"/>
          <w:sz w:val="18"/>
          <w:szCs w:val="18"/>
        </w:rPr>
        <w:t>、《精细化工企业工程设计防火标准》GB</w:t>
      </w:r>
      <w:r>
        <w:rPr>
          <w:color w:val="auto"/>
          <w:kern w:val="0"/>
          <w:sz w:val="18"/>
          <w:szCs w:val="18"/>
        </w:rPr>
        <w:t>51283-2020</w:t>
      </w:r>
      <w:r>
        <w:rPr>
          <w:rFonts w:hint="eastAsia"/>
          <w:color w:val="auto"/>
          <w:kern w:val="0"/>
          <w:sz w:val="18"/>
          <w:szCs w:val="18"/>
        </w:rPr>
        <w:t>。</w:t>
      </w:r>
    </w:p>
    <w:p>
      <w:pPr>
        <w:wordWrap w:val="0"/>
        <w:adjustRightInd w:val="0"/>
        <w:snapToGrid w:val="0"/>
        <w:ind w:firstLine="560" w:firstLineChars="200"/>
        <w:textAlignment w:val="center"/>
        <w:rPr>
          <w:color w:val="auto"/>
          <w:kern w:val="0"/>
        </w:rPr>
      </w:pPr>
      <w:r>
        <w:rPr>
          <w:rFonts w:hint="eastAsia"/>
          <w:color w:val="auto"/>
          <w:kern w:val="0"/>
        </w:rPr>
        <w:t>四、竖向布置及道路</w:t>
      </w:r>
    </w:p>
    <w:p>
      <w:pPr>
        <w:wordWrap w:val="0"/>
        <w:adjustRightInd w:val="0"/>
        <w:snapToGrid w:val="0"/>
        <w:ind w:firstLine="560" w:firstLineChars="200"/>
        <w:textAlignment w:val="center"/>
        <w:rPr>
          <w:color w:val="auto"/>
          <w:kern w:val="0"/>
        </w:rPr>
      </w:pPr>
      <w:r>
        <w:rPr>
          <w:rFonts w:hint="eastAsia"/>
          <w:color w:val="auto"/>
          <w:kern w:val="0"/>
        </w:rPr>
        <w:t>本项目充分利用地形，合理确定建构（筑）物、道路的标高，保证生产运输的连续性，减少土石方量，厂区排水畅通，使厂区不受洪水和内涝水的淹没。</w:t>
      </w:r>
    </w:p>
    <w:p>
      <w:pPr>
        <w:wordWrap w:val="0"/>
        <w:adjustRightInd w:val="0"/>
        <w:snapToGrid w:val="0"/>
        <w:ind w:firstLine="560" w:firstLineChars="200"/>
        <w:textAlignment w:val="center"/>
        <w:rPr>
          <w:color w:val="auto"/>
          <w:kern w:val="0"/>
        </w:rPr>
      </w:pPr>
      <w:r>
        <w:rPr>
          <w:rFonts w:hint="eastAsia"/>
          <w:color w:val="auto"/>
          <w:kern w:val="0"/>
        </w:rPr>
        <w:t>厂区内竖向设计方案采用平坡式连惯单坡竖向设计，坡向为由北向南，坡度最大为0.6%。初期雨水及工业生产废水经厂内污水处理系统处理达标后排放。</w:t>
      </w:r>
    </w:p>
    <w:p>
      <w:pPr>
        <w:wordWrap w:val="0"/>
        <w:adjustRightInd w:val="0"/>
        <w:snapToGrid w:val="0"/>
        <w:ind w:firstLine="560" w:firstLineChars="200"/>
        <w:textAlignment w:val="center"/>
        <w:rPr>
          <w:color w:val="auto"/>
          <w:kern w:val="0"/>
        </w:rPr>
      </w:pPr>
      <w:r>
        <w:rPr>
          <w:rFonts w:hint="eastAsia"/>
          <w:color w:val="auto"/>
          <w:kern w:val="0"/>
        </w:rPr>
        <w:t>本项目新建道路系统及铺砌地，以满足厂内运输及消防通道的要求。铺砌场地设计荷载汽-30级，砼结构层厚30cm，道路为砼路面。</w:t>
      </w:r>
    </w:p>
    <w:p>
      <w:pPr>
        <w:wordWrap w:val="0"/>
        <w:adjustRightInd w:val="0"/>
        <w:snapToGrid w:val="0"/>
        <w:ind w:firstLine="560" w:firstLineChars="200"/>
        <w:textAlignment w:val="center"/>
        <w:rPr>
          <w:color w:val="auto"/>
          <w:kern w:val="0"/>
        </w:rPr>
      </w:pPr>
      <w:r>
        <w:rPr>
          <w:rFonts w:hint="eastAsia"/>
          <w:color w:val="auto"/>
          <w:kern w:val="0"/>
        </w:rPr>
        <w:t>厂内雨水及处理后的生活污水由厂区排水管网汇集再排出厂外；生产废水、污水经车间附近污水处理后集中收集至厂内污水处理系统处理达标后排入排水管网。</w:t>
      </w:r>
    </w:p>
    <w:p>
      <w:pPr>
        <w:pStyle w:val="4"/>
        <w:keepNext w:val="0"/>
        <w:keepLines w:val="0"/>
        <w:wordWrap w:val="0"/>
        <w:adjustRightInd w:val="0"/>
        <w:snapToGrid w:val="0"/>
        <w:jc w:val="center"/>
        <w:textAlignment w:val="center"/>
        <w:rPr>
          <w:color w:val="auto"/>
          <w:kern w:val="0"/>
        </w:rPr>
      </w:pPr>
      <w:bookmarkStart w:id="38" w:name="_Toc4802"/>
      <w:bookmarkStart w:id="39" w:name="_Toc31759"/>
      <w:bookmarkStart w:id="40" w:name="_Toc10975"/>
      <w:r>
        <w:rPr>
          <w:rFonts w:hint="eastAsia"/>
          <w:color w:val="auto"/>
          <w:kern w:val="0"/>
        </w:rPr>
        <w:t>2.4 产品及原辅料</w:t>
      </w:r>
      <w:bookmarkEnd w:id="38"/>
      <w:bookmarkEnd w:id="39"/>
      <w:bookmarkEnd w:id="40"/>
    </w:p>
    <w:p>
      <w:pPr>
        <w:wordWrap w:val="0"/>
        <w:adjustRightInd w:val="0"/>
        <w:snapToGrid w:val="0"/>
        <w:textAlignment w:val="center"/>
        <w:outlineLvl w:val="2"/>
        <w:rPr>
          <w:b/>
          <w:bCs/>
          <w:color w:val="auto"/>
          <w:kern w:val="0"/>
        </w:rPr>
      </w:pPr>
      <w:bookmarkStart w:id="41" w:name="_Toc23179"/>
      <w:r>
        <w:rPr>
          <w:rFonts w:hint="eastAsia"/>
          <w:b/>
          <w:bCs/>
          <w:color w:val="auto"/>
          <w:kern w:val="0"/>
        </w:rPr>
        <w:t>2.4.1 储存物料</w:t>
      </w:r>
      <w:bookmarkEnd w:id="41"/>
    </w:p>
    <w:p>
      <w:pPr>
        <w:wordWrap w:val="0"/>
        <w:adjustRightInd w:val="0"/>
        <w:snapToGrid w:val="0"/>
        <w:ind w:firstLine="560" w:firstLineChars="200"/>
        <w:textAlignment w:val="center"/>
        <w:rPr>
          <w:color w:val="auto"/>
          <w:kern w:val="0"/>
        </w:rPr>
      </w:pPr>
      <w:r>
        <w:rPr>
          <w:rFonts w:hint="eastAsia" w:cs="Times New Roman"/>
          <w:color w:val="auto"/>
          <w:kern w:val="0"/>
          <w:szCs w:val="21"/>
        </w:rPr>
        <w:t>本项目为安全生产设施技术改造项目，仅涉及新建106甲类仓库一座，主要储存物料如下表</w:t>
      </w:r>
      <w:r>
        <w:rPr>
          <w:rFonts w:hint="eastAsia"/>
          <w:color w:val="auto"/>
          <w:kern w:val="0"/>
        </w:rPr>
        <w:t>。</w:t>
      </w:r>
    </w:p>
    <w:p>
      <w:pPr>
        <w:wordWrap w:val="0"/>
        <w:adjustRightInd w:val="0"/>
        <w:snapToGrid w:val="0"/>
        <w:jc w:val="center"/>
        <w:textAlignment w:val="center"/>
        <w:rPr>
          <w:rFonts w:cs="Times New Roman"/>
          <w:color w:val="auto"/>
          <w:kern w:val="0"/>
          <w:szCs w:val="28"/>
        </w:rPr>
      </w:pPr>
      <w:r>
        <w:rPr>
          <w:rFonts w:cs="Times New Roman"/>
          <w:color w:val="auto"/>
          <w:kern w:val="0"/>
          <w:szCs w:val="21"/>
        </w:rPr>
        <w:t xml:space="preserve">表2.4-1 </w:t>
      </w:r>
      <w:r>
        <w:rPr>
          <w:rFonts w:hint="eastAsia" w:cs="Times New Roman"/>
          <w:color w:val="auto"/>
          <w:kern w:val="0"/>
          <w:szCs w:val="21"/>
        </w:rPr>
        <w:t xml:space="preserve"> </w:t>
      </w:r>
      <w:r>
        <w:rPr>
          <w:rFonts w:hint="eastAsia"/>
          <w:color w:val="auto"/>
          <w:kern w:val="0"/>
        </w:rPr>
        <w:t>主要储存物料</w:t>
      </w:r>
      <w:r>
        <w:rPr>
          <w:rFonts w:hint="eastAsia" w:cs="Times New Roman"/>
          <w:color w:val="auto"/>
          <w:kern w:val="0"/>
          <w:szCs w:val="21"/>
        </w:rPr>
        <w:t>一览</w:t>
      </w:r>
      <w:r>
        <w:rPr>
          <w:rFonts w:cs="Times New Roman"/>
          <w:color w:val="auto"/>
          <w:kern w:val="0"/>
          <w:szCs w:val="21"/>
        </w:rPr>
        <w:t>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3"/>
        <w:gridCol w:w="914"/>
        <w:gridCol w:w="1071"/>
        <w:gridCol w:w="750"/>
        <w:gridCol w:w="612"/>
        <w:gridCol w:w="588"/>
        <w:gridCol w:w="740"/>
        <w:gridCol w:w="511"/>
        <w:gridCol w:w="674"/>
        <w:gridCol w:w="2287"/>
        <w:gridCol w:w="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序号</w:t>
            </w:r>
          </w:p>
        </w:tc>
        <w:tc>
          <w:tcPr>
            <w:tcW w:w="914"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物料名称</w:t>
            </w:r>
          </w:p>
        </w:tc>
        <w:tc>
          <w:tcPr>
            <w:tcW w:w="1071"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CAS.NO</w:t>
            </w:r>
          </w:p>
        </w:tc>
        <w:tc>
          <w:tcPr>
            <w:tcW w:w="750"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包装</w:t>
            </w:r>
          </w:p>
        </w:tc>
        <w:tc>
          <w:tcPr>
            <w:tcW w:w="612"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性状</w:t>
            </w:r>
          </w:p>
        </w:tc>
        <w:tc>
          <w:tcPr>
            <w:tcW w:w="588"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火灾类别</w:t>
            </w:r>
          </w:p>
        </w:tc>
        <w:tc>
          <w:tcPr>
            <w:tcW w:w="740"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最大</w:t>
            </w:r>
          </w:p>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储存量t</w:t>
            </w:r>
          </w:p>
        </w:tc>
        <w:tc>
          <w:tcPr>
            <w:tcW w:w="511"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来源</w:t>
            </w:r>
          </w:p>
        </w:tc>
        <w:tc>
          <w:tcPr>
            <w:tcW w:w="674"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运输方式</w:t>
            </w:r>
          </w:p>
        </w:tc>
        <w:tc>
          <w:tcPr>
            <w:tcW w:w="2287" w:type="dxa"/>
            <w:vAlign w:val="center"/>
          </w:tcPr>
          <w:p>
            <w:pPr>
              <w:pStyle w:val="53"/>
              <w:widowControl w:val="0"/>
              <w:wordWrap w:val="0"/>
              <w:adjustRightInd w:val="0"/>
              <w:spacing w:line="240" w:lineRule="auto"/>
              <w:textAlignment w:val="center"/>
              <w:rPr>
                <w:rFonts w:ascii="Times New Roman" w:hAnsi="Times New Roman"/>
                <w:b/>
                <w:bCs/>
                <w:color w:val="auto"/>
                <w:szCs w:val="21"/>
              </w:rPr>
            </w:pPr>
            <w:r>
              <w:rPr>
                <w:rFonts w:hint="eastAsia" w:ascii="Times New Roman" w:hAnsi="Times New Roman"/>
                <w:b/>
                <w:bCs/>
                <w:color w:val="auto"/>
                <w:szCs w:val="21"/>
              </w:rPr>
              <w:t>贮存地点</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丙二醇</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57-55-6</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丙</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2</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丙二醇单丁醚</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10215-33-5</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丙</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3</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环氧树脂</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4</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环氧树脂固化剂</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5</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5</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溶剂型丙烯酸树脂</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甲</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6</w:t>
            </w:r>
          </w:p>
        </w:tc>
        <w:tc>
          <w:tcPr>
            <w:tcW w:w="91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聚氨酯树脂</w:t>
            </w:r>
          </w:p>
        </w:tc>
        <w:tc>
          <w:tcPr>
            <w:tcW w:w="107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甲</w:t>
            </w:r>
          </w:p>
        </w:tc>
        <w:tc>
          <w:tcPr>
            <w:tcW w:w="740"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w:t>
            </w:r>
          </w:p>
        </w:tc>
        <w:tc>
          <w:tcPr>
            <w:tcW w:w="511"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60" w:lineRule="exact"/>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60" w:lineRule="exact"/>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7</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氟碳树脂</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5</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106甲类仓库防火分区一</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8</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丙烯酸乳液</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戊</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20</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106甲类仓库防火分区二</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9</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二甲苯</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95-47-6</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甲</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20</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106甲类仓库防火分区二</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0</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醋酸丁酯</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23-86-4</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甲</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0</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106甲类仓库防火分区二</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1</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正丁醇</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7</w:t>
            </w:r>
            <w:r>
              <w:rPr>
                <w:rFonts w:ascii="Times New Roman" w:hAnsi="Times New Roman"/>
                <w:color w:val="auto"/>
                <w:szCs w:val="21"/>
              </w:rPr>
              <w:t>1-36-3</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5</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106甲类仓库防火分区二</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2</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丙烯酸树脂涂料</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highlight w:val="yellow"/>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5</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106甲类仓库防火分区三</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3</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聚氨酯树脂涂料</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highlight w:val="yellow"/>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2</w:t>
            </w:r>
            <w:r>
              <w:rPr>
                <w:rFonts w:ascii="Times New Roman" w:hAnsi="Times New Roman"/>
                <w:color w:val="auto"/>
                <w:szCs w:val="21"/>
              </w:rPr>
              <w:t>0</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106甲类仓库防火分区三</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4</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环氧树脂涂料</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highlight w:val="yellow"/>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2</w:t>
            </w:r>
            <w:r>
              <w:rPr>
                <w:rFonts w:ascii="Times New Roman" w:hAnsi="Times New Roman"/>
                <w:color w:val="auto"/>
                <w:szCs w:val="21"/>
              </w:rPr>
              <w:t>0</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106甲类仓库防火分区三</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83"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w:t>
            </w:r>
            <w:r>
              <w:rPr>
                <w:rFonts w:ascii="Times New Roman" w:hAnsi="Times New Roman"/>
                <w:color w:val="auto"/>
                <w:szCs w:val="21"/>
              </w:rPr>
              <w:t>5</w:t>
            </w:r>
          </w:p>
        </w:tc>
        <w:tc>
          <w:tcPr>
            <w:tcW w:w="91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氟唐树脂涂料</w:t>
            </w:r>
          </w:p>
        </w:tc>
        <w:tc>
          <w:tcPr>
            <w:tcW w:w="107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w:t>
            </w:r>
          </w:p>
        </w:tc>
        <w:tc>
          <w:tcPr>
            <w:tcW w:w="75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桶装</w:t>
            </w:r>
          </w:p>
        </w:tc>
        <w:tc>
          <w:tcPr>
            <w:tcW w:w="612"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液体</w:t>
            </w:r>
          </w:p>
        </w:tc>
        <w:tc>
          <w:tcPr>
            <w:tcW w:w="588" w:type="dxa"/>
            <w:vAlign w:val="center"/>
          </w:tcPr>
          <w:p>
            <w:pPr>
              <w:pStyle w:val="53"/>
              <w:widowControl w:val="0"/>
              <w:wordWrap w:val="0"/>
              <w:adjustRightInd w:val="0"/>
              <w:spacing w:line="240" w:lineRule="auto"/>
              <w:textAlignment w:val="center"/>
              <w:rPr>
                <w:rFonts w:ascii="Times New Roman" w:hAnsi="Times New Roman"/>
                <w:color w:val="auto"/>
                <w:szCs w:val="21"/>
                <w:highlight w:val="yellow"/>
              </w:rPr>
            </w:pPr>
            <w:r>
              <w:rPr>
                <w:rFonts w:hint="eastAsia" w:ascii="Times New Roman" w:hAnsi="Times New Roman"/>
                <w:color w:val="auto"/>
                <w:szCs w:val="21"/>
              </w:rPr>
              <w:t>乙</w:t>
            </w:r>
          </w:p>
        </w:tc>
        <w:tc>
          <w:tcPr>
            <w:tcW w:w="740"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ascii="Times New Roman" w:hAnsi="Times New Roman"/>
                <w:color w:val="auto"/>
                <w:szCs w:val="21"/>
              </w:rPr>
              <w:t>5</w:t>
            </w:r>
          </w:p>
        </w:tc>
        <w:tc>
          <w:tcPr>
            <w:tcW w:w="511"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国内</w:t>
            </w:r>
          </w:p>
        </w:tc>
        <w:tc>
          <w:tcPr>
            <w:tcW w:w="674"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货车运输</w:t>
            </w:r>
          </w:p>
        </w:tc>
        <w:tc>
          <w:tcPr>
            <w:tcW w:w="2287" w:type="dxa"/>
            <w:vAlign w:val="center"/>
          </w:tcPr>
          <w:p>
            <w:pPr>
              <w:pStyle w:val="53"/>
              <w:widowControl w:val="0"/>
              <w:wordWrap w:val="0"/>
              <w:adjustRightInd w:val="0"/>
              <w:spacing w:line="240" w:lineRule="auto"/>
              <w:textAlignment w:val="center"/>
              <w:rPr>
                <w:rFonts w:ascii="Times New Roman" w:hAnsi="Times New Roman"/>
                <w:color w:val="auto"/>
                <w:szCs w:val="21"/>
              </w:rPr>
            </w:pPr>
            <w:r>
              <w:rPr>
                <w:rFonts w:hint="eastAsia" w:ascii="Times New Roman" w:hAnsi="Times New Roman"/>
                <w:color w:val="auto"/>
                <w:szCs w:val="21"/>
              </w:rPr>
              <w:t>106甲类仓库防火分区三</w:t>
            </w:r>
          </w:p>
        </w:tc>
        <w:tc>
          <w:tcPr>
            <w:tcW w:w="541" w:type="dxa"/>
            <w:vAlign w:val="center"/>
          </w:tcPr>
          <w:p>
            <w:pPr>
              <w:pStyle w:val="53"/>
              <w:widowControl w:val="0"/>
              <w:wordWrap w:val="0"/>
              <w:adjustRightInd w:val="0"/>
              <w:spacing w:line="240" w:lineRule="auto"/>
              <w:textAlignment w:val="center"/>
              <w:rPr>
                <w:rFonts w:ascii="Times New Roman" w:hAnsi="Times New Roman"/>
                <w:color w:val="auto"/>
                <w:szCs w:val="21"/>
              </w:rPr>
            </w:pPr>
          </w:p>
        </w:tc>
      </w:tr>
    </w:tbl>
    <w:p>
      <w:pPr>
        <w:wordWrap w:val="0"/>
        <w:adjustRightInd w:val="0"/>
        <w:snapToGrid w:val="0"/>
        <w:ind w:firstLine="560" w:firstLineChars="200"/>
        <w:textAlignment w:val="center"/>
        <w:rPr>
          <w:color w:val="auto"/>
          <w:kern w:val="0"/>
        </w:rPr>
      </w:pPr>
      <w:r>
        <w:rPr>
          <w:rFonts w:hint="eastAsia"/>
          <w:color w:val="auto"/>
          <w:kern w:val="0"/>
        </w:rPr>
        <w:t>根据厂区物料的物化特性及储量要求，106甲类仓库设有3个防火分区，耐火等级为二级，设置良好通风设施，库房进行防火、防潮、防腐处理，以确保生产及生产人员安全。同时为减轻劳动人员工作强度，仓储配有多辆叉车运输。仓库入口设置放流散漫坡，可有效防止危化品泄露至仓库外。</w:t>
      </w:r>
    </w:p>
    <w:p>
      <w:pPr>
        <w:wordWrap w:val="0"/>
        <w:adjustRightInd w:val="0"/>
        <w:snapToGrid w:val="0"/>
        <w:ind w:firstLine="560" w:firstLineChars="200"/>
        <w:jc w:val="center"/>
        <w:textAlignment w:val="center"/>
        <w:rPr>
          <w:color w:val="auto"/>
          <w:kern w:val="0"/>
        </w:rPr>
      </w:pPr>
      <w:r>
        <w:rPr>
          <w:rFonts w:hint="eastAsia"/>
          <w:color w:val="auto"/>
          <w:kern w:val="0"/>
        </w:rPr>
        <w:t>厂外运输依托公司现有资源，运输方式目前采用公路运输方式。原料、主要采用汽车公路运输。本项目公路运输车辆主要依托当地专业运输公司。</w:t>
      </w:r>
    </w:p>
    <w:p>
      <w:pPr>
        <w:wordWrap w:val="0"/>
        <w:adjustRightInd w:val="0"/>
        <w:snapToGrid w:val="0"/>
        <w:jc w:val="center"/>
        <w:textAlignment w:val="center"/>
        <w:rPr>
          <w:color w:val="auto"/>
          <w:kern w:val="0"/>
        </w:rPr>
      </w:pPr>
      <w:r>
        <w:rPr>
          <w:rFonts w:hint="eastAsia"/>
          <w:color w:val="auto"/>
          <w:kern w:val="0"/>
        </w:rPr>
        <w:t>表2.4-2  主要原辅材料及产品储存情况表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9"/>
        <w:gridCol w:w="1151"/>
        <w:gridCol w:w="713"/>
        <w:gridCol w:w="875"/>
        <w:gridCol w:w="1012"/>
        <w:gridCol w:w="1242"/>
        <w:gridCol w:w="1607"/>
        <w:gridCol w:w="938"/>
        <w:gridCol w:w="9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序号</w:t>
            </w:r>
          </w:p>
        </w:tc>
        <w:tc>
          <w:tcPr>
            <w:tcW w:w="1151"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名称</w:t>
            </w:r>
          </w:p>
        </w:tc>
        <w:tc>
          <w:tcPr>
            <w:tcW w:w="713"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类别</w:t>
            </w:r>
          </w:p>
        </w:tc>
        <w:tc>
          <w:tcPr>
            <w:tcW w:w="875"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耐火等级</w:t>
            </w:r>
          </w:p>
        </w:tc>
        <w:tc>
          <w:tcPr>
            <w:tcW w:w="1012"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规模</w:t>
            </w:r>
          </w:p>
        </w:tc>
        <w:tc>
          <w:tcPr>
            <w:tcW w:w="1242"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防火分区</w:t>
            </w: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储存物质</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rFonts w:eastAsia="Times New Roman"/>
                <w:b/>
                <w:color w:val="auto"/>
                <w:sz w:val="21"/>
              </w:rPr>
            </w:pPr>
            <w:r>
              <w:rPr>
                <w:b/>
                <w:color w:val="auto"/>
                <w:sz w:val="21"/>
              </w:rPr>
              <w:t>储存量</w:t>
            </w:r>
            <w:r>
              <w:rPr>
                <w:b/>
                <w:color w:val="auto"/>
                <w:spacing w:val="-56"/>
                <w:sz w:val="21"/>
              </w:rPr>
              <w:t xml:space="preserve"> </w:t>
            </w:r>
            <w:r>
              <w:rPr>
                <w:rFonts w:eastAsia="Times New Roman"/>
                <w:b/>
                <w:color w:val="auto"/>
                <w:sz w:val="21"/>
              </w:rPr>
              <w:t>t</w:t>
            </w:r>
          </w:p>
        </w:tc>
        <w:tc>
          <w:tcPr>
            <w:tcW w:w="904"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b/>
                <w:color w:val="auto"/>
                <w:sz w:val="21"/>
              </w:rPr>
            </w:pPr>
            <w:r>
              <w:rPr>
                <w:b/>
                <w:color w:val="auto"/>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1</w:t>
            </w:r>
          </w:p>
        </w:tc>
        <w:tc>
          <w:tcPr>
            <w:tcW w:w="1151"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rFonts w:eastAsia="Times New Roman"/>
                <w:color w:val="auto"/>
                <w:sz w:val="21"/>
              </w:rPr>
              <w:t>106</w:t>
            </w:r>
            <w:r>
              <w:rPr>
                <w:color w:val="auto"/>
                <w:sz w:val="21"/>
              </w:rPr>
              <w:t>甲类仓库</w:t>
            </w:r>
          </w:p>
        </w:tc>
        <w:tc>
          <w:tcPr>
            <w:tcW w:w="713"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甲类</w:t>
            </w:r>
          </w:p>
        </w:tc>
        <w:tc>
          <w:tcPr>
            <w:tcW w:w="875"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二级</w:t>
            </w:r>
          </w:p>
        </w:tc>
        <w:tc>
          <w:tcPr>
            <w:tcW w:w="1012"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13"/>
              </w:rPr>
            </w:pPr>
            <w:r>
              <w:rPr>
                <w:color w:val="auto"/>
                <w:sz w:val="21"/>
              </w:rPr>
              <w:t>749.52</w:t>
            </w:r>
            <w:r>
              <w:rPr>
                <w:rFonts w:hint="eastAsia"/>
                <w:color w:val="auto"/>
                <w:position w:val="-6"/>
                <w:sz w:val="21"/>
              </w:rPr>
              <w:t>㎡</w:t>
            </w: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防火分区一（249.912</w:t>
            </w:r>
            <w:r>
              <w:rPr>
                <w:rFonts w:hint="eastAsia"/>
                <w:color w:val="auto"/>
                <w:sz w:val="21"/>
              </w:rPr>
              <w:t>㎡</w:t>
            </w:r>
            <w:r>
              <w:rPr>
                <w:color w:val="auto"/>
                <w:sz w:val="21"/>
              </w:rPr>
              <w:t>）</w:t>
            </w: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丙二醇</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1</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丙二醇单丁醚</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1</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环氧树脂</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10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环氧树脂固化剂</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5</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溶剂型丙烯酸树脂</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10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聚氨酯树脂</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10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氟碳树脂</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5</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防火分区</w:t>
            </w:r>
            <w:r>
              <w:rPr>
                <w:color w:val="auto"/>
                <w:w w:val="99"/>
                <w:sz w:val="21"/>
              </w:rPr>
              <w:t>二</w:t>
            </w:r>
            <w:r>
              <w:rPr>
                <w:color w:val="auto"/>
                <w:sz w:val="21"/>
              </w:rPr>
              <w:t>（</w:t>
            </w:r>
            <w:r>
              <w:rPr>
                <w:rFonts w:eastAsia="Times New Roman"/>
                <w:color w:val="auto"/>
                <w:sz w:val="21"/>
              </w:rPr>
              <w:t>249.696</w:t>
            </w:r>
            <w:r>
              <w:rPr>
                <w:rFonts w:hint="eastAsia"/>
                <w:color w:val="auto"/>
                <w:sz w:val="21"/>
              </w:rPr>
              <w:t>㎡</w:t>
            </w:r>
            <w:r>
              <w:rPr>
                <w:color w:val="auto"/>
                <w:sz w:val="21"/>
              </w:rPr>
              <w:t>）</w:t>
            </w: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丙烯酸乳液</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20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二甲苯</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20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醋酸丁酯</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10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rFonts w:eastAsia="Times New Roman"/>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正丁醇</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5</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restart"/>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防火分区</w:t>
            </w:r>
            <w:r>
              <w:rPr>
                <w:color w:val="auto"/>
                <w:w w:val="99"/>
                <w:sz w:val="21"/>
              </w:rPr>
              <w:t>三</w:t>
            </w:r>
            <w:r>
              <w:rPr>
                <w:color w:val="auto"/>
                <w:sz w:val="21"/>
              </w:rPr>
              <w:t>（</w:t>
            </w:r>
            <w:r>
              <w:rPr>
                <w:rFonts w:eastAsia="Times New Roman"/>
                <w:color w:val="auto"/>
                <w:sz w:val="21"/>
              </w:rPr>
              <w:t>249.912</w:t>
            </w:r>
            <w:r>
              <w:rPr>
                <w:rFonts w:hint="eastAsia"/>
                <w:color w:val="auto"/>
                <w:sz w:val="21"/>
              </w:rPr>
              <w:t>㎡</w:t>
            </w:r>
            <w:r>
              <w:rPr>
                <w:color w:val="auto"/>
                <w:sz w:val="21"/>
              </w:rPr>
              <w:t>）</w:t>
            </w: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丙烯酸树脂涂料</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5</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聚氨酯树脂涂料</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20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rFonts w:eastAsia="Times New Roman"/>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环氧树脂涂料</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20</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54" w:hRule="atLeast"/>
          <w:jc w:val="center"/>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151"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875"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c>
          <w:tcPr>
            <w:tcW w:w="1242" w:type="dxa"/>
            <w:vMerge w:val="continue"/>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p>
        </w:tc>
        <w:tc>
          <w:tcPr>
            <w:tcW w:w="1607"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sz w:val="21"/>
              </w:rPr>
              <w:t>氟碳树脂涂料</w:t>
            </w:r>
          </w:p>
        </w:tc>
        <w:tc>
          <w:tcPr>
            <w:tcW w:w="938" w:type="dxa"/>
            <w:tcBorders>
              <w:top w:val="single" w:color="auto" w:sz="4" w:space="0"/>
              <w:left w:val="single" w:color="auto" w:sz="4" w:space="0"/>
              <w:bottom w:val="single" w:color="auto" w:sz="4" w:space="0"/>
              <w:right w:val="single" w:color="auto" w:sz="4" w:space="0"/>
            </w:tcBorders>
            <w:vAlign w:val="center"/>
          </w:tcPr>
          <w:p>
            <w:pPr>
              <w:pStyle w:val="48"/>
              <w:wordWrap w:val="0"/>
              <w:adjustRightInd w:val="0"/>
              <w:snapToGrid w:val="0"/>
              <w:spacing w:line="240" w:lineRule="auto"/>
              <w:jc w:val="center"/>
              <w:textAlignment w:val="center"/>
              <w:rPr>
                <w:color w:val="auto"/>
                <w:sz w:val="21"/>
              </w:rPr>
            </w:pPr>
            <w:r>
              <w:rPr>
                <w:color w:val="auto"/>
                <w:w w:val="99"/>
                <w:sz w:val="21"/>
              </w:rPr>
              <w:t>5</w:t>
            </w:r>
          </w:p>
        </w:tc>
        <w:tc>
          <w:tcPr>
            <w:tcW w:w="9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rPr>
            </w:pPr>
          </w:p>
        </w:tc>
      </w:tr>
    </w:tbl>
    <w:p>
      <w:pPr>
        <w:pStyle w:val="4"/>
        <w:keepNext w:val="0"/>
        <w:keepLines w:val="0"/>
        <w:wordWrap w:val="0"/>
        <w:adjustRightInd w:val="0"/>
        <w:snapToGrid w:val="0"/>
        <w:jc w:val="center"/>
        <w:textAlignment w:val="center"/>
        <w:rPr>
          <w:color w:val="auto"/>
          <w:kern w:val="0"/>
        </w:rPr>
      </w:pPr>
      <w:bookmarkStart w:id="42" w:name="_Toc10937"/>
      <w:bookmarkStart w:id="43" w:name="_Toc20990"/>
      <w:bookmarkStart w:id="44" w:name="_Toc26323"/>
      <w:r>
        <w:rPr>
          <w:rFonts w:hint="eastAsia"/>
          <w:color w:val="auto"/>
          <w:kern w:val="0"/>
        </w:rPr>
        <w:t>2.5 生产工艺</w:t>
      </w:r>
      <w:bookmarkEnd w:id="42"/>
      <w:bookmarkEnd w:id="43"/>
      <w:bookmarkEnd w:id="44"/>
    </w:p>
    <w:p>
      <w:pPr>
        <w:wordWrap w:val="0"/>
        <w:adjustRightInd w:val="0"/>
        <w:snapToGrid w:val="0"/>
        <w:ind w:firstLine="560" w:firstLineChars="200"/>
        <w:textAlignment w:val="center"/>
        <w:rPr>
          <w:color w:val="auto"/>
          <w:kern w:val="0"/>
        </w:rPr>
      </w:pPr>
      <w:r>
        <w:rPr>
          <w:rFonts w:hint="eastAsia"/>
          <w:color w:val="auto"/>
          <w:kern w:val="0"/>
        </w:rPr>
        <w:t>本项目为危险化学品的仓储，不存在上下游生产装置的关系。本项目外购物料按设计储存于仓库。由专业有资质运输单位将外购物料运输至仓库，采用叉车进行装卸。</w:t>
      </w:r>
    </w:p>
    <w:p>
      <w:pPr>
        <w:pStyle w:val="4"/>
        <w:keepNext w:val="0"/>
        <w:keepLines w:val="0"/>
        <w:wordWrap w:val="0"/>
        <w:adjustRightInd w:val="0"/>
        <w:snapToGrid w:val="0"/>
        <w:jc w:val="center"/>
        <w:textAlignment w:val="center"/>
        <w:rPr>
          <w:color w:val="auto"/>
          <w:kern w:val="0"/>
        </w:rPr>
      </w:pPr>
      <w:bookmarkStart w:id="45" w:name="_Toc3967"/>
      <w:bookmarkStart w:id="46" w:name="_Toc5005"/>
      <w:bookmarkStart w:id="47" w:name="_Toc18802"/>
      <w:r>
        <w:rPr>
          <w:rFonts w:hint="eastAsia"/>
          <w:color w:val="auto"/>
          <w:kern w:val="0"/>
        </w:rPr>
        <w:t>2.6 主要设备设施</w:t>
      </w:r>
      <w:bookmarkEnd w:id="45"/>
      <w:bookmarkEnd w:id="46"/>
      <w:bookmarkEnd w:id="47"/>
    </w:p>
    <w:p>
      <w:pPr>
        <w:wordWrap w:val="0"/>
        <w:adjustRightInd w:val="0"/>
        <w:snapToGrid w:val="0"/>
        <w:ind w:firstLine="560" w:firstLineChars="200"/>
        <w:textAlignment w:val="center"/>
        <w:rPr>
          <w:color w:val="auto"/>
          <w:kern w:val="0"/>
          <w:szCs w:val="28"/>
        </w:rPr>
      </w:pPr>
      <w:r>
        <w:rPr>
          <w:rFonts w:hint="eastAsia"/>
          <w:color w:val="auto"/>
          <w:kern w:val="0"/>
          <w:szCs w:val="28"/>
        </w:rPr>
        <w:t>本项目的主要设备见下表：</w:t>
      </w:r>
    </w:p>
    <w:p>
      <w:pPr>
        <w:wordWrap w:val="0"/>
        <w:adjustRightInd w:val="0"/>
        <w:snapToGrid w:val="0"/>
        <w:jc w:val="center"/>
        <w:textAlignment w:val="center"/>
        <w:rPr>
          <w:color w:val="auto"/>
          <w:kern w:val="0"/>
          <w:szCs w:val="28"/>
        </w:rPr>
      </w:pPr>
      <w:r>
        <w:rPr>
          <w:color w:val="auto"/>
          <w:kern w:val="0"/>
          <w:szCs w:val="28"/>
        </w:rPr>
        <w:t>表2.</w:t>
      </w:r>
      <w:r>
        <w:rPr>
          <w:rFonts w:hint="eastAsia"/>
          <w:color w:val="auto"/>
          <w:kern w:val="0"/>
          <w:szCs w:val="28"/>
        </w:rPr>
        <w:t>6</w:t>
      </w:r>
      <w:r>
        <w:rPr>
          <w:color w:val="auto"/>
          <w:kern w:val="0"/>
          <w:szCs w:val="28"/>
        </w:rPr>
        <w:t>-1</w:t>
      </w:r>
      <w:r>
        <w:rPr>
          <w:rFonts w:hint="eastAsia"/>
          <w:color w:val="auto"/>
          <w:kern w:val="0"/>
          <w:szCs w:val="28"/>
        </w:rPr>
        <w:t xml:space="preserve">  </w:t>
      </w:r>
      <w:r>
        <w:rPr>
          <w:color w:val="auto"/>
          <w:kern w:val="0"/>
          <w:szCs w:val="28"/>
        </w:rPr>
        <w:t>主要设备一览表</w:t>
      </w:r>
    </w:p>
    <w:tbl>
      <w:tblPr>
        <w:tblStyle w:val="24"/>
        <w:tblW w:w="896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3"/>
        <w:gridCol w:w="1276"/>
        <w:gridCol w:w="1985"/>
        <w:gridCol w:w="992"/>
        <w:gridCol w:w="1101"/>
        <w:gridCol w:w="755"/>
        <w:gridCol w:w="695"/>
        <w:gridCol w:w="10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083"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序号</w:t>
            </w:r>
          </w:p>
        </w:tc>
        <w:tc>
          <w:tcPr>
            <w:tcW w:w="1276"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设备名称</w:t>
            </w:r>
          </w:p>
        </w:tc>
        <w:tc>
          <w:tcPr>
            <w:tcW w:w="1985"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参数及附属设施</w:t>
            </w:r>
          </w:p>
        </w:tc>
        <w:tc>
          <w:tcPr>
            <w:tcW w:w="992"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温度℃</w:t>
            </w:r>
          </w:p>
        </w:tc>
        <w:tc>
          <w:tcPr>
            <w:tcW w:w="1101"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压力MPa</w:t>
            </w:r>
          </w:p>
        </w:tc>
        <w:tc>
          <w:tcPr>
            <w:tcW w:w="755"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单位</w:t>
            </w:r>
          </w:p>
        </w:tc>
        <w:tc>
          <w:tcPr>
            <w:tcW w:w="695"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数量</w:t>
            </w:r>
          </w:p>
        </w:tc>
        <w:tc>
          <w:tcPr>
            <w:tcW w:w="1081"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rFonts w:hint="eastAsia"/>
                <w:b/>
                <w:bCs/>
                <w:color w:val="auto"/>
                <w:kern w:val="0"/>
                <w:sz w:val="21"/>
                <w:szCs w:val="21"/>
                <w:lang w:bidi="hi-I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083"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w:t>
            </w:r>
          </w:p>
        </w:tc>
        <w:tc>
          <w:tcPr>
            <w:tcW w:w="1276"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风机</w:t>
            </w:r>
          </w:p>
        </w:tc>
        <w:tc>
          <w:tcPr>
            <w:tcW w:w="198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BT35-11</w:t>
            </w:r>
          </w:p>
        </w:tc>
        <w:tc>
          <w:tcPr>
            <w:tcW w:w="9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0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c>
          <w:tcPr>
            <w:tcW w:w="75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0.55Kw</w:t>
            </w:r>
          </w:p>
        </w:tc>
        <w:tc>
          <w:tcPr>
            <w:tcW w:w="69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3</w:t>
            </w:r>
          </w:p>
        </w:tc>
        <w:tc>
          <w:tcPr>
            <w:tcW w:w="108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rFonts w:hint="eastAsia"/>
                <w:color w:val="auto"/>
                <w:kern w:val="0"/>
                <w:sz w:val="21"/>
                <w:szCs w:val="21"/>
                <w:lang w:bidi="hi-IN"/>
              </w:rPr>
              <w:t>防爆等级EXdⅡBT</w:t>
            </w:r>
            <w:r>
              <w:rPr>
                <w:color w:val="auto"/>
                <w:kern w:val="0"/>
                <w:sz w:val="21"/>
                <w:szCs w:val="21"/>
                <w:lang w:bidi="hi-IN"/>
              </w:rPr>
              <w:t>4</w:t>
            </w:r>
          </w:p>
        </w:tc>
      </w:tr>
    </w:tbl>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涉及的主要特种设备</w:t>
      </w:r>
      <w:r>
        <w:rPr>
          <w:rFonts w:hint="eastAsia"/>
          <w:color w:val="auto"/>
          <w:kern w:val="0"/>
        </w:rPr>
        <w:t>主要有叉车，主要依托公司现有资源，</w:t>
      </w:r>
      <w:r>
        <w:rPr>
          <w:color w:val="auto"/>
          <w:kern w:val="0"/>
        </w:rPr>
        <w:t>具体见表2.</w:t>
      </w:r>
      <w:r>
        <w:rPr>
          <w:rFonts w:hint="eastAsia"/>
          <w:color w:val="auto"/>
          <w:kern w:val="0"/>
        </w:rPr>
        <w:t>6</w:t>
      </w:r>
      <w:r>
        <w:rPr>
          <w:color w:val="auto"/>
          <w:kern w:val="0"/>
        </w:rPr>
        <w:t>-2。</w:t>
      </w:r>
    </w:p>
    <w:p>
      <w:pPr>
        <w:wordWrap w:val="0"/>
        <w:adjustRightInd w:val="0"/>
        <w:snapToGrid w:val="0"/>
        <w:jc w:val="center"/>
        <w:textAlignment w:val="center"/>
        <w:rPr>
          <w:color w:val="auto"/>
          <w:kern w:val="0"/>
        </w:rPr>
      </w:pPr>
      <w:r>
        <w:rPr>
          <w:rFonts w:hint="eastAsia"/>
          <w:color w:val="auto"/>
          <w:kern w:val="0"/>
        </w:rPr>
        <w:t xml:space="preserve">表2.6-2 </w:t>
      </w:r>
      <w:r>
        <w:rPr>
          <w:color w:val="auto"/>
          <w:kern w:val="0"/>
        </w:rPr>
        <w:t>特种设备</w:t>
      </w:r>
      <w:r>
        <w:rPr>
          <w:rFonts w:hint="eastAsia"/>
          <w:color w:val="auto"/>
          <w:kern w:val="0"/>
        </w:rPr>
        <w:t>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8"/>
        <w:gridCol w:w="3118"/>
        <w:gridCol w:w="2055"/>
        <w:gridCol w:w="1465"/>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5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ascii="宋体" w:hAnsi="宋体" w:cs="宋体"/>
                <w:b/>
                <w:bCs/>
                <w:color w:val="auto"/>
                <w:kern w:val="0"/>
                <w:sz w:val="21"/>
                <w:szCs w:val="21"/>
              </w:rPr>
            </w:pPr>
            <w:r>
              <w:rPr>
                <w:rFonts w:hint="eastAsia" w:ascii="宋体" w:hAnsi="宋体" w:cs="宋体"/>
                <w:b/>
                <w:bCs/>
                <w:color w:val="auto"/>
                <w:kern w:val="0"/>
                <w:sz w:val="21"/>
                <w:szCs w:val="21"/>
              </w:rPr>
              <w:t>序号</w:t>
            </w:r>
          </w:p>
        </w:tc>
        <w:tc>
          <w:tcPr>
            <w:tcW w:w="311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ascii="宋体" w:hAnsi="宋体" w:cs="宋体"/>
                <w:b/>
                <w:bCs/>
                <w:color w:val="auto"/>
                <w:kern w:val="0"/>
                <w:sz w:val="21"/>
                <w:szCs w:val="21"/>
              </w:rPr>
            </w:pPr>
            <w:r>
              <w:rPr>
                <w:rFonts w:hint="eastAsia" w:ascii="宋体" w:hAnsi="宋体" w:cs="宋体"/>
                <w:b/>
                <w:bCs/>
                <w:color w:val="auto"/>
                <w:kern w:val="0"/>
                <w:sz w:val="21"/>
                <w:szCs w:val="21"/>
              </w:rPr>
              <w:t>设备名称</w:t>
            </w:r>
          </w:p>
        </w:tc>
        <w:tc>
          <w:tcPr>
            <w:tcW w:w="20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ascii="宋体" w:hAnsi="宋体" w:cs="宋体"/>
                <w:b/>
                <w:bCs/>
                <w:color w:val="auto"/>
                <w:kern w:val="0"/>
                <w:sz w:val="21"/>
                <w:szCs w:val="21"/>
              </w:rPr>
            </w:pPr>
            <w:r>
              <w:rPr>
                <w:rFonts w:hint="eastAsia" w:ascii="宋体" w:hAnsi="宋体" w:cs="宋体"/>
                <w:b/>
                <w:bCs/>
                <w:color w:val="auto"/>
                <w:kern w:val="0"/>
                <w:sz w:val="21"/>
                <w:szCs w:val="21"/>
              </w:rPr>
              <w:t>规格型号</w:t>
            </w:r>
          </w:p>
        </w:tc>
        <w:tc>
          <w:tcPr>
            <w:tcW w:w="14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ascii="宋体" w:hAnsi="宋体" w:cs="宋体"/>
                <w:b/>
                <w:bCs/>
                <w:color w:val="auto"/>
                <w:kern w:val="0"/>
                <w:sz w:val="21"/>
                <w:szCs w:val="21"/>
              </w:rPr>
            </w:pPr>
            <w:r>
              <w:rPr>
                <w:rFonts w:hint="eastAsia" w:ascii="宋体" w:hAnsi="宋体" w:cs="宋体"/>
                <w:b/>
                <w:bCs/>
                <w:color w:val="auto"/>
                <w:kern w:val="0"/>
                <w:sz w:val="21"/>
                <w:szCs w:val="21"/>
              </w:rPr>
              <w:t>单位</w:t>
            </w:r>
          </w:p>
        </w:tc>
        <w:tc>
          <w:tcPr>
            <w:tcW w:w="13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ascii="宋体" w:hAnsi="宋体" w:cs="宋体"/>
                <w:b/>
                <w:bCs/>
                <w:color w:val="auto"/>
                <w:kern w:val="0"/>
                <w:sz w:val="21"/>
                <w:szCs w:val="21"/>
              </w:rPr>
            </w:pPr>
            <w:r>
              <w:rPr>
                <w:rFonts w:hint="eastAsia" w:ascii="宋体" w:hAnsi="宋体" w:cs="宋体"/>
                <w:b/>
                <w:bCs/>
                <w:color w:val="auto"/>
                <w:kern w:val="0"/>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5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311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叉车</w:t>
            </w:r>
          </w:p>
        </w:tc>
        <w:tc>
          <w:tcPr>
            <w:tcW w:w="205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3t</w:t>
            </w:r>
          </w:p>
        </w:tc>
        <w:tc>
          <w:tcPr>
            <w:tcW w:w="14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台</w:t>
            </w:r>
          </w:p>
        </w:tc>
        <w:tc>
          <w:tcPr>
            <w:tcW w:w="137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r>
    </w:tbl>
    <w:p>
      <w:pPr>
        <w:wordWrap w:val="0"/>
        <w:adjustRightInd w:val="0"/>
        <w:snapToGrid w:val="0"/>
        <w:ind w:firstLine="560" w:firstLineChars="200"/>
        <w:textAlignment w:val="center"/>
        <w:rPr>
          <w:color w:val="auto"/>
          <w:kern w:val="0"/>
          <w:szCs w:val="28"/>
          <w:lang w:bidi="ar"/>
        </w:rPr>
      </w:pPr>
      <w:r>
        <w:rPr>
          <w:rFonts w:hint="eastAsia"/>
          <w:color w:val="auto"/>
          <w:kern w:val="0"/>
          <w:szCs w:val="28"/>
          <w:lang w:bidi="ar"/>
        </w:rPr>
        <w:t>叉车</w:t>
      </w:r>
      <w:r>
        <w:rPr>
          <w:color w:val="auto"/>
          <w:kern w:val="0"/>
          <w:szCs w:val="28"/>
          <w:lang w:bidi="ar"/>
        </w:rPr>
        <w:t>特种设备使用登记证和检测报告详见附件。</w:t>
      </w:r>
    </w:p>
    <w:p>
      <w:pPr>
        <w:pStyle w:val="4"/>
        <w:keepNext w:val="0"/>
        <w:keepLines w:val="0"/>
        <w:wordWrap w:val="0"/>
        <w:adjustRightInd w:val="0"/>
        <w:snapToGrid w:val="0"/>
        <w:jc w:val="center"/>
        <w:textAlignment w:val="center"/>
        <w:rPr>
          <w:color w:val="auto"/>
          <w:kern w:val="0"/>
        </w:rPr>
      </w:pPr>
      <w:bookmarkStart w:id="48" w:name="_Toc25476"/>
      <w:bookmarkStart w:id="49" w:name="_Toc14991"/>
      <w:bookmarkStart w:id="50" w:name="_Toc10282"/>
      <w:r>
        <w:rPr>
          <w:rFonts w:hint="eastAsia"/>
          <w:color w:val="auto"/>
          <w:kern w:val="0"/>
        </w:rPr>
        <w:t>2.7 公用工程及辅助设施</w:t>
      </w:r>
      <w:bookmarkEnd w:id="48"/>
      <w:bookmarkEnd w:id="49"/>
      <w:bookmarkEnd w:id="50"/>
    </w:p>
    <w:p>
      <w:pPr>
        <w:pStyle w:val="5"/>
        <w:keepNext w:val="0"/>
        <w:keepLines w:val="0"/>
        <w:wordWrap w:val="0"/>
        <w:adjustRightInd w:val="0"/>
        <w:snapToGrid w:val="0"/>
        <w:textAlignment w:val="center"/>
        <w:rPr>
          <w:color w:val="auto"/>
          <w:kern w:val="0"/>
        </w:rPr>
      </w:pPr>
      <w:bookmarkStart w:id="51" w:name="_Toc11128"/>
      <w:r>
        <w:rPr>
          <w:rFonts w:hint="eastAsia"/>
          <w:color w:val="auto"/>
          <w:kern w:val="0"/>
        </w:rPr>
        <w:t>2.7.1 给排水</w:t>
      </w:r>
      <w:bookmarkEnd w:id="51"/>
    </w:p>
    <w:p>
      <w:pPr>
        <w:wordWrap w:val="0"/>
        <w:adjustRightInd w:val="0"/>
        <w:snapToGrid w:val="0"/>
        <w:ind w:firstLine="560" w:firstLineChars="200"/>
        <w:textAlignment w:val="center"/>
        <w:rPr>
          <w:color w:val="auto"/>
          <w:kern w:val="0"/>
        </w:rPr>
      </w:pPr>
      <w:r>
        <w:rPr>
          <w:rFonts w:hint="eastAsia"/>
          <w:color w:val="auto"/>
          <w:kern w:val="0"/>
        </w:rPr>
        <w:t>1、用水量</w:t>
      </w:r>
    </w:p>
    <w:p>
      <w:pPr>
        <w:wordWrap w:val="0"/>
        <w:adjustRightInd w:val="0"/>
        <w:snapToGrid w:val="0"/>
        <w:ind w:firstLine="560" w:firstLineChars="200"/>
        <w:textAlignment w:val="center"/>
        <w:rPr>
          <w:color w:val="auto"/>
          <w:kern w:val="0"/>
        </w:rPr>
      </w:pPr>
      <w:r>
        <w:rPr>
          <w:rFonts w:hint="eastAsia"/>
          <w:color w:val="auto"/>
          <w:kern w:val="0"/>
        </w:rPr>
        <w:t>本项目所在厂区自来水主要供工艺生产和冲洗地坪用水、消防补充水及生活用水，本系统包括进厂引入管、水表、阀门、各用水点的支状供水管等。</w:t>
      </w:r>
    </w:p>
    <w:p>
      <w:pPr>
        <w:wordWrap w:val="0"/>
        <w:adjustRightInd w:val="0"/>
        <w:snapToGrid w:val="0"/>
        <w:ind w:firstLine="536" w:firstLineChars="200"/>
        <w:textAlignment w:val="center"/>
        <w:rPr>
          <w:color w:val="auto"/>
          <w:spacing w:val="-6"/>
          <w:kern w:val="0"/>
        </w:rPr>
      </w:pPr>
      <w:r>
        <w:rPr>
          <w:rFonts w:hint="eastAsia"/>
          <w:color w:val="auto"/>
          <w:spacing w:val="-6"/>
          <w:kern w:val="0"/>
        </w:rPr>
        <w:t>全厂总用水量12.7m³/d，其中：生产线6m³/d，生活用水6m³/d，绿化用水0.7m³/d，本项目库房主要为地面冲洗水、洗眼器用水，总用水量约1m³/d。</w:t>
      </w:r>
    </w:p>
    <w:p>
      <w:pPr>
        <w:wordWrap w:val="0"/>
        <w:adjustRightInd w:val="0"/>
        <w:snapToGrid w:val="0"/>
        <w:ind w:firstLine="560" w:firstLineChars="200"/>
        <w:textAlignment w:val="center"/>
        <w:rPr>
          <w:color w:val="auto"/>
          <w:kern w:val="0"/>
        </w:rPr>
      </w:pPr>
      <w:r>
        <w:rPr>
          <w:rFonts w:hint="eastAsia"/>
          <w:color w:val="auto"/>
          <w:kern w:val="0"/>
        </w:rPr>
        <w:t>2、给水水源</w:t>
      </w:r>
    </w:p>
    <w:p>
      <w:pPr>
        <w:wordWrap w:val="0"/>
        <w:adjustRightInd w:val="0"/>
        <w:snapToGrid w:val="0"/>
        <w:ind w:firstLine="560" w:firstLineChars="200"/>
        <w:textAlignment w:val="center"/>
        <w:rPr>
          <w:color w:val="auto"/>
          <w:kern w:val="0"/>
        </w:rPr>
      </w:pPr>
      <w:r>
        <w:rPr>
          <w:rFonts w:hint="eastAsia"/>
          <w:color w:val="auto"/>
          <w:kern w:val="0"/>
        </w:rPr>
        <w:t>本工程项目选址在江西省丰城市高新技术产业园区内，工业园区已铺设了给水管网，本项目所需水源从工业园的给水管网中就近接入，生活饮用水系统的水质，符合《生活饮用水卫生标准》GB5749 标准，供水水压0.3MPa，接入管径为DN200。</w:t>
      </w:r>
    </w:p>
    <w:p>
      <w:pPr>
        <w:wordWrap w:val="0"/>
        <w:adjustRightInd w:val="0"/>
        <w:snapToGrid w:val="0"/>
        <w:ind w:firstLine="560" w:firstLineChars="200"/>
        <w:textAlignment w:val="center"/>
        <w:rPr>
          <w:color w:val="auto"/>
          <w:kern w:val="0"/>
        </w:rPr>
      </w:pPr>
      <w:r>
        <w:rPr>
          <w:rFonts w:hint="eastAsia"/>
          <w:color w:val="auto"/>
          <w:kern w:val="0"/>
        </w:rPr>
        <w:t>3、给水方案</w:t>
      </w:r>
    </w:p>
    <w:p>
      <w:pPr>
        <w:wordWrap w:val="0"/>
        <w:adjustRightInd w:val="0"/>
        <w:snapToGrid w:val="0"/>
        <w:ind w:firstLine="560" w:firstLineChars="200"/>
        <w:textAlignment w:val="center"/>
        <w:rPr>
          <w:color w:val="auto"/>
          <w:kern w:val="0"/>
        </w:rPr>
      </w:pPr>
      <w:r>
        <w:rPr>
          <w:rFonts w:hint="eastAsia"/>
          <w:color w:val="auto"/>
          <w:kern w:val="0"/>
        </w:rPr>
        <w:t>根据工艺专业用水对水质、水量的要求，本项目给水系统划分为生产给水系统、生活给水系统、消防给水系统、循环给水系统。</w:t>
      </w:r>
    </w:p>
    <w:p>
      <w:pPr>
        <w:wordWrap w:val="0"/>
        <w:adjustRightInd w:val="0"/>
        <w:snapToGrid w:val="0"/>
        <w:ind w:firstLine="560" w:firstLineChars="200"/>
        <w:textAlignment w:val="center"/>
        <w:rPr>
          <w:color w:val="auto"/>
          <w:kern w:val="0"/>
        </w:rPr>
      </w:pPr>
      <w:r>
        <w:rPr>
          <w:rFonts w:hint="eastAsia"/>
          <w:color w:val="auto"/>
          <w:kern w:val="0"/>
        </w:rPr>
        <w:t>1）生产给水系统</w:t>
      </w:r>
    </w:p>
    <w:p>
      <w:pPr>
        <w:wordWrap w:val="0"/>
        <w:adjustRightInd w:val="0"/>
        <w:snapToGrid w:val="0"/>
        <w:ind w:firstLine="560" w:firstLineChars="200"/>
        <w:textAlignment w:val="center"/>
        <w:rPr>
          <w:color w:val="auto"/>
          <w:kern w:val="0"/>
        </w:rPr>
      </w:pPr>
      <w:r>
        <w:rPr>
          <w:rFonts w:hint="eastAsia"/>
          <w:color w:val="auto"/>
          <w:kern w:val="0"/>
        </w:rPr>
        <w:t>由DN200给水引入管、枝状给水管及各用水设备等构成，市政自来水供水压力约0.3MPa，能满足该厂总用水的要求。</w:t>
      </w:r>
    </w:p>
    <w:p>
      <w:pPr>
        <w:wordWrap w:val="0"/>
        <w:adjustRightInd w:val="0"/>
        <w:snapToGrid w:val="0"/>
        <w:ind w:firstLine="560" w:firstLineChars="200"/>
        <w:textAlignment w:val="center"/>
        <w:rPr>
          <w:color w:val="auto"/>
          <w:kern w:val="0"/>
        </w:rPr>
      </w:pPr>
      <w:r>
        <w:rPr>
          <w:rFonts w:hint="eastAsia"/>
          <w:color w:val="auto"/>
          <w:kern w:val="0"/>
        </w:rPr>
        <w:t>2）消防给水系统</w:t>
      </w:r>
    </w:p>
    <w:p>
      <w:pPr>
        <w:wordWrap w:val="0"/>
        <w:adjustRightInd w:val="0"/>
        <w:snapToGrid w:val="0"/>
        <w:ind w:firstLine="560" w:firstLineChars="200"/>
        <w:textAlignment w:val="center"/>
        <w:rPr>
          <w:color w:val="auto"/>
          <w:kern w:val="0"/>
        </w:rPr>
      </w:pPr>
      <w:r>
        <w:rPr>
          <w:rFonts w:hint="eastAsia"/>
          <w:color w:val="auto"/>
          <w:kern w:val="0"/>
        </w:rPr>
        <w:t>见报告2.7.9节。</w:t>
      </w:r>
    </w:p>
    <w:p>
      <w:pPr>
        <w:wordWrap w:val="0"/>
        <w:adjustRightInd w:val="0"/>
        <w:snapToGrid w:val="0"/>
        <w:ind w:firstLine="560" w:firstLineChars="200"/>
        <w:textAlignment w:val="center"/>
        <w:rPr>
          <w:color w:val="auto"/>
          <w:kern w:val="0"/>
        </w:rPr>
      </w:pPr>
      <w:r>
        <w:rPr>
          <w:rFonts w:hint="eastAsia"/>
          <w:color w:val="auto"/>
          <w:kern w:val="0"/>
        </w:rPr>
        <w:t>4、排水工程</w:t>
      </w:r>
    </w:p>
    <w:p>
      <w:pPr>
        <w:wordWrap w:val="0"/>
        <w:adjustRightInd w:val="0"/>
        <w:snapToGrid w:val="0"/>
        <w:ind w:firstLine="560" w:firstLineChars="200"/>
        <w:textAlignment w:val="center"/>
        <w:rPr>
          <w:color w:val="auto"/>
          <w:kern w:val="0"/>
        </w:rPr>
      </w:pPr>
      <w:r>
        <w:rPr>
          <w:rFonts w:hint="eastAsia"/>
          <w:color w:val="auto"/>
          <w:kern w:val="0"/>
        </w:rPr>
        <w:t>公司排水系统采用分流制。事故污水通过收集池收集后，由污水泵抽至园区污水处理站处理达标后排放。厂区原有污水处理系统处理能力8m³/d，生产、生活废水经污水处理系统处理达标后外排。园内已铺设排水管道，生产污水经处理合格后排入工业园区排水管网。</w:t>
      </w:r>
    </w:p>
    <w:p>
      <w:pPr>
        <w:wordWrap w:val="0"/>
        <w:adjustRightInd w:val="0"/>
        <w:snapToGrid w:val="0"/>
        <w:ind w:firstLine="560" w:firstLineChars="200"/>
        <w:textAlignment w:val="center"/>
        <w:rPr>
          <w:color w:val="auto"/>
          <w:kern w:val="0"/>
        </w:rPr>
      </w:pPr>
      <w:r>
        <w:rPr>
          <w:rFonts w:hint="eastAsia"/>
          <w:color w:val="auto"/>
          <w:kern w:val="0"/>
        </w:rPr>
        <w:t>该公司的废水主要为地面冲洗废水、生活废水。生活废水管网直接与当地市政排污管网接通，由当地环保处理部门集中处理。地面清洗废水通过污水处理系统，处理达标后纳入周边工业排污管网，该项目地面清洗废水较少，原有污水处理系统可满足处理需求。</w:t>
      </w:r>
    </w:p>
    <w:p>
      <w:pPr>
        <w:pStyle w:val="5"/>
        <w:keepNext w:val="0"/>
        <w:keepLines w:val="0"/>
        <w:wordWrap w:val="0"/>
        <w:adjustRightInd w:val="0"/>
        <w:snapToGrid w:val="0"/>
        <w:textAlignment w:val="center"/>
        <w:rPr>
          <w:color w:val="auto"/>
          <w:kern w:val="0"/>
        </w:rPr>
      </w:pPr>
      <w:bookmarkStart w:id="52" w:name="_Toc4815"/>
      <w:r>
        <w:rPr>
          <w:rFonts w:hint="eastAsia"/>
          <w:color w:val="auto"/>
          <w:kern w:val="0"/>
        </w:rPr>
        <w:t>2.7.2 供配电</w:t>
      </w:r>
      <w:bookmarkEnd w:id="52"/>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1、供电电源选择</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本项目供电依托厂区前期建成的供电系统，电源从厂区外园区总变电所通过一路10kV公共架空线路引来，电源进线电缆从高压线杆引下埋地至变压器，原有1台400kVA油浸变压器，本次用电新增风机、照明等用电，用电量比以前增加了</w:t>
      </w:r>
      <w:r>
        <w:rPr>
          <w:rFonts w:cs="Times New Roman"/>
          <w:color w:val="auto"/>
          <w:kern w:val="0"/>
          <w:szCs w:val="28"/>
        </w:rPr>
        <w:t>3.5</w:t>
      </w:r>
      <w:r>
        <w:rPr>
          <w:rFonts w:hint="eastAsia" w:cs="Times New Roman"/>
          <w:color w:val="auto"/>
          <w:kern w:val="0"/>
          <w:szCs w:val="28"/>
        </w:rPr>
        <w:t>kW，计算视在功率为341kVA，变压器负荷率为85%，可满足用电要求。配电间采用放射式对新建106甲类仓库及相关设施进行配电。配电间已设有100kW柴油发电机组。</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2、负荷等级</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本项目甲类仓库内的可燃气体报警系统、火灾自动报警系统、视频监控系统（总计约180W）为一级负荷中的特别重要负荷，配备两台</w:t>
      </w:r>
      <w:r>
        <w:rPr>
          <w:color w:val="auto"/>
          <w:kern w:val="0"/>
        </w:rPr>
        <w:t>3kVA</w:t>
      </w:r>
      <w:r>
        <w:rPr>
          <w:rFonts w:hint="eastAsia"/>
          <w:color w:val="auto"/>
          <w:kern w:val="0"/>
        </w:rPr>
        <w:t>的UPS不间断电源供电。</w:t>
      </w:r>
      <w:r>
        <w:rPr>
          <w:rFonts w:hint="eastAsia" w:cs="Times New Roman"/>
          <w:color w:val="auto"/>
          <w:kern w:val="0"/>
          <w:szCs w:val="28"/>
        </w:rPr>
        <w:t>厂区原有的消防水泵（37kW）、1</w:t>
      </w:r>
      <w:r>
        <w:rPr>
          <w:rFonts w:cs="Times New Roman"/>
          <w:color w:val="auto"/>
          <w:kern w:val="0"/>
          <w:szCs w:val="28"/>
        </w:rPr>
        <w:t>06</w:t>
      </w:r>
      <w:r>
        <w:rPr>
          <w:rFonts w:hint="eastAsia" w:cs="Times New Roman"/>
          <w:color w:val="auto"/>
          <w:kern w:val="0"/>
          <w:szCs w:val="28"/>
        </w:rPr>
        <w:t>甲类仓库事故风机（</w:t>
      </w:r>
      <w:r>
        <w:rPr>
          <w:rFonts w:cs="Times New Roman"/>
          <w:color w:val="auto"/>
          <w:kern w:val="0"/>
          <w:szCs w:val="28"/>
        </w:rPr>
        <w:t>1.65</w:t>
      </w:r>
      <w:r>
        <w:rPr>
          <w:rFonts w:hint="eastAsia" w:cs="Times New Roman"/>
          <w:color w:val="auto"/>
          <w:kern w:val="0"/>
          <w:szCs w:val="28"/>
        </w:rPr>
        <w:t>kW）为二级用电负荷，其余为三级用电负荷。配电间设置1</w:t>
      </w:r>
      <w:r>
        <w:rPr>
          <w:rFonts w:cs="Times New Roman"/>
          <w:color w:val="auto"/>
          <w:kern w:val="0"/>
          <w:szCs w:val="28"/>
        </w:rPr>
        <w:t>00</w:t>
      </w:r>
      <w:r>
        <w:rPr>
          <w:rFonts w:hint="eastAsia" w:cs="Times New Roman"/>
          <w:color w:val="auto"/>
          <w:kern w:val="0"/>
          <w:szCs w:val="28"/>
        </w:rPr>
        <w:t>kW柴油发电机可满足二级用电负荷需求。</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3、供电及敷设方式</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1）在低压配电间，从各自配电装置向有关用电设备（或现场控制箱）放射式供电。</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2）电缆出配电间配电柜后埋地敷设，穿热镀锌低压流体输送用焊接钢管至仓库内配电箱。电缆与设备电气接口用防爆挠性连接管连接。照明线路穿热镀锌低压流体输送用焊接钢管明敷。在爆炸环境内管线转角处施工时，管线各分、接线处设置防爆分、接线盒。</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4、用电负荷计算用电负荷计算统计表如下：</w:t>
      </w:r>
    </w:p>
    <w:p>
      <w:pPr>
        <w:wordWrap w:val="0"/>
        <w:adjustRightInd w:val="0"/>
        <w:snapToGrid w:val="0"/>
        <w:jc w:val="center"/>
        <w:textAlignment w:val="center"/>
        <w:rPr>
          <w:rFonts w:cs="Times New Roman"/>
          <w:color w:val="auto"/>
          <w:kern w:val="0"/>
          <w:szCs w:val="28"/>
        </w:rPr>
      </w:pPr>
      <w:r>
        <w:rPr>
          <w:rFonts w:hint="eastAsia" w:cs="Times New Roman"/>
          <w:color w:val="auto"/>
          <w:kern w:val="0"/>
          <w:szCs w:val="28"/>
        </w:rPr>
        <w:t>表2.7-1  用电负荷计算统计表</w:t>
      </w:r>
    </w:p>
    <w:tbl>
      <w:tblPr>
        <w:tblStyle w:val="24"/>
        <w:tblW w:w="91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6"/>
        <w:gridCol w:w="1837"/>
        <w:gridCol w:w="1431"/>
        <w:gridCol w:w="674"/>
        <w:gridCol w:w="1012"/>
        <w:gridCol w:w="1181"/>
        <w:gridCol w:w="1307"/>
        <w:gridCol w:w="10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序号</w:t>
            </w:r>
          </w:p>
        </w:tc>
        <w:tc>
          <w:tcPr>
            <w:tcW w:w="1837"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名称</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设备容量（kW）</w:t>
            </w:r>
          </w:p>
        </w:tc>
        <w:tc>
          <w:tcPr>
            <w:tcW w:w="674"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需用系数Kx</w:t>
            </w:r>
          </w:p>
        </w:tc>
        <w:tc>
          <w:tcPr>
            <w:tcW w:w="3499" w:type="dxa"/>
            <w:gridSpan w:val="3"/>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计算负荷</w:t>
            </w:r>
          </w:p>
        </w:tc>
        <w:tc>
          <w:tcPr>
            <w:tcW w:w="1059"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37"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431"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安装容量</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w:t>
            </w:r>
            <w:r>
              <w:rPr>
                <w:rFonts w:cs="Times New Roman"/>
                <w:color w:val="auto"/>
                <w:kern w:val="0"/>
                <w:sz w:val="21"/>
                <w:szCs w:val="21"/>
              </w:rPr>
              <w:t>kW</w:t>
            </w:r>
            <w:r>
              <w:rPr>
                <w:rFonts w:hint="eastAsia" w:cs="Times New Roman"/>
                <w:color w:val="auto"/>
                <w:kern w:val="0"/>
                <w:sz w:val="21"/>
                <w:szCs w:val="21"/>
              </w:rPr>
              <w:t>）</w:t>
            </w:r>
          </w:p>
        </w:tc>
        <w:tc>
          <w:tcPr>
            <w:tcW w:w="674"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Pj</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Qj</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Sj</w:t>
            </w:r>
          </w:p>
        </w:tc>
        <w:tc>
          <w:tcPr>
            <w:tcW w:w="1059"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37"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431"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74"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w:t>
            </w:r>
            <w:r>
              <w:rPr>
                <w:rFonts w:cs="Times New Roman"/>
                <w:color w:val="auto"/>
                <w:kern w:val="0"/>
                <w:sz w:val="21"/>
                <w:szCs w:val="21"/>
              </w:rPr>
              <w:t>kW</w:t>
            </w:r>
            <w:r>
              <w:rPr>
                <w:rFonts w:hint="eastAsia" w:cs="Times New Roman"/>
                <w:color w:val="auto"/>
                <w:kern w:val="0"/>
                <w:sz w:val="21"/>
                <w:szCs w:val="21"/>
              </w:rPr>
              <w:t>）</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w:t>
            </w:r>
            <w:r>
              <w:rPr>
                <w:rFonts w:cs="Times New Roman"/>
                <w:color w:val="auto"/>
                <w:kern w:val="0"/>
                <w:sz w:val="21"/>
                <w:szCs w:val="21"/>
              </w:rPr>
              <w:t>kVAr</w:t>
            </w:r>
            <w:r>
              <w:rPr>
                <w:rFonts w:hint="eastAsia" w:cs="Times New Roman"/>
                <w:color w:val="auto"/>
                <w:kern w:val="0"/>
                <w:sz w:val="21"/>
                <w:szCs w:val="21"/>
              </w:rPr>
              <w:t>）</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w:t>
            </w:r>
            <w:r>
              <w:rPr>
                <w:rFonts w:cs="Times New Roman"/>
                <w:color w:val="auto"/>
                <w:kern w:val="0"/>
                <w:sz w:val="21"/>
                <w:szCs w:val="21"/>
              </w:rPr>
              <w:t>kVA</w:t>
            </w:r>
            <w:r>
              <w:rPr>
                <w:rFonts w:hint="eastAsia" w:cs="Times New Roman"/>
                <w:color w:val="auto"/>
                <w:kern w:val="0"/>
                <w:sz w:val="21"/>
                <w:szCs w:val="21"/>
              </w:rPr>
              <w:t>）</w:t>
            </w:r>
          </w:p>
        </w:tc>
        <w:tc>
          <w:tcPr>
            <w:tcW w:w="1059"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106甲类仓库</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3.5</w:t>
            </w: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3.5</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2.6</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本次新增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原有</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321</w:t>
            </w: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321</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240.7</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总计</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324.5</w:t>
            </w: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324.5</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243.3</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同时系数</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324</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243</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低压电容补偿后</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324</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83</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335</w:t>
            </w: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补偿</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160kVAr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变压器损耗</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16</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7</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折算到10kV侧</w:t>
            </w:r>
          </w:p>
        </w:tc>
        <w:tc>
          <w:tcPr>
            <w:tcW w:w="1431"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74"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0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327</w:t>
            </w:r>
          </w:p>
        </w:tc>
        <w:tc>
          <w:tcPr>
            <w:tcW w:w="11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99</w:t>
            </w:r>
          </w:p>
        </w:tc>
        <w:tc>
          <w:tcPr>
            <w:tcW w:w="13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341</w:t>
            </w: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61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8</w:t>
            </w:r>
          </w:p>
        </w:tc>
        <w:tc>
          <w:tcPr>
            <w:tcW w:w="183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变压器负荷率</w:t>
            </w:r>
          </w:p>
        </w:tc>
        <w:tc>
          <w:tcPr>
            <w:tcW w:w="5605" w:type="dxa"/>
            <w:gridSpan w:val="5"/>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依托现有的1台400kVA油浸变压器，功率因数COsΦ＝0.96</w:t>
            </w:r>
          </w:p>
        </w:tc>
        <w:tc>
          <w:tcPr>
            <w:tcW w:w="105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KH＝85%</w:t>
            </w:r>
          </w:p>
        </w:tc>
      </w:tr>
    </w:tbl>
    <w:p>
      <w:pPr>
        <w:wordWrap w:val="0"/>
        <w:adjustRightInd w:val="0"/>
        <w:snapToGrid w:val="0"/>
        <w:ind w:firstLine="560" w:firstLineChars="200"/>
        <w:textAlignment w:val="center"/>
        <w:rPr>
          <w:color w:val="auto"/>
          <w:kern w:val="0"/>
        </w:rPr>
      </w:pPr>
      <w:r>
        <w:rPr>
          <w:rFonts w:hint="eastAsia"/>
          <w:color w:val="auto"/>
          <w:kern w:val="0"/>
        </w:rPr>
        <w:t>本项目的消防控制报警系统设置在门卫，消防控制报警系统设置UPS电源（供电时间不少于30min）供可燃气体报警系统及火灾报警系统使用。厂内的应急照明采用自带蓄电池的应急灯。</w:t>
      </w:r>
    </w:p>
    <w:p>
      <w:pPr>
        <w:wordWrap w:val="0"/>
        <w:adjustRightInd w:val="0"/>
        <w:snapToGrid w:val="0"/>
        <w:ind w:firstLine="560" w:firstLineChars="200"/>
        <w:textAlignment w:val="center"/>
        <w:rPr>
          <w:color w:val="auto"/>
          <w:kern w:val="0"/>
        </w:rPr>
      </w:pPr>
      <w:r>
        <w:rPr>
          <w:rFonts w:hint="eastAsia"/>
          <w:color w:val="auto"/>
          <w:kern w:val="0"/>
        </w:rPr>
        <w:t>5、主要设备选型</w:t>
      </w:r>
    </w:p>
    <w:p>
      <w:pPr>
        <w:wordWrap w:val="0"/>
        <w:adjustRightInd w:val="0"/>
        <w:snapToGrid w:val="0"/>
        <w:ind w:firstLine="560" w:firstLineChars="200"/>
        <w:textAlignment w:val="center"/>
        <w:rPr>
          <w:color w:val="auto"/>
          <w:kern w:val="0"/>
        </w:rPr>
      </w:pPr>
      <w:r>
        <w:rPr>
          <w:rFonts w:hint="eastAsia"/>
          <w:color w:val="auto"/>
          <w:kern w:val="0"/>
        </w:rPr>
        <w:t>变压器：S13-10/0.4-400kVA；（原有）</w:t>
      </w:r>
    </w:p>
    <w:p>
      <w:pPr>
        <w:wordWrap w:val="0"/>
        <w:adjustRightInd w:val="0"/>
        <w:snapToGrid w:val="0"/>
        <w:ind w:firstLine="560" w:firstLineChars="200"/>
        <w:textAlignment w:val="center"/>
        <w:rPr>
          <w:color w:val="auto"/>
          <w:kern w:val="0"/>
        </w:rPr>
      </w:pPr>
      <w:r>
        <w:rPr>
          <w:rFonts w:hint="eastAsia"/>
          <w:color w:val="auto"/>
          <w:kern w:val="0"/>
        </w:rPr>
        <w:t>柴油发电机组：100kW1台（原有）</w:t>
      </w:r>
    </w:p>
    <w:p>
      <w:pPr>
        <w:wordWrap w:val="0"/>
        <w:adjustRightInd w:val="0"/>
        <w:snapToGrid w:val="0"/>
        <w:ind w:firstLine="560" w:firstLineChars="200"/>
        <w:textAlignment w:val="center"/>
        <w:rPr>
          <w:color w:val="auto"/>
          <w:kern w:val="0"/>
        </w:rPr>
      </w:pPr>
      <w:r>
        <w:rPr>
          <w:rFonts w:hint="eastAsia"/>
          <w:color w:val="auto"/>
          <w:kern w:val="0"/>
        </w:rPr>
        <w:t>低压开关柜：GGD型（原有）</w:t>
      </w:r>
    </w:p>
    <w:p>
      <w:pPr>
        <w:wordWrap w:val="0"/>
        <w:adjustRightInd w:val="0"/>
        <w:snapToGrid w:val="0"/>
        <w:ind w:firstLine="560" w:firstLineChars="200"/>
        <w:textAlignment w:val="center"/>
        <w:rPr>
          <w:color w:val="auto"/>
          <w:kern w:val="0"/>
        </w:rPr>
      </w:pPr>
      <w:r>
        <w:rPr>
          <w:rFonts w:hint="eastAsia"/>
          <w:color w:val="auto"/>
          <w:kern w:val="0"/>
        </w:rPr>
        <w:t>电缆：ZR-YJV-0.6/1kV、NH-YJV-0.6/1kV、NH-KVV-0.45/0.75kV、NH-RVVP-0.3/0.5kV等</w:t>
      </w:r>
    </w:p>
    <w:p>
      <w:pPr>
        <w:wordWrap w:val="0"/>
        <w:adjustRightInd w:val="0"/>
        <w:snapToGrid w:val="0"/>
        <w:ind w:firstLine="560" w:firstLineChars="200"/>
        <w:textAlignment w:val="center"/>
        <w:rPr>
          <w:color w:val="auto"/>
          <w:kern w:val="0"/>
        </w:rPr>
      </w:pPr>
      <w:r>
        <w:rPr>
          <w:rFonts w:hint="eastAsia"/>
          <w:color w:val="auto"/>
          <w:kern w:val="0"/>
        </w:rPr>
        <w:t>电线：ZR-BV-450/750V、NH-BV-450/750V</w:t>
      </w:r>
    </w:p>
    <w:p>
      <w:pPr>
        <w:wordWrap w:val="0"/>
        <w:adjustRightInd w:val="0"/>
        <w:snapToGrid w:val="0"/>
        <w:ind w:firstLine="560" w:firstLineChars="200"/>
        <w:textAlignment w:val="center"/>
        <w:rPr>
          <w:color w:val="auto"/>
          <w:kern w:val="0"/>
        </w:rPr>
      </w:pPr>
      <w:r>
        <w:rPr>
          <w:rFonts w:hint="eastAsia"/>
          <w:color w:val="auto"/>
          <w:kern w:val="0"/>
        </w:rPr>
        <w:t>照明配电箱：BXM51型</w:t>
      </w:r>
    </w:p>
    <w:p>
      <w:pPr>
        <w:wordWrap w:val="0"/>
        <w:adjustRightInd w:val="0"/>
        <w:snapToGrid w:val="0"/>
        <w:ind w:firstLine="560" w:firstLineChars="200"/>
        <w:textAlignment w:val="center"/>
        <w:rPr>
          <w:color w:val="auto"/>
          <w:kern w:val="0"/>
        </w:rPr>
      </w:pPr>
      <w:r>
        <w:rPr>
          <w:rFonts w:hint="eastAsia"/>
          <w:color w:val="auto"/>
          <w:kern w:val="0"/>
        </w:rPr>
        <w:t>6、</w:t>
      </w:r>
      <w:r>
        <w:rPr>
          <w:color w:val="auto"/>
          <w:kern w:val="0"/>
        </w:rPr>
        <w:t>防雷接地</w:t>
      </w:r>
    </w:p>
    <w:p>
      <w:pPr>
        <w:wordWrap w:val="0"/>
        <w:adjustRightInd w:val="0"/>
        <w:snapToGrid w:val="0"/>
        <w:ind w:firstLine="560" w:firstLineChars="200"/>
        <w:textAlignment w:val="center"/>
        <w:rPr>
          <w:color w:val="auto"/>
          <w:kern w:val="0"/>
        </w:rPr>
      </w:pPr>
      <w:r>
        <w:rPr>
          <w:rFonts w:hint="eastAsia"/>
          <w:color w:val="auto"/>
          <w:kern w:val="0"/>
        </w:rPr>
        <w:t>1）</w:t>
      </w:r>
      <w:r>
        <w:rPr>
          <w:color w:val="auto"/>
          <w:kern w:val="0"/>
        </w:rPr>
        <w:t>防雷</w:t>
      </w:r>
    </w:p>
    <w:p>
      <w:pPr>
        <w:wordWrap w:val="0"/>
        <w:adjustRightInd w:val="0"/>
        <w:snapToGrid w:val="0"/>
        <w:ind w:firstLine="560" w:firstLineChars="200"/>
        <w:jc w:val="left"/>
        <w:textAlignment w:val="center"/>
        <w:rPr>
          <w:color w:val="auto"/>
          <w:szCs w:val="28"/>
        </w:rPr>
      </w:pPr>
      <w:r>
        <w:rPr>
          <w:rFonts w:hint="eastAsia"/>
          <w:color w:val="auto"/>
          <w:szCs w:val="28"/>
        </w:rPr>
        <w:t>本项目甲类仓库属二类防雷建筑物，利用屋面接闪带防直击雷，屋面接闪带网格不大于12m×8m，引下线间距不大于18m。</w:t>
      </w:r>
    </w:p>
    <w:p>
      <w:pPr>
        <w:wordWrap w:val="0"/>
        <w:adjustRightInd w:val="0"/>
        <w:snapToGrid w:val="0"/>
        <w:ind w:firstLine="560" w:firstLineChars="200"/>
        <w:jc w:val="left"/>
        <w:textAlignment w:val="center"/>
        <w:rPr>
          <w:color w:val="auto"/>
          <w:szCs w:val="28"/>
        </w:rPr>
      </w:pPr>
      <w:r>
        <w:rPr>
          <w:rFonts w:hint="eastAsia"/>
          <w:color w:val="auto"/>
          <w:szCs w:val="28"/>
        </w:rPr>
        <w:t>2）防静电接地</w:t>
      </w:r>
    </w:p>
    <w:p>
      <w:pPr>
        <w:wordWrap w:val="0"/>
        <w:adjustRightInd w:val="0"/>
        <w:snapToGrid w:val="0"/>
        <w:ind w:firstLine="560" w:firstLineChars="200"/>
        <w:jc w:val="left"/>
        <w:textAlignment w:val="center"/>
        <w:rPr>
          <w:color w:val="auto"/>
          <w:szCs w:val="28"/>
        </w:rPr>
      </w:pPr>
      <w:r>
        <w:rPr>
          <w:rFonts w:hint="eastAsia"/>
          <w:color w:val="auto"/>
          <w:szCs w:val="28"/>
        </w:rPr>
        <w:t>本项目106甲类仓库采用TN-S接地保护方式，在室内距地+0.3m明敷-40×4镀锌扁钢，作为防静电接地干线。所有金属设备及钢平台扶手均与防静电接地干线作可靠焊接，室内外的所有工艺设备管道及电器设备外壳、防雷防静电及电气保护接地均可靠接地。</w:t>
      </w:r>
    </w:p>
    <w:p>
      <w:pPr>
        <w:pStyle w:val="5"/>
        <w:keepNext w:val="0"/>
        <w:keepLines w:val="0"/>
        <w:wordWrap w:val="0"/>
        <w:adjustRightInd w:val="0"/>
        <w:snapToGrid w:val="0"/>
        <w:textAlignment w:val="center"/>
        <w:rPr>
          <w:color w:val="auto"/>
          <w:kern w:val="0"/>
        </w:rPr>
      </w:pPr>
      <w:bookmarkStart w:id="53" w:name="_Toc11002"/>
      <w:r>
        <w:rPr>
          <w:rFonts w:hint="eastAsia"/>
          <w:color w:val="auto"/>
          <w:kern w:val="0"/>
        </w:rPr>
        <w:t>2.7.3 自动控制</w:t>
      </w:r>
      <w:bookmarkEnd w:id="53"/>
    </w:p>
    <w:p>
      <w:pPr>
        <w:wordWrap w:val="0"/>
        <w:adjustRightInd w:val="0"/>
        <w:snapToGrid w:val="0"/>
        <w:ind w:firstLine="560" w:firstLineChars="200"/>
        <w:jc w:val="left"/>
        <w:textAlignment w:val="center"/>
        <w:rPr>
          <w:color w:val="auto"/>
          <w:kern w:val="0"/>
        </w:rPr>
      </w:pPr>
      <w:r>
        <w:rPr>
          <w:rFonts w:hint="eastAsia"/>
          <w:color w:val="auto"/>
          <w:kern w:val="0"/>
        </w:rPr>
        <w:t>1、控制系统选择</w:t>
      </w:r>
    </w:p>
    <w:p>
      <w:pPr>
        <w:wordWrap w:val="0"/>
        <w:adjustRightInd w:val="0"/>
        <w:snapToGrid w:val="0"/>
        <w:ind w:firstLine="560" w:firstLineChars="200"/>
        <w:jc w:val="left"/>
        <w:textAlignment w:val="center"/>
        <w:rPr>
          <w:color w:val="auto"/>
          <w:kern w:val="0"/>
        </w:rPr>
      </w:pPr>
      <w:r>
        <w:rPr>
          <w:rFonts w:hint="eastAsia"/>
          <w:color w:val="auto"/>
          <w:kern w:val="0"/>
        </w:rPr>
        <w:t>本项目为安全设施提升改造项目，仅涉及新建106甲类仓库一座，1</w:t>
      </w:r>
      <w:r>
        <w:rPr>
          <w:color w:val="auto"/>
          <w:kern w:val="0"/>
        </w:rPr>
        <w:t>06</w:t>
      </w:r>
      <w:r>
        <w:rPr>
          <w:rFonts w:hint="eastAsia"/>
          <w:color w:val="auto"/>
          <w:kern w:val="0"/>
        </w:rPr>
        <w:t>甲类仓库设置事故风机和可燃气体泄露检测报警器联锁。</w:t>
      </w:r>
    </w:p>
    <w:p>
      <w:pPr>
        <w:wordWrap w:val="0"/>
        <w:adjustRightInd w:val="0"/>
        <w:snapToGrid w:val="0"/>
        <w:ind w:firstLine="560" w:firstLineChars="200"/>
        <w:jc w:val="left"/>
        <w:textAlignment w:val="center"/>
        <w:rPr>
          <w:color w:val="auto"/>
          <w:kern w:val="0"/>
        </w:rPr>
      </w:pPr>
      <w:r>
        <w:rPr>
          <w:rFonts w:hint="eastAsia"/>
          <w:color w:val="auto"/>
          <w:kern w:val="0"/>
        </w:rPr>
        <w:t>2、控制室设置</w:t>
      </w:r>
    </w:p>
    <w:p>
      <w:pPr>
        <w:wordWrap w:val="0"/>
        <w:adjustRightInd w:val="0"/>
        <w:snapToGrid w:val="0"/>
        <w:ind w:firstLine="560" w:firstLineChars="200"/>
        <w:jc w:val="left"/>
        <w:textAlignment w:val="center"/>
        <w:rPr>
          <w:color w:val="auto"/>
          <w:kern w:val="0"/>
        </w:rPr>
      </w:pPr>
      <w:r>
        <w:rPr>
          <w:rFonts w:hint="eastAsia"/>
          <w:color w:val="auto"/>
          <w:kern w:val="0"/>
        </w:rPr>
        <w:t>本项目的可燃气体报警和消防火灾自动报警均远传信号至门卫（消防控制室）。</w:t>
      </w:r>
    </w:p>
    <w:p>
      <w:pPr>
        <w:wordWrap w:val="0"/>
        <w:adjustRightInd w:val="0"/>
        <w:snapToGrid w:val="0"/>
        <w:ind w:firstLine="560" w:firstLineChars="200"/>
        <w:jc w:val="left"/>
        <w:textAlignment w:val="center"/>
        <w:rPr>
          <w:color w:val="auto"/>
          <w:kern w:val="0"/>
        </w:rPr>
      </w:pPr>
      <w:r>
        <w:rPr>
          <w:rFonts w:hint="eastAsia"/>
          <w:color w:val="auto"/>
          <w:kern w:val="0"/>
        </w:rPr>
        <w:t>3、仪表选型</w:t>
      </w:r>
    </w:p>
    <w:p>
      <w:pPr>
        <w:wordWrap w:val="0"/>
        <w:adjustRightInd w:val="0"/>
        <w:snapToGrid w:val="0"/>
        <w:ind w:firstLine="560" w:firstLineChars="200"/>
        <w:jc w:val="left"/>
        <w:textAlignment w:val="center"/>
        <w:rPr>
          <w:color w:val="auto"/>
          <w:kern w:val="0"/>
        </w:rPr>
      </w:pPr>
      <w:r>
        <w:rPr>
          <w:rFonts w:hint="eastAsia"/>
          <w:color w:val="auto"/>
          <w:kern w:val="0"/>
        </w:rPr>
        <w:t>1）本项目的可燃气体检测仪表可燃气体探测器检测为扩散式；仓库内设置现场温湿度计；选用的仪表防护等级为IP65，爆炸危险场所内选用防爆型仪表，防爆等级为ExdⅡBT4。</w:t>
      </w:r>
    </w:p>
    <w:p>
      <w:pPr>
        <w:wordWrap w:val="0"/>
        <w:adjustRightInd w:val="0"/>
        <w:snapToGrid w:val="0"/>
        <w:ind w:firstLine="560" w:firstLineChars="200"/>
        <w:jc w:val="left"/>
        <w:textAlignment w:val="center"/>
        <w:rPr>
          <w:color w:val="auto"/>
          <w:kern w:val="0"/>
        </w:rPr>
      </w:pPr>
      <w:r>
        <w:rPr>
          <w:rFonts w:hint="eastAsia"/>
          <w:color w:val="auto"/>
          <w:kern w:val="0"/>
        </w:rPr>
        <w:t>4、供电</w:t>
      </w:r>
    </w:p>
    <w:p>
      <w:pPr>
        <w:wordWrap w:val="0"/>
        <w:adjustRightInd w:val="0"/>
        <w:snapToGrid w:val="0"/>
        <w:ind w:firstLine="560" w:firstLineChars="200"/>
        <w:jc w:val="left"/>
        <w:textAlignment w:val="center"/>
        <w:rPr>
          <w:color w:val="auto"/>
          <w:kern w:val="0"/>
        </w:rPr>
      </w:pPr>
      <w:r>
        <w:rPr>
          <w:rFonts w:hint="eastAsia"/>
          <w:color w:val="auto"/>
          <w:kern w:val="0"/>
        </w:rPr>
        <w:t>仪表装置的供电包括可燃气体探测器和消控室的气体报警控制器等。仪表系统电源瞬停的持续时间不大于10ms，交流电源电压220V±11V，频率50Hz±0.5Hz。仪表用电负荷属于有特殊供电要求的负荷，工作电源设有不间断电源（UPS），电池持续放电时间大于30分钟。</w:t>
      </w:r>
    </w:p>
    <w:p>
      <w:pPr>
        <w:wordWrap w:val="0"/>
        <w:adjustRightInd w:val="0"/>
        <w:snapToGrid w:val="0"/>
        <w:ind w:firstLine="560" w:firstLineChars="200"/>
        <w:jc w:val="left"/>
        <w:textAlignment w:val="center"/>
        <w:rPr>
          <w:color w:val="auto"/>
          <w:kern w:val="0"/>
        </w:rPr>
      </w:pPr>
      <w:r>
        <w:rPr>
          <w:rFonts w:hint="eastAsia"/>
          <w:color w:val="auto"/>
          <w:kern w:val="0"/>
        </w:rPr>
        <w:t>5、管线敷设</w:t>
      </w:r>
    </w:p>
    <w:p>
      <w:pPr>
        <w:wordWrap w:val="0"/>
        <w:adjustRightInd w:val="0"/>
        <w:snapToGrid w:val="0"/>
        <w:ind w:firstLine="560" w:firstLineChars="200"/>
        <w:jc w:val="left"/>
        <w:textAlignment w:val="center"/>
        <w:rPr>
          <w:color w:val="auto"/>
          <w:kern w:val="0"/>
        </w:rPr>
      </w:pPr>
      <w:r>
        <w:rPr>
          <w:rFonts w:hint="eastAsia"/>
          <w:color w:val="auto"/>
          <w:kern w:val="0"/>
        </w:rPr>
        <w:t>可燃气体探测器电缆均引自控制室内，穿钢管埋地敷设，埋深不少于0.7m。电缆穿钢管均设有保护接地，本项目自控仪表接地系统与电气接地采用联合接地方式，接地电阻取值不大于</w:t>
      </w:r>
      <w:r>
        <w:rPr>
          <w:color w:val="auto"/>
          <w:kern w:val="0"/>
        </w:rPr>
        <w:t>1</w:t>
      </w:r>
      <w:r>
        <w:rPr>
          <w:rFonts w:hint="eastAsia"/>
          <w:color w:val="auto"/>
          <w:kern w:val="0"/>
        </w:rPr>
        <w:t>Ω</w:t>
      </w:r>
      <w:r>
        <w:rPr>
          <w:rFonts w:hint="eastAsia"/>
          <w:color w:val="auto"/>
          <w:kern w:val="0"/>
        </w:rPr>
        <w:t>。</w:t>
      </w:r>
    </w:p>
    <w:p>
      <w:pPr>
        <w:pStyle w:val="5"/>
        <w:keepNext w:val="0"/>
        <w:keepLines w:val="0"/>
        <w:wordWrap w:val="0"/>
        <w:adjustRightInd w:val="0"/>
        <w:snapToGrid w:val="0"/>
        <w:textAlignment w:val="center"/>
        <w:rPr>
          <w:color w:val="auto"/>
          <w:kern w:val="0"/>
        </w:rPr>
      </w:pPr>
      <w:bookmarkStart w:id="54" w:name="_Toc21015"/>
      <w:r>
        <w:rPr>
          <w:rFonts w:hint="eastAsia"/>
          <w:color w:val="auto"/>
          <w:kern w:val="0"/>
        </w:rPr>
        <w:t>2.7.4 电讯</w:t>
      </w:r>
      <w:bookmarkEnd w:id="54"/>
    </w:p>
    <w:p>
      <w:pPr>
        <w:wordWrap w:val="0"/>
        <w:adjustRightInd w:val="0"/>
        <w:snapToGrid w:val="0"/>
        <w:ind w:firstLine="560" w:firstLineChars="200"/>
        <w:textAlignment w:val="center"/>
        <w:rPr>
          <w:color w:val="auto"/>
          <w:kern w:val="0"/>
        </w:rPr>
      </w:pPr>
      <w:r>
        <w:rPr>
          <w:color w:val="auto"/>
          <w:kern w:val="0"/>
        </w:rPr>
        <w:t>1、电讯系统</w:t>
      </w:r>
    </w:p>
    <w:p>
      <w:pPr>
        <w:wordWrap w:val="0"/>
        <w:adjustRightInd w:val="0"/>
        <w:snapToGrid w:val="0"/>
        <w:ind w:firstLine="560" w:firstLineChars="200"/>
        <w:textAlignment w:val="center"/>
        <w:rPr>
          <w:color w:val="auto"/>
          <w:kern w:val="0"/>
        </w:rPr>
      </w:pPr>
      <w:r>
        <w:rPr>
          <w:color w:val="auto"/>
          <w:kern w:val="0"/>
        </w:rPr>
        <w:t>企业与当地电信部门设置中继通信线路以构成对内、外的通信网，在值班室设电话机以保证通信联络畅通。</w:t>
      </w:r>
    </w:p>
    <w:p>
      <w:pPr>
        <w:wordWrap w:val="0"/>
        <w:adjustRightInd w:val="0"/>
        <w:snapToGrid w:val="0"/>
        <w:ind w:firstLine="560" w:firstLineChars="200"/>
        <w:textAlignment w:val="center"/>
        <w:rPr>
          <w:color w:val="auto"/>
          <w:kern w:val="0"/>
        </w:rPr>
      </w:pPr>
      <w:r>
        <w:rPr>
          <w:color w:val="auto"/>
          <w:kern w:val="0"/>
        </w:rPr>
        <w:t>2、可燃气体报警装置</w:t>
      </w:r>
    </w:p>
    <w:p>
      <w:pPr>
        <w:wordWrap w:val="0"/>
        <w:adjustRightInd w:val="0"/>
        <w:snapToGrid w:val="0"/>
        <w:ind w:firstLine="560" w:firstLineChars="200"/>
        <w:textAlignment w:val="center"/>
        <w:rPr>
          <w:color w:val="auto"/>
          <w:kern w:val="0"/>
        </w:rPr>
      </w:pPr>
      <w:r>
        <w:rPr>
          <w:color w:val="auto"/>
          <w:kern w:val="0"/>
        </w:rPr>
        <w:t>本项目</w:t>
      </w:r>
      <w:r>
        <w:rPr>
          <w:rFonts w:hint="eastAsia"/>
          <w:color w:val="auto"/>
          <w:kern w:val="0"/>
        </w:rPr>
        <w:t>在</w:t>
      </w:r>
      <w:r>
        <w:rPr>
          <w:color w:val="auto"/>
          <w:kern w:val="0"/>
        </w:rPr>
        <w:t>106甲类仓库在可能散发可燃气体的区域按照《石油化工可燃气体和有毒气体检测报警设计标准》GB50493-2019设置</w:t>
      </w:r>
      <w:r>
        <w:rPr>
          <w:rFonts w:hint="eastAsia"/>
          <w:color w:val="auto"/>
          <w:kern w:val="0"/>
        </w:rPr>
        <w:t>了</w:t>
      </w:r>
      <w:r>
        <w:rPr>
          <w:color w:val="auto"/>
          <w:kern w:val="0"/>
        </w:rPr>
        <w:t>15</w:t>
      </w:r>
      <w:r>
        <w:rPr>
          <w:rFonts w:hint="eastAsia"/>
          <w:color w:val="auto"/>
          <w:kern w:val="0"/>
        </w:rPr>
        <w:t>个</w:t>
      </w:r>
      <w:r>
        <w:rPr>
          <w:color w:val="auto"/>
          <w:kern w:val="0"/>
        </w:rPr>
        <w:t>可燃气体检测探头，</w:t>
      </w:r>
      <w:r>
        <w:rPr>
          <w:rFonts w:hint="eastAsia"/>
          <w:color w:val="auto"/>
          <w:kern w:val="0"/>
        </w:rPr>
        <w:t>每个防火分区分别设置5个气体检测探头，</w:t>
      </w:r>
      <w:r>
        <w:rPr>
          <w:color w:val="auto"/>
          <w:kern w:val="0"/>
        </w:rPr>
        <w:t>并设超限报警，防爆级别不低于ExdⅡBT4，可燃气体报警探头均设有现场声、光报警功能</w:t>
      </w:r>
      <w:r>
        <w:rPr>
          <w:rFonts w:hint="eastAsia"/>
          <w:color w:val="auto"/>
          <w:kern w:val="0"/>
        </w:rPr>
        <w:t>，安装高度距地面0</w:t>
      </w:r>
      <w:r>
        <w:rPr>
          <w:color w:val="auto"/>
          <w:kern w:val="0"/>
        </w:rPr>
        <w:t>.5</w:t>
      </w:r>
      <w:r>
        <w:rPr>
          <w:rFonts w:hint="eastAsia"/>
          <w:color w:val="auto"/>
          <w:kern w:val="0"/>
        </w:rPr>
        <w:t>m，每个防火分区设置一个区域报警器</w:t>
      </w:r>
      <w:r>
        <w:rPr>
          <w:color w:val="auto"/>
          <w:kern w:val="0"/>
        </w:rPr>
        <w:t>。所有可燃气体报警探头均将信号远传至门卫室的可燃气体检测报警器内，可燃气体检测报警器设有声、光报警和UPS电源，门卫室设24小时有人值守。</w:t>
      </w:r>
      <w:r>
        <w:rPr>
          <w:rFonts w:hint="eastAsia"/>
          <w:color w:val="auto"/>
          <w:kern w:val="0"/>
        </w:rPr>
        <w:t>可燃气体探头已进行校验检测，检测报告见附件。</w:t>
      </w:r>
      <w:r>
        <w:rPr>
          <w:color w:val="auto"/>
          <w:kern w:val="0"/>
        </w:rPr>
        <w:t>本项目在106甲类仓库内设置事故风机，并与可燃气体报警系统进行联锁。</w:t>
      </w:r>
    </w:p>
    <w:p>
      <w:pPr>
        <w:wordWrap w:val="0"/>
        <w:adjustRightInd w:val="0"/>
        <w:snapToGrid w:val="0"/>
        <w:jc w:val="center"/>
        <w:textAlignment w:val="center"/>
        <w:rPr>
          <w:color w:val="auto"/>
          <w:kern w:val="0"/>
        </w:rPr>
      </w:pPr>
      <w:r>
        <w:rPr>
          <w:rFonts w:hint="eastAsia"/>
          <w:color w:val="auto"/>
          <w:kern w:val="0"/>
        </w:rPr>
        <w:t>表2.7-2  可燃气体探测仪检测一览表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1118"/>
        <w:gridCol w:w="1561"/>
        <w:gridCol w:w="1101"/>
        <w:gridCol w:w="2642"/>
        <w:gridCol w:w="19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10"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序号</w:t>
            </w:r>
          </w:p>
        </w:tc>
        <w:tc>
          <w:tcPr>
            <w:tcW w:w="1118"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安装位置</w:t>
            </w:r>
          </w:p>
        </w:tc>
        <w:tc>
          <w:tcPr>
            <w:tcW w:w="1561"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仪表名称</w:t>
            </w:r>
          </w:p>
        </w:tc>
        <w:tc>
          <w:tcPr>
            <w:tcW w:w="1101"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数量（只）</w:t>
            </w:r>
          </w:p>
        </w:tc>
        <w:tc>
          <w:tcPr>
            <w:tcW w:w="2642"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探测介质</w:t>
            </w:r>
          </w:p>
        </w:tc>
        <w:tc>
          <w:tcPr>
            <w:tcW w:w="1939"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报警设定值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10"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1</w:t>
            </w:r>
          </w:p>
        </w:tc>
        <w:tc>
          <w:tcPr>
            <w:tcW w:w="1118"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106仓库</w:t>
            </w:r>
          </w:p>
        </w:tc>
        <w:tc>
          <w:tcPr>
            <w:tcW w:w="1561"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可燃气体检测器</w:t>
            </w:r>
          </w:p>
        </w:tc>
        <w:tc>
          <w:tcPr>
            <w:tcW w:w="1101"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1</w:t>
            </w:r>
            <w:r>
              <w:rPr>
                <w:rFonts w:hint="eastAsia" w:cs="Times New Roman"/>
                <w:color w:val="auto"/>
                <w:kern w:val="0"/>
                <w:sz w:val="21"/>
                <w:szCs w:val="21"/>
                <w:lang w:bidi="ar"/>
              </w:rPr>
              <w:t>5</w:t>
            </w:r>
          </w:p>
        </w:tc>
        <w:tc>
          <w:tcPr>
            <w:tcW w:w="2642"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环氧树脂</w:t>
            </w:r>
            <w:r>
              <w:rPr>
                <w:rFonts w:hint="eastAsia" w:cs="Times New Roman"/>
                <w:color w:val="auto"/>
                <w:kern w:val="0"/>
                <w:sz w:val="21"/>
                <w:szCs w:val="21"/>
                <w:lang w:bidi="ar"/>
              </w:rPr>
              <w:t>，</w:t>
            </w:r>
            <w:r>
              <w:rPr>
                <w:rFonts w:cs="Times New Roman"/>
                <w:color w:val="auto"/>
                <w:kern w:val="0"/>
                <w:sz w:val="21"/>
                <w:szCs w:val="21"/>
                <w:lang w:bidi="ar"/>
              </w:rPr>
              <w:t>环氧树脂固化剂</w:t>
            </w:r>
            <w:r>
              <w:rPr>
                <w:rFonts w:hint="eastAsia" w:cs="Times New Roman"/>
                <w:color w:val="auto"/>
                <w:kern w:val="0"/>
                <w:sz w:val="21"/>
                <w:szCs w:val="21"/>
                <w:lang w:bidi="ar"/>
              </w:rPr>
              <w:t>，</w:t>
            </w:r>
            <w:r>
              <w:rPr>
                <w:rFonts w:cs="Times New Roman"/>
                <w:color w:val="auto"/>
                <w:kern w:val="0"/>
                <w:sz w:val="21"/>
                <w:szCs w:val="21"/>
                <w:lang w:bidi="ar"/>
              </w:rPr>
              <w:t>溶剂型丙烯酸树脂</w:t>
            </w:r>
            <w:r>
              <w:rPr>
                <w:rFonts w:hint="eastAsia" w:cs="Times New Roman"/>
                <w:color w:val="auto"/>
                <w:kern w:val="0"/>
                <w:sz w:val="21"/>
                <w:szCs w:val="21"/>
                <w:lang w:bidi="ar"/>
              </w:rPr>
              <w:t>，</w:t>
            </w:r>
            <w:r>
              <w:rPr>
                <w:rFonts w:cs="Times New Roman"/>
                <w:color w:val="auto"/>
                <w:kern w:val="0"/>
                <w:sz w:val="21"/>
                <w:szCs w:val="21"/>
                <w:lang w:bidi="ar"/>
              </w:rPr>
              <w:t>聚氨酯树脂</w:t>
            </w:r>
            <w:r>
              <w:rPr>
                <w:rFonts w:hint="eastAsia" w:cs="Times New Roman"/>
                <w:color w:val="auto"/>
                <w:kern w:val="0"/>
                <w:sz w:val="21"/>
                <w:szCs w:val="21"/>
                <w:lang w:bidi="ar"/>
              </w:rPr>
              <w:t>，</w:t>
            </w:r>
            <w:r>
              <w:rPr>
                <w:rFonts w:cs="Times New Roman"/>
                <w:color w:val="auto"/>
                <w:kern w:val="0"/>
                <w:sz w:val="21"/>
                <w:szCs w:val="21"/>
                <w:lang w:bidi="ar"/>
              </w:rPr>
              <w:t>氟碳树脂</w:t>
            </w:r>
            <w:r>
              <w:rPr>
                <w:rFonts w:hint="eastAsia" w:cs="Times New Roman"/>
                <w:color w:val="auto"/>
                <w:kern w:val="0"/>
                <w:sz w:val="21"/>
                <w:szCs w:val="21"/>
                <w:lang w:bidi="ar"/>
              </w:rPr>
              <w:t>，</w:t>
            </w:r>
            <w:r>
              <w:rPr>
                <w:rFonts w:cs="Times New Roman"/>
                <w:color w:val="auto"/>
                <w:kern w:val="0"/>
                <w:sz w:val="21"/>
                <w:szCs w:val="21"/>
                <w:lang w:bidi="ar"/>
              </w:rPr>
              <w:t>二甲苯</w:t>
            </w:r>
            <w:r>
              <w:rPr>
                <w:rFonts w:hint="eastAsia" w:cs="Times New Roman"/>
                <w:color w:val="auto"/>
                <w:kern w:val="0"/>
                <w:sz w:val="21"/>
                <w:szCs w:val="21"/>
                <w:lang w:bidi="ar"/>
              </w:rPr>
              <w:t>，</w:t>
            </w:r>
            <w:r>
              <w:rPr>
                <w:rFonts w:cs="Times New Roman"/>
                <w:color w:val="auto"/>
                <w:kern w:val="0"/>
                <w:sz w:val="21"/>
                <w:szCs w:val="21"/>
                <w:lang w:bidi="ar"/>
              </w:rPr>
              <w:t>醋酸丁酯</w:t>
            </w:r>
            <w:r>
              <w:rPr>
                <w:rFonts w:hint="eastAsia" w:cs="Times New Roman"/>
                <w:color w:val="auto"/>
                <w:kern w:val="0"/>
                <w:sz w:val="21"/>
                <w:szCs w:val="21"/>
                <w:lang w:bidi="ar"/>
              </w:rPr>
              <w:t>，</w:t>
            </w:r>
            <w:r>
              <w:rPr>
                <w:rFonts w:cs="Times New Roman"/>
                <w:color w:val="auto"/>
                <w:kern w:val="0"/>
                <w:sz w:val="21"/>
                <w:szCs w:val="21"/>
                <w:lang w:bidi="ar"/>
              </w:rPr>
              <w:t>正丁醇</w:t>
            </w:r>
            <w:r>
              <w:rPr>
                <w:rFonts w:hint="eastAsia" w:cs="Times New Roman"/>
                <w:color w:val="auto"/>
                <w:kern w:val="0"/>
                <w:sz w:val="21"/>
                <w:szCs w:val="21"/>
                <w:lang w:bidi="ar"/>
              </w:rPr>
              <w:t>，</w:t>
            </w:r>
            <w:r>
              <w:rPr>
                <w:rFonts w:cs="Times New Roman"/>
                <w:color w:val="auto"/>
                <w:kern w:val="0"/>
                <w:sz w:val="21"/>
                <w:szCs w:val="21"/>
                <w:lang w:bidi="ar"/>
              </w:rPr>
              <w:t>丙烯酸树脂涂料</w:t>
            </w:r>
            <w:r>
              <w:rPr>
                <w:rFonts w:hint="eastAsia" w:cs="Times New Roman"/>
                <w:color w:val="auto"/>
                <w:kern w:val="0"/>
                <w:sz w:val="21"/>
                <w:szCs w:val="21"/>
                <w:lang w:bidi="ar"/>
              </w:rPr>
              <w:t>，</w:t>
            </w:r>
            <w:r>
              <w:rPr>
                <w:rFonts w:cs="Times New Roman"/>
                <w:color w:val="auto"/>
                <w:kern w:val="0"/>
                <w:sz w:val="21"/>
                <w:szCs w:val="21"/>
                <w:lang w:bidi="ar"/>
              </w:rPr>
              <w:t>聚氨酯树脂涂料</w:t>
            </w:r>
            <w:r>
              <w:rPr>
                <w:rFonts w:hint="eastAsia" w:cs="Times New Roman"/>
                <w:color w:val="auto"/>
                <w:kern w:val="0"/>
                <w:sz w:val="21"/>
                <w:szCs w:val="21"/>
                <w:lang w:bidi="ar"/>
              </w:rPr>
              <w:t>，</w:t>
            </w:r>
            <w:r>
              <w:rPr>
                <w:rFonts w:cs="Times New Roman"/>
                <w:color w:val="auto"/>
                <w:kern w:val="0"/>
                <w:sz w:val="21"/>
                <w:szCs w:val="21"/>
                <w:lang w:bidi="ar"/>
              </w:rPr>
              <w:t>环氧树脂涂料</w:t>
            </w:r>
            <w:r>
              <w:rPr>
                <w:rFonts w:hint="eastAsia" w:cs="Times New Roman"/>
                <w:color w:val="auto"/>
                <w:kern w:val="0"/>
                <w:sz w:val="21"/>
                <w:szCs w:val="21"/>
                <w:lang w:bidi="ar"/>
              </w:rPr>
              <w:t>，</w:t>
            </w:r>
            <w:r>
              <w:rPr>
                <w:rFonts w:cs="Times New Roman"/>
                <w:color w:val="auto"/>
                <w:kern w:val="0"/>
                <w:sz w:val="21"/>
                <w:szCs w:val="21"/>
                <w:lang w:bidi="ar"/>
              </w:rPr>
              <w:t>氟碳树脂涂料</w:t>
            </w:r>
          </w:p>
        </w:tc>
        <w:tc>
          <w:tcPr>
            <w:tcW w:w="1939"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一级报警：25%LEL二级报警：50%LEL</w:t>
            </w:r>
          </w:p>
        </w:tc>
      </w:tr>
    </w:tbl>
    <w:p>
      <w:pPr>
        <w:wordWrap w:val="0"/>
        <w:adjustRightInd w:val="0"/>
        <w:snapToGrid w:val="0"/>
        <w:ind w:firstLine="560" w:firstLineChars="200"/>
        <w:textAlignment w:val="center"/>
        <w:rPr>
          <w:color w:val="auto"/>
          <w:kern w:val="0"/>
        </w:rPr>
      </w:pPr>
      <w:r>
        <w:rPr>
          <w:rFonts w:hint="eastAsia"/>
          <w:color w:val="auto"/>
          <w:kern w:val="0"/>
        </w:rPr>
        <w:t>本项目配有2台便携式可燃气体检测报警仪。用于操作人员巡回检查或检修时操作环境中的可燃气体浓度的检测。</w:t>
      </w:r>
    </w:p>
    <w:p>
      <w:pPr>
        <w:wordWrap w:val="0"/>
        <w:adjustRightInd w:val="0"/>
        <w:snapToGrid w:val="0"/>
        <w:ind w:firstLine="560" w:firstLineChars="200"/>
        <w:textAlignment w:val="center"/>
        <w:rPr>
          <w:color w:val="auto"/>
          <w:kern w:val="0"/>
        </w:rPr>
      </w:pPr>
      <w:r>
        <w:rPr>
          <w:color w:val="auto"/>
          <w:kern w:val="0"/>
        </w:rPr>
        <w:t>3、火灾报警系统</w:t>
      </w:r>
    </w:p>
    <w:p>
      <w:pPr>
        <w:wordWrap w:val="0"/>
        <w:adjustRightInd w:val="0"/>
        <w:snapToGrid w:val="0"/>
        <w:ind w:firstLine="560" w:firstLineChars="200"/>
        <w:textAlignment w:val="center"/>
        <w:rPr>
          <w:color w:val="auto"/>
          <w:kern w:val="0"/>
        </w:rPr>
      </w:pPr>
      <w:r>
        <w:rPr>
          <w:color w:val="auto"/>
          <w:kern w:val="0"/>
        </w:rPr>
        <w:t>本项目在106甲类仓库设置火灾自动报警（联动型）一套，用于对仓库内的火灾情况进行监测，系统选用二总线地址编码系统，主要设备均为编码型，系统主机为柜式，设置在门卫，由专人24小时值班。</w:t>
      </w:r>
    </w:p>
    <w:p>
      <w:pPr>
        <w:wordWrap w:val="0"/>
        <w:adjustRightInd w:val="0"/>
        <w:snapToGrid w:val="0"/>
        <w:ind w:firstLine="560" w:firstLineChars="200"/>
        <w:textAlignment w:val="center"/>
        <w:rPr>
          <w:color w:val="auto"/>
          <w:kern w:val="0"/>
        </w:rPr>
      </w:pPr>
      <w:r>
        <w:rPr>
          <w:color w:val="auto"/>
          <w:kern w:val="0"/>
        </w:rPr>
        <w:t>本项目106甲类仓库设</w:t>
      </w:r>
      <w:r>
        <w:rPr>
          <w:rFonts w:hint="eastAsia"/>
          <w:color w:val="auto"/>
          <w:kern w:val="0"/>
        </w:rPr>
        <w:t>有</w:t>
      </w:r>
      <w:r>
        <w:rPr>
          <w:color w:val="auto"/>
          <w:kern w:val="0"/>
        </w:rPr>
        <w:t>感烟探测器，手动报警按钮及声光报警装置。</w:t>
      </w:r>
    </w:p>
    <w:p>
      <w:pPr>
        <w:wordWrap w:val="0"/>
        <w:adjustRightInd w:val="0"/>
        <w:snapToGrid w:val="0"/>
        <w:ind w:firstLine="560" w:firstLineChars="200"/>
        <w:textAlignment w:val="center"/>
        <w:rPr>
          <w:color w:val="auto"/>
          <w:kern w:val="0"/>
        </w:rPr>
      </w:pPr>
      <w:r>
        <w:rPr>
          <w:color w:val="auto"/>
          <w:kern w:val="0"/>
        </w:rPr>
        <w:t>1）火灾自动报警设备：</w:t>
      </w:r>
    </w:p>
    <w:p>
      <w:pPr>
        <w:wordWrap w:val="0"/>
        <w:adjustRightInd w:val="0"/>
        <w:snapToGrid w:val="0"/>
        <w:ind w:firstLine="560" w:firstLineChars="200"/>
        <w:textAlignment w:val="center"/>
        <w:rPr>
          <w:color w:val="auto"/>
          <w:kern w:val="0"/>
        </w:rPr>
      </w:pPr>
      <w:r>
        <w:rPr>
          <w:color w:val="auto"/>
          <w:kern w:val="0"/>
        </w:rPr>
        <w:t>火灾报警控制器监控总线上所有设备，一旦火警确认后，自动报警会在现场及控制器所在区域发出现场声光报警，并开启相应的联动设备，所有联动设备的状态信号均在火灾自动报警控制盘上显示。</w:t>
      </w:r>
    </w:p>
    <w:p>
      <w:pPr>
        <w:wordWrap w:val="0"/>
        <w:adjustRightInd w:val="0"/>
        <w:snapToGrid w:val="0"/>
        <w:ind w:firstLine="560" w:firstLineChars="200"/>
        <w:textAlignment w:val="center"/>
        <w:rPr>
          <w:color w:val="auto"/>
          <w:kern w:val="0"/>
        </w:rPr>
      </w:pPr>
      <w:r>
        <w:rPr>
          <w:color w:val="auto"/>
          <w:kern w:val="0"/>
        </w:rPr>
        <w:t>2）应急广播系统：</w:t>
      </w:r>
    </w:p>
    <w:p>
      <w:pPr>
        <w:wordWrap w:val="0"/>
        <w:adjustRightInd w:val="0"/>
        <w:snapToGrid w:val="0"/>
        <w:ind w:firstLine="560" w:firstLineChars="200"/>
        <w:textAlignment w:val="center"/>
        <w:rPr>
          <w:color w:val="auto"/>
          <w:kern w:val="0"/>
        </w:rPr>
      </w:pPr>
      <w:r>
        <w:rPr>
          <w:color w:val="auto"/>
          <w:kern w:val="0"/>
        </w:rPr>
        <w:t>该公司在106甲类仓库设置应急广播系统，发生火灾时由消防控制室强制切换至应急广播，对现场进行救援疏散指挥。本工程广播主机位于门卫。消防应急广播的联动控制信号由消防联动控制器发出。当确认火灾后，同时向全厂进行广播。</w:t>
      </w:r>
    </w:p>
    <w:p>
      <w:pPr>
        <w:wordWrap w:val="0"/>
        <w:adjustRightInd w:val="0"/>
        <w:snapToGrid w:val="0"/>
        <w:jc w:val="center"/>
        <w:textAlignment w:val="center"/>
        <w:rPr>
          <w:color w:val="auto"/>
          <w:kern w:val="0"/>
        </w:rPr>
      </w:pPr>
      <w:r>
        <w:rPr>
          <w:rFonts w:hint="eastAsia"/>
          <w:color w:val="auto"/>
          <w:kern w:val="0"/>
        </w:rPr>
        <w:t>表2.7-3  火灾报警设施一览表</w:t>
      </w:r>
    </w:p>
    <w:tbl>
      <w:tblPr>
        <w:tblStyle w:val="24"/>
        <w:tblW w:w="911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186"/>
        <w:gridCol w:w="2190"/>
        <w:gridCol w:w="2570"/>
        <w:gridCol w:w="217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2186"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工段（车间）</w:t>
            </w:r>
          </w:p>
        </w:tc>
        <w:tc>
          <w:tcPr>
            <w:tcW w:w="2190"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名称</w:t>
            </w:r>
          </w:p>
        </w:tc>
        <w:tc>
          <w:tcPr>
            <w:tcW w:w="25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实际安装数量</w:t>
            </w:r>
          </w:p>
        </w:tc>
        <w:tc>
          <w:tcPr>
            <w:tcW w:w="2171"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具体位置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2186" w:type="dxa"/>
            <w:vMerge w:val="restart"/>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106甲类仓库</w:t>
            </w:r>
          </w:p>
        </w:tc>
        <w:tc>
          <w:tcPr>
            <w:tcW w:w="2190"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手动报警</w:t>
            </w:r>
          </w:p>
        </w:tc>
        <w:tc>
          <w:tcPr>
            <w:tcW w:w="25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r>
              <w:rPr>
                <w:rFonts w:cs="Times New Roman"/>
                <w:color w:val="auto"/>
                <w:kern w:val="0"/>
                <w:sz w:val="21"/>
                <w:szCs w:val="21"/>
              </w:rPr>
              <w:t>个</w:t>
            </w:r>
          </w:p>
        </w:tc>
        <w:tc>
          <w:tcPr>
            <w:tcW w:w="2171"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出入口</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2186" w:type="dxa"/>
            <w:vMerge w:val="continue"/>
            <w:noWrap/>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190"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声光报警</w:t>
            </w:r>
          </w:p>
        </w:tc>
        <w:tc>
          <w:tcPr>
            <w:tcW w:w="25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r>
              <w:rPr>
                <w:rFonts w:cs="Times New Roman"/>
                <w:color w:val="auto"/>
                <w:kern w:val="0"/>
                <w:sz w:val="21"/>
                <w:szCs w:val="21"/>
              </w:rPr>
              <w:t>个</w:t>
            </w:r>
          </w:p>
        </w:tc>
        <w:tc>
          <w:tcPr>
            <w:tcW w:w="2171"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出入口</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86" w:type="dxa"/>
            <w:vMerge w:val="continue"/>
            <w:noWrap/>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190"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感烟报警器</w:t>
            </w:r>
          </w:p>
        </w:tc>
        <w:tc>
          <w:tcPr>
            <w:tcW w:w="25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12个</w:t>
            </w:r>
          </w:p>
        </w:tc>
        <w:tc>
          <w:tcPr>
            <w:tcW w:w="2171" w:type="dxa"/>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仓库顶</w:t>
            </w:r>
          </w:p>
        </w:tc>
      </w:tr>
    </w:tbl>
    <w:p>
      <w:pPr>
        <w:wordWrap w:val="0"/>
        <w:adjustRightInd w:val="0"/>
        <w:snapToGrid w:val="0"/>
        <w:ind w:firstLine="560" w:firstLineChars="200"/>
        <w:textAlignment w:val="center"/>
        <w:rPr>
          <w:color w:val="auto"/>
          <w:kern w:val="0"/>
        </w:rPr>
      </w:pPr>
      <w:r>
        <w:rPr>
          <w:rFonts w:hint="eastAsia"/>
          <w:color w:val="auto"/>
          <w:kern w:val="0"/>
        </w:rPr>
        <w:t>3、本项目监控主机设置在控制室内，设置情况如下。</w:t>
      </w:r>
    </w:p>
    <w:p>
      <w:pPr>
        <w:wordWrap w:val="0"/>
        <w:adjustRightInd w:val="0"/>
        <w:snapToGrid w:val="0"/>
        <w:jc w:val="center"/>
        <w:textAlignment w:val="center"/>
        <w:rPr>
          <w:color w:val="auto"/>
          <w:kern w:val="0"/>
        </w:rPr>
      </w:pPr>
      <w:r>
        <w:rPr>
          <w:rFonts w:hint="eastAsia"/>
          <w:color w:val="auto"/>
          <w:kern w:val="0"/>
        </w:rPr>
        <w:t>表2.7-4  建设项目视频监控探头设置情况表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567"/>
        <w:gridCol w:w="2808"/>
        <w:gridCol w:w="2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exact"/>
          <w:jc w:val="center"/>
        </w:trPr>
        <w:tc>
          <w:tcPr>
            <w:tcW w:w="761"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序号</w:t>
            </w:r>
          </w:p>
        </w:tc>
        <w:tc>
          <w:tcPr>
            <w:tcW w:w="2567"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设置位置</w:t>
            </w:r>
          </w:p>
        </w:tc>
        <w:tc>
          <w:tcPr>
            <w:tcW w:w="2808"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cs="Times New Roman"/>
                <w:b/>
                <w:bCs/>
                <w:color w:val="auto"/>
                <w:kern w:val="0"/>
                <w:sz w:val="21"/>
                <w:szCs w:val="21"/>
                <w:lang w:bidi="ar"/>
              </w:rPr>
              <w:t>防爆彩色视频探头数量</w:t>
            </w:r>
          </w:p>
        </w:tc>
        <w:tc>
          <w:tcPr>
            <w:tcW w:w="2935" w:type="dxa"/>
            <w:vAlign w:val="center"/>
          </w:tcPr>
          <w:p>
            <w:pPr>
              <w:wordWrap w:val="0"/>
              <w:adjustRightInd w:val="0"/>
              <w:snapToGrid w:val="0"/>
              <w:spacing w:line="240" w:lineRule="auto"/>
              <w:jc w:val="center"/>
              <w:textAlignment w:val="center"/>
              <w:rPr>
                <w:rFonts w:cs="Times New Roman"/>
                <w:b/>
                <w:bCs/>
                <w:color w:val="auto"/>
                <w:kern w:val="0"/>
                <w:sz w:val="21"/>
                <w:szCs w:val="21"/>
                <w:lang w:bidi="ar"/>
              </w:rPr>
            </w:pPr>
            <w:r>
              <w:rPr>
                <w:rFonts w:hint="eastAsia" w:cs="Times New Roman"/>
                <w:b/>
                <w:bCs/>
                <w:color w:val="auto"/>
                <w:kern w:val="0"/>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exact"/>
          <w:jc w:val="center"/>
        </w:trPr>
        <w:tc>
          <w:tcPr>
            <w:tcW w:w="761"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1</w:t>
            </w:r>
          </w:p>
        </w:tc>
        <w:tc>
          <w:tcPr>
            <w:tcW w:w="2567"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106甲类仓库</w:t>
            </w:r>
          </w:p>
        </w:tc>
        <w:tc>
          <w:tcPr>
            <w:tcW w:w="2808"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6</w:t>
            </w:r>
          </w:p>
        </w:tc>
        <w:tc>
          <w:tcPr>
            <w:tcW w:w="2935"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hint="eastAsia" w:cs="Times New Roman"/>
                <w:color w:val="auto"/>
                <w:kern w:val="0"/>
                <w:sz w:val="21"/>
                <w:szCs w:val="21"/>
                <w:lang w:bidi="ar"/>
              </w:rPr>
              <w:t>每个防火分区2个，防爆等级EXdⅡBT</w:t>
            </w:r>
            <w:r>
              <w:rPr>
                <w:rFonts w:cs="Times New Roman"/>
                <w:color w:val="auto"/>
                <w:kern w:val="0"/>
                <w:sz w:val="21"/>
                <w:szCs w:val="21"/>
                <w:lang w:bidi="ar"/>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exact"/>
          <w:jc w:val="center"/>
        </w:trPr>
        <w:tc>
          <w:tcPr>
            <w:tcW w:w="761"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2</w:t>
            </w:r>
          </w:p>
        </w:tc>
        <w:tc>
          <w:tcPr>
            <w:tcW w:w="2567"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合计</w:t>
            </w:r>
          </w:p>
        </w:tc>
        <w:tc>
          <w:tcPr>
            <w:tcW w:w="2808"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6</w:t>
            </w:r>
          </w:p>
        </w:tc>
        <w:tc>
          <w:tcPr>
            <w:tcW w:w="2935" w:type="dxa"/>
            <w:vAlign w:val="center"/>
          </w:tcPr>
          <w:p>
            <w:pPr>
              <w:wordWrap w:val="0"/>
              <w:adjustRightInd w:val="0"/>
              <w:snapToGrid w:val="0"/>
              <w:spacing w:line="240" w:lineRule="auto"/>
              <w:jc w:val="center"/>
              <w:textAlignment w:val="center"/>
              <w:rPr>
                <w:rFonts w:cs="Times New Roman"/>
                <w:color w:val="auto"/>
                <w:kern w:val="0"/>
                <w:sz w:val="21"/>
                <w:szCs w:val="21"/>
                <w:lang w:bidi="ar"/>
              </w:rPr>
            </w:pPr>
            <w:r>
              <w:rPr>
                <w:rFonts w:cs="Times New Roman"/>
                <w:color w:val="auto"/>
                <w:kern w:val="0"/>
                <w:sz w:val="21"/>
                <w:szCs w:val="21"/>
                <w:lang w:bidi="ar"/>
              </w:rPr>
              <w:t>半球摄像头设置在控制室</w:t>
            </w:r>
          </w:p>
        </w:tc>
      </w:tr>
    </w:tbl>
    <w:p>
      <w:pPr>
        <w:wordWrap w:val="0"/>
        <w:adjustRightInd w:val="0"/>
        <w:snapToGrid w:val="0"/>
        <w:textAlignment w:val="center"/>
        <w:outlineLvl w:val="2"/>
        <w:rPr>
          <w:b/>
          <w:bCs/>
          <w:color w:val="auto"/>
          <w:kern w:val="0"/>
        </w:rPr>
      </w:pPr>
      <w:bookmarkStart w:id="55" w:name="_Toc16214"/>
      <w:r>
        <w:rPr>
          <w:rFonts w:hint="eastAsia"/>
          <w:b/>
          <w:bCs/>
          <w:color w:val="auto"/>
          <w:kern w:val="0"/>
        </w:rPr>
        <w:t>2.7.5 分析化验</w:t>
      </w:r>
      <w:bookmarkEnd w:id="55"/>
    </w:p>
    <w:p>
      <w:pPr>
        <w:wordWrap w:val="0"/>
        <w:adjustRightInd w:val="0"/>
        <w:snapToGrid w:val="0"/>
        <w:ind w:firstLine="560" w:firstLineChars="200"/>
        <w:textAlignment w:val="center"/>
        <w:rPr>
          <w:color w:val="auto"/>
          <w:kern w:val="0"/>
        </w:rPr>
      </w:pPr>
      <w:r>
        <w:rPr>
          <w:rFonts w:hint="eastAsia"/>
          <w:color w:val="auto"/>
          <w:kern w:val="0"/>
        </w:rPr>
        <w:t>本建设项目研发中心内已设置化验间，对仓储过程中的采购的物料的各项理化指标，对生产污水进行检测，通过分析、检测等手段控制各工序的工艺参数，对整个仓储过程进行监测，以确保产品质量。</w:t>
      </w:r>
    </w:p>
    <w:p>
      <w:pPr>
        <w:pStyle w:val="54"/>
        <w:wordWrap w:val="0"/>
        <w:adjustRightInd w:val="0"/>
        <w:snapToGrid w:val="0"/>
        <w:ind w:firstLine="0"/>
        <w:jc w:val="left"/>
        <w:textAlignment w:val="center"/>
        <w:outlineLvl w:val="2"/>
        <w:rPr>
          <w:b/>
          <w:bCs/>
          <w:color w:val="auto"/>
          <w:kern w:val="0"/>
          <w:szCs w:val="28"/>
        </w:rPr>
      </w:pPr>
      <w:bookmarkStart w:id="56" w:name="_Toc31620"/>
      <w:r>
        <w:rPr>
          <w:rFonts w:hint="eastAsia"/>
          <w:b/>
          <w:bCs/>
          <w:color w:val="auto"/>
          <w:kern w:val="0"/>
          <w:szCs w:val="28"/>
        </w:rPr>
        <w:t>2.7.6 三废处理</w:t>
      </w:r>
      <w:bookmarkEnd w:id="56"/>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1、废气处理工艺</w:t>
      </w:r>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本项目废气主要为仓库事故风机的排出废气。</w:t>
      </w:r>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2、废水处理工艺</w:t>
      </w:r>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本项目的废水主要生活废水。生活废水管网直接与当地市政排污管网接通，由当地环保处理部门集中处理。</w:t>
      </w:r>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3、固体废物治理措施</w:t>
      </w:r>
    </w:p>
    <w:p>
      <w:pPr>
        <w:pStyle w:val="54"/>
        <w:wordWrap w:val="0"/>
        <w:adjustRightInd w:val="0"/>
        <w:snapToGrid w:val="0"/>
        <w:ind w:firstLine="560" w:firstLineChars="200"/>
        <w:jc w:val="left"/>
        <w:textAlignment w:val="center"/>
        <w:rPr>
          <w:color w:val="auto"/>
          <w:kern w:val="0"/>
          <w:szCs w:val="28"/>
        </w:rPr>
      </w:pPr>
      <w:r>
        <w:rPr>
          <w:rFonts w:hint="eastAsia"/>
          <w:color w:val="auto"/>
          <w:kern w:val="0"/>
          <w:szCs w:val="28"/>
        </w:rPr>
        <w:t>本项目生活垃圾约1.825吨/年，生活垃圾在厂内暂存后，由当地环卫部门统一清运。</w:t>
      </w:r>
    </w:p>
    <w:p>
      <w:pPr>
        <w:wordWrap w:val="0"/>
        <w:adjustRightInd w:val="0"/>
        <w:snapToGrid w:val="0"/>
        <w:jc w:val="left"/>
        <w:textAlignment w:val="center"/>
        <w:outlineLvl w:val="2"/>
        <w:rPr>
          <w:b/>
          <w:bCs/>
          <w:color w:val="auto"/>
          <w:kern w:val="0"/>
          <w:szCs w:val="28"/>
        </w:rPr>
      </w:pPr>
      <w:bookmarkStart w:id="57" w:name="_Toc30761"/>
      <w:r>
        <w:rPr>
          <w:rFonts w:hint="eastAsia"/>
          <w:b/>
          <w:bCs/>
          <w:color w:val="auto"/>
          <w:kern w:val="0"/>
          <w:szCs w:val="28"/>
        </w:rPr>
        <w:t>2.7.7 清净下水</w:t>
      </w:r>
      <w:bookmarkEnd w:id="57"/>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本项目一次最大消防水量为378m</w:t>
      </w:r>
      <w:r>
        <w:rPr>
          <w:rFonts w:hint="eastAsia"/>
          <w:color w:val="auto"/>
          <w:kern w:val="0"/>
          <w:szCs w:val="28"/>
          <w:vertAlign w:val="superscript"/>
        </w:rPr>
        <w:t>3</w:t>
      </w:r>
      <w:r>
        <w:rPr>
          <w:rFonts w:hint="eastAsia"/>
          <w:color w:val="auto"/>
          <w:kern w:val="0"/>
          <w:szCs w:val="28"/>
        </w:rPr>
        <w:t>，事故期间的雨水量521.85m</w:t>
      </w:r>
      <w:r>
        <w:rPr>
          <w:rFonts w:hint="eastAsia"/>
          <w:color w:val="auto"/>
          <w:kern w:val="0"/>
          <w:szCs w:val="28"/>
          <w:vertAlign w:val="superscript"/>
        </w:rPr>
        <w:t>3</w:t>
      </w:r>
      <w:r>
        <w:rPr>
          <w:rFonts w:hint="eastAsia"/>
          <w:color w:val="auto"/>
          <w:kern w:val="0"/>
          <w:szCs w:val="28"/>
        </w:rPr>
        <w:t>。本项目依托厂区已设有的1个540m</w:t>
      </w:r>
      <w:r>
        <w:rPr>
          <w:rFonts w:hint="eastAsia"/>
          <w:color w:val="auto"/>
          <w:kern w:val="0"/>
          <w:szCs w:val="28"/>
          <w:vertAlign w:val="superscript"/>
        </w:rPr>
        <w:t>3</w:t>
      </w:r>
      <w:r>
        <w:rPr>
          <w:rFonts w:hint="eastAsia"/>
          <w:color w:val="auto"/>
          <w:kern w:val="0"/>
          <w:szCs w:val="28"/>
        </w:rPr>
        <w:t>事故应急池，其容量能满足本项目要求。</w:t>
      </w:r>
    </w:p>
    <w:p>
      <w:pPr>
        <w:wordWrap w:val="0"/>
        <w:adjustRightInd w:val="0"/>
        <w:snapToGrid w:val="0"/>
        <w:jc w:val="left"/>
        <w:textAlignment w:val="center"/>
        <w:outlineLvl w:val="2"/>
        <w:rPr>
          <w:b/>
          <w:bCs/>
          <w:color w:val="auto"/>
          <w:kern w:val="0"/>
          <w:szCs w:val="28"/>
        </w:rPr>
      </w:pPr>
      <w:bookmarkStart w:id="58" w:name="_Toc30681"/>
      <w:r>
        <w:rPr>
          <w:rFonts w:hint="eastAsia"/>
          <w:b/>
          <w:bCs/>
          <w:color w:val="auto"/>
          <w:kern w:val="0"/>
          <w:szCs w:val="28"/>
        </w:rPr>
        <w:t>2.7.8 通风</w:t>
      </w:r>
      <w:bookmarkEnd w:id="58"/>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本项目仓库采用自然通风与机械排风相结合的通风方式：在外墙设置通风口用于自然通风，在外墙下部设置轴流风机排风，正常排风排气次数为8~1</w:t>
      </w:r>
      <w:r>
        <w:rPr>
          <w:color w:val="auto"/>
          <w:kern w:val="0"/>
          <w:szCs w:val="28"/>
        </w:rPr>
        <w:t>4</w:t>
      </w:r>
      <w:r>
        <w:rPr>
          <w:rFonts w:hint="eastAsia"/>
          <w:color w:val="auto"/>
          <w:kern w:val="0"/>
          <w:szCs w:val="28"/>
        </w:rPr>
        <w:t>次/h，可有效防止有害气体积聚。106甲类仓库设有事故通风系统，事故通风的换气次数为12~14次/h。本项目事故通风由正常使用的通风系统和事故通风系统共同保证。事故通风机选用防爆型。106甲类仓库轴流风机与可燃气体报警装置进行联锁。</w:t>
      </w:r>
    </w:p>
    <w:p>
      <w:pPr>
        <w:wordWrap w:val="0"/>
        <w:adjustRightInd w:val="0"/>
        <w:snapToGrid w:val="0"/>
        <w:jc w:val="left"/>
        <w:textAlignment w:val="center"/>
        <w:outlineLvl w:val="2"/>
        <w:rPr>
          <w:b/>
          <w:bCs/>
          <w:color w:val="auto"/>
          <w:kern w:val="0"/>
          <w:szCs w:val="28"/>
        </w:rPr>
      </w:pPr>
      <w:bookmarkStart w:id="59" w:name="_Toc15454"/>
      <w:r>
        <w:rPr>
          <w:rFonts w:hint="eastAsia"/>
          <w:b/>
          <w:bCs/>
          <w:color w:val="auto"/>
          <w:kern w:val="0"/>
          <w:szCs w:val="28"/>
        </w:rPr>
        <w:t>2.7.9 消防</w:t>
      </w:r>
      <w:bookmarkEnd w:id="59"/>
    </w:p>
    <w:p>
      <w:pPr>
        <w:wordWrap w:val="0"/>
        <w:adjustRightInd w:val="0"/>
        <w:snapToGrid w:val="0"/>
        <w:ind w:firstLine="560" w:firstLineChars="200"/>
        <w:textAlignment w:val="center"/>
        <w:rPr>
          <w:color w:val="auto"/>
          <w:kern w:val="0"/>
        </w:rPr>
      </w:pPr>
      <w:r>
        <w:rPr>
          <w:rFonts w:hint="eastAsia"/>
          <w:color w:val="auto"/>
          <w:kern w:val="0"/>
        </w:rPr>
        <w:t>1、消防水源</w:t>
      </w:r>
    </w:p>
    <w:p>
      <w:pPr>
        <w:wordWrap w:val="0"/>
        <w:adjustRightInd w:val="0"/>
        <w:snapToGrid w:val="0"/>
        <w:ind w:firstLine="560" w:firstLineChars="200"/>
        <w:textAlignment w:val="center"/>
        <w:rPr>
          <w:color w:val="auto"/>
          <w:kern w:val="0"/>
        </w:rPr>
      </w:pPr>
      <w:r>
        <w:rPr>
          <w:rFonts w:hint="eastAsia"/>
          <w:color w:val="auto"/>
          <w:kern w:val="0"/>
        </w:rPr>
        <w:t>本项目消防用水水源来自工业园区给水管网，消防水池由给水管网供给。本项目依托厂区现有室内外合用临时高压消防给水系统及消防管网设施。厂区原有消防水池提供消防水源，有效消防水容积540m³，可以满足本项目消防用水量需求。</w:t>
      </w:r>
    </w:p>
    <w:p>
      <w:pPr>
        <w:wordWrap w:val="0"/>
        <w:adjustRightInd w:val="0"/>
        <w:snapToGrid w:val="0"/>
        <w:ind w:firstLine="560" w:firstLineChars="200"/>
        <w:textAlignment w:val="center"/>
        <w:rPr>
          <w:color w:val="auto"/>
          <w:kern w:val="0"/>
        </w:rPr>
      </w:pPr>
      <w:r>
        <w:rPr>
          <w:rFonts w:hint="eastAsia"/>
          <w:color w:val="auto"/>
          <w:kern w:val="0"/>
        </w:rPr>
        <w:t>2、消防用水量</w:t>
      </w:r>
    </w:p>
    <w:p>
      <w:pPr>
        <w:wordWrap w:val="0"/>
        <w:adjustRightInd w:val="0"/>
        <w:snapToGrid w:val="0"/>
        <w:ind w:firstLine="560" w:firstLineChars="200"/>
        <w:textAlignment w:val="center"/>
        <w:rPr>
          <w:color w:val="auto"/>
          <w:kern w:val="0"/>
        </w:rPr>
      </w:pPr>
      <w:r>
        <w:rPr>
          <w:rFonts w:hint="eastAsia"/>
          <w:color w:val="auto"/>
          <w:kern w:val="0"/>
        </w:rPr>
        <w:t>根据《消防给水及消火栓系统技术规范》第3.1.1条要求，本项目同一时间内火灾起数为1起。本项目为106甲类仓库。根据《消防给水及消火栓系统技术规范》（GB50974-2014）第3.3.2条，甲类仓库的建筑耐火等级为二级，火灾危险性等级为甲类，体积为749.52㎡×8.2=6146.06m³＞5000m³，其室外消火栓用水量为25L/s，根据《消防给水及消火栓系统技术规范GB50974-2014规范》第3.5.2条，室内消火栓用水量为10L/s，总消火栓用水量为35L/s。根据《消防给水及消火栓系统技术规范GB50974-2014规范》第3.6.2条火灾延续时间3小时，消防最大用水量为V=3.6×35×3=378m³。厂区现有消防水池一座，有效容积为540m³＞378m³，消防水池可以满足本项目甲类仓库的消防用水量需求。</w:t>
      </w:r>
    </w:p>
    <w:p>
      <w:pPr>
        <w:wordWrap w:val="0"/>
        <w:adjustRightInd w:val="0"/>
        <w:snapToGrid w:val="0"/>
        <w:ind w:firstLine="560" w:firstLineChars="200"/>
        <w:textAlignment w:val="center"/>
        <w:rPr>
          <w:color w:val="auto"/>
          <w:kern w:val="0"/>
        </w:rPr>
      </w:pPr>
      <w:r>
        <w:rPr>
          <w:rFonts w:hint="eastAsia"/>
          <w:color w:val="auto"/>
          <w:kern w:val="0"/>
        </w:rPr>
        <w:t>3、消防给水系统</w:t>
      </w:r>
    </w:p>
    <w:p>
      <w:pPr>
        <w:wordWrap w:val="0"/>
        <w:adjustRightInd w:val="0"/>
        <w:snapToGrid w:val="0"/>
        <w:ind w:firstLine="560" w:firstLineChars="200"/>
        <w:jc w:val="left"/>
        <w:textAlignment w:val="center"/>
        <w:rPr>
          <w:color w:val="auto"/>
          <w:kern w:val="0"/>
        </w:rPr>
      </w:pPr>
      <w:r>
        <w:rPr>
          <w:rFonts w:hint="eastAsia"/>
          <w:color w:val="auto"/>
          <w:kern w:val="0"/>
        </w:rPr>
        <w:t>厂区原有设计室内外合用临时高压消防给水系统，由消防水池提供消防用水，有效储水容积为540m³，由消防水泵引出两条DN150输水干管与厂区消防给水环状管网连接，保证供应全部消防给水设计流量。</w:t>
      </w:r>
      <w:r>
        <w:rPr>
          <w:rFonts w:hint="eastAsia"/>
          <w:color w:val="auto"/>
          <w:szCs w:val="28"/>
        </w:rPr>
        <w:t>厂区消防泵房内现有消防水泵2台，型号分别为XBD5/30-200，Q=50L/s，H=0.42MPa，N=22kW、XBD4.2/20-100，Q=20L/s，H=0.42MPa，N=15kW。</w:t>
      </w:r>
      <w:r>
        <w:rPr>
          <w:rFonts w:hint="eastAsia"/>
          <w:color w:val="auto"/>
          <w:kern w:val="0"/>
        </w:rPr>
        <w:t>Q=50L/s、H=0.44MPa。</w:t>
      </w:r>
    </w:p>
    <w:p>
      <w:pPr>
        <w:wordWrap w:val="0"/>
        <w:adjustRightInd w:val="0"/>
        <w:snapToGrid w:val="0"/>
        <w:ind w:firstLine="560" w:firstLineChars="200"/>
        <w:textAlignment w:val="center"/>
        <w:rPr>
          <w:color w:val="auto"/>
          <w:kern w:val="0"/>
        </w:rPr>
      </w:pPr>
      <w:r>
        <w:rPr>
          <w:rFonts w:hint="eastAsia"/>
          <w:color w:val="auto"/>
          <w:kern w:val="0"/>
        </w:rPr>
        <w:t>室外消火栓系统：本项目室外消防管网布置成环状，主管道管径为DN200。室外环状消防管网设置SS100/65-1.0型地上式消火栓2个，间距不大于120m，保护半径不大于150m。</w:t>
      </w:r>
    </w:p>
    <w:p>
      <w:pPr>
        <w:wordWrap w:val="0"/>
        <w:adjustRightInd w:val="0"/>
        <w:snapToGrid w:val="0"/>
        <w:ind w:firstLine="560" w:firstLineChars="200"/>
        <w:textAlignment w:val="center"/>
        <w:rPr>
          <w:color w:val="auto"/>
          <w:kern w:val="0"/>
        </w:rPr>
      </w:pPr>
      <w:r>
        <w:rPr>
          <w:rFonts w:hint="eastAsia"/>
          <w:color w:val="auto"/>
          <w:kern w:val="0"/>
        </w:rPr>
        <w:t>室内消火栓系统：在106甲类仓库以内设室内消火栓6只，布置间距不大于30m。</w:t>
      </w:r>
    </w:p>
    <w:p>
      <w:pPr>
        <w:wordWrap w:val="0"/>
        <w:adjustRightInd w:val="0"/>
        <w:snapToGrid w:val="0"/>
        <w:ind w:firstLine="560" w:firstLineChars="200"/>
        <w:textAlignment w:val="center"/>
        <w:rPr>
          <w:rFonts w:cs="Times New Roman"/>
          <w:color w:val="auto"/>
        </w:rPr>
      </w:pPr>
      <w:r>
        <w:rPr>
          <w:rFonts w:cs="Times New Roman"/>
          <w:color w:val="auto"/>
        </w:rPr>
        <w:t>根据《建筑灭火器配置设计规范》GB50140-2005和《消防给水及消火栓系统技术规范》（GB50974-2014），在各个建（构）筑物内外设一定数量、规格的干粉灭火器等移动消防设施。</w:t>
      </w:r>
    </w:p>
    <w:p>
      <w:pPr>
        <w:pStyle w:val="2"/>
        <w:ind w:firstLine="560"/>
        <w:rPr>
          <w:color w:val="auto"/>
        </w:rPr>
      </w:pPr>
      <w:r>
        <w:rPr>
          <w:rFonts w:hint="eastAsia"/>
          <w:color w:val="auto"/>
        </w:rPr>
        <w:t>本项目1</w:t>
      </w:r>
      <w:r>
        <w:rPr>
          <w:color w:val="auto"/>
        </w:rPr>
        <w:t>06</w:t>
      </w:r>
      <w:r>
        <w:rPr>
          <w:rFonts w:hint="eastAsia"/>
          <w:color w:val="auto"/>
        </w:rPr>
        <w:t>甲类仓库已取得丰城市住房和城乡建设局建设工程消防验收意见书，文件字：丰建消验〔2</w:t>
      </w:r>
      <w:r>
        <w:rPr>
          <w:color w:val="auto"/>
        </w:rPr>
        <w:t>023</w:t>
      </w:r>
      <w:r>
        <w:rPr>
          <w:rFonts w:hint="eastAsia"/>
          <w:color w:val="auto"/>
        </w:rPr>
        <w:t>〕第0</w:t>
      </w:r>
      <w:r>
        <w:rPr>
          <w:color w:val="auto"/>
        </w:rPr>
        <w:t>25</w:t>
      </w:r>
      <w:r>
        <w:rPr>
          <w:rFonts w:hint="eastAsia"/>
          <w:color w:val="auto"/>
        </w:rPr>
        <w:t>号。</w:t>
      </w:r>
    </w:p>
    <w:p>
      <w:pPr>
        <w:wordWrap w:val="0"/>
        <w:adjustRightInd w:val="0"/>
        <w:snapToGrid w:val="0"/>
        <w:ind w:firstLine="560" w:firstLineChars="200"/>
        <w:jc w:val="left"/>
        <w:textAlignment w:val="center"/>
        <w:rPr>
          <w:color w:val="auto"/>
          <w:kern w:val="0"/>
          <w:szCs w:val="28"/>
        </w:rPr>
      </w:pPr>
      <w:r>
        <w:rPr>
          <w:rFonts w:cs="Times New Roman"/>
          <w:color w:val="auto"/>
          <w:szCs w:val="28"/>
        </w:rPr>
        <w:t>本项目消防器材的配备情况见表2.7-5。</w:t>
      </w:r>
    </w:p>
    <w:p>
      <w:pPr>
        <w:wordWrap w:val="0"/>
        <w:adjustRightInd w:val="0"/>
        <w:snapToGrid w:val="0"/>
        <w:jc w:val="center"/>
        <w:textAlignment w:val="center"/>
        <w:rPr>
          <w:color w:val="auto"/>
          <w:kern w:val="0"/>
          <w:szCs w:val="28"/>
        </w:rPr>
      </w:pPr>
      <w:r>
        <w:rPr>
          <w:color w:val="auto"/>
          <w:kern w:val="0"/>
          <w:szCs w:val="28"/>
        </w:rPr>
        <w:t>表2.</w:t>
      </w:r>
      <w:r>
        <w:rPr>
          <w:rFonts w:hint="eastAsia"/>
          <w:color w:val="auto"/>
          <w:kern w:val="0"/>
          <w:szCs w:val="28"/>
        </w:rPr>
        <w:t>7</w:t>
      </w:r>
      <w:r>
        <w:rPr>
          <w:color w:val="auto"/>
          <w:kern w:val="0"/>
          <w:szCs w:val="28"/>
        </w:rPr>
        <w:t>-</w:t>
      </w:r>
      <w:r>
        <w:rPr>
          <w:rFonts w:hint="eastAsia"/>
          <w:color w:val="auto"/>
          <w:kern w:val="0"/>
          <w:szCs w:val="28"/>
        </w:rPr>
        <w:t>5  消防器材的配备一览表</w:t>
      </w:r>
    </w:p>
    <w:tbl>
      <w:tblPr>
        <w:tblStyle w:val="24"/>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2"/>
        <w:gridCol w:w="1492"/>
        <w:gridCol w:w="822"/>
        <w:gridCol w:w="1101"/>
        <w:gridCol w:w="903"/>
        <w:gridCol w:w="1582"/>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42" w:type="dxa"/>
            <w:vAlign w:val="center"/>
          </w:tcPr>
          <w:p>
            <w:pPr>
              <w:adjustRightInd w:val="0"/>
              <w:snapToGrid w:val="0"/>
              <w:spacing w:line="240" w:lineRule="auto"/>
              <w:jc w:val="center"/>
              <w:rPr>
                <w:b/>
                <w:bCs/>
                <w:color w:val="auto"/>
                <w:sz w:val="21"/>
                <w:szCs w:val="21"/>
              </w:rPr>
            </w:pPr>
            <w:r>
              <w:rPr>
                <w:rFonts w:hint="eastAsia" w:cs="Times New Roman"/>
                <w:b/>
                <w:bCs/>
                <w:color w:val="auto"/>
                <w:kern w:val="0"/>
                <w:sz w:val="21"/>
                <w:szCs w:val="21"/>
              </w:rPr>
              <w:t>序号</w:t>
            </w:r>
          </w:p>
        </w:tc>
        <w:tc>
          <w:tcPr>
            <w:tcW w:w="942" w:type="dxa"/>
            <w:vAlign w:val="center"/>
          </w:tcPr>
          <w:p>
            <w:pPr>
              <w:adjustRightInd w:val="0"/>
              <w:snapToGrid w:val="0"/>
              <w:spacing w:line="240" w:lineRule="auto"/>
              <w:jc w:val="center"/>
              <w:rPr>
                <w:b/>
                <w:bCs/>
                <w:color w:val="auto"/>
                <w:sz w:val="21"/>
                <w:szCs w:val="21"/>
              </w:rPr>
            </w:pPr>
            <w:r>
              <w:rPr>
                <w:b/>
                <w:bCs/>
                <w:color w:val="auto"/>
                <w:sz w:val="21"/>
                <w:szCs w:val="21"/>
              </w:rPr>
              <w:t>名称</w:t>
            </w:r>
          </w:p>
        </w:tc>
        <w:tc>
          <w:tcPr>
            <w:tcW w:w="1492"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型号</w:t>
            </w:r>
          </w:p>
        </w:tc>
        <w:tc>
          <w:tcPr>
            <w:tcW w:w="822"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数量</w:t>
            </w:r>
          </w:p>
        </w:tc>
        <w:tc>
          <w:tcPr>
            <w:tcW w:w="110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有效性</w:t>
            </w:r>
          </w:p>
        </w:tc>
        <w:tc>
          <w:tcPr>
            <w:tcW w:w="903"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负责人</w:t>
            </w:r>
          </w:p>
        </w:tc>
        <w:tc>
          <w:tcPr>
            <w:tcW w:w="1582"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分布区域</w:t>
            </w:r>
          </w:p>
        </w:tc>
        <w:tc>
          <w:tcPr>
            <w:tcW w:w="1308"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42" w:type="dxa"/>
            <w:vAlign w:val="center"/>
          </w:tcPr>
          <w:p>
            <w:pPr>
              <w:adjustRightInd w:val="0"/>
              <w:snapToGrid w:val="0"/>
              <w:spacing w:line="240" w:lineRule="auto"/>
              <w:jc w:val="center"/>
              <w:rPr>
                <w:color w:val="auto"/>
                <w:sz w:val="21"/>
                <w:szCs w:val="21"/>
              </w:rPr>
            </w:pPr>
            <w:r>
              <w:rPr>
                <w:rFonts w:hint="eastAsia" w:cs="Times New Roman"/>
                <w:color w:val="auto"/>
                <w:kern w:val="0"/>
                <w:sz w:val="21"/>
                <w:szCs w:val="21"/>
              </w:rPr>
              <w:t>1</w:t>
            </w:r>
          </w:p>
        </w:tc>
        <w:tc>
          <w:tcPr>
            <w:tcW w:w="942" w:type="dxa"/>
            <w:vAlign w:val="center"/>
          </w:tcPr>
          <w:p>
            <w:pPr>
              <w:adjustRightInd w:val="0"/>
              <w:snapToGrid w:val="0"/>
              <w:spacing w:line="240" w:lineRule="auto"/>
              <w:jc w:val="center"/>
              <w:rPr>
                <w:color w:val="auto"/>
                <w:sz w:val="21"/>
                <w:szCs w:val="21"/>
              </w:rPr>
            </w:pPr>
            <w:r>
              <w:rPr>
                <w:color w:val="auto"/>
                <w:sz w:val="21"/>
                <w:szCs w:val="21"/>
              </w:rPr>
              <w:t>干粉灭火器</w:t>
            </w:r>
          </w:p>
        </w:tc>
        <w:tc>
          <w:tcPr>
            <w:tcW w:w="149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MF/ABC6A</w:t>
            </w:r>
          </w:p>
        </w:tc>
        <w:tc>
          <w:tcPr>
            <w:tcW w:w="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8具</w:t>
            </w:r>
          </w:p>
        </w:tc>
        <w:tc>
          <w:tcPr>
            <w:tcW w:w="11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有效</w:t>
            </w:r>
          </w:p>
        </w:tc>
        <w:tc>
          <w:tcPr>
            <w:tcW w:w="90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曾小丽</w:t>
            </w:r>
          </w:p>
        </w:tc>
        <w:tc>
          <w:tcPr>
            <w:tcW w:w="15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r>
              <w:rPr>
                <w:rFonts w:cs="Times New Roman"/>
                <w:color w:val="auto"/>
                <w:kern w:val="0"/>
                <w:sz w:val="21"/>
                <w:szCs w:val="21"/>
              </w:rPr>
              <w:t>06</w:t>
            </w:r>
            <w:r>
              <w:rPr>
                <w:rFonts w:hint="eastAsia" w:cs="Times New Roman"/>
                <w:color w:val="auto"/>
                <w:kern w:val="0"/>
                <w:sz w:val="21"/>
                <w:szCs w:val="21"/>
              </w:rPr>
              <w:t>甲类仓库</w:t>
            </w:r>
          </w:p>
        </w:tc>
        <w:tc>
          <w:tcPr>
            <w:tcW w:w="1308"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42" w:type="dxa"/>
            <w:vAlign w:val="center"/>
          </w:tcPr>
          <w:p>
            <w:pPr>
              <w:adjustRightInd w:val="0"/>
              <w:snapToGrid w:val="0"/>
              <w:spacing w:line="240" w:lineRule="auto"/>
              <w:jc w:val="center"/>
              <w:rPr>
                <w:color w:val="auto"/>
                <w:sz w:val="21"/>
                <w:szCs w:val="21"/>
              </w:rPr>
            </w:pPr>
            <w:r>
              <w:rPr>
                <w:rFonts w:cs="Times New Roman"/>
                <w:color w:val="auto"/>
                <w:kern w:val="0"/>
                <w:sz w:val="21"/>
                <w:szCs w:val="21"/>
              </w:rPr>
              <w:t>2</w:t>
            </w:r>
          </w:p>
        </w:tc>
        <w:tc>
          <w:tcPr>
            <w:tcW w:w="942" w:type="dxa"/>
            <w:vAlign w:val="center"/>
          </w:tcPr>
          <w:p>
            <w:pPr>
              <w:adjustRightInd w:val="0"/>
              <w:snapToGrid w:val="0"/>
              <w:spacing w:line="240" w:lineRule="auto"/>
              <w:jc w:val="center"/>
              <w:rPr>
                <w:color w:val="auto"/>
                <w:sz w:val="21"/>
                <w:szCs w:val="21"/>
              </w:rPr>
            </w:pPr>
            <w:r>
              <w:rPr>
                <w:rFonts w:hint="eastAsia"/>
                <w:color w:val="auto"/>
                <w:sz w:val="21"/>
                <w:szCs w:val="21"/>
              </w:rPr>
              <w:t>室内消火栓</w:t>
            </w:r>
          </w:p>
        </w:tc>
        <w:tc>
          <w:tcPr>
            <w:tcW w:w="149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DN65</w:t>
            </w:r>
          </w:p>
        </w:tc>
        <w:tc>
          <w:tcPr>
            <w:tcW w:w="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r>
              <w:rPr>
                <w:rFonts w:hint="eastAsia" w:cs="Times New Roman"/>
                <w:color w:val="auto"/>
                <w:kern w:val="0"/>
                <w:sz w:val="21"/>
                <w:szCs w:val="21"/>
              </w:rPr>
              <w:t>个</w:t>
            </w:r>
          </w:p>
        </w:tc>
        <w:tc>
          <w:tcPr>
            <w:tcW w:w="11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有效</w:t>
            </w:r>
          </w:p>
        </w:tc>
        <w:tc>
          <w:tcPr>
            <w:tcW w:w="90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曾小丽</w:t>
            </w:r>
          </w:p>
        </w:tc>
        <w:tc>
          <w:tcPr>
            <w:tcW w:w="15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r>
              <w:rPr>
                <w:rFonts w:cs="Times New Roman"/>
                <w:color w:val="auto"/>
                <w:kern w:val="0"/>
                <w:sz w:val="21"/>
                <w:szCs w:val="21"/>
              </w:rPr>
              <w:t>06</w:t>
            </w:r>
            <w:r>
              <w:rPr>
                <w:rFonts w:hint="eastAsia" w:cs="Times New Roman"/>
                <w:color w:val="auto"/>
                <w:kern w:val="0"/>
                <w:sz w:val="21"/>
                <w:szCs w:val="21"/>
              </w:rPr>
              <w:t>甲类仓库</w:t>
            </w:r>
          </w:p>
        </w:tc>
        <w:tc>
          <w:tcPr>
            <w:tcW w:w="1308"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42" w:type="dxa"/>
          </w:tcPr>
          <w:p>
            <w:pPr>
              <w:adjustRightInd w:val="0"/>
              <w:snapToGrid w:val="0"/>
              <w:spacing w:line="240" w:lineRule="auto"/>
              <w:jc w:val="center"/>
              <w:rPr>
                <w:color w:val="auto"/>
                <w:sz w:val="21"/>
                <w:szCs w:val="21"/>
              </w:rPr>
            </w:pPr>
            <w:r>
              <w:rPr>
                <w:color w:val="auto"/>
                <w:sz w:val="21"/>
                <w:szCs w:val="21"/>
              </w:rPr>
              <w:t>3</w:t>
            </w:r>
          </w:p>
        </w:tc>
        <w:tc>
          <w:tcPr>
            <w:tcW w:w="942" w:type="dxa"/>
            <w:vAlign w:val="center"/>
          </w:tcPr>
          <w:p>
            <w:pPr>
              <w:adjustRightInd w:val="0"/>
              <w:snapToGrid w:val="0"/>
              <w:spacing w:line="240" w:lineRule="auto"/>
              <w:jc w:val="center"/>
              <w:rPr>
                <w:color w:val="auto"/>
                <w:sz w:val="21"/>
                <w:szCs w:val="21"/>
              </w:rPr>
            </w:pPr>
            <w:r>
              <w:rPr>
                <w:color w:val="auto"/>
                <w:sz w:val="21"/>
                <w:szCs w:val="21"/>
              </w:rPr>
              <w:t>消防</w:t>
            </w:r>
          </w:p>
          <w:p>
            <w:pPr>
              <w:adjustRightInd w:val="0"/>
              <w:snapToGrid w:val="0"/>
              <w:spacing w:line="240" w:lineRule="auto"/>
              <w:jc w:val="center"/>
              <w:rPr>
                <w:color w:val="auto"/>
                <w:sz w:val="21"/>
                <w:szCs w:val="21"/>
              </w:rPr>
            </w:pPr>
            <w:r>
              <w:rPr>
                <w:color w:val="auto"/>
                <w:sz w:val="21"/>
                <w:szCs w:val="21"/>
              </w:rPr>
              <w:t>水池</w:t>
            </w:r>
          </w:p>
        </w:tc>
        <w:tc>
          <w:tcPr>
            <w:tcW w:w="149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540m</w:t>
            </w:r>
            <w:r>
              <w:rPr>
                <w:rFonts w:hint="eastAsia" w:cs="Times New Roman"/>
                <w:color w:val="auto"/>
                <w:kern w:val="0"/>
                <w:sz w:val="21"/>
                <w:szCs w:val="21"/>
                <w:vertAlign w:val="superscript"/>
              </w:rPr>
              <w:t>3</w:t>
            </w:r>
          </w:p>
        </w:tc>
        <w:tc>
          <w:tcPr>
            <w:tcW w:w="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1座</w:t>
            </w:r>
          </w:p>
        </w:tc>
        <w:tc>
          <w:tcPr>
            <w:tcW w:w="11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储水正常</w:t>
            </w:r>
          </w:p>
        </w:tc>
        <w:tc>
          <w:tcPr>
            <w:tcW w:w="90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曾小丽</w:t>
            </w:r>
          </w:p>
        </w:tc>
        <w:tc>
          <w:tcPr>
            <w:tcW w:w="1582"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308" w:type="dxa"/>
            <w:vAlign w:val="center"/>
          </w:tcPr>
          <w:p>
            <w:pPr>
              <w:wordWrap w:val="0"/>
              <w:adjustRightInd w:val="0"/>
              <w:snapToGrid w:val="0"/>
              <w:spacing w:line="240" w:lineRule="auto"/>
              <w:jc w:val="center"/>
              <w:textAlignment w:val="center"/>
              <w:rPr>
                <w:rFonts w:cs="Times New Roman"/>
                <w:color w:val="auto"/>
                <w:kern w:val="0"/>
                <w:sz w:val="21"/>
                <w:szCs w:val="21"/>
              </w:rPr>
            </w:pPr>
          </w:p>
        </w:tc>
      </w:tr>
    </w:tbl>
    <w:p>
      <w:pPr>
        <w:wordWrap w:val="0"/>
        <w:adjustRightInd w:val="0"/>
        <w:snapToGrid w:val="0"/>
        <w:jc w:val="center"/>
        <w:textAlignment w:val="center"/>
        <w:rPr>
          <w:color w:val="auto"/>
          <w:kern w:val="0"/>
          <w:szCs w:val="28"/>
        </w:rPr>
      </w:pPr>
      <w:r>
        <w:rPr>
          <w:color w:val="auto"/>
          <w:kern w:val="0"/>
          <w:szCs w:val="28"/>
        </w:rPr>
        <w:t>表2.</w:t>
      </w:r>
      <w:r>
        <w:rPr>
          <w:rFonts w:hint="eastAsia"/>
          <w:color w:val="auto"/>
          <w:kern w:val="0"/>
          <w:szCs w:val="28"/>
        </w:rPr>
        <w:t>7</w:t>
      </w:r>
      <w:r>
        <w:rPr>
          <w:color w:val="auto"/>
          <w:kern w:val="0"/>
          <w:szCs w:val="28"/>
        </w:rPr>
        <w:t>-</w:t>
      </w:r>
      <w:r>
        <w:rPr>
          <w:rFonts w:hint="eastAsia"/>
          <w:color w:val="auto"/>
          <w:kern w:val="0"/>
          <w:szCs w:val="28"/>
        </w:rPr>
        <w:t>6  事故淋浴洗眼器一览表</w:t>
      </w:r>
    </w:p>
    <w:tbl>
      <w:tblPr>
        <w:tblStyle w:val="24"/>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3"/>
        <w:gridCol w:w="1600"/>
        <w:gridCol w:w="1375"/>
        <w:gridCol w:w="53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773" w:type="dxa"/>
            <w:tcBorders>
              <w:top w:val="single" w:color="auto" w:sz="4" w:space="0"/>
              <w:lef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序号</w:t>
            </w:r>
          </w:p>
        </w:tc>
        <w:tc>
          <w:tcPr>
            <w:tcW w:w="1600" w:type="dxa"/>
            <w:tcBorders>
              <w:top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工段</w:t>
            </w:r>
          </w:p>
        </w:tc>
        <w:tc>
          <w:tcPr>
            <w:tcW w:w="1375" w:type="dxa"/>
            <w:tcBorders>
              <w:top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数量</w:t>
            </w:r>
          </w:p>
        </w:tc>
        <w:tc>
          <w:tcPr>
            <w:tcW w:w="5323" w:type="dxa"/>
            <w:tcBorders>
              <w:top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安装位置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dxa"/>
            <w:tcBorders>
              <w:left w:val="single" w:color="auto" w:sz="4" w:space="0"/>
            </w:tcBorders>
            <w:noWrap/>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160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106甲类仓库</w:t>
            </w:r>
          </w:p>
        </w:tc>
        <w:tc>
          <w:tcPr>
            <w:tcW w:w="13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1个</w:t>
            </w:r>
          </w:p>
        </w:tc>
        <w:tc>
          <w:tcPr>
            <w:tcW w:w="5323" w:type="dxa"/>
            <w:tcBorders>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在106仓库西南部</w:t>
            </w:r>
          </w:p>
        </w:tc>
      </w:tr>
    </w:tbl>
    <w:p>
      <w:pPr>
        <w:pStyle w:val="4"/>
        <w:keepNext w:val="0"/>
        <w:keepLines w:val="0"/>
        <w:wordWrap w:val="0"/>
        <w:adjustRightInd w:val="0"/>
        <w:snapToGrid w:val="0"/>
        <w:jc w:val="center"/>
        <w:textAlignment w:val="center"/>
        <w:rPr>
          <w:color w:val="auto"/>
          <w:kern w:val="0"/>
        </w:rPr>
      </w:pPr>
      <w:bookmarkStart w:id="60" w:name="_Toc20239"/>
      <w:bookmarkStart w:id="61" w:name="_Toc3951"/>
      <w:bookmarkStart w:id="62" w:name="_Toc30402"/>
      <w:r>
        <w:rPr>
          <w:rFonts w:hint="eastAsia"/>
          <w:color w:val="auto"/>
          <w:kern w:val="0"/>
        </w:rPr>
        <w:t>2.8 安全管理</w:t>
      </w:r>
      <w:bookmarkEnd w:id="60"/>
      <w:bookmarkEnd w:id="61"/>
      <w:bookmarkEnd w:id="62"/>
    </w:p>
    <w:p>
      <w:pPr>
        <w:pStyle w:val="5"/>
        <w:keepNext w:val="0"/>
        <w:keepLines w:val="0"/>
        <w:wordWrap w:val="0"/>
        <w:adjustRightInd w:val="0"/>
        <w:snapToGrid w:val="0"/>
        <w:textAlignment w:val="center"/>
        <w:rPr>
          <w:color w:val="auto"/>
          <w:kern w:val="0"/>
        </w:rPr>
      </w:pPr>
      <w:bookmarkStart w:id="63" w:name="_Toc30642"/>
      <w:r>
        <w:rPr>
          <w:rFonts w:hint="eastAsia"/>
          <w:color w:val="auto"/>
          <w:kern w:val="0"/>
        </w:rPr>
        <w:t>2.8.1 企业安全管理机构及人员配置</w:t>
      </w:r>
      <w:bookmarkEnd w:id="63"/>
    </w:p>
    <w:p>
      <w:pPr>
        <w:wordWrap w:val="0"/>
        <w:adjustRightInd w:val="0"/>
        <w:snapToGrid w:val="0"/>
        <w:ind w:firstLine="560" w:firstLineChars="200"/>
        <w:textAlignment w:val="center"/>
        <w:rPr>
          <w:color w:val="auto"/>
          <w:kern w:val="0"/>
        </w:rPr>
      </w:pPr>
      <w:r>
        <w:rPr>
          <w:rFonts w:hint="eastAsia"/>
          <w:color w:val="auto"/>
          <w:kern w:val="0"/>
        </w:rPr>
        <w:t>该公司建立了完整的安全生产管理体系，设立有专门的安全管理机构，制定了较为健全的安全管理制度和安全操作规程。公司实行现代企业管理制，实行总经理负责制，各生产车间有专人负责安全工作。各级安全管理人员负责安全方面的日常管理工作，班组明确了兼职安全员，构成了三级安全管理网络。</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本项目确立以各行政一把手为各部门（单位）安全生产第一负责人的安全生产管理体制。成立了以公司负责人为组长的安全生产领导小组。安全生产领导小组由企业各部门负责人和专职安全管理人员组成。</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该企业做到安全生产领导小组全体会议每月召开一次，会议由安全生产领导小组组长或副组长召集和主持，会议议题由主持人确定，会议内容由安全管理部提供；安全生产领导小组组长认为有必要时，临时召开全体会议或由有关成员、有关部门参加的专题会议；成员因故不能参见会议时，其所在单位委派其他负责人参加。安全生产领导小组会议纪要等安全生产领导小组文件由安全生产领导小组组长签发。</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设有安全机构（安全管理部）和专职安全管理人员，各车间和班组岗位均设有专、兼职安全员，建立了安全管理网络。公司安全生产领导小组下专设安全管理部，安全管理部为企业的安全生产专门管理机构，其主要任务是对全厂生产过程中的安全卫生实行标准化管理，贯彻落实国家和上级主管部门的指令和规定，制订必要的规章制度，组织开展安全检查、安全教育培训、监测等安全管理工作。</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现有员工总计50人，安全管理部配置1名专职安全管理人员，各车间班组配备了兼职安全员，现有专、兼职安全管理人员5人，配备1名注册安全工程师；安全生产管理人员均已通过江西省应急管理部门培训考核，取得安全生产管理人员证书；该公司配备了专职安全员、注册安全工程师，具有相关安全工作经验。该公司安全生产管理人员数量配置满足《江西省安全生产管理条例》的要求。</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在安全管理方面，建立了完善的安全管理体系，积累了生产经营管理经验。按照《中华人民共和国安全生产法》及相关法律法规成立了安全生产委员会，并设有安全机构及组织网络。做到了组织机构、人员配备和安全职责三落实。公司设置了安全风险分级管控措施清单，安全风险评价、风险管控责任清单，安全风险应急处置措施清单等一系列安全风险管理清单台账，为公司的安全运行提供了有效保障。</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江西景新漆业股份有限公司在2019年完成了安全生产标准化三级评审并取得了丰城市应急管理局颁发的安全生产标准化三级企业证书。</w:t>
      </w:r>
    </w:p>
    <w:p>
      <w:pPr>
        <w:wordWrap w:val="0"/>
        <w:adjustRightInd w:val="0"/>
        <w:snapToGrid w:val="0"/>
        <w:jc w:val="center"/>
        <w:textAlignment w:val="center"/>
        <w:rPr>
          <w:rFonts w:cs="Times New Roman"/>
          <w:snapToGrid w:val="0"/>
          <w:color w:val="auto"/>
          <w:kern w:val="0"/>
          <w:szCs w:val="28"/>
        </w:rPr>
      </w:pPr>
      <w:r>
        <w:rPr>
          <w:rFonts w:hint="eastAsia" w:cs="Times New Roman"/>
          <w:snapToGrid w:val="0"/>
          <w:color w:val="auto"/>
          <w:kern w:val="0"/>
          <w:szCs w:val="28"/>
        </w:rPr>
        <w:t>表2.8-1  主要负责人和专职安全管理人员资格证书一览表</w:t>
      </w:r>
    </w:p>
    <w:tbl>
      <w:tblPr>
        <w:tblStyle w:val="24"/>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853"/>
        <w:gridCol w:w="1705"/>
        <w:gridCol w:w="2132"/>
        <w:gridCol w:w="1706"/>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1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b/>
                <w:bCs/>
                <w:color w:val="auto"/>
                <w:sz w:val="21"/>
                <w:szCs w:val="21"/>
              </w:rPr>
              <w:t>序号</w:t>
            </w:r>
          </w:p>
        </w:tc>
        <w:tc>
          <w:tcPr>
            <w:tcW w:w="85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b/>
                <w:bCs/>
                <w:color w:val="auto"/>
                <w:sz w:val="21"/>
                <w:szCs w:val="21"/>
              </w:rPr>
              <w:t>姓名</w:t>
            </w:r>
          </w:p>
        </w:tc>
        <w:tc>
          <w:tcPr>
            <w:tcW w:w="170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b/>
                <w:bCs/>
                <w:color w:val="auto"/>
                <w:sz w:val="21"/>
                <w:szCs w:val="21"/>
              </w:rPr>
              <w:t>类别</w:t>
            </w:r>
          </w:p>
        </w:tc>
        <w:tc>
          <w:tcPr>
            <w:tcW w:w="213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b/>
                <w:bCs/>
                <w:color w:val="auto"/>
                <w:sz w:val="21"/>
                <w:szCs w:val="21"/>
              </w:rPr>
              <w:t>证书编号</w:t>
            </w:r>
          </w:p>
        </w:tc>
        <w:tc>
          <w:tcPr>
            <w:tcW w:w="170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b/>
                <w:bCs/>
                <w:color w:val="auto"/>
                <w:sz w:val="21"/>
                <w:szCs w:val="21"/>
              </w:rPr>
              <w:t>有效期</w:t>
            </w:r>
          </w:p>
        </w:tc>
        <w:tc>
          <w:tcPr>
            <w:tcW w:w="198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b/>
                <w:bCs/>
                <w:color w:val="auto"/>
                <w:sz w:val="21"/>
                <w:szCs w:val="21"/>
              </w:rPr>
            </w:pPr>
            <w:r>
              <w:rPr>
                <w:rFonts w:hint="eastAsia"/>
                <w:b/>
                <w:bCs/>
                <w:color w:val="auto"/>
                <w:sz w:val="21"/>
                <w:szCs w:val="21"/>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1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ind w:firstLine="105" w:firstLineChars="50"/>
              <w:jc w:val="center"/>
              <w:textAlignment w:val="center"/>
              <w:rPr>
                <w:color w:val="auto"/>
                <w:sz w:val="21"/>
                <w:szCs w:val="21"/>
              </w:rPr>
            </w:pPr>
            <w:r>
              <w:rPr>
                <w:color w:val="auto"/>
                <w:sz w:val="21"/>
                <w:szCs w:val="21"/>
              </w:rPr>
              <w:t>1</w:t>
            </w:r>
          </w:p>
        </w:tc>
        <w:tc>
          <w:tcPr>
            <w:tcW w:w="85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许栋</w:t>
            </w:r>
          </w:p>
        </w:tc>
        <w:tc>
          <w:tcPr>
            <w:tcW w:w="170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主要负责人</w:t>
            </w:r>
          </w:p>
        </w:tc>
        <w:tc>
          <w:tcPr>
            <w:tcW w:w="213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33</w:t>
            </w:r>
            <w:r>
              <w:rPr>
                <w:rFonts w:hint="eastAsia"/>
                <w:color w:val="auto"/>
                <w:sz w:val="21"/>
                <w:szCs w:val="21"/>
              </w:rPr>
              <w:t>0623198105294616</w:t>
            </w:r>
          </w:p>
        </w:tc>
        <w:tc>
          <w:tcPr>
            <w:tcW w:w="170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2025.</w:t>
            </w:r>
            <w:r>
              <w:rPr>
                <w:rFonts w:hint="eastAsia"/>
                <w:color w:val="auto"/>
                <w:sz w:val="21"/>
                <w:szCs w:val="21"/>
              </w:rPr>
              <w:t>0</w:t>
            </w:r>
            <w:r>
              <w:rPr>
                <w:color w:val="auto"/>
                <w:sz w:val="21"/>
                <w:szCs w:val="21"/>
              </w:rPr>
              <w:t>7</w:t>
            </w:r>
            <w:r>
              <w:rPr>
                <w:rFonts w:hint="eastAsia"/>
                <w:color w:val="auto"/>
                <w:sz w:val="21"/>
                <w:szCs w:val="21"/>
              </w:rPr>
              <w:t>.1</w:t>
            </w:r>
            <w:r>
              <w:rPr>
                <w:color w:val="auto"/>
                <w:sz w:val="21"/>
                <w:szCs w:val="21"/>
              </w:rPr>
              <w:t>2</w:t>
            </w:r>
          </w:p>
        </w:tc>
        <w:tc>
          <w:tcPr>
            <w:tcW w:w="198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textAlignment w:val="center"/>
              <w:rPr>
                <w:color w:val="auto"/>
                <w:sz w:val="21"/>
                <w:szCs w:val="21"/>
              </w:rPr>
            </w:pPr>
            <w:r>
              <w:rPr>
                <w:rFonts w:hint="eastAsia"/>
                <w:color w:val="auto"/>
                <w:sz w:val="21"/>
                <w:szCs w:val="21"/>
              </w:rPr>
              <w:t>丰城市应急管理局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1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ind w:firstLine="105" w:firstLineChars="50"/>
              <w:jc w:val="center"/>
              <w:textAlignment w:val="center"/>
              <w:rPr>
                <w:color w:val="auto"/>
                <w:sz w:val="21"/>
                <w:szCs w:val="21"/>
              </w:rPr>
            </w:pPr>
            <w:r>
              <w:rPr>
                <w:color w:val="auto"/>
                <w:sz w:val="21"/>
                <w:szCs w:val="21"/>
              </w:rPr>
              <w:t>2</w:t>
            </w:r>
          </w:p>
        </w:tc>
        <w:tc>
          <w:tcPr>
            <w:tcW w:w="85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曾小丽</w:t>
            </w:r>
          </w:p>
        </w:tc>
        <w:tc>
          <w:tcPr>
            <w:tcW w:w="170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安全管理人员</w:t>
            </w:r>
          </w:p>
        </w:tc>
        <w:tc>
          <w:tcPr>
            <w:tcW w:w="213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362</w:t>
            </w:r>
            <w:r>
              <w:rPr>
                <w:rFonts w:hint="eastAsia"/>
                <w:color w:val="auto"/>
                <w:sz w:val="21"/>
                <w:szCs w:val="21"/>
              </w:rPr>
              <w:t>202198603037624</w:t>
            </w:r>
          </w:p>
        </w:tc>
        <w:tc>
          <w:tcPr>
            <w:tcW w:w="170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2025.</w:t>
            </w:r>
            <w:r>
              <w:rPr>
                <w:rFonts w:hint="eastAsia"/>
                <w:color w:val="auto"/>
                <w:sz w:val="21"/>
                <w:szCs w:val="21"/>
              </w:rPr>
              <w:t>0</w:t>
            </w:r>
            <w:r>
              <w:rPr>
                <w:color w:val="auto"/>
                <w:sz w:val="21"/>
                <w:szCs w:val="21"/>
              </w:rPr>
              <w:t>7</w:t>
            </w:r>
            <w:r>
              <w:rPr>
                <w:rFonts w:hint="eastAsia"/>
                <w:color w:val="auto"/>
                <w:sz w:val="21"/>
                <w:szCs w:val="21"/>
              </w:rPr>
              <w:t>.1</w:t>
            </w:r>
            <w:r>
              <w:rPr>
                <w:color w:val="auto"/>
                <w:sz w:val="21"/>
                <w:szCs w:val="21"/>
              </w:rPr>
              <w:t>3</w:t>
            </w:r>
          </w:p>
        </w:tc>
        <w:tc>
          <w:tcPr>
            <w:tcW w:w="198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丰城市应急管理局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71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ind w:firstLine="105" w:firstLineChars="50"/>
              <w:jc w:val="center"/>
              <w:textAlignment w:val="center"/>
              <w:rPr>
                <w:color w:val="auto"/>
                <w:sz w:val="21"/>
                <w:szCs w:val="21"/>
              </w:rPr>
            </w:pPr>
            <w:r>
              <w:rPr>
                <w:rFonts w:hint="eastAsia"/>
                <w:color w:val="auto"/>
                <w:sz w:val="21"/>
                <w:szCs w:val="21"/>
              </w:rPr>
              <w:t>3</w:t>
            </w:r>
          </w:p>
        </w:tc>
        <w:tc>
          <w:tcPr>
            <w:tcW w:w="85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李春友</w:t>
            </w:r>
          </w:p>
        </w:tc>
        <w:tc>
          <w:tcPr>
            <w:tcW w:w="170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注册安全工程师</w:t>
            </w:r>
          </w:p>
        </w:tc>
        <w:tc>
          <w:tcPr>
            <w:tcW w:w="2132"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220104197211214476</w:t>
            </w:r>
          </w:p>
        </w:tc>
        <w:tc>
          <w:tcPr>
            <w:tcW w:w="170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color w:val="auto"/>
                <w:sz w:val="21"/>
                <w:szCs w:val="21"/>
              </w:rPr>
              <w:t>2025.07.31</w:t>
            </w:r>
          </w:p>
        </w:tc>
        <w:tc>
          <w:tcPr>
            <w:tcW w:w="198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sz w:val="21"/>
                <w:szCs w:val="21"/>
              </w:rPr>
            </w:pPr>
            <w:r>
              <w:rPr>
                <w:rFonts w:hint="eastAsia"/>
                <w:color w:val="auto"/>
                <w:sz w:val="21"/>
                <w:szCs w:val="21"/>
              </w:rPr>
              <w:t>应急管理部</w:t>
            </w:r>
          </w:p>
        </w:tc>
      </w:tr>
    </w:tbl>
    <w:p>
      <w:pPr>
        <w:pStyle w:val="5"/>
        <w:keepNext w:val="0"/>
        <w:keepLines w:val="0"/>
        <w:wordWrap w:val="0"/>
        <w:adjustRightInd w:val="0"/>
        <w:snapToGrid w:val="0"/>
        <w:textAlignment w:val="center"/>
        <w:rPr>
          <w:color w:val="auto"/>
          <w:kern w:val="0"/>
        </w:rPr>
      </w:pPr>
      <w:bookmarkStart w:id="64" w:name="_Toc19643"/>
      <w:r>
        <w:rPr>
          <w:rFonts w:hint="eastAsia"/>
          <w:color w:val="auto"/>
          <w:kern w:val="0"/>
        </w:rPr>
        <w:t>2.8.2 安全管理制度</w:t>
      </w:r>
      <w:bookmarkEnd w:id="64"/>
    </w:p>
    <w:p>
      <w:pPr>
        <w:wordWrap w:val="0"/>
        <w:topLinePunct/>
        <w:adjustRightInd w:val="0"/>
        <w:snapToGrid w:val="0"/>
        <w:ind w:firstLine="560" w:firstLineChars="200"/>
        <w:jc w:val="left"/>
        <w:textAlignment w:val="center"/>
        <w:rPr>
          <w:bCs/>
          <w:color w:val="auto"/>
          <w:kern w:val="24"/>
          <w:szCs w:val="28"/>
        </w:rPr>
      </w:pPr>
      <w:r>
        <w:rPr>
          <w:bCs/>
          <w:color w:val="auto"/>
          <w:szCs w:val="28"/>
        </w:rPr>
        <w:t>本项目</w:t>
      </w:r>
      <w:r>
        <w:rPr>
          <w:rFonts w:hint="eastAsia"/>
          <w:bCs/>
          <w:color w:val="auto"/>
          <w:szCs w:val="28"/>
        </w:rPr>
        <w:t>依托公司现有安全管理制度，</w:t>
      </w:r>
      <w:r>
        <w:rPr>
          <w:bCs/>
          <w:color w:val="auto"/>
          <w:kern w:val="24"/>
          <w:szCs w:val="28"/>
        </w:rPr>
        <w:t>企业</w:t>
      </w:r>
      <w:r>
        <w:rPr>
          <w:rFonts w:hint="eastAsia"/>
          <w:bCs/>
          <w:color w:val="auto"/>
          <w:kern w:val="24"/>
          <w:szCs w:val="28"/>
        </w:rPr>
        <w:t>根据</w:t>
      </w:r>
      <w:r>
        <w:rPr>
          <w:bCs/>
          <w:color w:val="auto"/>
          <w:kern w:val="24"/>
          <w:szCs w:val="28"/>
        </w:rPr>
        <w:t>实际情况，现已建立一整套安全生产责任制度，生产管理规章制度和安全操作规程，目录清单见附件。</w:t>
      </w:r>
    </w:p>
    <w:p>
      <w:pPr>
        <w:pStyle w:val="67"/>
        <w:wordWrap w:val="0"/>
        <w:topLinePunct/>
        <w:adjustRightInd w:val="0"/>
        <w:snapToGrid w:val="0"/>
        <w:ind w:firstLine="560"/>
        <w:jc w:val="left"/>
        <w:textAlignment w:val="center"/>
        <w:rPr>
          <w:rFonts w:ascii="Times New Roman" w:hAnsi="Times New Roman"/>
          <w:bCs/>
          <w:color w:val="auto"/>
          <w:sz w:val="28"/>
          <w:szCs w:val="28"/>
        </w:rPr>
      </w:pPr>
      <w:r>
        <w:rPr>
          <w:rFonts w:ascii="Times New Roman" w:hAnsi="Times New Roman"/>
          <w:bCs/>
          <w:color w:val="auto"/>
          <w:kern w:val="24"/>
          <w:sz w:val="28"/>
          <w:szCs w:val="28"/>
        </w:rPr>
        <w:t>安全管理制度及安全操作规程情况</w:t>
      </w:r>
      <w:r>
        <w:rPr>
          <w:rFonts w:ascii="Times New Roman" w:hAnsi="Times New Roman"/>
          <w:bCs/>
          <w:color w:val="auto"/>
          <w:sz w:val="28"/>
          <w:szCs w:val="28"/>
        </w:rPr>
        <w:t>具体见表2</w:t>
      </w:r>
      <w:r>
        <w:rPr>
          <w:rFonts w:hint="eastAsia" w:ascii="Times New Roman" w:hAnsi="Times New Roman"/>
          <w:bCs/>
          <w:color w:val="auto"/>
          <w:sz w:val="28"/>
          <w:szCs w:val="28"/>
        </w:rPr>
        <w:t>.8</w:t>
      </w:r>
      <w:r>
        <w:rPr>
          <w:rFonts w:ascii="Times New Roman" w:hAnsi="Times New Roman"/>
          <w:bCs/>
          <w:color w:val="auto"/>
          <w:sz w:val="28"/>
          <w:szCs w:val="28"/>
        </w:rPr>
        <w:t>-</w:t>
      </w:r>
      <w:r>
        <w:rPr>
          <w:rFonts w:hint="eastAsia" w:ascii="Times New Roman" w:hAnsi="Times New Roman"/>
          <w:bCs/>
          <w:color w:val="auto"/>
          <w:sz w:val="28"/>
          <w:szCs w:val="28"/>
        </w:rPr>
        <w:t>2</w:t>
      </w:r>
      <w:r>
        <w:rPr>
          <w:rFonts w:ascii="Times New Roman" w:hAnsi="Times New Roman"/>
          <w:bCs/>
          <w:color w:val="auto"/>
          <w:sz w:val="28"/>
          <w:szCs w:val="28"/>
        </w:rPr>
        <w:t>、表2</w:t>
      </w:r>
      <w:r>
        <w:rPr>
          <w:rFonts w:hint="eastAsia" w:ascii="Times New Roman" w:hAnsi="Times New Roman"/>
          <w:bCs/>
          <w:color w:val="auto"/>
          <w:sz w:val="28"/>
          <w:szCs w:val="28"/>
        </w:rPr>
        <w:t>.8</w:t>
      </w:r>
      <w:r>
        <w:rPr>
          <w:rFonts w:ascii="Times New Roman" w:hAnsi="Times New Roman"/>
          <w:bCs/>
          <w:color w:val="auto"/>
          <w:sz w:val="28"/>
          <w:szCs w:val="28"/>
        </w:rPr>
        <w:t>-</w:t>
      </w:r>
      <w:r>
        <w:rPr>
          <w:rFonts w:hint="eastAsia" w:ascii="Times New Roman" w:hAnsi="Times New Roman"/>
          <w:bCs/>
          <w:color w:val="auto"/>
          <w:sz w:val="28"/>
          <w:szCs w:val="28"/>
        </w:rPr>
        <w:t>3、表</w:t>
      </w:r>
      <w:r>
        <w:rPr>
          <w:rFonts w:ascii="Times New Roman" w:hAnsi="Times New Roman"/>
          <w:bCs/>
          <w:color w:val="auto"/>
          <w:sz w:val="28"/>
          <w:szCs w:val="28"/>
        </w:rPr>
        <w:t>2</w:t>
      </w:r>
      <w:r>
        <w:rPr>
          <w:rFonts w:hint="eastAsia" w:ascii="Times New Roman" w:hAnsi="Times New Roman"/>
          <w:bCs/>
          <w:color w:val="auto"/>
          <w:sz w:val="28"/>
          <w:szCs w:val="28"/>
        </w:rPr>
        <w:t>.8</w:t>
      </w:r>
      <w:r>
        <w:rPr>
          <w:rFonts w:ascii="Times New Roman" w:hAnsi="Times New Roman"/>
          <w:bCs/>
          <w:color w:val="auto"/>
          <w:sz w:val="28"/>
          <w:szCs w:val="28"/>
        </w:rPr>
        <w:t>-</w:t>
      </w:r>
      <w:r>
        <w:rPr>
          <w:rFonts w:hint="eastAsia" w:ascii="Times New Roman" w:hAnsi="Times New Roman"/>
          <w:bCs/>
          <w:color w:val="auto"/>
          <w:sz w:val="28"/>
          <w:szCs w:val="28"/>
        </w:rPr>
        <w:t>4</w:t>
      </w:r>
      <w:r>
        <w:rPr>
          <w:rFonts w:ascii="Times New Roman" w:hAnsi="Times New Roman"/>
          <w:bCs/>
          <w:color w:val="auto"/>
          <w:sz w:val="28"/>
          <w:szCs w:val="28"/>
        </w:rPr>
        <w:t>。</w:t>
      </w:r>
    </w:p>
    <w:p>
      <w:pPr>
        <w:wordWrap w:val="0"/>
        <w:topLinePunct/>
        <w:adjustRightInd w:val="0"/>
        <w:snapToGrid w:val="0"/>
        <w:jc w:val="center"/>
        <w:textAlignment w:val="center"/>
        <w:rPr>
          <w:bCs/>
          <w:color w:val="auto"/>
          <w:szCs w:val="28"/>
        </w:rPr>
      </w:pPr>
      <w:r>
        <w:rPr>
          <w:bCs/>
          <w:color w:val="auto"/>
          <w:szCs w:val="28"/>
        </w:rPr>
        <w:t>表2</w:t>
      </w:r>
      <w:r>
        <w:rPr>
          <w:rFonts w:hint="eastAsia"/>
          <w:bCs/>
          <w:color w:val="auto"/>
          <w:szCs w:val="28"/>
        </w:rPr>
        <w:t>.8</w:t>
      </w:r>
      <w:r>
        <w:rPr>
          <w:bCs/>
          <w:color w:val="auto"/>
          <w:szCs w:val="28"/>
        </w:rPr>
        <w:t>-</w:t>
      </w:r>
      <w:r>
        <w:rPr>
          <w:rFonts w:hint="eastAsia"/>
          <w:bCs/>
          <w:color w:val="auto"/>
          <w:szCs w:val="28"/>
        </w:rPr>
        <w:t>2</w:t>
      </w:r>
      <w:r>
        <w:rPr>
          <w:bCs/>
          <w:color w:val="auto"/>
          <w:szCs w:val="28"/>
        </w:rPr>
        <w:t xml:space="preserve">  </w:t>
      </w:r>
      <w:r>
        <w:rPr>
          <w:rFonts w:hint="eastAsia"/>
          <w:bCs/>
          <w:color w:val="auto"/>
          <w:szCs w:val="28"/>
        </w:rPr>
        <w:t>安全生产职责</w:t>
      </w:r>
      <w:r>
        <w:rPr>
          <w:bCs/>
          <w:color w:val="auto"/>
          <w:szCs w:val="28"/>
        </w:rPr>
        <w:t>一览表</w:t>
      </w:r>
    </w:p>
    <w:tbl>
      <w:tblPr>
        <w:tblStyle w:val="24"/>
        <w:tblW w:w="9072" w:type="dxa"/>
        <w:jc w:val="center"/>
        <w:tblLayout w:type="fixed"/>
        <w:tblCellMar>
          <w:top w:w="15" w:type="dxa"/>
          <w:left w:w="15" w:type="dxa"/>
          <w:bottom w:w="15" w:type="dxa"/>
          <w:right w:w="15" w:type="dxa"/>
        </w:tblCellMar>
      </w:tblPr>
      <w:tblGrid>
        <w:gridCol w:w="852"/>
        <w:gridCol w:w="5804"/>
        <w:gridCol w:w="2416"/>
      </w:tblGrid>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序号</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名称</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备注</w:t>
            </w: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一</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各级人员安全职责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总经理职责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副总经理职责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安全管理部</w:t>
            </w:r>
            <w:r>
              <w:rPr>
                <w:rFonts w:cs="Times New Roman"/>
                <w:color w:val="auto"/>
                <w:sz w:val="21"/>
                <w:szCs w:val="21"/>
              </w:rPr>
              <w:t>主管职责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生产部负责人职责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设备部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油性车间</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水性车间</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仓储部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财务部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采购部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人力部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技术研发部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应用技术部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质检部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行政部</w:t>
            </w:r>
            <w:r>
              <w:rPr>
                <w:rFonts w:cs="Times New Roman"/>
                <w:color w:val="auto"/>
                <w:sz w:val="21"/>
                <w:szCs w:val="21"/>
              </w:rPr>
              <w:t>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销售部负责人职责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安全管理部</w:t>
            </w:r>
            <w:r>
              <w:rPr>
                <w:rFonts w:cs="Times New Roman"/>
                <w:color w:val="auto"/>
                <w:sz w:val="21"/>
                <w:szCs w:val="21"/>
              </w:rPr>
              <w:t>安全员（专职）的职责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生产部安全员（兼职）的职责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销售部安全员（兼职）的职责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财务部安全员（兼职）的职责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安全管理部人员职责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生产部人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设备部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油性车间</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水性车间</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仓储部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财务部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采购部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人力部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技术研发部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应用技术部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质检部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行政部</w:t>
            </w:r>
            <w:r>
              <w:rPr>
                <w:rFonts w:cs="Times New Roman"/>
                <w:color w:val="auto"/>
                <w:sz w:val="21"/>
                <w:szCs w:val="21"/>
              </w:rPr>
              <w:t>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销售部人</w:t>
            </w:r>
            <w:r>
              <w:rPr>
                <w:rFonts w:hint="eastAsia" w:cs="Times New Roman"/>
                <w:color w:val="auto"/>
                <w:sz w:val="21"/>
                <w:szCs w:val="21"/>
              </w:rPr>
              <w:t>员</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班长安全职责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维修工安全职责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电工安全职责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40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特种作业人员安全职责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41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门卫岗位安全职责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二</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各职能部门安全职责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安全管理部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生产部职责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设备部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油性车间</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水性车间</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仓储部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财务部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采购部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人力部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技术研发部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应用技术部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质检部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行政部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cs="Times New Roman"/>
                <w:color w:val="auto"/>
                <w:sz w:val="21"/>
                <w:szCs w:val="21"/>
              </w:rPr>
              <w:t>销售部职责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机修部</w:t>
            </w:r>
            <w:r>
              <w:rPr>
                <w:rFonts w:cs="Times New Roman"/>
                <w:color w:val="auto"/>
                <w:sz w:val="21"/>
                <w:szCs w:val="21"/>
              </w:rPr>
              <w:t>职责</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cs="Times New Roman"/>
                <w:bCs/>
                <w:color w:val="auto"/>
                <w:kern w:val="0"/>
                <w:sz w:val="21"/>
                <w:szCs w:val="21"/>
              </w:rPr>
            </w:pPr>
          </w:p>
        </w:tc>
      </w:tr>
    </w:tbl>
    <w:p>
      <w:pPr>
        <w:wordWrap w:val="0"/>
        <w:topLinePunct/>
        <w:adjustRightInd w:val="0"/>
        <w:snapToGrid w:val="0"/>
        <w:jc w:val="center"/>
        <w:textAlignment w:val="center"/>
        <w:rPr>
          <w:color w:val="auto"/>
        </w:rPr>
      </w:pPr>
      <w:r>
        <w:rPr>
          <w:color w:val="auto"/>
          <w:szCs w:val="28"/>
        </w:rPr>
        <w:t>表</w:t>
      </w:r>
      <w:r>
        <w:rPr>
          <w:bCs/>
          <w:color w:val="auto"/>
          <w:szCs w:val="28"/>
        </w:rPr>
        <w:t>2</w:t>
      </w:r>
      <w:r>
        <w:rPr>
          <w:rFonts w:hint="eastAsia"/>
          <w:bCs/>
          <w:color w:val="auto"/>
          <w:szCs w:val="28"/>
        </w:rPr>
        <w:t>.8</w:t>
      </w:r>
      <w:r>
        <w:rPr>
          <w:bCs/>
          <w:color w:val="auto"/>
          <w:szCs w:val="28"/>
        </w:rPr>
        <w:t>-</w:t>
      </w:r>
      <w:r>
        <w:rPr>
          <w:rFonts w:hint="eastAsia"/>
          <w:bCs/>
          <w:color w:val="auto"/>
          <w:szCs w:val="28"/>
        </w:rPr>
        <w:t>3</w:t>
      </w:r>
      <w:r>
        <w:rPr>
          <w:color w:val="auto"/>
          <w:szCs w:val="28"/>
        </w:rPr>
        <w:t xml:space="preserve">  主要安全管理制度一览表</w:t>
      </w:r>
    </w:p>
    <w:tbl>
      <w:tblPr>
        <w:tblStyle w:val="24"/>
        <w:tblW w:w="9072" w:type="dxa"/>
        <w:jc w:val="center"/>
        <w:tblLayout w:type="fixed"/>
        <w:tblCellMar>
          <w:top w:w="15" w:type="dxa"/>
          <w:left w:w="15" w:type="dxa"/>
          <w:bottom w:w="15" w:type="dxa"/>
          <w:right w:w="15" w:type="dxa"/>
        </w:tblCellMar>
      </w:tblPr>
      <w:tblGrid>
        <w:gridCol w:w="852"/>
        <w:gridCol w:w="5804"/>
        <w:gridCol w:w="2416"/>
      </w:tblGrid>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b/>
                <w:bCs/>
                <w:color w:val="auto"/>
                <w:kern w:val="0"/>
                <w:sz w:val="21"/>
                <w:szCs w:val="21"/>
              </w:rPr>
            </w:pPr>
            <w:r>
              <w:rPr>
                <w:b/>
                <w:bCs/>
                <w:color w:val="auto"/>
                <w:kern w:val="0"/>
                <w:sz w:val="21"/>
                <w:szCs w:val="21"/>
              </w:rPr>
              <w:t>序号</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b/>
                <w:bCs/>
                <w:color w:val="auto"/>
                <w:kern w:val="0"/>
                <w:sz w:val="21"/>
                <w:szCs w:val="21"/>
              </w:rPr>
            </w:pPr>
            <w:r>
              <w:rPr>
                <w:b/>
                <w:bCs/>
                <w:color w:val="auto"/>
                <w:kern w:val="0"/>
                <w:sz w:val="21"/>
                <w:szCs w:val="21"/>
              </w:rPr>
              <w:t>名称</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备注</w:t>
            </w: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65" w:name="_Toc339495764"/>
            <w:bookmarkStart w:id="66" w:name="_Toc29143740"/>
            <w:r>
              <w:rPr>
                <w:rFonts w:hint="eastAsia" w:ascii="宋体" w:hAnsi="宋体"/>
                <w:color w:val="auto"/>
                <w:sz w:val="21"/>
                <w:szCs w:val="21"/>
              </w:rPr>
              <w:t>安全法律、法规、标准及其他政府要求识别的制度</w:t>
            </w:r>
            <w:bookmarkEnd w:id="65"/>
            <w:bookmarkEnd w:id="66"/>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bCs/>
                <w:color w:val="auto"/>
                <w:sz w:val="21"/>
                <w:szCs w:val="21"/>
              </w:rPr>
              <w:t>安全生产目标管理制度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bCs/>
                <w:color w:val="auto"/>
                <w:sz w:val="21"/>
                <w:szCs w:val="21"/>
              </w:rPr>
              <w:t>安全生产责任制管理制度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安全生产责任制</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安全责任考核制度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安全奖惩与考核制度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领导干部带班制度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安全生产领导小组制度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安全生产会议管理制度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安全生产费用管理制度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风险评价管理制度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隐患排查治理管理制度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重大危险源管理制度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变更管理制度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风险信息更新管理制度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67" w:name="_Toc29143754"/>
            <w:bookmarkStart w:id="68" w:name="_Toc339495779"/>
            <w:r>
              <w:rPr>
                <w:rFonts w:hint="eastAsia" w:ascii="宋体" w:hAnsi="宋体"/>
                <w:color w:val="auto"/>
                <w:sz w:val="21"/>
                <w:szCs w:val="21"/>
              </w:rPr>
              <w:t>供应商管理制度</w:t>
            </w:r>
            <w:bookmarkEnd w:id="67"/>
            <w:bookmarkEnd w:id="68"/>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文件管理制度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sz w:val="21"/>
                <w:szCs w:val="21"/>
              </w:rPr>
              <w:t>档案管理制度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19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安全培训教育管理制度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从业人员岗位标准</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69" w:name="_Toc29143766"/>
            <w:bookmarkStart w:id="70" w:name="_Toc339495832"/>
            <w:r>
              <w:rPr>
                <w:rFonts w:hint="eastAsia" w:ascii="宋体" w:hAnsi="宋体"/>
                <w:color w:val="auto"/>
                <w:sz w:val="21"/>
                <w:szCs w:val="21"/>
              </w:rPr>
              <w:t>特种作业人员管理制度</w:t>
            </w:r>
            <w:bookmarkEnd w:id="69"/>
            <w:bookmarkEnd w:id="70"/>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管理部门、基层班组安全活动管理制度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建设项目三同时管理制度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生产设备、设施安全管理制度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生产设施安全检维修制度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生产设施拆除与报废制度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kern w:val="0"/>
                <w:sz w:val="21"/>
                <w:szCs w:val="21"/>
                <w:lang w:val="zh-CN"/>
              </w:rPr>
              <w:t>特种设备管理制度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建（构）筑物安全管理制度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29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生产装置、仓库安全管理制度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安全设施管理制度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监视和测量设备安全管理制度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71" w:name="_Toc29143779"/>
            <w:bookmarkStart w:id="72" w:name="_Toc339495845"/>
            <w:r>
              <w:rPr>
                <w:rFonts w:hint="eastAsia" w:ascii="宋体" w:hAnsi="宋体"/>
                <w:color w:val="auto"/>
                <w:sz w:val="21"/>
                <w:szCs w:val="21"/>
              </w:rPr>
              <w:t>生产装置开停车管理制度</w:t>
            </w:r>
            <w:bookmarkEnd w:id="71"/>
            <w:bookmarkEnd w:id="72"/>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73" w:name="_Toc339495846"/>
            <w:bookmarkStart w:id="74" w:name="_Toc29143780"/>
            <w:r>
              <w:rPr>
                <w:rFonts w:ascii="宋体" w:hAnsi="宋体"/>
                <w:color w:val="auto"/>
                <w:sz w:val="21"/>
                <w:szCs w:val="21"/>
              </w:rPr>
              <w:t>工艺</w:t>
            </w:r>
            <w:r>
              <w:rPr>
                <w:rFonts w:hint="eastAsia" w:ascii="宋体" w:hAnsi="宋体"/>
                <w:color w:val="auto"/>
                <w:sz w:val="21"/>
                <w:szCs w:val="21"/>
              </w:rPr>
              <w:t>安全管理制度</w:t>
            </w:r>
            <w:bookmarkEnd w:id="73"/>
            <w:bookmarkEnd w:id="74"/>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75" w:name="_Toc339495847"/>
            <w:bookmarkStart w:id="76" w:name="_Toc29143781"/>
            <w:r>
              <w:rPr>
                <w:rFonts w:hint="eastAsia" w:ascii="宋体" w:hAnsi="宋体"/>
                <w:color w:val="auto"/>
                <w:sz w:val="21"/>
                <w:szCs w:val="21"/>
              </w:rPr>
              <w:t>关键装置、重点部位安全管理制度</w:t>
            </w:r>
            <w:bookmarkEnd w:id="75"/>
            <w:bookmarkEnd w:id="76"/>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检维修管理制度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77" w:name="_Toc29143784"/>
            <w:bookmarkStart w:id="78" w:name="_Toc339495850"/>
            <w:r>
              <w:rPr>
                <w:rFonts w:hint="eastAsia"/>
                <w:color w:val="auto"/>
                <w:sz w:val="21"/>
                <w:szCs w:val="21"/>
              </w:rPr>
              <w:t>警示标志和安全防护管理制度</w:t>
            </w:r>
            <w:bookmarkEnd w:id="77"/>
            <w:bookmarkEnd w:id="78"/>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79" w:name="_Toc29143785"/>
            <w:bookmarkStart w:id="80" w:name="_Toc339495851"/>
            <w:r>
              <w:rPr>
                <w:rFonts w:hint="eastAsia"/>
                <w:color w:val="auto"/>
                <w:sz w:val="21"/>
                <w:szCs w:val="21"/>
              </w:rPr>
              <w:t>电气安全管理制度</w:t>
            </w:r>
            <w:bookmarkEnd w:id="79"/>
            <w:bookmarkEnd w:id="80"/>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81" w:name="_Toc29143787"/>
            <w:bookmarkStart w:id="82" w:name="_Toc339495853"/>
            <w:r>
              <w:rPr>
                <w:rFonts w:hint="eastAsia" w:ascii="宋体" w:hAnsi="宋体"/>
                <w:color w:val="auto"/>
                <w:sz w:val="21"/>
                <w:szCs w:val="21"/>
              </w:rPr>
              <w:t>公用工程管理制度</w:t>
            </w:r>
            <w:bookmarkEnd w:id="81"/>
            <w:bookmarkEnd w:id="82"/>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39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83" w:name="_Toc29143789"/>
            <w:bookmarkStart w:id="84" w:name="_Toc339495855"/>
            <w:r>
              <w:rPr>
                <w:rFonts w:hint="eastAsia" w:ascii="宋体" w:hAnsi="宋体"/>
                <w:color w:val="auto"/>
                <w:sz w:val="21"/>
                <w:szCs w:val="21"/>
              </w:rPr>
              <w:t>机动车辆进入生产装置区、库区安全管理规定</w:t>
            </w:r>
            <w:bookmarkEnd w:id="83"/>
            <w:bookmarkEnd w:id="84"/>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85" w:name="_Toc29143790"/>
            <w:bookmarkStart w:id="86" w:name="_Toc339495856"/>
            <w:r>
              <w:rPr>
                <w:rFonts w:hint="eastAsia" w:ascii="宋体" w:hAnsi="宋体"/>
                <w:color w:val="auto"/>
                <w:sz w:val="21"/>
                <w:szCs w:val="21"/>
              </w:rPr>
              <w:t>火灾、爆炸管理制度</w:t>
            </w:r>
            <w:bookmarkEnd w:id="85"/>
            <w:bookmarkEnd w:id="86"/>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禁火、禁烟管理制度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87" w:name="_Toc29143807"/>
            <w:bookmarkStart w:id="88" w:name="_Toc339495873"/>
            <w:r>
              <w:rPr>
                <w:rFonts w:hint="eastAsia" w:ascii="宋体" w:hAnsi="宋体"/>
                <w:color w:val="auto"/>
                <w:sz w:val="21"/>
                <w:szCs w:val="21"/>
              </w:rPr>
              <w:t>消防管理制度</w:t>
            </w:r>
            <w:bookmarkEnd w:id="87"/>
            <w:bookmarkEnd w:id="88"/>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89" w:name="_Toc29143792"/>
            <w:bookmarkStart w:id="90" w:name="_Toc339495858"/>
            <w:r>
              <w:rPr>
                <w:rFonts w:hint="eastAsia" w:ascii="宋体" w:hAnsi="宋体"/>
                <w:color w:val="auto"/>
                <w:sz w:val="21"/>
                <w:szCs w:val="21"/>
              </w:rPr>
              <w:t>危险化学品出入库安全管理制度</w:t>
            </w:r>
            <w:bookmarkEnd w:id="89"/>
            <w:bookmarkEnd w:id="90"/>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91" w:name="_Toc339495859"/>
            <w:bookmarkStart w:id="92" w:name="_Toc29143793"/>
            <w:r>
              <w:rPr>
                <w:rFonts w:ascii="宋体" w:hAnsi="宋体"/>
                <w:color w:val="auto"/>
                <w:sz w:val="21"/>
                <w:szCs w:val="21"/>
              </w:rPr>
              <w:t>危险化学品运输、装卸安全管理制度</w:t>
            </w:r>
            <w:bookmarkEnd w:id="91"/>
            <w:bookmarkEnd w:id="92"/>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危险性作业环节管理规定</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承包商管理制度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职业卫生管理制度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职业卫生教育培训制度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49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93" w:name="_Toc29143799"/>
            <w:bookmarkStart w:id="94" w:name="_Toc339495865"/>
            <w:r>
              <w:rPr>
                <w:rFonts w:hint="eastAsia" w:ascii="宋体" w:hAnsi="宋体"/>
                <w:color w:val="auto"/>
                <w:sz w:val="21"/>
                <w:szCs w:val="21"/>
              </w:rPr>
              <w:t>作业场所职业病危害因素监测管理制度</w:t>
            </w:r>
            <w:bookmarkEnd w:id="93"/>
            <w:bookmarkEnd w:id="94"/>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bookmarkStart w:id="95" w:name="_Toc29143800"/>
            <w:bookmarkStart w:id="96" w:name="_Toc339495866"/>
            <w:r>
              <w:rPr>
                <w:rFonts w:hint="eastAsia" w:ascii="宋体" w:hAnsi="宋体"/>
                <w:color w:val="auto"/>
                <w:sz w:val="21"/>
                <w:szCs w:val="21"/>
              </w:rPr>
              <w:t>个体劳动防护用品发放管理制度</w:t>
            </w:r>
            <w:bookmarkEnd w:id="95"/>
            <w:bookmarkEnd w:id="96"/>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劳护用品与保健品管理制度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ascii="宋体" w:hAnsi="宋体"/>
                <w:color w:val="auto"/>
                <w:sz w:val="21"/>
                <w:szCs w:val="21"/>
              </w:rPr>
              <w:t>危险化学品安全管理制度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r>
              <w:rPr>
                <w:rFonts w:hint="eastAsia"/>
                <w:color w:val="auto"/>
                <w:sz w:val="21"/>
                <w:szCs w:val="21"/>
              </w:rPr>
              <w:t>危险化学品储存管理制度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r>
              <w:rPr>
                <w:rFonts w:hint="eastAsia"/>
                <w:color w:val="auto"/>
                <w:sz w:val="21"/>
                <w:szCs w:val="21"/>
              </w:rPr>
              <w:t>危险化学品废弃物处理制度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55</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97" w:name="_Toc339495874"/>
            <w:bookmarkStart w:id="98" w:name="_Toc29143808"/>
            <w:r>
              <w:rPr>
                <w:rFonts w:hint="eastAsia" w:ascii="宋体" w:hAnsi="宋体"/>
                <w:color w:val="auto"/>
                <w:sz w:val="21"/>
                <w:szCs w:val="21"/>
              </w:rPr>
              <w:t>应急救援管理制度</w:t>
            </w:r>
            <w:bookmarkEnd w:id="97"/>
            <w:bookmarkEnd w:id="98"/>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56</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r>
              <w:rPr>
                <w:rFonts w:hint="eastAsia"/>
                <w:color w:val="auto"/>
                <w:sz w:val="21"/>
                <w:szCs w:val="21"/>
              </w:rPr>
              <w:t>应急设施、装备、物资管理制度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57</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r>
              <w:rPr>
                <w:rFonts w:hint="eastAsia"/>
                <w:color w:val="auto"/>
                <w:sz w:val="21"/>
                <w:szCs w:val="21"/>
              </w:rPr>
              <w:t>事故管理制度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58</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99" w:name="_Toc339495877"/>
            <w:bookmarkStart w:id="100" w:name="_Toc29143811"/>
            <w:r>
              <w:rPr>
                <w:rFonts w:hint="eastAsia" w:ascii="宋体" w:hAnsi="宋体"/>
                <w:color w:val="auto"/>
                <w:sz w:val="21"/>
                <w:szCs w:val="21"/>
              </w:rPr>
              <w:t>事故隐患报告管理制度</w:t>
            </w:r>
            <w:bookmarkEnd w:id="99"/>
            <w:bookmarkEnd w:id="100"/>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59</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101" w:name="_Toc339495878"/>
            <w:bookmarkStart w:id="102" w:name="_Toc29143812"/>
            <w:r>
              <w:rPr>
                <w:rFonts w:hint="eastAsia" w:ascii="宋体" w:hAnsi="宋体"/>
                <w:color w:val="auto"/>
                <w:sz w:val="21"/>
                <w:szCs w:val="21"/>
              </w:rPr>
              <w:t>安全检查管理制度</w:t>
            </w:r>
            <w:bookmarkEnd w:id="101"/>
            <w:bookmarkEnd w:id="102"/>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60</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103" w:name="_Toc339495879"/>
            <w:bookmarkStart w:id="104" w:name="_Toc29143813"/>
            <w:r>
              <w:rPr>
                <w:rFonts w:hint="eastAsia" w:ascii="宋体" w:hAnsi="宋体"/>
                <w:color w:val="auto"/>
                <w:sz w:val="21"/>
                <w:szCs w:val="21"/>
              </w:rPr>
              <w:t>隐患整改制度</w:t>
            </w:r>
            <w:bookmarkEnd w:id="103"/>
            <w:bookmarkEnd w:id="104"/>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61</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bookmarkStart w:id="105" w:name="_Toc339495880"/>
            <w:bookmarkStart w:id="106" w:name="_Toc29143814"/>
            <w:r>
              <w:rPr>
                <w:rFonts w:hint="eastAsia" w:ascii="宋体" w:hAnsi="宋体"/>
                <w:color w:val="auto"/>
                <w:sz w:val="21"/>
                <w:szCs w:val="21"/>
              </w:rPr>
              <w:t>安全标准化绩效考核制度</w:t>
            </w:r>
            <w:bookmarkEnd w:id="105"/>
            <w:bookmarkEnd w:id="106"/>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color w:val="auto"/>
                <w:kern w:val="0"/>
                <w:sz w:val="21"/>
                <w:szCs w:val="21"/>
              </w:rPr>
              <w:t>62</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sz w:val="21"/>
                <w:szCs w:val="21"/>
              </w:rPr>
            </w:pPr>
            <w:r>
              <w:rPr>
                <w:rFonts w:hint="eastAsia" w:ascii="宋体" w:hAnsi="宋体"/>
                <w:color w:val="auto"/>
                <w:sz w:val="21"/>
                <w:szCs w:val="21"/>
              </w:rPr>
              <w:t>安全标准化自评管理制度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kern w:val="0"/>
                <w:sz w:val="21"/>
                <w:szCs w:val="21"/>
              </w:rPr>
              <w:t>63</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ascii="宋体" w:hAnsi="宋体"/>
                <w:color w:val="auto"/>
                <w:sz w:val="21"/>
                <w:szCs w:val="21"/>
              </w:rPr>
            </w:pPr>
            <w:r>
              <w:rPr>
                <w:rFonts w:hint="eastAsia" w:ascii="宋体" w:hAnsi="宋体"/>
                <w:color w:val="auto"/>
                <w:sz w:val="21"/>
                <w:szCs w:val="21"/>
              </w:rPr>
              <w:t>安全风险分级管控制度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852"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r>
              <w:rPr>
                <w:rFonts w:hint="eastAsia"/>
                <w:color w:val="auto"/>
                <w:kern w:val="0"/>
                <w:sz w:val="21"/>
                <w:szCs w:val="21"/>
              </w:rPr>
              <w:t>64</w:t>
            </w:r>
          </w:p>
        </w:tc>
        <w:tc>
          <w:tcPr>
            <w:tcW w:w="5804"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rFonts w:ascii="宋体" w:hAnsi="宋体"/>
                <w:color w:val="auto"/>
                <w:sz w:val="21"/>
                <w:szCs w:val="21"/>
              </w:rPr>
            </w:pPr>
            <w:r>
              <w:rPr>
                <w:rFonts w:hint="eastAsia" w:ascii="宋体" w:hAnsi="宋体"/>
                <w:color w:val="auto"/>
                <w:sz w:val="21"/>
                <w:szCs w:val="21"/>
              </w:rPr>
              <w:t>库区管理制度</w:t>
            </w:r>
          </w:p>
        </w:tc>
        <w:tc>
          <w:tcPr>
            <w:tcW w:w="2416" w:type="dxa"/>
            <w:tcBorders>
              <w:top w:val="single" w:color="000000" w:sz="4" w:space="0"/>
              <w:left w:val="single" w:color="000000" w:sz="4" w:space="0"/>
              <w:bottom w:val="single" w:color="000000" w:sz="4" w:space="0"/>
              <w:right w:val="single" w:color="000000" w:sz="4" w:space="0"/>
            </w:tcBorders>
            <w:vAlign w:val="center"/>
          </w:tcPr>
          <w:p>
            <w:pPr>
              <w:wordWrap w:val="0"/>
              <w:topLinePunct/>
              <w:adjustRightInd w:val="0"/>
              <w:snapToGrid w:val="0"/>
              <w:spacing w:line="240" w:lineRule="auto"/>
              <w:jc w:val="center"/>
              <w:textAlignment w:val="center"/>
              <w:rPr>
                <w:color w:val="auto"/>
                <w:kern w:val="0"/>
                <w:sz w:val="21"/>
                <w:szCs w:val="21"/>
              </w:rPr>
            </w:pPr>
          </w:p>
        </w:tc>
      </w:tr>
    </w:tbl>
    <w:p>
      <w:pPr>
        <w:wordWrap w:val="0"/>
        <w:topLinePunct/>
        <w:adjustRightInd w:val="0"/>
        <w:snapToGrid w:val="0"/>
        <w:jc w:val="center"/>
        <w:textAlignment w:val="center"/>
        <w:rPr>
          <w:color w:val="auto"/>
          <w:szCs w:val="28"/>
        </w:rPr>
      </w:pPr>
      <w:r>
        <w:rPr>
          <w:color w:val="auto"/>
          <w:szCs w:val="28"/>
        </w:rPr>
        <w:t>表</w:t>
      </w:r>
      <w:r>
        <w:rPr>
          <w:bCs/>
          <w:color w:val="auto"/>
          <w:szCs w:val="28"/>
        </w:rPr>
        <w:t>2</w:t>
      </w:r>
      <w:r>
        <w:rPr>
          <w:rFonts w:hint="eastAsia"/>
          <w:bCs/>
          <w:color w:val="auto"/>
          <w:szCs w:val="28"/>
        </w:rPr>
        <w:t>.8</w:t>
      </w:r>
      <w:r>
        <w:rPr>
          <w:bCs/>
          <w:color w:val="auto"/>
          <w:szCs w:val="28"/>
        </w:rPr>
        <w:t>-</w:t>
      </w:r>
      <w:r>
        <w:rPr>
          <w:rFonts w:hint="eastAsia"/>
          <w:bCs/>
          <w:color w:val="auto"/>
          <w:szCs w:val="28"/>
        </w:rPr>
        <w:t>4</w:t>
      </w:r>
      <w:r>
        <w:rPr>
          <w:color w:val="auto"/>
          <w:szCs w:val="28"/>
        </w:rPr>
        <w:t xml:space="preserve">  主要安全操作规程一览表</w:t>
      </w:r>
    </w:p>
    <w:tbl>
      <w:tblPr>
        <w:tblStyle w:val="24"/>
        <w:tblW w:w="9072" w:type="dxa"/>
        <w:jc w:val="center"/>
        <w:tblLayout w:type="fixed"/>
        <w:tblCellMar>
          <w:top w:w="15" w:type="dxa"/>
          <w:left w:w="15" w:type="dxa"/>
          <w:bottom w:w="15" w:type="dxa"/>
          <w:right w:w="15" w:type="dxa"/>
        </w:tblCellMar>
      </w:tblPr>
      <w:tblGrid>
        <w:gridCol w:w="795"/>
        <w:gridCol w:w="5869"/>
        <w:gridCol w:w="2408"/>
      </w:tblGrid>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b/>
                <w:bCs/>
                <w:color w:val="auto"/>
                <w:kern w:val="0"/>
                <w:sz w:val="21"/>
                <w:szCs w:val="21"/>
              </w:rPr>
            </w:pPr>
            <w:r>
              <w:rPr>
                <w:b/>
                <w:bCs/>
                <w:color w:val="auto"/>
                <w:kern w:val="0"/>
                <w:sz w:val="21"/>
                <w:szCs w:val="21"/>
              </w:rPr>
              <w:t>序号</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b/>
                <w:bCs/>
                <w:color w:val="auto"/>
                <w:kern w:val="0"/>
                <w:sz w:val="21"/>
                <w:szCs w:val="21"/>
              </w:rPr>
            </w:pPr>
            <w:r>
              <w:rPr>
                <w:b/>
                <w:bCs/>
                <w:color w:val="auto"/>
                <w:kern w:val="0"/>
                <w:sz w:val="21"/>
                <w:szCs w:val="21"/>
              </w:rPr>
              <w:t>名称</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b/>
                <w:bCs/>
                <w:color w:val="auto"/>
                <w:kern w:val="0"/>
                <w:sz w:val="21"/>
                <w:szCs w:val="21"/>
              </w:rPr>
            </w:pPr>
            <w:r>
              <w:rPr>
                <w:b/>
                <w:bCs/>
                <w:color w:val="auto"/>
                <w:kern w:val="0"/>
                <w:sz w:val="21"/>
                <w:szCs w:val="21"/>
              </w:rPr>
              <w:t>备注</w:t>
            </w: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1</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sz w:val="21"/>
                <w:szCs w:val="21"/>
              </w:rPr>
              <w:t>半自动灌装机</w:t>
            </w:r>
            <w:r>
              <w:rPr>
                <w:color w:val="auto"/>
                <w:sz w:val="21"/>
                <w:szCs w:val="21"/>
              </w:rPr>
              <w:t>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2</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sz w:val="21"/>
                <w:szCs w:val="21"/>
              </w:rPr>
              <w:t>变频分散机</w:t>
            </w:r>
            <w:r>
              <w:rPr>
                <w:color w:val="auto"/>
                <w:sz w:val="21"/>
                <w:szCs w:val="21"/>
              </w:rPr>
              <w:t>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3</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sz w:val="21"/>
                <w:szCs w:val="21"/>
              </w:rPr>
              <w:t>维修</w:t>
            </w:r>
            <w:r>
              <w:rPr>
                <w:color w:val="auto"/>
                <w:sz w:val="21"/>
                <w:szCs w:val="21"/>
              </w:rPr>
              <w:t>电工岗位安全操作规程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4</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配料岗位</w:t>
            </w:r>
            <w:r>
              <w:rPr>
                <w:color w:val="auto"/>
                <w:sz w:val="21"/>
                <w:szCs w:val="21"/>
              </w:rPr>
              <w:t>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5</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sz w:val="21"/>
                <w:szCs w:val="21"/>
              </w:rPr>
            </w:pPr>
            <w:r>
              <w:rPr>
                <w:rFonts w:hint="eastAsia"/>
                <w:color w:val="auto"/>
                <w:sz w:val="21"/>
                <w:szCs w:val="21"/>
              </w:rPr>
              <w:t>分散岗位安全操作规程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6</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sz w:val="21"/>
                <w:szCs w:val="21"/>
              </w:rPr>
            </w:pPr>
            <w:r>
              <w:rPr>
                <w:rFonts w:hint="eastAsia"/>
                <w:color w:val="auto"/>
                <w:sz w:val="21"/>
                <w:szCs w:val="21"/>
              </w:rPr>
              <w:t>调漆釜岗位安全操作规程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7</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sz w:val="21"/>
                <w:szCs w:val="21"/>
              </w:rPr>
            </w:pPr>
            <w:r>
              <w:rPr>
                <w:rFonts w:hint="eastAsia"/>
                <w:color w:val="auto"/>
                <w:sz w:val="21"/>
                <w:szCs w:val="21"/>
              </w:rPr>
              <w:t>漆釜岗位安全操作规程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8</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sz w:val="21"/>
                <w:szCs w:val="21"/>
              </w:rPr>
            </w:pPr>
            <w:r>
              <w:rPr>
                <w:rFonts w:hint="eastAsia"/>
                <w:color w:val="auto"/>
                <w:sz w:val="21"/>
                <w:szCs w:val="21"/>
              </w:rPr>
              <w:t>包装岗位安全操作规程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9</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电焊工岗位</w:t>
            </w:r>
            <w:r>
              <w:rPr>
                <w:color w:val="auto"/>
                <w:sz w:val="21"/>
                <w:szCs w:val="21"/>
              </w:rPr>
              <w:t>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10</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化验室岗位</w:t>
            </w:r>
            <w:r>
              <w:rPr>
                <w:color w:val="auto"/>
                <w:sz w:val="21"/>
                <w:szCs w:val="21"/>
              </w:rPr>
              <w:t>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11</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厂内叉车岗位</w:t>
            </w:r>
            <w:r>
              <w:rPr>
                <w:color w:val="auto"/>
                <w:sz w:val="21"/>
                <w:szCs w:val="21"/>
              </w:rPr>
              <w:t>安全操作规程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12</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危险化学品安全技术操作规程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color w:val="auto"/>
                <w:kern w:val="0"/>
                <w:sz w:val="21"/>
                <w:szCs w:val="21"/>
              </w:rPr>
              <w:t>13</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液压升降平台操作规程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r>
        <w:tblPrEx>
          <w:tblCellMar>
            <w:top w:w="15" w:type="dxa"/>
            <w:left w:w="15" w:type="dxa"/>
            <w:bottom w:w="15" w:type="dxa"/>
            <w:right w:w="15" w:type="dxa"/>
          </w:tblCellMar>
        </w:tblPrEx>
        <w:trPr>
          <w:trHeight w:val="454"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14</w:t>
            </w:r>
          </w:p>
        </w:tc>
        <w:tc>
          <w:tcPr>
            <w:tcW w:w="586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r>
              <w:rPr>
                <w:rFonts w:hint="eastAsia"/>
                <w:color w:val="auto"/>
                <w:kern w:val="0"/>
                <w:sz w:val="21"/>
                <w:szCs w:val="21"/>
              </w:rPr>
              <w:t>仓库装卸操作规程</w:t>
            </w:r>
          </w:p>
        </w:tc>
        <w:tc>
          <w:tcPr>
            <w:tcW w:w="240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color w:val="auto"/>
                <w:kern w:val="0"/>
                <w:sz w:val="21"/>
                <w:szCs w:val="21"/>
              </w:rPr>
            </w:pPr>
          </w:p>
        </w:tc>
      </w:tr>
    </w:tbl>
    <w:p>
      <w:pPr>
        <w:pStyle w:val="5"/>
        <w:keepNext w:val="0"/>
        <w:keepLines w:val="0"/>
        <w:wordWrap w:val="0"/>
        <w:adjustRightInd w:val="0"/>
        <w:snapToGrid w:val="0"/>
        <w:textAlignment w:val="center"/>
        <w:rPr>
          <w:color w:val="auto"/>
          <w:kern w:val="0"/>
        </w:rPr>
      </w:pPr>
      <w:bookmarkStart w:id="107" w:name="_Toc19839"/>
      <w:r>
        <w:rPr>
          <w:rFonts w:hint="eastAsia"/>
          <w:color w:val="auto"/>
          <w:kern w:val="0"/>
        </w:rPr>
        <w:t>2.8.3 工伤保险的缴纳</w:t>
      </w:r>
      <w:bookmarkEnd w:id="107"/>
    </w:p>
    <w:p>
      <w:pPr>
        <w:wordWrap w:val="0"/>
        <w:adjustRightInd w:val="0"/>
        <w:snapToGrid w:val="0"/>
        <w:spacing w:line="580" w:lineRule="exact"/>
        <w:ind w:firstLine="560" w:firstLineChars="200"/>
        <w:textAlignment w:val="center"/>
        <w:rPr>
          <w:color w:val="auto"/>
          <w:kern w:val="0"/>
          <w:szCs w:val="28"/>
        </w:rPr>
      </w:pPr>
      <w:r>
        <w:rPr>
          <w:color w:val="auto"/>
          <w:kern w:val="0"/>
          <w:szCs w:val="28"/>
        </w:rPr>
        <w:t>根据《危险化学品生产企业安全生产许可证实施办法》（总局令第41号，第79号修订）第十八条规定，该公司依法参加了工伤保险，已为从业人员缴纳保险费。</w:t>
      </w:r>
    </w:p>
    <w:p>
      <w:pPr>
        <w:wordWrap w:val="0"/>
        <w:adjustRightInd w:val="0"/>
        <w:snapToGrid w:val="0"/>
        <w:spacing w:line="580" w:lineRule="exact"/>
        <w:ind w:firstLine="560" w:firstLineChars="200"/>
        <w:textAlignment w:val="center"/>
        <w:rPr>
          <w:color w:val="auto"/>
          <w:kern w:val="0"/>
          <w:szCs w:val="28"/>
        </w:rPr>
      </w:pPr>
      <w:r>
        <w:rPr>
          <w:color w:val="auto"/>
          <w:kern w:val="0"/>
          <w:szCs w:val="28"/>
        </w:rPr>
        <w:t>缴费证明文</w:t>
      </w:r>
      <w:r>
        <w:rPr>
          <w:color w:val="auto"/>
          <w:kern w:val="0"/>
        </w:rPr>
        <w:t>件见附件。</w:t>
      </w:r>
    </w:p>
    <w:p>
      <w:pPr>
        <w:pStyle w:val="5"/>
        <w:keepNext w:val="0"/>
        <w:keepLines w:val="0"/>
        <w:wordWrap w:val="0"/>
        <w:adjustRightInd w:val="0"/>
        <w:snapToGrid w:val="0"/>
        <w:textAlignment w:val="center"/>
        <w:rPr>
          <w:color w:val="auto"/>
          <w:kern w:val="0"/>
        </w:rPr>
      </w:pPr>
      <w:bookmarkStart w:id="108" w:name="_Toc30025"/>
      <w:r>
        <w:rPr>
          <w:rFonts w:hint="eastAsia"/>
          <w:color w:val="auto"/>
          <w:kern w:val="0"/>
        </w:rPr>
        <w:t>2.8.4 安全教育培训</w:t>
      </w:r>
      <w:bookmarkEnd w:id="108"/>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公司安全教育执行公司、车间、班组三级安全教育制度，岗位操作人员进行了专门的安全知识和技术培训，特种作业人员均经过有关监督管理部门考核并取得资质证书；其他从业人员经过本单位三级教育培训经考核合格后上岗。安全教育、特种作业人员教育、特种作业人员作业证取证等建立了管理台帐。</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事故管理严格执行“四不放过”原则，并建立相应的事故台帐</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本项目制定有安全生产检查制度，安全检查采取的形式有日常检查、每周检查、专项检查、月度检查、重大节假日检查等。</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安全生产检查项目和内容包括：安全生产管理制度、安全规程、技术规程、操作规程的贯彻执行情况；各部门、车间设施安全生产、交通安全、防火、雨季三防、冬季防冻等项工作，安全防护设施的完好状况；安全技术措施和易燃、易爆、危险区域以及要害岗位防范措施的执行情况；生产现场工业卫生的状况；事故隐患整改措施的完成情况；逐级安全活动记录的状况；安全学习、教育、宣传等活动的开展情况；劳动环境和劳动条件状况等。</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安全检查方式有：</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1、每月由公司主要领导牵头组织一次全公司范围内的安全联查；</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2、安全管理部门每周组织一次安全管理系统人员安全联查；</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3、每周车间组织一次自查；</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4、每天各岗位组织一次自查，并填写安全检查表。</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检查出的各类隐患，由组织单位或负责人按照“定整改项目、定整改期限、定整改措施、定整改人员”的原则，及时落实整改。重要隐患由安全消防领导小组挂帐督办，在每月的的安全例会上汇报‘上月隐患整改进度’，对已整改的进行消号存档。</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本项目的培训方式有：</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1、由安全管理部组织，每年进行全员安全培训；</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2、由安全管理部组织，生产部门配合，每年进行特种作业取证或复审培训；</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3、安全管理部制定各单位每月的安全学习计划，组织各单位学习；</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4、各班组每周五进行一个小时的班组学习；</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5、安全管理部根据日常检查、询问、征求职工意见等形式，制定安全培训需求，聘请专家进行专项安全技术培训。</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根据各岗位的特点配发相关的劳动保护用品和个人防护用品。劳动保护用品如工作服、工作鞋、安全帽、手套等，按国家标准发放；特殊工种的特殊劳动保护用品，如电工绝缘鞋，根据有关规定发放；根据需要配备特殊劳动保护用品如安全带、防毒口罩等。</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定期组织对相关技术和操作人员按规定进行体检。</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岗位尘毒、噪声、热辐射、电离辐射等按规定由具有相关资格的部门进行检测，并出具相应的报告书，建立相应的管理档案。计量、检测仪表按规定时间进行维修、校验，并作好记录，贴上校验标签。</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设备检修作业执行许可证制度。</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依据《国务院安委会办公室关于印发标本兼治遏制重特大事故工作指南的通知》（安委办〔2016〕3号），本项目已完成了安全风险分级管控体系和隐患排查治理体系建设，明确了各车间、工段的风险级别和责任人。建立了安全风险公告制度，实行公司（厂）、车间（班组）、岗位三级公告，并绘制完成企业“红橙黄蓝”四色安全风险空间分布图；根据风险评估结果，在醒目位置设置公告栏，要在醒目位置和重点区域分别设置安全风险公告栏，制作岗位安全风险告知卡。</w:t>
      </w:r>
    </w:p>
    <w:p>
      <w:pPr>
        <w:wordWrap w:val="0"/>
        <w:adjustRightInd w:val="0"/>
        <w:snapToGrid w:val="0"/>
        <w:jc w:val="left"/>
        <w:textAlignment w:val="center"/>
        <w:outlineLvl w:val="2"/>
        <w:rPr>
          <w:b/>
          <w:color w:val="auto"/>
          <w:kern w:val="0"/>
          <w:szCs w:val="28"/>
        </w:rPr>
      </w:pPr>
      <w:bookmarkStart w:id="109" w:name="_Toc17053"/>
      <w:r>
        <w:rPr>
          <w:rFonts w:cs="Times New Roman"/>
          <w:b/>
          <w:color w:val="auto"/>
          <w:kern w:val="0"/>
          <w:szCs w:val="28"/>
        </w:rPr>
        <w:t>2.</w:t>
      </w:r>
      <w:r>
        <w:rPr>
          <w:rFonts w:hint="eastAsia" w:cs="Times New Roman"/>
          <w:b/>
          <w:color w:val="auto"/>
          <w:kern w:val="0"/>
          <w:szCs w:val="28"/>
        </w:rPr>
        <w:t>8</w:t>
      </w:r>
      <w:r>
        <w:rPr>
          <w:rFonts w:cs="Times New Roman"/>
          <w:b/>
          <w:color w:val="auto"/>
          <w:kern w:val="0"/>
          <w:szCs w:val="28"/>
        </w:rPr>
        <w:t>.</w:t>
      </w:r>
      <w:r>
        <w:rPr>
          <w:rFonts w:hint="eastAsia" w:cs="Times New Roman"/>
          <w:b/>
          <w:color w:val="auto"/>
          <w:kern w:val="0"/>
          <w:szCs w:val="28"/>
        </w:rPr>
        <w:t xml:space="preserve">5 </w:t>
      </w:r>
      <w:r>
        <w:rPr>
          <w:rFonts w:hint="eastAsia"/>
          <w:b/>
          <w:color w:val="auto"/>
          <w:kern w:val="0"/>
          <w:szCs w:val="28"/>
        </w:rPr>
        <w:t>日常安全管理</w:t>
      </w:r>
      <w:bookmarkEnd w:id="109"/>
    </w:p>
    <w:p>
      <w:pPr>
        <w:wordWrap w:val="0"/>
        <w:adjustRightInd w:val="0"/>
        <w:snapToGrid w:val="0"/>
        <w:ind w:firstLine="560" w:firstLineChars="200"/>
        <w:jc w:val="left"/>
        <w:textAlignment w:val="center"/>
        <w:rPr>
          <w:color w:val="auto"/>
          <w:kern w:val="0"/>
          <w:szCs w:val="28"/>
        </w:rPr>
      </w:pPr>
      <w:r>
        <w:rPr>
          <w:rFonts w:hint="eastAsia"/>
          <w:color w:val="auto"/>
          <w:kern w:val="0"/>
          <w:szCs w:val="28"/>
        </w:rPr>
        <w:t>公司每年定期召开安委会，有重大事情临时召集；公司每月召开安全生产例会。公司日常安全卫生管理按管理制度的具体要求进行，各级管理人员经常深入生产现场进行安全巡查，操作人员按规定对设备及工艺运行情况进行巡回检查；设备安排计划检修。</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操作人员、维修人员执行巡回检查制度，及时发现不正常现象并采取必要措施进行处理、汇报；消除设备跑、冒、滴、漏；严格执行工艺指标及岗位操作规程，严禁违章操作及超温现象发生；做好事故预想和演练工作，出现紧急情况做到忙而不乱，把事故消除在萌芽状态。</w:t>
      </w:r>
    </w:p>
    <w:p>
      <w:pPr>
        <w:wordWrap w:val="0"/>
        <w:adjustRightInd w:val="0"/>
        <w:snapToGrid w:val="0"/>
        <w:ind w:firstLine="560" w:firstLineChars="200"/>
        <w:jc w:val="left"/>
        <w:textAlignment w:val="center"/>
        <w:rPr>
          <w:color w:val="auto"/>
          <w:kern w:val="0"/>
          <w:szCs w:val="28"/>
        </w:rPr>
      </w:pPr>
      <w:r>
        <w:rPr>
          <w:rFonts w:hint="eastAsia"/>
          <w:color w:val="auto"/>
          <w:kern w:val="0"/>
          <w:szCs w:val="28"/>
        </w:rPr>
        <w:t>职工个人防护用品的发放、管理按要求执行，职工按规定使用劳动保护用品，按规定执行女职工劳动保护要求。</w:t>
      </w:r>
    </w:p>
    <w:p>
      <w:pPr>
        <w:wordWrap w:val="0"/>
        <w:adjustRightInd w:val="0"/>
        <w:snapToGrid w:val="0"/>
        <w:ind w:firstLine="560" w:firstLineChars="200"/>
        <w:jc w:val="left"/>
        <w:textAlignment w:val="center"/>
        <w:rPr>
          <w:color w:val="auto"/>
        </w:rPr>
      </w:pPr>
      <w:r>
        <w:rPr>
          <w:rFonts w:hint="eastAsia"/>
          <w:color w:val="auto"/>
        </w:rPr>
        <w:t>该公司在各危险有害场所张贴了安全警示标识：</w:t>
      </w:r>
    </w:p>
    <w:p>
      <w:pPr>
        <w:wordWrap w:val="0"/>
        <w:adjustRightInd w:val="0"/>
        <w:snapToGrid w:val="0"/>
        <w:jc w:val="center"/>
        <w:textAlignment w:val="center"/>
        <w:rPr>
          <w:color w:val="auto"/>
          <w:kern w:val="0"/>
        </w:rPr>
      </w:pPr>
      <w:r>
        <w:rPr>
          <w:rFonts w:hint="eastAsia"/>
          <w:color w:val="auto"/>
          <w:kern w:val="0"/>
        </w:rPr>
        <w:t>表2.8-5  安全警示标识一览表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2693"/>
        <w:gridCol w:w="1984"/>
        <w:gridCol w:w="1177"/>
        <w:gridCol w:w="2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序号</w:t>
            </w:r>
          </w:p>
        </w:tc>
        <w:tc>
          <w:tcPr>
            <w:tcW w:w="2693"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标志名称</w:t>
            </w:r>
          </w:p>
        </w:tc>
        <w:tc>
          <w:tcPr>
            <w:tcW w:w="1984"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设置位置</w:t>
            </w:r>
          </w:p>
        </w:tc>
        <w:tc>
          <w:tcPr>
            <w:tcW w:w="1177"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数量</w:t>
            </w:r>
          </w:p>
        </w:tc>
        <w:tc>
          <w:tcPr>
            <w:tcW w:w="2223"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pStyle w:val="54"/>
              <w:numPr>
                <w:ilvl w:val="0"/>
                <w:numId w:val="3"/>
              </w:numPr>
              <w:wordWrap w:val="0"/>
              <w:topLinePunct/>
              <w:adjustRightInd w:val="0"/>
              <w:spacing w:line="240" w:lineRule="auto"/>
              <w:jc w:val="center"/>
              <w:textAlignment w:val="center"/>
              <w:rPr>
                <w:rFonts w:cs="Times New Roman"/>
                <w:bCs/>
                <w:color w:val="auto"/>
                <w:kern w:val="0"/>
                <w:sz w:val="21"/>
                <w:szCs w:val="21"/>
              </w:rPr>
            </w:pPr>
          </w:p>
        </w:tc>
        <w:tc>
          <w:tcPr>
            <w:tcW w:w="269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安全周知卡</w:t>
            </w:r>
          </w:p>
        </w:tc>
        <w:tc>
          <w:tcPr>
            <w:tcW w:w="1984"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r>
              <w:rPr>
                <w:rFonts w:cs="Times New Roman"/>
                <w:bCs/>
                <w:color w:val="auto"/>
                <w:kern w:val="0"/>
                <w:sz w:val="21"/>
                <w:szCs w:val="21"/>
              </w:rPr>
              <w:t>06</w:t>
            </w:r>
            <w:r>
              <w:rPr>
                <w:rFonts w:hint="eastAsia" w:cs="Times New Roman"/>
                <w:bCs/>
                <w:color w:val="auto"/>
                <w:kern w:val="0"/>
                <w:sz w:val="21"/>
                <w:szCs w:val="21"/>
              </w:rPr>
              <w:t>仓库内</w:t>
            </w:r>
          </w:p>
        </w:tc>
        <w:tc>
          <w:tcPr>
            <w:tcW w:w="1177"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若干</w:t>
            </w:r>
          </w:p>
        </w:tc>
        <w:tc>
          <w:tcPr>
            <w:tcW w:w="2223" w:type="dxa"/>
            <w:vAlign w:val="center"/>
          </w:tcPr>
          <w:p>
            <w:pPr>
              <w:wordWrap w:val="0"/>
              <w:topLinePunct/>
              <w:adjustRightInd w:val="0"/>
              <w:spacing w:line="240" w:lineRule="auto"/>
              <w:jc w:val="center"/>
              <w:textAlignment w:val="center"/>
              <w:rPr>
                <w:rFonts w:cs="Times New Roman"/>
                <w:bCs/>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pStyle w:val="54"/>
              <w:numPr>
                <w:ilvl w:val="0"/>
                <w:numId w:val="3"/>
              </w:numPr>
              <w:wordWrap w:val="0"/>
              <w:topLinePunct/>
              <w:adjustRightInd w:val="0"/>
              <w:spacing w:line="240" w:lineRule="auto"/>
              <w:jc w:val="center"/>
              <w:textAlignment w:val="center"/>
              <w:rPr>
                <w:rFonts w:cs="Times New Roman"/>
                <w:bCs/>
                <w:color w:val="auto"/>
                <w:kern w:val="0"/>
                <w:sz w:val="21"/>
                <w:szCs w:val="21"/>
              </w:rPr>
            </w:pPr>
          </w:p>
        </w:tc>
        <w:tc>
          <w:tcPr>
            <w:tcW w:w="269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禁止烟火</w:t>
            </w:r>
          </w:p>
        </w:tc>
        <w:tc>
          <w:tcPr>
            <w:tcW w:w="1984"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r>
              <w:rPr>
                <w:rFonts w:cs="Times New Roman"/>
                <w:bCs/>
                <w:color w:val="auto"/>
                <w:kern w:val="0"/>
                <w:sz w:val="21"/>
                <w:szCs w:val="21"/>
              </w:rPr>
              <w:t>06</w:t>
            </w:r>
            <w:r>
              <w:rPr>
                <w:rFonts w:hint="eastAsia" w:cs="Times New Roman"/>
                <w:bCs/>
                <w:color w:val="auto"/>
                <w:kern w:val="0"/>
                <w:sz w:val="21"/>
                <w:szCs w:val="21"/>
              </w:rPr>
              <w:t>仓库内</w:t>
            </w:r>
          </w:p>
        </w:tc>
        <w:tc>
          <w:tcPr>
            <w:tcW w:w="1177"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p>
        </w:tc>
        <w:tc>
          <w:tcPr>
            <w:tcW w:w="2223" w:type="dxa"/>
            <w:vAlign w:val="center"/>
          </w:tcPr>
          <w:p>
            <w:pPr>
              <w:wordWrap w:val="0"/>
              <w:topLinePunct/>
              <w:adjustRightInd w:val="0"/>
              <w:spacing w:line="240" w:lineRule="auto"/>
              <w:jc w:val="center"/>
              <w:textAlignment w:val="center"/>
              <w:rPr>
                <w:rFonts w:cs="Times New Roman"/>
                <w:bCs/>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pStyle w:val="54"/>
              <w:numPr>
                <w:ilvl w:val="0"/>
                <w:numId w:val="3"/>
              </w:numPr>
              <w:wordWrap w:val="0"/>
              <w:topLinePunct/>
              <w:adjustRightInd w:val="0"/>
              <w:spacing w:line="240" w:lineRule="auto"/>
              <w:jc w:val="center"/>
              <w:textAlignment w:val="center"/>
              <w:rPr>
                <w:rFonts w:cs="Times New Roman"/>
                <w:bCs/>
                <w:color w:val="auto"/>
                <w:kern w:val="0"/>
                <w:sz w:val="21"/>
                <w:szCs w:val="21"/>
              </w:rPr>
            </w:pPr>
          </w:p>
        </w:tc>
        <w:tc>
          <w:tcPr>
            <w:tcW w:w="269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灭火器提示标志</w:t>
            </w:r>
          </w:p>
        </w:tc>
        <w:tc>
          <w:tcPr>
            <w:tcW w:w="1984"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r>
              <w:rPr>
                <w:rFonts w:cs="Times New Roman"/>
                <w:bCs/>
                <w:color w:val="auto"/>
                <w:kern w:val="0"/>
                <w:sz w:val="21"/>
                <w:szCs w:val="21"/>
              </w:rPr>
              <w:t>06</w:t>
            </w:r>
            <w:r>
              <w:rPr>
                <w:rFonts w:hint="eastAsia" w:cs="Times New Roman"/>
                <w:bCs/>
                <w:color w:val="auto"/>
                <w:kern w:val="0"/>
                <w:sz w:val="21"/>
                <w:szCs w:val="21"/>
              </w:rPr>
              <w:t>仓库内</w:t>
            </w:r>
          </w:p>
        </w:tc>
        <w:tc>
          <w:tcPr>
            <w:tcW w:w="1177"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p>
        </w:tc>
        <w:tc>
          <w:tcPr>
            <w:tcW w:w="2223" w:type="dxa"/>
            <w:vAlign w:val="center"/>
          </w:tcPr>
          <w:p>
            <w:pPr>
              <w:wordWrap w:val="0"/>
              <w:topLinePunct/>
              <w:adjustRightInd w:val="0"/>
              <w:spacing w:line="240" w:lineRule="auto"/>
              <w:jc w:val="center"/>
              <w:textAlignment w:val="center"/>
              <w:rPr>
                <w:rFonts w:cs="Times New Roman"/>
                <w:bCs/>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pStyle w:val="54"/>
              <w:numPr>
                <w:ilvl w:val="0"/>
                <w:numId w:val="3"/>
              </w:numPr>
              <w:wordWrap w:val="0"/>
              <w:topLinePunct/>
              <w:adjustRightInd w:val="0"/>
              <w:spacing w:line="240" w:lineRule="auto"/>
              <w:jc w:val="center"/>
              <w:textAlignment w:val="center"/>
              <w:rPr>
                <w:rFonts w:cs="Times New Roman"/>
                <w:bCs/>
                <w:color w:val="auto"/>
                <w:kern w:val="0"/>
                <w:sz w:val="21"/>
                <w:szCs w:val="21"/>
              </w:rPr>
            </w:pPr>
          </w:p>
        </w:tc>
        <w:tc>
          <w:tcPr>
            <w:tcW w:w="269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仓库重地 严禁烟火</w:t>
            </w:r>
          </w:p>
        </w:tc>
        <w:tc>
          <w:tcPr>
            <w:tcW w:w="1984"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r>
              <w:rPr>
                <w:rFonts w:cs="Times New Roman"/>
                <w:bCs/>
                <w:color w:val="auto"/>
                <w:kern w:val="0"/>
                <w:sz w:val="21"/>
                <w:szCs w:val="21"/>
              </w:rPr>
              <w:t>06</w:t>
            </w:r>
            <w:r>
              <w:rPr>
                <w:rFonts w:hint="eastAsia" w:cs="Times New Roman"/>
                <w:bCs/>
                <w:color w:val="auto"/>
                <w:kern w:val="0"/>
                <w:sz w:val="21"/>
                <w:szCs w:val="21"/>
              </w:rPr>
              <w:t>仓库外</w:t>
            </w:r>
          </w:p>
        </w:tc>
        <w:tc>
          <w:tcPr>
            <w:tcW w:w="1177"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p>
        </w:tc>
        <w:tc>
          <w:tcPr>
            <w:tcW w:w="2223" w:type="dxa"/>
            <w:vAlign w:val="center"/>
          </w:tcPr>
          <w:p>
            <w:pPr>
              <w:wordWrap w:val="0"/>
              <w:topLinePunct/>
              <w:adjustRightInd w:val="0"/>
              <w:spacing w:line="240" w:lineRule="auto"/>
              <w:jc w:val="center"/>
              <w:textAlignment w:val="center"/>
              <w:rPr>
                <w:rFonts w:cs="Times New Roman"/>
                <w:bCs/>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pPr>
              <w:pStyle w:val="54"/>
              <w:numPr>
                <w:ilvl w:val="0"/>
                <w:numId w:val="3"/>
              </w:numPr>
              <w:wordWrap w:val="0"/>
              <w:topLinePunct/>
              <w:adjustRightInd w:val="0"/>
              <w:spacing w:line="240" w:lineRule="auto"/>
              <w:jc w:val="center"/>
              <w:textAlignment w:val="center"/>
              <w:rPr>
                <w:rFonts w:cs="Times New Roman"/>
                <w:bCs/>
                <w:color w:val="auto"/>
                <w:kern w:val="0"/>
                <w:sz w:val="21"/>
                <w:szCs w:val="21"/>
              </w:rPr>
            </w:pPr>
          </w:p>
        </w:tc>
        <w:tc>
          <w:tcPr>
            <w:tcW w:w="269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限速牌</w:t>
            </w:r>
          </w:p>
        </w:tc>
        <w:tc>
          <w:tcPr>
            <w:tcW w:w="1984"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r>
              <w:rPr>
                <w:rFonts w:cs="Times New Roman"/>
                <w:bCs/>
                <w:color w:val="auto"/>
                <w:kern w:val="0"/>
                <w:sz w:val="21"/>
                <w:szCs w:val="21"/>
              </w:rPr>
              <w:t>06</w:t>
            </w:r>
            <w:r>
              <w:rPr>
                <w:rFonts w:hint="eastAsia" w:cs="Times New Roman"/>
                <w:bCs/>
                <w:color w:val="auto"/>
                <w:kern w:val="0"/>
                <w:sz w:val="21"/>
                <w:szCs w:val="21"/>
              </w:rPr>
              <w:t>仓库外</w:t>
            </w:r>
          </w:p>
        </w:tc>
        <w:tc>
          <w:tcPr>
            <w:tcW w:w="1177"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p>
        </w:tc>
        <w:tc>
          <w:tcPr>
            <w:tcW w:w="2223" w:type="dxa"/>
            <w:vAlign w:val="center"/>
          </w:tcPr>
          <w:p>
            <w:pPr>
              <w:wordWrap w:val="0"/>
              <w:topLinePunct/>
              <w:adjustRightInd w:val="0"/>
              <w:spacing w:line="240" w:lineRule="auto"/>
              <w:jc w:val="center"/>
              <w:textAlignment w:val="center"/>
              <w:rPr>
                <w:rFonts w:cs="Times New Roman"/>
                <w:bCs/>
                <w:color w:val="auto"/>
                <w:kern w:val="0"/>
                <w:sz w:val="21"/>
                <w:szCs w:val="21"/>
              </w:rPr>
            </w:pPr>
          </w:p>
        </w:tc>
      </w:tr>
    </w:tbl>
    <w:p>
      <w:pPr>
        <w:wordWrap w:val="0"/>
        <w:adjustRightInd w:val="0"/>
        <w:snapToGrid w:val="0"/>
        <w:textAlignment w:val="center"/>
        <w:outlineLvl w:val="2"/>
        <w:rPr>
          <w:b/>
          <w:bCs/>
          <w:color w:val="auto"/>
          <w:kern w:val="0"/>
        </w:rPr>
      </w:pPr>
      <w:bookmarkStart w:id="110" w:name="_Toc949"/>
      <w:r>
        <w:rPr>
          <w:rFonts w:hint="eastAsia"/>
          <w:b/>
          <w:bCs/>
          <w:color w:val="auto"/>
          <w:kern w:val="0"/>
        </w:rPr>
        <w:t>2.8.6 特种作业人员</w:t>
      </w:r>
      <w:bookmarkEnd w:id="110"/>
    </w:p>
    <w:p>
      <w:pPr>
        <w:wordWrap w:val="0"/>
        <w:adjustRightInd w:val="0"/>
        <w:snapToGrid w:val="0"/>
        <w:ind w:firstLine="560" w:firstLineChars="200"/>
        <w:jc w:val="left"/>
        <w:textAlignment w:val="center"/>
        <w:rPr>
          <w:color w:val="auto"/>
          <w:kern w:val="0"/>
          <w:szCs w:val="28"/>
        </w:rPr>
      </w:pPr>
      <w:r>
        <w:rPr>
          <w:color w:val="auto"/>
          <w:kern w:val="0"/>
          <w:szCs w:val="28"/>
        </w:rPr>
        <w:t>依据《特种设备安全监察条例》（中华人民共和国国务院令第549号）和国家质量监督检验检疫总局令第140号《特种设备作业人员监督管理办法》</w:t>
      </w:r>
      <w:r>
        <w:rPr>
          <w:bCs/>
          <w:color w:val="auto"/>
          <w:kern w:val="0"/>
          <w:szCs w:val="28"/>
        </w:rPr>
        <w:t>的规定，本项目</w:t>
      </w:r>
      <w:r>
        <w:rPr>
          <w:rFonts w:hint="eastAsia"/>
          <w:bCs/>
          <w:color w:val="auto"/>
          <w:kern w:val="0"/>
          <w:szCs w:val="28"/>
        </w:rPr>
        <w:t>特种作业人员依托公司现有人员，</w:t>
      </w:r>
      <w:r>
        <w:rPr>
          <w:bCs/>
          <w:color w:val="auto"/>
          <w:kern w:val="0"/>
          <w:szCs w:val="28"/>
        </w:rPr>
        <w:t>涉及</w:t>
      </w:r>
      <w:r>
        <w:rPr>
          <w:rFonts w:hint="eastAsia"/>
          <w:bCs/>
          <w:color w:val="auto"/>
          <w:kern w:val="0"/>
          <w:szCs w:val="28"/>
        </w:rPr>
        <w:t>的</w:t>
      </w:r>
      <w:r>
        <w:rPr>
          <w:bCs/>
          <w:color w:val="auto"/>
          <w:kern w:val="0"/>
          <w:szCs w:val="28"/>
        </w:rPr>
        <w:t>叉车</w:t>
      </w:r>
      <w:r>
        <w:rPr>
          <w:rFonts w:hint="eastAsia"/>
          <w:bCs/>
          <w:color w:val="auto"/>
          <w:kern w:val="0"/>
          <w:szCs w:val="28"/>
        </w:rPr>
        <w:t>、电工等</w:t>
      </w:r>
      <w:r>
        <w:rPr>
          <w:bCs/>
          <w:color w:val="auto"/>
          <w:kern w:val="0"/>
          <w:szCs w:val="28"/>
        </w:rPr>
        <w:t>特种设备作业</w:t>
      </w:r>
      <w:r>
        <w:rPr>
          <w:rFonts w:hint="eastAsia"/>
          <w:bCs/>
          <w:color w:val="auto"/>
          <w:kern w:val="0"/>
          <w:szCs w:val="28"/>
        </w:rPr>
        <w:t>人员</w:t>
      </w:r>
      <w:r>
        <w:rPr>
          <w:color w:val="auto"/>
          <w:kern w:val="0"/>
          <w:szCs w:val="28"/>
        </w:rPr>
        <w:t>均</w:t>
      </w:r>
      <w:r>
        <w:rPr>
          <w:rFonts w:hint="eastAsia"/>
          <w:color w:val="auto"/>
          <w:kern w:val="0"/>
          <w:szCs w:val="28"/>
        </w:rPr>
        <w:t>已</w:t>
      </w:r>
      <w:r>
        <w:rPr>
          <w:color w:val="auto"/>
          <w:kern w:val="0"/>
          <w:szCs w:val="28"/>
        </w:rPr>
        <w:t>取得相关资格证书。</w:t>
      </w:r>
    </w:p>
    <w:p>
      <w:pPr>
        <w:wordWrap w:val="0"/>
        <w:adjustRightInd w:val="0"/>
        <w:snapToGrid w:val="0"/>
        <w:ind w:firstLine="560" w:firstLineChars="200"/>
        <w:jc w:val="left"/>
        <w:textAlignment w:val="center"/>
        <w:rPr>
          <w:color w:val="auto"/>
          <w:kern w:val="0"/>
        </w:rPr>
      </w:pPr>
      <w:r>
        <w:rPr>
          <w:rFonts w:hint="eastAsia"/>
          <w:bCs/>
          <w:color w:val="auto"/>
          <w:kern w:val="0"/>
          <w:szCs w:val="28"/>
        </w:rPr>
        <w:t>厂区内机修不进行电气焊工作，涉及电气焊工作全部外部给厂外单位进行。</w:t>
      </w:r>
      <w:r>
        <w:rPr>
          <w:bCs/>
          <w:color w:val="auto"/>
          <w:kern w:val="0"/>
          <w:szCs w:val="28"/>
        </w:rPr>
        <w:t>作业人员已取证，在有效范围内，各作业人员取证台账见附件</w:t>
      </w:r>
      <w:r>
        <w:rPr>
          <w:rFonts w:hint="eastAsia"/>
          <w:color w:val="auto"/>
          <w:kern w:val="0"/>
        </w:rPr>
        <w:t>。</w:t>
      </w:r>
    </w:p>
    <w:p>
      <w:pPr>
        <w:wordWrap w:val="0"/>
        <w:adjustRightInd w:val="0"/>
        <w:snapToGrid w:val="0"/>
        <w:jc w:val="center"/>
        <w:textAlignment w:val="center"/>
        <w:rPr>
          <w:color w:val="auto"/>
          <w:kern w:val="0"/>
        </w:rPr>
      </w:pPr>
      <w:r>
        <w:rPr>
          <w:rFonts w:hint="eastAsia"/>
          <w:color w:val="auto"/>
          <w:kern w:val="0"/>
        </w:rPr>
        <w:t>表2.8-</w:t>
      </w:r>
      <w:r>
        <w:rPr>
          <w:color w:val="auto"/>
          <w:kern w:val="0"/>
        </w:rPr>
        <w:t>6</w:t>
      </w:r>
      <w:r>
        <w:rPr>
          <w:rFonts w:hint="eastAsia"/>
          <w:color w:val="auto"/>
          <w:kern w:val="0"/>
        </w:rPr>
        <w:t xml:space="preserve">  企业特种作业人员及特种设备操作人员取证情况一览表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016"/>
        <w:gridCol w:w="963"/>
        <w:gridCol w:w="1512"/>
        <w:gridCol w:w="1365"/>
        <w:gridCol w:w="2235"/>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序号</w:t>
            </w:r>
          </w:p>
        </w:tc>
        <w:tc>
          <w:tcPr>
            <w:tcW w:w="1016"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职务</w:t>
            </w:r>
          </w:p>
        </w:tc>
        <w:tc>
          <w:tcPr>
            <w:tcW w:w="963"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姓名</w:t>
            </w:r>
          </w:p>
        </w:tc>
        <w:tc>
          <w:tcPr>
            <w:tcW w:w="1512"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资格证书</w:t>
            </w:r>
          </w:p>
        </w:tc>
        <w:tc>
          <w:tcPr>
            <w:tcW w:w="1365"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发证机构</w:t>
            </w:r>
          </w:p>
        </w:tc>
        <w:tc>
          <w:tcPr>
            <w:tcW w:w="2235"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有效期证号</w:t>
            </w:r>
          </w:p>
        </w:tc>
        <w:tc>
          <w:tcPr>
            <w:tcW w:w="1266" w:type="dxa"/>
            <w:vAlign w:val="center"/>
          </w:tcPr>
          <w:p>
            <w:pPr>
              <w:wordWrap w:val="0"/>
              <w:topLinePunct/>
              <w:adjustRightIn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w:t>
            </w:r>
          </w:p>
        </w:tc>
        <w:tc>
          <w:tcPr>
            <w:tcW w:w="101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电工</w:t>
            </w:r>
          </w:p>
        </w:tc>
        <w:tc>
          <w:tcPr>
            <w:tcW w:w="96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文国仁</w:t>
            </w:r>
          </w:p>
        </w:tc>
        <w:tc>
          <w:tcPr>
            <w:tcW w:w="1512"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电工证</w:t>
            </w:r>
          </w:p>
        </w:tc>
        <w:tc>
          <w:tcPr>
            <w:tcW w:w="136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丰城市应急管理局</w:t>
            </w:r>
          </w:p>
        </w:tc>
        <w:tc>
          <w:tcPr>
            <w:tcW w:w="223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T362202196510106353</w:t>
            </w:r>
          </w:p>
        </w:tc>
        <w:tc>
          <w:tcPr>
            <w:tcW w:w="126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2027.6.30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w:t>
            </w:r>
          </w:p>
        </w:tc>
        <w:tc>
          <w:tcPr>
            <w:tcW w:w="101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叉车工</w:t>
            </w:r>
          </w:p>
        </w:tc>
        <w:tc>
          <w:tcPr>
            <w:tcW w:w="96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龚学兵</w:t>
            </w:r>
          </w:p>
        </w:tc>
        <w:tc>
          <w:tcPr>
            <w:tcW w:w="1512"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特种设备作业人员证</w:t>
            </w:r>
          </w:p>
        </w:tc>
        <w:tc>
          <w:tcPr>
            <w:tcW w:w="136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宜春市市场监督管理局</w:t>
            </w:r>
          </w:p>
        </w:tc>
        <w:tc>
          <w:tcPr>
            <w:tcW w:w="223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362202197610163018</w:t>
            </w:r>
          </w:p>
        </w:tc>
        <w:tc>
          <w:tcPr>
            <w:tcW w:w="126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2025.6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w:t>
            </w:r>
          </w:p>
        </w:tc>
        <w:tc>
          <w:tcPr>
            <w:tcW w:w="101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叉车工</w:t>
            </w:r>
          </w:p>
        </w:tc>
        <w:tc>
          <w:tcPr>
            <w:tcW w:w="96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付聪</w:t>
            </w:r>
          </w:p>
        </w:tc>
        <w:tc>
          <w:tcPr>
            <w:tcW w:w="1512"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特种设备作业人员证</w:t>
            </w:r>
          </w:p>
        </w:tc>
        <w:tc>
          <w:tcPr>
            <w:tcW w:w="1365"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鹰潭市行政审批局</w:t>
            </w:r>
          </w:p>
        </w:tc>
        <w:tc>
          <w:tcPr>
            <w:tcW w:w="223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362202199001023852</w:t>
            </w:r>
          </w:p>
        </w:tc>
        <w:tc>
          <w:tcPr>
            <w:tcW w:w="126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2026.7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4</w:t>
            </w:r>
          </w:p>
        </w:tc>
        <w:tc>
          <w:tcPr>
            <w:tcW w:w="101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叉车工</w:t>
            </w:r>
          </w:p>
        </w:tc>
        <w:tc>
          <w:tcPr>
            <w:tcW w:w="963"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刘集武</w:t>
            </w:r>
          </w:p>
        </w:tc>
        <w:tc>
          <w:tcPr>
            <w:tcW w:w="1512"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特种设备作业人员证</w:t>
            </w:r>
          </w:p>
        </w:tc>
        <w:tc>
          <w:tcPr>
            <w:tcW w:w="1365" w:type="dxa"/>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宜春市市场监督管理局</w:t>
            </w:r>
          </w:p>
        </w:tc>
        <w:tc>
          <w:tcPr>
            <w:tcW w:w="2235"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36220219921204301X</w:t>
            </w:r>
          </w:p>
        </w:tc>
        <w:tc>
          <w:tcPr>
            <w:tcW w:w="1266" w:type="dxa"/>
            <w:vAlign w:val="center"/>
          </w:tcPr>
          <w:p>
            <w:pPr>
              <w:wordWrap w:val="0"/>
              <w:topLinePunct/>
              <w:adjustRightIn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2025.7</w:t>
            </w:r>
          </w:p>
        </w:tc>
      </w:tr>
    </w:tbl>
    <w:p>
      <w:pPr>
        <w:pStyle w:val="4"/>
        <w:keepNext w:val="0"/>
        <w:keepLines w:val="0"/>
        <w:wordWrap w:val="0"/>
        <w:adjustRightInd w:val="0"/>
        <w:snapToGrid w:val="0"/>
        <w:jc w:val="center"/>
        <w:textAlignment w:val="center"/>
        <w:rPr>
          <w:color w:val="auto"/>
          <w:kern w:val="0"/>
        </w:rPr>
      </w:pPr>
      <w:bookmarkStart w:id="111" w:name="_Toc20272"/>
      <w:bookmarkStart w:id="112" w:name="_Toc7545"/>
      <w:bookmarkStart w:id="113" w:name="_Toc8099"/>
      <w:r>
        <w:rPr>
          <w:rFonts w:hint="eastAsia"/>
          <w:color w:val="auto"/>
          <w:kern w:val="0"/>
        </w:rPr>
        <w:t>2.9 事故应急救援</w:t>
      </w:r>
      <w:bookmarkEnd w:id="111"/>
      <w:bookmarkEnd w:id="112"/>
      <w:bookmarkEnd w:id="113"/>
    </w:p>
    <w:p>
      <w:pPr>
        <w:wordWrap w:val="0"/>
        <w:adjustRightInd w:val="0"/>
        <w:snapToGrid w:val="0"/>
        <w:spacing w:line="560" w:lineRule="exact"/>
        <w:ind w:firstLine="560" w:firstLineChars="200"/>
        <w:textAlignment w:val="center"/>
        <w:rPr>
          <w:color w:val="auto"/>
          <w:kern w:val="0"/>
        </w:rPr>
      </w:pPr>
      <w:r>
        <w:rPr>
          <w:rFonts w:hint="eastAsia"/>
          <w:color w:val="auto"/>
          <w:kern w:val="0"/>
        </w:rPr>
        <w:t>本项目公司根据自身实际情况，将本项目和原有生产项目按照《生产经营单位生产安全事故应急预案编制导则》（GB/T29639-2020）的要求编制了事故应急救援预案（包括1个综合预案、4个现场处置方案），依据《生产经营单位生产安全事故应急预案编制导则》（GB/T29639-2020）规定，企业组织专家评审会评审通过，并以公司文件形式进行了发布，组织相关人员进行了学习，应急预案于2023年3月8日在丰城市应急管理局备案，备案编号为3609812023C00002。</w:t>
      </w:r>
    </w:p>
    <w:p>
      <w:pPr>
        <w:wordWrap w:val="0"/>
        <w:adjustRightInd w:val="0"/>
        <w:snapToGrid w:val="0"/>
        <w:spacing w:line="560" w:lineRule="exact"/>
        <w:ind w:firstLine="565" w:firstLineChars="202"/>
        <w:textAlignment w:val="center"/>
        <w:rPr>
          <w:color w:val="auto"/>
          <w:kern w:val="0"/>
          <w:szCs w:val="28"/>
        </w:rPr>
      </w:pPr>
      <w:r>
        <w:rPr>
          <w:rFonts w:hint="eastAsia"/>
          <w:color w:val="auto"/>
          <w:kern w:val="0"/>
          <w:szCs w:val="28"/>
        </w:rPr>
        <w:t>公司成立了总经理为应急指挥部总指挥，公司副总经理为应急指挥部副总指挥，其他相关的中高层负责人为应急指挥部成员。公司应急组织机构由应急指挥部来承担。指挥部由总指挥、副总指挥及各应急工作小组组成，下设应急救援组、警戒疏散组、医疗救护组、污染控制组、后勤保障组。公司总指挥同时担任现场指挥工作，当总指挥和副总指挥不在时，由作业现场的最高领导者担任现场指挥工作。现场最高职务者有权在遇到险情时，进行力所能及的初期处理后，组织停产撤人。夜间、节假日由值班领导行使应急总指挥职责。</w:t>
      </w:r>
    </w:p>
    <w:p>
      <w:pPr>
        <w:wordWrap w:val="0"/>
        <w:adjustRightInd w:val="0"/>
        <w:snapToGrid w:val="0"/>
        <w:spacing w:line="560" w:lineRule="exact"/>
        <w:ind w:firstLine="560" w:firstLineChars="200"/>
        <w:textAlignment w:val="center"/>
        <w:rPr>
          <w:color w:val="auto"/>
          <w:kern w:val="0"/>
          <w:szCs w:val="28"/>
        </w:rPr>
      </w:pPr>
      <w:r>
        <w:rPr>
          <w:rFonts w:hint="eastAsia" w:cs="宋体"/>
          <w:color w:val="auto"/>
          <w:kern w:val="0"/>
          <w:szCs w:val="28"/>
        </w:rPr>
        <w:t>具体应急救援组织机构及应急职责架构如下图：</w:t>
      </w:r>
    </w:p>
    <w:p>
      <w:pPr>
        <w:wordWrap w:val="0"/>
        <w:adjustRightInd w:val="0"/>
        <w:snapToGrid w:val="0"/>
        <w:spacing w:line="240" w:lineRule="auto"/>
        <w:jc w:val="center"/>
        <w:textAlignment w:val="center"/>
        <w:rPr>
          <w:rFonts w:cs="宋体"/>
          <w:color w:val="auto"/>
          <w:kern w:val="0"/>
          <w:szCs w:val="28"/>
        </w:rPr>
      </w:pPr>
      <w:r>
        <w:rPr>
          <w:color w:val="auto"/>
          <w:sz w:val="24"/>
        </w:rPr>
        <mc:AlternateContent>
          <mc:Choice Requires="wpg">
            <w:drawing>
              <wp:inline distT="0" distB="0" distL="114935" distR="114935">
                <wp:extent cx="4777740" cy="3348355"/>
                <wp:effectExtent l="0" t="0" r="22860" b="23495"/>
                <wp:docPr id="77" name="组合 77"/>
                <wp:cNvGraphicFramePr/>
                <a:graphic xmlns:a="http://schemas.openxmlformats.org/drawingml/2006/main">
                  <a:graphicData uri="http://schemas.microsoft.com/office/word/2010/wordprocessingGroup">
                    <wpg:wgp>
                      <wpg:cNvGrpSpPr/>
                      <wpg:grpSpPr>
                        <a:xfrm>
                          <a:off x="0" y="0"/>
                          <a:ext cx="4777740" cy="3348791"/>
                          <a:chOff x="9337" y="161081"/>
                          <a:chExt cx="8148" cy="5321"/>
                        </a:xfrm>
                      </wpg:grpSpPr>
                      <wps:wsp>
                        <wps:cNvPr id="58" name="矩形 58"/>
                        <wps:cNvSpPr/>
                        <wps:spPr>
                          <a:xfrm>
                            <a:off x="12186" y="161081"/>
                            <a:ext cx="2184" cy="53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jc w:val="center"/>
                                <w:rPr>
                                  <w:rFonts w:ascii="宋体" w:hAnsi="宋体"/>
                                </w:rPr>
                              </w:pPr>
                              <w:r>
                                <w:rPr>
                                  <w:rFonts w:ascii="宋体" w:hAnsi="宋体"/>
                                </w:rPr>
                                <w:t>总指挥</w:t>
                              </w:r>
                            </w:p>
                          </w:txbxContent>
                        </wps:txbx>
                        <wps:bodyPr upright="1"/>
                      </wps:wsp>
                      <wps:wsp>
                        <wps:cNvPr id="59" name="直接箭头连接符 59"/>
                        <wps:cNvCnPr>
                          <a:stCxn id="58" idx="2"/>
                          <a:endCxn id="60" idx="0"/>
                        </wps:cNvCnPr>
                        <wps:spPr>
                          <a:xfrm flipH="1">
                            <a:off x="13261" y="161619"/>
                            <a:ext cx="17" cy="653"/>
                          </a:xfrm>
                          <a:prstGeom prst="straightConnector1">
                            <a:avLst/>
                          </a:prstGeom>
                          <a:ln w="15875" cap="flat" cmpd="sng">
                            <a:solidFill>
                              <a:srgbClr val="000000"/>
                            </a:solidFill>
                            <a:prstDash val="solid"/>
                            <a:headEnd type="none" w="med" len="med"/>
                            <a:tailEnd type="triangle" w="med" len="med"/>
                          </a:ln>
                        </wps:spPr>
                        <wps:bodyPr/>
                      </wps:wsp>
                      <wps:wsp>
                        <wps:cNvPr id="60" name="矩形 60"/>
                        <wps:cNvSpPr/>
                        <wps:spPr>
                          <a:xfrm>
                            <a:off x="12325" y="162272"/>
                            <a:ext cx="1872" cy="68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jc w:val="center"/>
                                <w:rPr>
                                  <w:rFonts w:ascii="宋体" w:hAnsi="宋体"/>
                                </w:rPr>
                              </w:pPr>
                              <w:r>
                                <w:rPr>
                                  <w:rFonts w:ascii="宋体" w:hAnsi="宋体"/>
                                </w:rPr>
                                <w:t>副总指挥</w:t>
                              </w:r>
                            </w:p>
                          </w:txbxContent>
                        </wps:txbx>
                        <wps:bodyPr upright="1"/>
                      </wps:wsp>
                      <wps:wsp>
                        <wps:cNvPr id="61" name="直接箭头连接符 61"/>
                        <wps:cNvCnPr/>
                        <wps:spPr>
                          <a:xfrm flipH="1">
                            <a:off x="9697" y="163422"/>
                            <a:ext cx="7404" cy="1"/>
                          </a:xfrm>
                          <a:prstGeom prst="straightConnector1">
                            <a:avLst/>
                          </a:prstGeom>
                          <a:ln w="15875" cap="flat" cmpd="sng">
                            <a:solidFill>
                              <a:srgbClr val="000000"/>
                            </a:solidFill>
                            <a:prstDash val="solid"/>
                            <a:headEnd type="none" w="med" len="med"/>
                            <a:tailEnd type="none" w="med" len="med"/>
                          </a:ln>
                        </wps:spPr>
                        <wps:bodyPr/>
                      </wps:wsp>
                      <wps:wsp>
                        <wps:cNvPr id="62" name="直接箭头连接符 62"/>
                        <wps:cNvCnPr/>
                        <wps:spPr>
                          <a:xfrm>
                            <a:off x="12073" y="163423"/>
                            <a:ext cx="0" cy="1296"/>
                          </a:xfrm>
                          <a:prstGeom prst="straightConnector1">
                            <a:avLst/>
                          </a:prstGeom>
                          <a:ln w="15875" cap="flat" cmpd="sng">
                            <a:solidFill>
                              <a:srgbClr val="000000"/>
                            </a:solidFill>
                            <a:prstDash val="solid"/>
                            <a:headEnd type="none" w="med" len="med"/>
                            <a:tailEnd type="triangle" w="med" len="med"/>
                          </a:ln>
                        </wps:spPr>
                        <wps:bodyPr/>
                      </wps:wsp>
                      <wps:wsp>
                        <wps:cNvPr id="63" name="直接箭头连接符 63"/>
                        <wps:cNvCnPr/>
                        <wps:spPr>
                          <a:xfrm>
                            <a:off x="13417" y="163422"/>
                            <a:ext cx="0" cy="1296"/>
                          </a:xfrm>
                          <a:prstGeom prst="straightConnector1">
                            <a:avLst/>
                          </a:prstGeom>
                          <a:ln w="15875" cap="flat" cmpd="sng">
                            <a:solidFill>
                              <a:srgbClr val="000000"/>
                            </a:solidFill>
                            <a:prstDash val="solid"/>
                            <a:headEnd type="none" w="med" len="med"/>
                            <a:tailEnd type="triangle" w="med" len="med"/>
                          </a:ln>
                        </wps:spPr>
                        <wps:bodyPr/>
                      </wps:wsp>
                      <wps:wsp>
                        <wps:cNvPr id="64" name="直接箭头连接符 64"/>
                        <wps:cNvCnPr/>
                        <wps:spPr>
                          <a:xfrm>
                            <a:off x="10837" y="163422"/>
                            <a:ext cx="0" cy="1296"/>
                          </a:xfrm>
                          <a:prstGeom prst="straightConnector1">
                            <a:avLst/>
                          </a:prstGeom>
                          <a:ln w="15875" cap="flat" cmpd="sng">
                            <a:solidFill>
                              <a:srgbClr val="000000"/>
                            </a:solidFill>
                            <a:prstDash val="solid"/>
                            <a:headEnd type="none" w="med" len="med"/>
                            <a:tailEnd type="triangle" w="med" len="med"/>
                          </a:ln>
                        </wps:spPr>
                        <wps:bodyPr/>
                      </wps:wsp>
                      <wps:wsp>
                        <wps:cNvPr id="65" name="直接箭头连接符 65"/>
                        <wps:cNvCnPr/>
                        <wps:spPr>
                          <a:xfrm>
                            <a:off x="9697" y="163422"/>
                            <a:ext cx="0" cy="1296"/>
                          </a:xfrm>
                          <a:prstGeom prst="straightConnector1">
                            <a:avLst/>
                          </a:prstGeom>
                          <a:ln w="15875" cap="flat" cmpd="sng">
                            <a:solidFill>
                              <a:srgbClr val="000000"/>
                            </a:solidFill>
                            <a:prstDash val="solid"/>
                            <a:headEnd type="none" w="med" len="med"/>
                            <a:tailEnd type="triangle" w="med" len="med"/>
                          </a:ln>
                        </wps:spPr>
                        <wps:bodyPr/>
                      </wps:wsp>
                      <wps:wsp>
                        <wps:cNvPr id="66" name="直接箭头连接符 66"/>
                        <wps:cNvCnPr/>
                        <wps:spPr>
                          <a:xfrm>
                            <a:off x="14821" y="163423"/>
                            <a:ext cx="0" cy="1296"/>
                          </a:xfrm>
                          <a:prstGeom prst="straightConnector1">
                            <a:avLst/>
                          </a:prstGeom>
                          <a:ln w="15875" cap="flat" cmpd="sng">
                            <a:solidFill>
                              <a:srgbClr val="000000"/>
                            </a:solidFill>
                            <a:prstDash val="solid"/>
                            <a:headEnd type="none" w="med" len="med"/>
                            <a:tailEnd type="triangle" w="med" len="med"/>
                          </a:ln>
                        </wps:spPr>
                        <wps:bodyPr/>
                      </wps:wsp>
                      <wps:wsp>
                        <wps:cNvPr id="67" name="矩形 67"/>
                        <wps:cNvSpPr/>
                        <wps:spPr>
                          <a:xfrm>
                            <a:off x="9337"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应急抢险组</w:t>
                              </w:r>
                            </w:p>
                          </w:txbxContent>
                        </wps:txbx>
                        <wps:bodyPr upright="1"/>
                      </wps:wsp>
                      <wps:wsp>
                        <wps:cNvPr id="68" name="矩形 68"/>
                        <wps:cNvSpPr/>
                        <wps:spPr>
                          <a:xfrm>
                            <a:off x="10513"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警戒疏散组</w:t>
                              </w:r>
                            </w:p>
                          </w:txbxContent>
                        </wps:txbx>
                        <wps:bodyPr upright="1"/>
                      </wps:wsp>
                      <wps:wsp>
                        <wps:cNvPr id="69" name="矩形 69"/>
                        <wps:cNvSpPr/>
                        <wps:spPr>
                          <a:xfrm>
                            <a:off x="11785"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医疗救护组</w:t>
                              </w:r>
                            </w:p>
                          </w:txbxContent>
                        </wps:txbx>
                        <wps:bodyPr upright="1"/>
                      </wps:wsp>
                      <wps:wsp>
                        <wps:cNvPr id="70" name="矩形 70"/>
                        <wps:cNvSpPr/>
                        <wps:spPr>
                          <a:xfrm>
                            <a:off x="13153"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污染控制组</w:t>
                              </w:r>
                            </w:p>
                          </w:txbxContent>
                        </wps:txbx>
                        <wps:bodyPr upright="1"/>
                      </wps:wsp>
                      <wps:wsp>
                        <wps:cNvPr id="71" name="矩形 71"/>
                        <wps:cNvSpPr/>
                        <wps:spPr>
                          <a:xfrm>
                            <a:off x="14557"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后勤保障组</w:t>
                              </w:r>
                            </w:p>
                          </w:txbxContent>
                        </wps:txbx>
                        <wps:bodyPr upright="1"/>
                      </wps:wsp>
                      <wps:wsp>
                        <wps:cNvPr id="72" name="直接箭头连接符 72"/>
                        <wps:cNvCnPr/>
                        <wps:spPr>
                          <a:xfrm>
                            <a:off x="13285" y="162951"/>
                            <a:ext cx="0" cy="471"/>
                          </a:xfrm>
                          <a:prstGeom prst="straightConnector1">
                            <a:avLst/>
                          </a:prstGeom>
                          <a:ln w="15875" cap="flat" cmpd="sng">
                            <a:solidFill>
                              <a:srgbClr val="000000"/>
                            </a:solidFill>
                            <a:prstDash val="solid"/>
                            <a:headEnd type="none" w="med" len="med"/>
                            <a:tailEnd type="triangle" w="med" len="med"/>
                          </a:ln>
                        </wps:spPr>
                        <wps:bodyPr/>
                      </wps:wsp>
                      <wps:wsp>
                        <wps:cNvPr id="73" name="直接箭头连接符 73"/>
                        <wps:cNvCnPr/>
                        <wps:spPr>
                          <a:xfrm>
                            <a:off x="15997" y="163423"/>
                            <a:ext cx="0" cy="1296"/>
                          </a:xfrm>
                          <a:prstGeom prst="straightConnector1">
                            <a:avLst/>
                          </a:prstGeom>
                          <a:ln w="15875" cap="flat" cmpd="sng">
                            <a:solidFill>
                              <a:srgbClr val="000000"/>
                            </a:solidFill>
                            <a:prstDash val="solid"/>
                            <a:headEnd type="none" w="med" len="med"/>
                            <a:tailEnd type="triangle" w="med" len="med"/>
                          </a:ln>
                        </wps:spPr>
                        <wps:bodyPr/>
                      </wps:wsp>
                      <wps:wsp>
                        <wps:cNvPr id="74" name="直接箭头连接符 74"/>
                        <wps:cNvCnPr/>
                        <wps:spPr>
                          <a:xfrm>
                            <a:off x="17101" y="163423"/>
                            <a:ext cx="0" cy="1296"/>
                          </a:xfrm>
                          <a:prstGeom prst="straightConnector1">
                            <a:avLst/>
                          </a:prstGeom>
                          <a:ln w="15875" cap="flat" cmpd="sng">
                            <a:solidFill>
                              <a:srgbClr val="000000"/>
                            </a:solidFill>
                            <a:prstDash val="solid"/>
                            <a:headEnd type="none" w="med" len="med"/>
                            <a:tailEnd type="triangle" w="med" len="med"/>
                          </a:ln>
                        </wps:spPr>
                        <wps:bodyPr/>
                      </wps:wsp>
                      <wps:wsp>
                        <wps:cNvPr id="75" name="矩形 75"/>
                        <wps:cNvSpPr/>
                        <wps:spPr>
                          <a:xfrm>
                            <a:off x="16861"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善后处理组</w:t>
                              </w:r>
                            </w:p>
                          </w:txbxContent>
                        </wps:txbx>
                        <wps:bodyPr upright="1"/>
                      </wps:wsp>
                      <wps:wsp>
                        <wps:cNvPr id="76" name="矩形 76"/>
                        <wps:cNvSpPr/>
                        <wps:spPr>
                          <a:xfrm>
                            <a:off x="15757" y="164808"/>
                            <a:ext cx="624" cy="15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80" w:lineRule="exact"/>
                                <w:rPr>
                                  <w:rFonts w:ascii="宋体" w:hAnsi="宋体"/>
                                </w:rPr>
                              </w:pPr>
                              <w:r>
                                <w:rPr>
                                  <w:rFonts w:ascii="宋体" w:hAnsi="宋体"/>
                                </w:rPr>
                                <w:t>通讯联络组</w:t>
                              </w:r>
                            </w:p>
                          </w:txbxContent>
                        </wps:txbx>
                        <wps:bodyPr upright="1"/>
                      </wps:wsp>
                    </wpg:wgp>
                  </a:graphicData>
                </a:graphic>
              </wp:inline>
            </w:drawing>
          </mc:Choice>
          <mc:Fallback>
            <w:pict>
              <v:group id="_x0000_s1026" o:spid="_x0000_s1026" o:spt="203" style="height:263.65pt;width:376.2pt;" coordorigin="9337,161081" coordsize="8148,5321" o:gfxdata="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">
                <o:lock v:ext="edit" aspectratio="f"/>
                <v:rect id="_x0000_s1026" o:spid="_x0000_s1026" o:spt="1" style="position:absolute;left:12186;top:161081;height:538;width:2184;" fillcolor="#FFFFFF" filled="t" stroked="t" coordsize="21600,21600" o:gfxdata="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N3TB7sAAADb&#10;AAAADwAAAAAAAAABACAAAAAiAAAAZHJzL2Rvd25yZXYueG1sUEsBAhQAFAAAAAgAh07iQDMvBZ47&#10;AAAAOQAAABAAAAAAAAAAAQAgAAAACgEAAGRycy9zaGFwZXhtbC54bWxQSwUGAAAAAAYABgBbAQAA&#10;tAM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jc w:val="center"/>
                          <w:rPr>
                            <w:rFonts w:ascii="宋体" w:hAnsi="宋体"/>
                          </w:rPr>
                        </w:pPr>
                        <w:r>
                          <w:rPr>
                            <w:rFonts w:ascii="宋体" w:hAnsi="宋体"/>
                          </w:rPr>
                          <w:t>总指挥</w:t>
                        </w:r>
                      </w:p>
                    </w:txbxContent>
                  </v:textbox>
                </v:rect>
                <v:shape id="_x0000_s1026" o:spid="_x0000_s1026" o:spt="32" type="#_x0000_t32" style="position:absolute;left:13261;top:161619;flip:x;height:653;width:17;" filled="f" stroked="t" coordsize="21600,21600" o:gfxdata="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O/qi&#10;wAAAANsAAAAPAAAAAAAAAAEAIAAAACIAAABkcnMvZG93bnJldi54bWxQSwECFAAUAAAACACHTuJA&#10;My8FnjsAAAA5AAAAEAAAAAAAAAABACAAAAAPAQAAZHJzL3NoYXBleG1sLnhtbFBLBQYAAAAABgAG&#10;AFsBAAC5AwAAAAA=&#10;">
                  <v:fill on="f" focussize="0,0"/>
                  <v:stroke weight="1.25pt" color="#000000" joinstyle="round" endarrow="block"/>
                  <v:imagedata o:title=""/>
                  <o:lock v:ext="edit" aspectratio="f"/>
                </v:shape>
                <v:rect id="_x0000_s1026" o:spid="_x0000_s1026" o:spt="1" style="position:absolute;left:12325;top:162272;height:684;width:1872;" fillcolor="#FFFFFF" filled="t" stroked="t" coordsize="21600,21600" o:gfxdata="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McVvLsAAADb&#10;AAAADwAAAAAAAAABACAAAAAiAAAAZHJzL2Rvd25yZXYueG1sUEsBAhQAFAAAAAgAh07iQDMvBZ47&#10;AAAAOQAAABAAAAAAAAAAAQAgAAAACgEAAGRycy9zaGFwZXhtbC54bWxQSwUGAAAAAAYABgBbAQAA&#10;tAM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jc w:val="center"/>
                          <w:rPr>
                            <w:rFonts w:ascii="宋体" w:hAnsi="宋体"/>
                          </w:rPr>
                        </w:pPr>
                        <w:r>
                          <w:rPr>
                            <w:rFonts w:ascii="宋体" w:hAnsi="宋体"/>
                          </w:rPr>
                          <w:t>副总指挥</w:t>
                        </w:r>
                      </w:p>
                    </w:txbxContent>
                  </v:textbox>
                </v:rect>
                <v:shape id="_x0000_s1026" o:spid="_x0000_s1026" o:spt="32" type="#_x0000_t32" style="position:absolute;left:9697;top:163422;flip:x;height:1;width:7404;" filled="f" stroked="t" coordsize="21600,21600" o:gfxdata="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1877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_x0000_s1026" o:spid="_x0000_s1026" o:spt="32" type="#_x0000_t32" style="position:absolute;left:12073;top:163423;height:1296;width:0;" filled="f" stroked="t" coordsize="21600,21600" o:gfxdata="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Ezxw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13417;top:163422;height:1296;width:0;" filled="f" stroked="t" coordsize="21600,21600" o:gfxdata="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X5nr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10837;top:163422;height:1296;width:0;" filled="f" stroked="t" coordsize="21600,21600" o:gfxdata="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tgGf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9697;top:163422;height:1296;width:0;" filled="f" stroked="t" coordsize="21600,21600" o:gfxdata="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qQE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14821;top:163423;height:1296;width:0;" filled="f" stroked="t" coordsize="21600,21600" o:gfxdata="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KDpz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_x0000_s1026" o:spid="_x0000_s1026" o:spt="1" style="position:absolute;left:9337;top:164808;height:1594;width:624;" fillcolor="#FFFFFF" filled="t" stroked="t" coordsize="21600,21600" o:gfxdata="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y6NyL4A&#10;AADbAAAADwAAAAAAAAABACAAAAAiAAAAZHJzL2Rvd25yZXYueG1sUEsBAhQAFAAAAAgAh07iQDMv&#10;BZ47AAAAOQAAABAAAAAAAAAAAQAgAAAADQEAAGRycy9zaGFwZXhtbC54bWxQSwUGAAAAAAYABgBb&#10;AQAAtwM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应急抢险组</w:t>
                        </w:r>
                      </w:p>
                    </w:txbxContent>
                  </v:textbox>
                </v:rect>
                <v:rect id="_x0000_s1026" o:spid="_x0000_s1026" o:spt="1" style="position:absolute;left:10513;top:164808;height:1594;width:624;" fillcolor="#FFFFFF" filled="t" stroked="t" coordsize="21600,21600" o:gfxdata="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rEZursAAADb&#10;AAAADwAAAAAAAAABACAAAAAiAAAAZHJzL2Rvd25yZXYueG1sUEsBAhQAFAAAAAgAh07iQDMvBZ47&#10;AAAAOQAAABAAAAAAAAAAAQAgAAAACgEAAGRycy9zaGFwZXhtbC54bWxQSwUGAAAAAAYABgBbAQAA&#10;tAM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警戒疏散组</w:t>
                        </w:r>
                      </w:p>
                    </w:txbxContent>
                  </v:textbox>
                </v:rect>
                <v:rect id="_x0000_s1026" o:spid="_x0000_s1026" o:spt="1" style="position:absolute;left:11785;top:164808;height:1594;width:624;" fillcolor="#FFFFFF" filled="t" stroked="t" coordsize="21600,21600" o:gfxdata="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X9vCG8AAAA&#10;2wAAAA8AAAAAAAAAAQAgAAAAIgAAAGRycy9kb3ducmV2LnhtbFBLAQIUABQAAAAIAIdO4kAzLwWe&#10;OwAAADkAAAAQAAAAAAAAAAEAIAAAAAsBAABkcnMvc2hhcGV4bWwueG1sUEsFBgAAAAAGAAYAWwEA&#10;ALUDA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医疗救护组</w:t>
                        </w:r>
                      </w:p>
                    </w:txbxContent>
                  </v:textbox>
                </v:rect>
                <v:rect id="_x0000_s1026" o:spid="_x0000_s1026" o:spt="1" style="position:absolute;left:13153;top:164808;height:1594;width:624;" fillcolor="#FFFFFF" filled="t" stroked="t" coordsize="21600,21600" o:gfxdata="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Eeg2G8AAAA&#10;2wAAAA8AAAAAAAAAAQAgAAAAIgAAAGRycy9kb3ducmV2LnhtbFBLAQIUABQAAAAIAIdO4kAzLwWe&#10;OwAAADkAAAAQAAAAAAAAAAEAIAAAAAsBAABkcnMvc2hhcGV4bWwueG1sUEsFBgAAAAAGAAYAWwEA&#10;ALUDA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污染控制组</w:t>
                        </w:r>
                      </w:p>
                    </w:txbxContent>
                  </v:textbox>
                </v:rect>
                <v:rect id="_x0000_s1026" o:spid="_x0000_s1026" o:spt="1" style="position:absolute;left:14557;top:164808;height:1594;width:624;" fillcolor="#FFFFFF" filled="t" stroked="t" coordsize="21600,21600" o:gfxdata="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ib6vQAA&#10;ANs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后勤保障组</w:t>
                        </w:r>
                      </w:p>
                    </w:txbxContent>
                  </v:textbox>
                </v:rect>
                <v:shape id="_x0000_s1026" o:spid="_x0000_s1026" o:spt="32" type="#_x0000_t32" style="position:absolute;left:13285;top:162951;height:471;width:0;" filled="f" stroked="t" coordsize="21600,21600" o:gfxdata="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qqt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15997;top:163423;height:1296;width:0;" filled="f" stroked="t" coordsize="21600,21600" o:gfxdata="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hg82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32" type="#_x0000_t32" style="position:absolute;left:17101;top:163423;height:1296;width:0;" filled="f" stroked="t" coordsize="21600,21600" o:gfxdata="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m+XQr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rect id="_x0000_s1026" o:spid="_x0000_s1026" o:spt="1" style="position:absolute;left:16861;top:164808;height:1594;width:624;" fillcolor="#FFFFFF" filled="t" stroked="t" coordsize="21600,21600" o:gfxdata="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aSD5vQAA&#10;ANs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善后处理组</w:t>
                        </w:r>
                      </w:p>
                    </w:txbxContent>
                  </v:textbox>
                </v:rect>
                <v:rect id="_x0000_s1026" o:spid="_x0000_s1026" o:spt="1" style="position:absolute;left:15757;top:164808;height:1594;width:624;" fillcolor="#FFFFFF" filled="t" stroked="t" coordsize="21600,21600" o:gfxdata="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bu+jr4A&#10;AADbAAAADwAAAAAAAAABACAAAAAiAAAAZHJzL2Rvd25yZXYueG1sUEsBAhQAFAAAAAgAh07iQDMv&#10;BZ47AAAAOQAAABAAAAAAAAAAAQAgAAAADQEAAGRycy9zaGFwZXhtbC54bWxQSwUGAAAAAAYABgBb&#10;AQAAtwMAAAAA&#10;">
                  <v:fill type="gradient" on="t" color2="#FFFFFF" angle="90" focus="100%" focussize="0,0">
                    <o:fill type="gradientUnscaled" v:ext="backwardCompatible"/>
                  </v:fill>
                  <v:stroke weight="1.25pt" color="#000000" joinstyle="miter"/>
                  <v:imagedata o:title=""/>
                  <o:lock v:ext="edit" aspectratio="f"/>
                  <v:textbox>
                    <w:txbxContent>
                      <w:p>
                        <w:pPr>
                          <w:spacing w:line="280" w:lineRule="exact"/>
                          <w:rPr>
                            <w:rFonts w:ascii="宋体" w:hAnsi="宋体"/>
                          </w:rPr>
                        </w:pPr>
                        <w:r>
                          <w:rPr>
                            <w:rFonts w:ascii="宋体" w:hAnsi="宋体"/>
                          </w:rPr>
                          <w:t>通讯联络组</w:t>
                        </w:r>
                      </w:p>
                    </w:txbxContent>
                  </v:textbox>
                </v:rect>
                <w10:wrap type="none"/>
                <w10:anchorlock/>
              </v:group>
            </w:pict>
          </mc:Fallback>
        </mc:AlternateContent>
      </w:r>
    </w:p>
    <w:p>
      <w:pPr>
        <w:wordWrap w:val="0"/>
        <w:adjustRightInd w:val="0"/>
        <w:snapToGrid w:val="0"/>
        <w:jc w:val="center"/>
        <w:textAlignment w:val="center"/>
        <w:rPr>
          <w:color w:val="auto"/>
          <w:kern w:val="0"/>
          <w:sz w:val="21"/>
          <w:szCs w:val="21"/>
        </w:rPr>
      </w:pPr>
      <w:r>
        <w:rPr>
          <w:rFonts w:hint="eastAsia" w:cs="宋体"/>
          <w:color w:val="auto"/>
          <w:kern w:val="0"/>
          <w:sz w:val="21"/>
          <w:szCs w:val="21"/>
        </w:rPr>
        <w:t>图</w:t>
      </w:r>
      <w:r>
        <w:rPr>
          <w:color w:val="auto"/>
          <w:kern w:val="0"/>
          <w:sz w:val="21"/>
          <w:szCs w:val="21"/>
        </w:rPr>
        <w:t>2</w:t>
      </w:r>
      <w:r>
        <w:rPr>
          <w:rFonts w:hint="eastAsia"/>
          <w:color w:val="auto"/>
          <w:kern w:val="0"/>
          <w:sz w:val="21"/>
          <w:szCs w:val="21"/>
        </w:rPr>
        <w:t>.9</w:t>
      </w:r>
      <w:r>
        <w:rPr>
          <w:color w:val="auto"/>
          <w:kern w:val="0"/>
          <w:sz w:val="21"/>
          <w:szCs w:val="21"/>
        </w:rPr>
        <w:t xml:space="preserve">-1  </w:t>
      </w:r>
      <w:r>
        <w:rPr>
          <w:rFonts w:hint="eastAsia" w:cs="宋体"/>
          <w:color w:val="auto"/>
          <w:kern w:val="0"/>
          <w:sz w:val="21"/>
          <w:szCs w:val="21"/>
        </w:rPr>
        <w:t>应急救援组织机构及应急职责架构图</w:t>
      </w:r>
    </w:p>
    <w:p>
      <w:pPr>
        <w:wordWrap w:val="0"/>
        <w:adjustRightInd w:val="0"/>
        <w:snapToGrid w:val="0"/>
        <w:ind w:firstLine="560" w:firstLineChars="200"/>
        <w:textAlignment w:val="center"/>
        <w:rPr>
          <w:color w:val="auto"/>
          <w:kern w:val="0"/>
        </w:rPr>
      </w:pPr>
      <w:r>
        <w:rPr>
          <w:rFonts w:hint="eastAsia"/>
          <w:color w:val="auto"/>
          <w:kern w:val="0"/>
        </w:rPr>
        <w:t>依据项目的生产工艺以及安全操作、应急救援的要求，应急救援器材以及劳动防护用品的设置要求配备情况如下：</w:t>
      </w:r>
    </w:p>
    <w:p>
      <w:pPr>
        <w:wordWrap w:val="0"/>
        <w:adjustRightInd w:val="0"/>
        <w:snapToGrid w:val="0"/>
        <w:jc w:val="center"/>
        <w:textAlignment w:val="center"/>
        <w:rPr>
          <w:color w:val="auto"/>
          <w:kern w:val="0"/>
        </w:rPr>
      </w:pPr>
      <w:r>
        <w:rPr>
          <w:rFonts w:hint="eastAsia"/>
          <w:color w:val="auto"/>
          <w:kern w:val="0"/>
        </w:rPr>
        <w:t>表2.9-1  江西景新漆业股份有限公司整体应急物质装备配备情况</w:t>
      </w:r>
    </w:p>
    <w:tbl>
      <w:tblPr>
        <w:tblStyle w:val="24"/>
        <w:tblW w:w="90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1836"/>
        <w:gridCol w:w="2916"/>
        <w:gridCol w:w="1322"/>
        <w:gridCol w:w="2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764" w:type="dxa"/>
            <w:tcBorders>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1836"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名称</w:t>
            </w:r>
          </w:p>
        </w:tc>
        <w:tc>
          <w:tcPr>
            <w:tcW w:w="2916"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主要用途</w:t>
            </w:r>
          </w:p>
        </w:tc>
        <w:tc>
          <w:tcPr>
            <w:tcW w:w="1322"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配备</w:t>
            </w:r>
            <w:r>
              <w:rPr>
                <w:rFonts w:hint="eastAsia" w:cs="Times New Roman"/>
                <w:b/>
                <w:bCs/>
                <w:color w:val="auto"/>
                <w:kern w:val="0"/>
                <w:sz w:val="21"/>
                <w:szCs w:val="21"/>
              </w:rPr>
              <w:t>数量</w:t>
            </w:r>
          </w:p>
        </w:tc>
        <w:tc>
          <w:tcPr>
            <w:tcW w:w="2260" w:type="dxa"/>
            <w:tcBorders>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消防头盔</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头部、面部及颈部的安全防护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1顶/人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二级化学防护服装</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化学灾害现场作业时的躯体防护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1套/10人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配备</w:t>
            </w:r>
            <w:r>
              <w:rPr>
                <w:rFonts w:hint="eastAsia" w:cs="Times New Roman"/>
                <w:color w:val="auto"/>
                <w:kern w:val="0"/>
                <w:sz w:val="21"/>
                <w:szCs w:val="21"/>
              </w:rPr>
              <w:t>2</w:t>
            </w:r>
            <w:r>
              <w:rPr>
                <w:rFonts w:cs="Times New Roman"/>
                <w:color w:val="auto"/>
                <w:kern w:val="0"/>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灭火防护服</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灭火救援作业时的身体防护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选配消防指挥服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防静电内衣</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可燃气体等易燃易爆场所作业时的躯体内层防护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易燃易爆场所配备防静电靴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防化手套</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手部及腕部防护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2副/人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r>
              <w:rPr>
                <w:rFonts w:cs="Times New Roman"/>
                <w:color w:val="auto"/>
                <w:kern w:val="0"/>
                <w:sz w:val="21"/>
                <w:szCs w:val="21"/>
              </w:rPr>
              <w:t>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防化靴</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事故现场作业时的脚部和小腿部防护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1双/人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易燃易爆场所配备防静电靴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7</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安全腰带</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登梯作业和逃生自救</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1根/人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8</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正压式空气呼吸器</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缺氧或有毒现场作业时的呼吸防护</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1具/人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9</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佩戴式照明灯</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单人作业照明</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1个/人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轻型安全绳</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救援人员的救生、自救和逃生</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1根/人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11</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消防腰斧</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破拆和自救</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1把/人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764"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12</w:t>
            </w:r>
          </w:p>
        </w:tc>
        <w:tc>
          <w:tcPr>
            <w:tcW w:w="183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便携式有毒气体检测仪</w:t>
            </w:r>
          </w:p>
        </w:tc>
        <w:tc>
          <w:tcPr>
            <w:tcW w:w="2916"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检测现场有毒气体浓度含量，帮助逃生</w:t>
            </w:r>
          </w:p>
        </w:tc>
        <w:tc>
          <w:tcPr>
            <w:tcW w:w="1322"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60"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r>
              <w:rPr>
                <w:rFonts w:cs="Times New Roman"/>
                <w:color w:val="auto"/>
                <w:kern w:val="0"/>
                <w:sz w:val="21"/>
                <w:szCs w:val="21"/>
              </w:rPr>
              <w:t>套</w:t>
            </w:r>
          </w:p>
        </w:tc>
      </w:tr>
    </w:tbl>
    <w:p>
      <w:pPr>
        <w:wordWrap w:val="0"/>
        <w:adjustRightInd w:val="0"/>
        <w:snapToGrid w:val="0"/>
        <w:jc w:val="center"/>
        <w:textAlignment w:val="center"/>
        <w:rPr>
          <w:color w:val="auto"/>
          <w:kern w:val="0"/>
        </w:rPr>
      </w:pPr>
      <w:r>
        <w:rPr>
          <w:rFonts w:hint="eastAsia"/>
          <w:color w:val="auto"/>
          <w:kern w:val="0"/>
        </w:rPr>
        <w:t>表2.9-2  应急救援人员个体防护装备配备</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1"/>
        <w:gridCol w:w="1875"/>
        <w:gridCol w:w="3496"/>
        <w:gridCol w:w="1861"/>
        <w:gridCol w:w="12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1875"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职业危害防治以及应急救援设施名称</w:t>
            </w:r>
          </w:p>
        </w:tc>
        <w:tc>
          <w:tcPr>
            <w:tcW w:w="3496"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技术要求</w:t>
            </w:r>
          </w:p>
        </w:tc>
        <w:tc>
          <w:tcPr>
            <w:tcW w:w="186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设施位置</w:t>
            </w:r>
          </w:p>
        </w:tc>
        <w:tc>
          <w:tcPr>
            <w:tcW w:w="1228"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安全帽</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符合国家标准：《头部防护安全帽》</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（GB2811—2019）；应是阻燃型</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全厂员工</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洗眼器</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按照工业企业卫生设计规范进行设置，应选用同时满足能洗眼、全身冲洗要求的复合式洗眼器—既有洗眼喷头，也有喷淋系统的。</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共2套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自吸过滤式防毒面具</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符合国家标准：《呼吸防护 自吸过滤式防毒面具》（GB2890—2009）</w:t>
            </w:r>
          </w:p>
        </w:tc>
        <w:tc>
          <w:tcPr>
            <w:tcW w:w="1861"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仓库操作人员</w:t>
            </w:r>
          </w:p>
        </w:tc>
        <w:tc>
          <w:tcPr>
            <w:tcW w:w="1228"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w:t>
            </w:r>
            <w:r>
              <w:rPr>
                <w:rFonts w:hint="eastAsia" w:cs="Times New Roman"/>
                <w:color w:val="auto"/>
                <w:kern w:val="0"/>
                <w:sz w:val="21"/>
                <w:szCs w:val="21"/>
              </w:rPr>
              <w:t>1</w:t>
            </w:r>
            <w:r>
              <w:rPr>
                <w:rFonts w:cs="Times New Roman"/>
                <w:color w:val="auto"/>
                <w:kern w:val="0"/>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A型过滤件</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符合国家标准：《过滤式防毒面具通用技术条件》（GB2890—2009）；</w:t>
            </w:r>
          </w:p>
        </w:tc>
        <w:tc>
          <w:tcPr>
            <w:tcW w:w="1861"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22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防爆级手电筒</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为各种易燃易爆场所、水下工作以及其它工作现场提供移动照明</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106甲类仓库</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每个岗位1套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防静电手套</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符合防静电要求</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106甲类仓库</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每个岗位2双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防静电胶靴</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符合国家标准：《足部防护 安全鞋》（GB21148-2020）</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仓库操作人员</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每人2双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18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工作服</w:t>
            </w:r>
          </w:p>
        </w:tc>
        <w:tc>
          <w:tcPr>
            <w:tcW w:w="34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符合防静电要求</w:t>
            </w:r>
          </w:p>
        </w:tc>
        <w:tc>
          <w:tcPr>
            <w:tcW w:w="186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w:t>
            </w:r>
          </w:p>
        </w:tc>
        <w:tc>
          <w:tcPr>
            <w:tcW w:w="122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每人两套</w:t>
            </w:r>
          </w:p>
        </w:tc>
      </w:tr>
    </w:tbl>
    <w:p>
      <w:pPr>
        <w:pStyle w:val="4"/>
        <w:keepNext w:val="0"/>
        <w:keepLines w:val="0"/>
        <w:wordWrap w:val="0"/>
        <w:adjustRightInd w:val="0"/>
        <w:snapToGrid w:val="0"/>
        <w:jc w:val="center"/>
        <w:textAlignment w:val="center"/>
        <w:rPr>
          <w:color w:val="auto"/>
          <w:kern w:val="0"/>
        </w:rPr>
      </w:pPr>
      <w:bookmarkStart w:id="114" w:name="_Toc24300"/>
      <w:bookmarkStart w:id="115" w:name="_Toc23007"/>
      <w:bookmarkStart w:id="116" w:name="_Toc32111"/>
      <w:r>
        <w:rPr>
          <w:rFonts w:hint="eastAsia"/>
          <w:color w:val="auto"/>
          <w:kern w:val="0"/>
        </w:rPr>
        <w:t>2.10 年度安全生产投入情况</w:t>
      </w:r>
      <w:bookmarkEnd w:id="114"/>
      <w:bookmarkEnd w:id="115"/>
      <w:bookmarkEnd w:id="116"/>
    </w:p>
    <w:p>
      <w:pPr>
        <w:pStyle w:val="20"/>
        <w:wordWrap w:val="0"/>
        <w:adjustRightInd w:val="0"/>
        <w:snapToGrid w:val="0"/>
        <w:ind w:firstLine="560" w:firstLineChars="200"/>
        <w:jc w:val="left"/>
        <w:textAlignment w:val="center"/>
        <w:rPr>
          <w:color w:val="auto"/>
          <w:kern w:val="0"/>
          <w:sz w:val="28"/>
          <w:szCs w:val="28"/>
        </w:rPr>
      </w:pPr>
      <w:r>
        <w:rPr>
          <w:rFonts w:hint="eastAsia"/>
          <w:color w:val="auto"/>
          <w:kern w:val="0"/>
          <w:sz w:val="28"/>
          <w:szCs w:val="28"/>
        </w:rPr>
        <w:t>本项目为安全设施提升改造项目，</w:t>
      </w:r>
      <w:r>
        <w:rPr>
          <w:color w:val="auto"/>
          <w:kern w:val="0"/>
          <w:sz w:val="28"/>
          <w:szCs w:val="28"/>
        </w:rPr>
        <w:t>总投资为</w:t>
      </w:r>
      <w:r>
        <w:rPr>
          <w:rFonts w:hint="eastAsia"/>
          <w:color w:val="auto"/>
          <w:kern w:val="0"/>
          <w:sz w:val="28"/>
          <w:szCs w:val="28"/>
        </w:rPr>
        <w:t>440万元</w:t>
      </w:r>
      <w:r>
        <w:rPr>
          <w:color w:val="auto"/>
          <w:kern w:val="0"/>
          <w:sz w:val="28"/>
          <w:szCs w:val="28"/>
        </w:rPr>
        <w:t>人民币，</w:t>
      </w:r>
      <w:r>
        <w:rPr>
          <w:rFonts w:hint="eastAsia"/>
          <w:color w:val="auto"/>
          <w:kern w:val="0"/>
          <w:sz w:val="28"/>
          <w:szCs w:val="28"/>
        </w:rPr>
        <w:t>均属于</w:t>
      </w:r>
      <w:r>
        <w:rPr>
          <w:color w:val="auto"/>
          <w:kern w:val="0"/>
          <w:sz w:val="28"/>
          <w:szCs w:val="28"/>
        </w:rPr>
        <w:t>安全设施投资。</w:t>
      </w:r>
    </w:p>
    <w:p>
      <w:pPr>
        <w:pStyle w:val="20"/>
        <w:wordWrap w:val="0"/>
        <w:adjustRightInd w:val="0"/>
        <w:snapToGrid w:val="0"/>
        <w:jc w:val="center"/>
        <w:textAlignment w:val="center"/>
        <w:rPr>
          <w:rFonts w:cs="Times New Roman"/>
          <w:color w:val="auto"/>
          <w:kern w:val="0"/>
          <w:sz w:val="28"/>
          <w:szCs w:val="28"/>
        </w:rPr>
      </w:pPr>
      <w:r>
        <w:rPr>
          <w:rFonts w:cs="Times New Roman"/>
          <w:color w:val="auto"/>
          <w:kern w:val="0"/>
          <w:sz w:val="28"/>
          <w:szCs w:val="28"/>
        </w:rPr>
        <w:t>表2.</w:t>
      </w:r>
      <w:r>
        <w:rPr>
          <w:rFonts w:hint="eastAsia" w:cs="Times New Roman"/>
          <w:color w:val="auto"/>
          <w:kern w:val="0"/>
          <w:sz w:val="28"/>
          <w:szCs w:val="28"/>
        </w:rPr>
        <w:t>10</w:t>
      </w:r>
      <w:r>
        <w:rPr>
          <w:rFonts w:cs="Times New Roman"/>
          <w:color w:val="auto"/>
          <w:kern w:val="0"/>
          <w:sz w:val="28"/>
          <w:szCs w:val="28"/>
        </w:rPr>
        <w:t>-1  安全投入一览表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5511"/>
        <w:gridCol w:w="1822"/>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62"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551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项目</w:t>
            </w:r>
          </w:p>
        </w:tc>
        <w:tc>
          <w:tcPr>
            <w:tcW w:w="1822"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投资概算（万元）</w:t>
            </w:r>
          </w:p>
        </w:tc>
        <w:tc>
          <w:tcPr>
            <w:tcW w:w="1076"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连锁报警系统</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防雷、防静电设施</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应急照明</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防触电、防漏电、电器过载保护等设施</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消防管网、消防水</w:t>
            </w:r>
            <w:r>
              <w:rPr>
                <w:rFonts w:hint="eastAsia" w:cs="Times New Roman"/>
                <w:color w:val="auto"/>
                <w:kern w:val="0"/>
                <w:sz w:val="21"/>
                <w:szCs w:val="21"/>
              </w:rPr>
              <w:t>箱</w:t>
            </w:r>
            <w:r>
              <w:rPr>
                <w:rFonts w:cs="Times New Roman"/>
                <w:color w:val="auto"/>
                <w:kern w:val="0"/>
                <w:sz w:val="21"/>
                <w:szCs w:val="21"/>
              </w:rPr>
              <w:t>、消防泵</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消防器材</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劳动防护用品应急救援器材</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防护栏、防机械伤害、安全标志等设施</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安全教育</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新建106仓库建设费用（含监理、施工等）</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346.5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11</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新建仓库及相关配套设施提升设计费用</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12</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相关安全预评价、安全验收评价费用</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13</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新建仓库及相关配套设施提升消防投入及施工费用</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13</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14</w:t>
            </w: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新建仓库及相关配套设施提升第三方检测费用</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1.5</w:t>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2" w:type="dxa"/>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551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合计</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440</w:t>
            </w:r>
            <w:r>
              <w:rPr>
                <w:rFonts w:cs="Times New Roman"/>
                <w:color w:val="auto"/>
                <w:kern w:val="0"/>
                <w:sz w:val="21"/>
                <w:szCs w:val="21"/>
              </w:rPr>
              <w:fldChar w:fldCharType="begin"/>
            </w:r>
            <w:r>
              <w:rPr>
                <w:rFonts w:cs="Times New Roman"/>
                <w:color w:val="auto"/>
                <w:kern w:val="0"/>
                <w:sz w:val="21"/>
                <w:szCs w:val="21"/>
              </w:rPr>
              <w:instrText xml:space="preserve"> = sum(C2:C10) \* MERGEFORMAT </w:instrText>
            </w:r>
            <w:r>
              <w:rPr>
                <w:rFonts w:cs="Times New Roman"/>
                <w:color w:val="auto"/>
                <w:kern w:val="0"/>
                <w:sz w:val="21"/>
                <w:szCs w:val="21"/>
              </w:rPr>
              <w:fldChar w:fldCharType="separate"/>
            </w:r>
            <w:r>
              <w:rPr>
                <w:rFonts w:cs="Times New Roman"/>
                <w:color w:val="auto"/>
                <w:kern w:val="0"/>
                <w:sz w:val="21"/>
                <w:szCs w:val="21"/>
              </w:rPr>
              <w:fldChar w:fldCharType="end"/>
            </w:r>
          </w:p>
        </w:tc>
        <w:tc>
          <w:tcPr>
            <w:tcW w:w="1076" w:type="dxa"/>
            <w:vAlign w:val="center"/>
          </w:tcPr>
          <w:p>
            <w:pPr>
              <w:wordWrap w:val="0"/>
              <w:adjustRightInd w:val="0"/>
              <w:snapToGrid w:val="0"/>
              <w:spacing w:line="240" w:lineRule="auto"/>
              <w:jc w:val="center"/>
              <w:textAlignment w:val="center"/>
              <w:rPr>
                <w:rFonts w:cs="Times New Roman"/>
                <w:color w:val="auto"/>
                <w:kern w:val="0"/>
                <w:sz w:val="21"/>
                <w:szCs w:val="21"/>
              </w:rPr>
            </w:pPr>
          </w:p>
        </w:tc>
      </w:tr>
    </w:tbl>
    <w:p>
      <w:pPr>
        <w:wordWrap w:val="0"/>
        <w:adjustRightInd w:val="0"/>
        <w:snapToGrid w:val="0"/>
        <w:textAlignment w:val="center"/>
        <w:rPr>
          <w:color w:val="auto"/>
          <w:kern w:val="0"/>
        </w:rPr>
      </w:pPr>
      <w:r>
        <w:rPr>
          <w:rFonts w:hint="eastAsia"/>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117" w:name="_Toc5576"/>
      <w:bookmarkStart w:id="118" w:name="_Toc3283"/>
      <w:bookmarkStart w:id="119" w:name="_Toc1768"/>
      <w:r>
        <w:rPr>
          <w:rFonts w:hint="eastAsia"/>
          <w:color w:val="auto"/>
          <w:kern w:val="0"/>
          <w:sz w:val="32"/>
          <w:szCs w:val="32"/>
        </w:rPr>
        <w:t>3 危险、有害因素的辨识结果及依据</w:t>
      </w:r>
      <w:bookmarkEnd w:id="117"/>
      <w:bookmarkEnd w:id="118"/>
      <w:bookmarkEnd w:id="119"/>
    </w:p>
    <w:p>
      <w:pPr>
        <w:pStyle w:val="4"/>
        <w:keepNext w:val="0"/>
        <w:keepLines w:val="0"/>
        <w:wordWrap w:val="0"/>
        <w:adjustRightInd w:val="0"/>
        <w:snapToGrid w:val="0"/>
        <w:jc w:val="center"/>
        <w:textAlignment w:val="center"/>
        <w:rPr>
          <w:color w:val="auto"/>
          <w:kern w:val="0"/>
        </w:rPr>
      </w:pPr>
      <w:bookmarkStart w:id="120" w:name="_Toc24160"/>
      <w:bookmarkStart w:id="121" w:name="_Toc4751"/>
      <w:bookmarkStart w:id="122" w:name="_Toc18749"/>
      <w:r>
        <w:rPr>
          <w:rFonts w:hint="eastAsia"/>
          <w:color w:val="auto"/>
          <w:kern w:val="0"/>
        </w:rPr>
        <w:t>3.1 危险、有害因素的辨识依据及产生原因</w:t>
      </w:r>
      <w:bookmarkEnd w:id="120"/>
      <w:bookmarkEnd w:id="121"/>
      <w:bookmarkEnd w:id="122"/>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建设项目危险、有害因素的辨识依据</w:t>
      </w:r>
    </w:p>
    <w:p>
      <w:pPr>
        <w:wordWrap w:val="0"/>
        <w:adjustRightInd w:val="0"/>
        <w:snapToGrid w:val="0"/>
        <w:ind w:firstLine="560" w:firstLineChars="200"/>
        <w:textAlignment w:val="center"/>
        <w:rPr>
          <w:color w:val="auto"/>
          <w:kern w:val="0"/>
        </w:rPr>
      </w:pPr>
      <w:r>
        <w:rPr>
          <w:color w:val="auto"/>
          <w:kern w:val="0"/>
        </w:rPr>
        <w:t>危险因素是指能对人造成伤亡或对物造成突发性损坏的因素，有害因素是指能影响人的身体健康，导致疾病，或对物造成慢性损坏的因素。危险、有害因素分析是安全评价的重要环节，也是安全评价的基础。</w:t>
      </w:r>
    </w:p>
    <w:p>
      <w:pPr>
        <w:wordWrap w:val="0"/>
        <w:adjustRightInd w:val="0"/>
        <w:snapToGrid w:val="0"/>
        <w:ind w:firstLine="560" w:firstLineChars="200"/>
        <w:textAlignment w:val="center"/>
        <w:rPr>
          <w:color w:val="auto"/>
          <w:kern w:val="0"/>
        </w:rPr>
      </w:pPr>
      <w:r>
        <w:rPr>
          <w:color w:val="auto"/>
          <w:kern w:val="0"/>
        </w:rPr>
        <w:t>对</w:t>
      </w:r>
      <w:r>
        <w:rPr>
          <w:rFonts w:hint="eastAsia"/>
          <w:color w:val="auto"/>
          <w:kern w:val="0"/>
        </w:rPr>
        <w:t>本项目</w:t>
      </w:r>
      <w:r>
        <w:rPr>
          <w:color w:val="auto"/>
          <w:kern w:val="0"/>
        </w:rPr>
        <w:t xml:space="preserve">的危险、有害因素进行辨识，依据《生产过程危险和有害因素分类与代码》GB/T </w:t>
      </w:r>
      <w:r>
        <w:rPr>
          <w:rFonts w:hint="eastAsia"/>
          <w:color w:val="auto"/>
          <w:kern w:val="0"/>
        </w:rPr>
        <w:t>13861-2022</w:t>
      </w:r>
      <w:r>
        <w:rPr>
          <w:color w:val="auto"/>
          <w:kern w:val="0"/>
        </w:rPr>
        <w:t>和《企业职工伤亡事故分类》GB6441-1986的同时，通过对</w:t>
      </w:r>
      <w:r>
        <w:rPr>
          <w:rFonts w:hint="eastAsia"/>
          <w:color w:val="auto"/>
          <w:kern w:val="0"/>
        </w:rPr>
        <w:t>本项目</w:t>
      </w:r>
      <w:r>
        <w:rPr>
          <w:color w:val="auto"/>
          <w:kern w:val="0"/>
        </w:rPr>
        <w:t>的厂址、平面布局、建（构）筑物、物质、生产工艺及设备、辅助生产设施（含公用工程）等方面进行分析而得出。</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危险、有害因素产生的原因</w:t>
      </w:r>
    </w:p>
    <w:p>
      <w:pPr>
        <w:wordWrap w:val="0"/>
        <w:adjustRightInd w:val="0"/>
        <w:snapToGrid w:val="0"/>
        <w:ind w:firstLine="560" w:firstLineChars="200"/>
        <w:textAlignment w:val="center"/>
        <w:rPr>
          <w:color w:val="auto"/>
          <w:kern w:val="0"/>
        </w:rPr>
      </w:pPr>
      <w:r>
        <w:rPr>
          <w:color w:val="auto"/>
          <w:kern w:val="0"/>
        </w:rPr>
        <w:t>能量与有害物质的存在是产生危险危害因素的根源，也是最基本的危险危害因素。一般的说，系统具有的能量越大，存放的危害物质数量越多，储存的能量越大，系统的潜在危险危害性也越大。由于任何生产过程都不可避免地要使用到物质与能量。因此，采用有效的手段和措施进行控制物质与能量，消除或降低危险、有害程度，是预防事故的关健。</w:t>
      </w:r>
    </w:p>
    <w:p>
      <w:pPr>
        <w:wordWrap w:val="0"/>
        <w:adjustRightInd w:val="0"/>
        <w:snapToGrid w:val="0"/>
        <w:ind w:firstLine="560" w:firstLineChars="200"/>
        <w:textAlignment w:val="center"/>
        <w:rPr>
          <w:color w:val="auto"/>
          <w:kern w:val="0"/>
        </w:rPr>
      </w:pPr>
      <w:r>
        <w:rPr>
          <w:color w:val="auto"/>
          <w:kern w:val="0"/>
        </w:rPr>
        <w:t>危险危害产生的根本原因就是失控，包括设备、工艺指标、人的作业行为等的失控。一旦失控，就会发生能量与有害物质的意外释放，从而造成人员伤亡和财产损失。</w:t>
      </w:r>
    </w:p>
    <w:p>
      <w:pPr>
        <w:wordWrap w:val="0"/>
        <w:adjustRightInd w:val="0"/>
        <w:snapToGrid w:val="0"/>
        <w:ind w:firstLine="560" w:firstLineChars="200"/>
        <w:textAlignment w:val="center"/>
        <w:rPr>
          <w:color w:val="auto"/>
          <w:kern w:val="0"/>
        </w:rPr>
      </w:pPr>
      <w:r>
        <w:rPr>
          <w:color w:val="auto"/>
          <w:kern w:val="0"/>
        </w:rPr>
        <w:t>失控主要体现在设备故障（缺陷）、人员失误、管理缺陷和环境的不良影响等几个方面，并且相互影响。分析如下：</w:t>
      </w:r>
    </w:p>
    <w:p>
      <w:pPr>
        <w:wordWrap w:val="0"/>
        <w:adjustRightInd w:val="0"/>
        <w:snapToGrid w:val="0"/>
        <w:ind w:firstLine="560" w:firstLineChars="200"/>
        <w:textAlignment w:val="center"/>
        <w:rPr>
          <w:color w:val="auto"/>
          <w:kern w:val="0"/>
        </w:rPr>
      </w:pPr>
      <w:r>
        <w:rPr>
          <w:color w:val="auto"/>
          <w:kern w:val="0"/>
        </w:rPr>
        <w:t>1）设备故障（缺陷）</w:t>
      </w:r>
    </w:p>
    <w:p>
      <w:pPr>
        <w:wordWrap w:val="0"/>
        <w:adjustRightInd w:val="0"/>
        <w:snapToGrid w:val="0"/>
        <w:ind w:firstLine="560" w:firstLineChars="200"/>
        <w:textAlignment w:val="center"/>
        <w:rPr>
          <w:color w:val="auto"/>
          <w:kern w:val="0"/>
        </w:rPr>
      </w:pPr>
      <w:r>
        <w:rPr>
          <w:color w:val="auto"/>
          <w:kern w:val="0"/>
        </w:rPr>
        <w:t>设备故障（缺陷）主要表现在设备、元件在运行过程中由于性能低下或不符合工艺要求而不能实现预期的功能。如设备材质或质量可能不符合要求而造成破裂从而导致储罐爆裂；或导致管道泄漏引发火灾爆炸和人员中毒；或电气绝缘损坏、保护装置失效等可能造成人员触电等。</w:t>
      </w:r>
    </w:p>
    <w:p>
      <w:pPr>
        <w:wordWrap w:val="0"/>
        <w:adjustRightInd w:val="0"/>
        <w:snapToGrid w:val="0"/>
        <w:ind w:firstLine="560" w:firstLineChars="200"/>
        <w:textAlignment w:val="center"/>
        <w:rPr>
          <w:color w:val="auto"/>
          <w:kern w:val="0"/>
        </w:rPr>
      </w:pPr>
      <w:r>
        <w:rPr>
          <w:color w:val="auto"/>
          <w:kern w:val="0"/>
        </w:rPr>
        <w:t>设备故障的发生具有随机性、渐进性、规律性，可以通过定期检查，维护保养等措施来加以防范。</w:t>
      </w:r>
    </w:p>
    <w:p>
      <w:pPr>
        <w:wordWrap w:val="0"/>
        <w:adjustRightInd w:val="0"/>
        <w:snapToGrid w:val="0"/>
        <w:ind w:firstLine="560" w:firstLineChars="200"/>
        <w:textAlignment w:val="center"/>
        <w:rPr>
          <w:color w:val="auto"/>
          <w:kern w:val="0"/>
        </w:rPr>
      </w:pPr>
      <w:r>
        <w:rPr>
          <w:color w:val="auto"/>
          <w:kern w:val="0"/>
        </w:rPr>
        <w:t>2）人员失误</w:t>
      </w:r>
    </w:p>
    <w:p>
      <w:pPr>
        <w:wordWrap w:val="0"/>
        <w:adjustRightInd w:val="0"/>
        <w:snapToGrid w:val="0"/>
        <w:ind w:firstLine="560" w:firstLineChars="200"/>
        <w:textAlignment w:val="center"/>
        <w:rPr>
          <w:color w:val="auto"/>
          <w:kern w:val="0"/>
        </w:rPr>
      </w:pPr>
      <w:r>
        <w:rPr>
          <w:color w:val="auto"/>
          <w:kern w:val="0"/>
        </w:rPr>
        <w:t>人员失误是由于人的不安全行为造成的，可能产生严重后果，如在检修设备时误起动设备可能造成人员伤亡；在防爆区域内违章动火、吸烟等，可能引发火灾、爆炸事故。</w:t>
      </w:r>
    </w:p>
    <w:p>
      <w:pPr>
        <w:wordWrap w:val="0"/>
        <w:adjustRightInd w:val="0"/>
        <w:snapToGrid w:val="0"/>
        <w:ind w:firstLine="560" w:firstLineChars="200"/>
        <w:textAlignment w:val="center"/>
        <w:rPr>
          <w:color w:val="auto"/>
          <w:kern w:val="0"/>
        </w:rPr>
      </w:pPr>
      <w:r>
        <w:rPr>
          <w:color w:val="auto"/>
          <w:kern w:val="0"/>
        </w:rPr>
        <w:t>我国《企业职工伤亡事故分类标准》（GB 6441-1986）中将人的不安全行为分为操作失误、造成安全装置失效、使用不安全设备、冒险进入危险场所、处理危险物质不恰当、不安全装束、攀坐不安全位置、有分散注意力行为等共13类。</w:t>
      </w:r>
    </w:p>
    <w:p>
      <w:pPr>
        <w:wordWrap w:val="0"/>
        <w:adjustRightInd w:val="0"/>
        <w:snapToGrid w:val="0"/>
        <w:ind w:firstLine="560" w:firstLineChars="200"/>
        <w:textAlignment w:val="center"/>
        <w:rPr>
          <w:color w:val="auto"/>
          <w:kern w:val="0"/>
        </w:rPr>
      </w:pPr>
      <w:r>
        <w:rPr>
          <w:color w:val="auto"/>
          <w:kern w:val="0"/>
        </w:rPr>
        <w:t>人员失误可以通过严格的安全管理规章制度、操作规程和安全知识教育和安全技能培训等手段和措施加以预防。</w:t>
      </w:r>
    </w:p>
    <w:p>
      <w:pPr>
        <w:wordWrap w:val="0"/>
        <w:adjustRightInd w:val="0"/>
        <w:snapToGrid w:val="0"/>
        <w:ind w:firstLine="560" w:firstLineChars="200"/>
        <w:textAlignment w:val="center"/>
        <w:rPr>
          <w:color w:val="auto"/>
          <w:kern w:val="0"/>
        </w:rPr>
      </w:pPr>
      <w:r>
        <w:rPr>
          <w:color w:val="auto"/>
          <w:kern w:val="0"/>
        </w:rPr>
        <w:t>3）管理缺陷</w:t>
      </w:r>
    </w:p>
    <w:p>
      <w:pPr>
        <w:wordWrap w:val="0"/>
        <w:adjustRightInd w:val="0"/>
        <w:snapToGrid w:val="0"/>
        <w:ind w:firstLine="560" w:firstLineChars="200"/>
        <w:textAlignment w:val="center"/>
        <w:rPr>
          <w:color w:val="auto"/>
          <w:kern w:val="0"/>
        </w:rPr>
      </w:pPr>
      <w:r>
        <w:rPr>
          <w:color w:val="auto"/>
          <w:kern w:val="0"/>
        </w:rPr>
        <w:t>管理缺陷主要体现在安全管理机构不健全，安全管理规章制度不健全或执行不力、安全教育不到位等方面。管理缺陷可能造成设备故障（缺陷）不能及时发现处理，设备长期得不到维护、检修或检修质量不能保证，从而引发事故；也可因管理松懈而人员失误增多等。管理缺陷通常表现为违章指挥、违章作业、违反劳动纪律以及物的不安全状态。</w:t>
      </w:r>
    </w:p>
    <w:p>
      <w:pPr>
        <w:wordWrap w:val="0"/>
        <w:adjustRightInd w:val="0"/>
        <w:snapToGrid w:val="0"/>
        <w:ind w:firstLine="560" w:firstLineChars="200"/>
        <w:textAlignment w:val="center"/>
        <w:rPr>
          <w:color w:val="auto"/>
          <w:kern w:val="0"/>
        </w:rPr>
      </w:pPr>
      <w:r>
        <w:rPr>
          <w:color w:val="auto"/>
          <w:kern w:val="0"/>
        </w:rPr>
        <w:t>4）环境影响</w:t>
      </w:r>
    </w:p>
    <w:p>
      <w:pPr>
        <w:wordWrap w:val="0"/>
        <w:adjustRightInd w:val="0"/>
        <w:snapToGrid w:val="0"/>
        <w:ind w:firstLine="560" w:firstLineChars="200"/>
        <w:textAlignment w:val="center"/>
        <w:rPr>
          <w:color w:val="auto"/>
          <w:kern w:val="0"/>
        </w:rPr>
      </w:pPr>
      <w:r>
        <w:rPr>
          <w:color w:val="auto"/>
          <w:kern w:val="0"/>
        </w:rPr>
        <w:t>作业环境不良是导致事故发生的诱因之一，主要表现为温度、湿度异常、噪声影响、现场采光照明及色彩不合理等，尤其照明对作业环境的好坏起着至关重要的作用。现场采光或照明不良，作业人员可能在巡检和检修过程中，因视线不清而致误操作，或造成滑跌、坠落等。</w:t>
      </w:r>
    </w:p>
    <w:p>
      <w:pPr>
        <w:pStyle w:val="4"/>
        <w:keepNext w:val="0"/>
        <w:keepLines w:val="0"/>
        <w:wordWrap w:val="0"/>
        <w:adjustRightInd w:val="0"/>
        <w:snapToGrid w:val="0"/>
        <w:jc w:val="center"/>
        <w:textAlignment w:val="center"/>
        <w:rPr>
          <w:color w:val="auto"/>
          <w:kern w:val="0"/>
        </w:rPr>
      </w:pPr>
      <w:bookmarkStart w:id="123" w:name="_Toc17460"/>
      <w:bookmarkStart w:id="124" w:name="_Toc27108"/>
      <w:bookmarkStart w:id="125" w:name="_Toc16429"/>
      <w:r>
        <w:rPr>
          <w:rFonts w:hint="eastAsia"/>
          <w:color w:val="auto"/>
          <w:kern w:val="0"/>
        </w:rPr>
        <w:t>3.2 项目固有危险、有害因素辨识</w:t>
      </w:r>
      <w:bookmarkEnd w:id="123"/>
      <w:bookmarkEnd w:id="124"/>
      <w:bookmarkEnd w:id="125"/>
    </w:p>
    <w:p>
      <w:pPr>
        <w:pStyle w:val="5"/>
        <w:keepNext w:val="0"/>
        <w:keepLines w:val="0"/>
        <w:wordWrap w:val="0"/>
        <w:adjustRightInd w:val="0"/>
        <w:snapToGrid w:val="0"/>
        <w:textAlignment w:val="center"/>
        <w:rPr>
          <w:color w:val="auto"/>
          <w:kern w:val="0"/>
        </w:rPr>
      </w:pPr>
      <w:bookmarkStart w:id="126" w:name="_Toc31485"/>
      <w:r>
        <w:rPr>
          <w:rFonts w:hint="eastAsia"/>
          <w:color w:val="auto"/>
          <w:kern w:val="0"/>
        </w:rPr>
        <w:t>3.2.1 物料固有危险、有害因素辨识</w:t>
      </w:r>
      <w:bookmarkEnd w:id="126"/>
    </w:p>
    <w:p>
      <w:pPr>
        <w:wordWrap w:val="0"/>
        <w:adjustRightInd w:val="0"/>
        <w:snapToGrid w:val="0"/>
        <w:ind w:firstLine="560" w:firstLineChars="200"/>
        <w:textAlignment w:val="center"/>
        <w:rPr>
          <w:color w:val="auto"/>
          <w:kern w:val="0"/>
        </w:rPr>
      </w:pPr>
      <w:r>
        <w:rPr>
          <w:rFonts w:hint="eastAsia"/>
          <w:color w:val="auto"/>
          <w:kern w:val="0"/>
        </w:rPr>
        <w:t>1</w:t>
      </w:r>
      <w:r>
        <w:rPr>
          <w:color w:val="auto"/>
          <w:kern w:val="0"/>
        </w:rPr>
        <w:t>、物料危险性辨识</w:t>
      </w:r>
    </w:p>
    <w:p>
      <w:pPr>
        <w:wordWrap w:val="0"/>
        <w:adjustRightInd w:val="0"/>
        <w:snapToGrid w:val="0"/>
        <w:ind w:firstLine="560" w:firstLineChars="200"/>
        <w:textAlignment w:val="center"/>
        <w:rPr>
          <w:rFonts w:cs="Times New Roman"/>
          <w:snapToGrid w:val="0"/>
          <w:color w:val="auto"/>
          <w:kern w:val="0"/>
          <w:szCs w:val="28"/>
        </w:rPr>
      </w:pPr>
      <w:r>
        <w:rPr>
          <w:rFonts w:hint="eastAsia" w:cs="宋体"/>
          <w:color w:val="auto"/>
          <w:szCs w:val="28"/>
        </w:rPr>
        <w:t>本项目涉及储存的原辅料有：丙烯酸乳液、环氧树脂、环氧树脂固化剂、溶剂型丙烯酸树脂、聚氨酯树脂、氟碳树脂、二甲苯、醋酸丁酯、正丁醇、丙二醇、丙二醇单丁醚等；涉及的产品有：丙烯酸树脂涂料、聚氨酯树脂涂料、环氧树脂涂料、氟碳树脂涂料。根据《危险化学品目录》（</w:t>
      </w:r>
      <w:r>
        <w:rPr>
          <w:color w:val="auto"/>
          <w:szCs w:val="28"/>
        </w:rPr>
        <w:t>2022</w:t>
      </w:r>
      <w:r>
        <w:rPr>
          <w:rFonts w:hint="eastAsia" w:cs="宋体"/>
          <w:color w:val="auto"/>
          <w:szCs w:val="28"/>
        </w:rPr>
        <w:t>），涉及的主要危险化学品有：环氧树脂、环氧树脂固化剂、溶剂型丙烯酸树脂、聚氨酯树脂、氟碳树脂、二甲苯、醋酸丁酯、正丁醇、丙烯酸树脂涂料、聚氨酯树脂涂料、环氧树脂涂料、氟碳树脂涂料等。</w:t>
      </w:r>
    </w:p>
    <w:p>
      <w:pPr>
        <w:wordWrap w:val="0"/>
        <w:adjustRightInd w:val="0"/>
        <w:snapToGrid w:val="0"/>
        <w:ind w:firstLine="560" w:firstLineChars="200"/>
        <w:textAlignment w:val="center"/>
        <w:rPr>
          <w:color w:val="auto"/>
          <w:kern w:val="0"/>
        </w:rPr>
      </w:pPr>
      <w:r>
        <w:rPr>
          <w:rFonts w:hint="eastAsia"/>
          <w:color w:val="auto"/>
          <w:kern w:val="0"/>
        </w:rPr>
        <w:t>2</w:t>
      </w:r>
      <w:r>
        <w:rPr>
          <w:color w:val="auto"/>
          <w:kern w:val="0"/>
        </w:rPr>
        <w:t>、物料的固有危险、有害因素</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涉及的危险化学品的理化及危险特性汇总列表3.2-1。</w:t>
      </w:r>
    </w:p>
    <w:p>
      <w:pPr>
        <w:wordWrap w:val="0"/>
        <w:adjustRightInd w:val="0"/>
        <w:snapToGrid w:val="0"/>
        <w:jc w:val="center"/>
        <w:textAlignment w:val="center"/>
        <w:rPr>
          <w:color w:val="auto"/>
          <w:kern w:val="0"/>
        </w:rPr>
      </w:pPr>
      <w:r>
        <w:rPr>
          <w:rFonts w:hint="eastAsia"/>
          <w:color w:val="auto"/>
          <w:kern w:val="0"/>
        </w:rPr>
        <w:t>表3.2-1  危险化学品数据一览表</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4"/>
        <w:gridCol w:w="1950"/>
        <w:gridCol w:w="825"/>
        <w:gridCol w:w="1137"/>
        <w:gridCol w:w="700"/>
        <w:gridCol w:w="700"/>
        <w:gridCol w:w="950"/>
        <w:gridCol w:w="2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序号</w:t>
            </w:r>
          </w:p>
        </w:tc>
        <w:tc>
          <w:tcPr>
            <w:tcW w:w="1950"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品名</w:t>
            </w:r>
          </w:p>
        </w:tc>
        <w:tc>
          <w:tcPr>
            <w:tcW w:w="825"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目录序号</w:t>
            </w:r>
          </w:p>
        </w:tc>
        <w:tc>
          <w:tcPr>
            <w:tcW w:w="1137"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b/>
                <w:bCs/>
                <w:color w:val="auto"/>
                <w:sz w:val="21"/>
                <w:szCs w:val="21"/>
              </w:rPr>
              <w:t>CAS</w:t>
            </w:r>
            <w:r>
              <w:rPr>
                <w:rFonts w:hint="eastAsia" w:cs="宋体"/>
                <w:b/>
                <w:bCs/>
                <w:color w:val="auto"/>
                <w:sz w:val="21"/>
                <w:szCs w:val="21"/>
              </w:rPr>
              <w:t>号</w:t>
            </w:r>
          </w:p>
        </w:tc>
        <w:tc>
          <w:tcPr>
            <w:tcW w:w="700"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火险分级</w:t>
            </w:r>
          </w:p>
        </w:tc>
        <w:tc>
          <w:tcPr>
            <w:tcW w:w="700"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闪点</w:t>
            </w:r>
          </w:p>
        </w:tc>
        <w:tc>
          <w:tcPr>
            <w:tcW w:w="950"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爆炸极限</w:t>
            </w:r>
            <w:r>
              <w:rPr>
                <w:b/>
                <w:bCs/>
                <w:color w:val="auto"/>
                <w:sz w:val="21"/>
                <w:szCs w:val="21"/>
              </w:rPr>
              <w:t>V%</w:t>
            </w:r>
          </w:p>
        </w:tc>
        <w:tc>
          <w:tcPr>
            <w:tcW w:w="2305" w:type="dxa"/>
            <w:vMerge w:val="restart"/>
            <w:tcBorders>
              <w:top w:val="single" w:color="auto" w:sz="8" w:space="0"/>
            </w:tcBorders>
            <w:vAlign w:val="center"/>
          </w:tcPr>
          <w:p>
            <w:pPr>
              <w:pStyle w:val="68"/>
              <w:widowControl w:val="0"/>
              <w:wordWrap w:val="0"/>
              <w:adjustRightInd w:val="0"/>
              <w:snapToGrid w:val="0"/>
              <w:spacing w:line="240" w:lineRule="auto"/>
              <w:ind w:firstLine="0"/>
              <w:jc w:val="center"/>
              <w:textAlignment w:val="center"/>
              <w:rPr>
                <w:b/>
                <w:bCs/>
                <w:color w:val="auto"/>
                <w:sz w:val="21"/>
                <w:szCs w:val="21"/>
              </w:rPr>
            </w:pPr>
            <w:r>
              <w:rPr>
                <w:rFonts w:hint="eastAsia" w:cs="宋体"/>
                <w:b/>
                <w:bCs/>
                <w:color w:val="auto"/>
                <w:sz w:val="21"/>
                <w:szCs w:val="21"/>
              </w:rPr>
              <w:t>危险性类别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1950"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825"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1137"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700"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700"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950"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c>
          <w:tcPr>
            <w:tcW w:w="2305" w:type="dxa"/>
            <w:vMerge w:val="continue"/>
            <w:vAlign w:val="center"/>
          </w:tcPr>
          <w:p>
            <w:pPr>
              <w:pStyle w:val="68"/>
              <w:widowControl w:val="0"/>
              <w:wordWrap w:val="0"/>
              <w:adjustRightInd w:val="0"/>
              <w:snapToGrid w:val="0"/>
              <w:spacing w:line="240" w:lineRule="auto"/>
              <w:ind w:firstLine="0"/>
              <w:jc w:val="center"/>
              <w:textAlignment w:val="center"/>
              <w:rPr>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1</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kern w:val="0"/>
                <w:sz w:val="21"/>
                <w:szCs w:val="21"/>
              </w:rPr>
              <w:t>环氧树脂</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30</w:t>
            </w:r>
          </w:p>
        </w:tc>
        <w:tc>
          <w:tcPr>
            <w:tcW w:w="950" w:type="dxa"/>
            <w:vAlign w:val="center"/>
          </w:tcPr>
          <w:p>
            <w:pPr>
              <w:pStyle w:val="69"/>
              <w:widowControl w:val="0"/>
              <w:wordWrap w:val="0"/>
              <w:snapToGrid w:val="0"/>
              <w:spacing w:beforeLines="0" w:line="240" w:lineRule="auto"/>
              <w:jc w:val="center"/>
              <w:textAlignment w:val="center"/>
              <w:rPr>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kern w:val="0"/>
                <w:sz w:val="21"/>
                <w:szCs w:val="21"/>
              </w:rPr>
              <w:t>环氧树脂固化剂</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52</w:t>
            </w:r>
          </w:p>
        </w:tc>
        <w:tc>
          <w:tcPr>
            <w:tcW w:w="950" w:type="dxa"/>
            <w:vAlign w:val="center"/>
          </w:tcPr>
          <w:p>
            <w:pPr>
              <w:pStyle w:val="69"/>
              <w:widowControl w:val="0"/>
              <w:wordWrap w:val="0"/>
              <w:snapToGrid w:val="0"/>
              <w:spacing w:beforeLines="0" w:line="240" w:lineRule="auto"/>
              <w:jc w:val="center"/>
              <w:textAlignment w:val="center"/>
              <w:rPr>
                <w:rFonts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3</w:t>
            </w:r>
          </w:p>
        </w:tc>
        <w:tc>
          <w:tcPr>
            <w:tcW w:w="1950"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溶剂型丙烯酸树脂</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甲</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27</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4</w:t>
            </w:r>
          </w:p>
        </w:tc>
        <w:tc>
          <w:tcPr>
            <w:tcW w:w="1950"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聚氨酯树脂</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甲</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27</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5</w:t>
            </w:r>
          </w:p>
        </w:tc>
        <w:tc>
          <w:tcPr>
            <w:tcW w:w="1950"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溶剂型氟碳树脂</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30.75</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ascii="Times New Roman" w:hAnsi="Times New Roman" w:cs="Times New Roman"/>
                <w:color w:val="auto"/>
                <w:sz w:val="21"/>
                <w:szCs w:val="21"/>
              </w:rPr>
              <w:t>下限10</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6</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二甲苯</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358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1330-20-7</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30</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ascii="Times New Roman" w:hAnsi="Times New Roman" w:cs="Times New Roman"/>
                <w:color w:val="auto"/>
                <w:sz w:val="21"/>
                <w:szCs w:val="21"/>
              </w:rPr>
              <w:t>1.0-7.0</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w:t>
            </w:r>
            <w:r>
              <w:rPr>
                <w:color w:val="auto"/>
                <w:kern w:val="0"/>
                <w:sz w:val="21"/>
                <w:szCs w:val="21"/>
              </w:rPr>
              <w:t>,</w:t>
            </w:r>
            <w:r>
              <w:rPr>
                <w:rFonts w:hint="eastAsia" w:cs="宋体"/>
                <w:color w:val="auto"/>
                <w:kern w:val="0"/>
                <w:sz w:val="21"/>
                <w:szCs w:val="21"/>
              </w:rPr>
              <w:t>类别</w:t>
            </w:r>
            <w:r>
              <w:rPr>
                <w:color w:val="auto"/>
                <w:kern w:val="0"/>
                <w:sz w:val="21"/>
                <w:szCs w:val="21"/>
              </w:rPr>
              <w:t>3</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皮肤腐蚀</w:t>
            </w:r>
            <w:r>
              <w:rPr>
                <w:color w:val="auto"/>
                <w:kern w:val="0"/>
                <w:sz w:val="21"/>
                <w:szCs w:val="21"/>
              </w:rPr>
              <w:t>/</w:t>
            </w:r>
            <w:r>
              <w:rPr>
                <w:rFonts w:hint="eastAsia" w:cs="宋体"/>
                <w:color w:val="auto"/>
                <w:kern w:val="0"/>
                <w:sz w:val="21"/>
                <w:szCs w:val="21"/>
              </w:rPr>
              <w:t>刺激</w:t>
            </w:r>
            <w:r>
              <w:rPr>
                <w:color w:val="auto"/>
                <w:kern w:val="0"/>
                <w:sz w:val="21"/>
                <w:szCs w:val="21"/>
              </w:rPr>
              <w:t>,</w:t>
            </w:r>
            <w:r>
              <w:rPr>
                <w:rFonts w:hint="eastAsia" w:cs="宋体"/>
                <w:color w:val="auto"/>
                <w:kern w:val="0"/>
                <w:sz w:val="21"/>
                <w:szCs w:val="21"/>
              </w:rPr>
              <w:t>类别</w:t>
            </w:r>
            <w:r>
              <w:rPr>
                <w:color w:val="auto"/>
                <w:kern w:val="0"/>
                <w:sz w:val="21"/>
                <w:szCs w:val="21"/>
              </w:rPr>
              <w:t>2</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危害水生环境</w:t>
            </w:r>
            <w:r>
              <w:rPr>
                <w:color w:val="auto"/>
                <w:kern w:val="0"/>
                <w:sz w:val="21"/>
                <w:szCs w:val="21"/>
              </w:rPr>
              <w:t>-</w:t>
            </w:r>
            <w:r>
              <w:rPr>
                <w:rFonts w:hint="eastAsia" w:cs="宋体"/>
                <w:color w:val="auto"/>
                <w:kern w:val="0"/>
                <w:sz w:val="21"/>
                <w:szCs w:val="21"/>
              </w:rPr>
              <w:t>急性危害</w:t>
            </w:r>
            <w:r>
              <w:rPr>
                <w:color w:val="auto"/>
                <w:kern w:val="0"/>
                <w:sz w:val="21"/>
                <w:szCs w:val="21"/>
              </w:rPr>
              <w:t>,</w:t>
            </w:r>
            <w:r>
              <w:rPr>
                <w:rFonts w:hint="eastAsia" w:cs="宋体"/>
                <w:color w:val="auto"/>
                <w:kern w:val="0"/>
                <w:sz w:val="21"/>
                <w:szCs w:val="21"/>
              </w:rPr>
              <w:t>类别</w:t>
            </w:r>
            <w:r>
              <w:rPr>
                <w:color w:val="auto"/>
                <w:kern w:val="0"/>
                <w:sz w:val="21"/>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7</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醋酸丁酯</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2657</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123-86-4</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甲</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22</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ascii="Times New Roman" w:hAnsi="Times New Roman" w:cs="Times New Roman"/>
                <w:color w:val="auto"/>
                <w:sz w:val="21"/>
                <w:szCs w:val="21"/>
              </w:rPr>
              <w:t>1.2-7.5</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w:t>
            </w:r>
            <w:r>
              <w:rPr>
                <w:color w:val="auto"/>
                <w:kern w:val="0"/>
                <w:sz w:val="21"/>
                <w:szCs w:val="21"/>
              </w:rPr>
              <w:t>,</w:t>
            </w:r>
            <w:r>
              <w:rPr>
                <w:rFonts w:hint="eastAsia" w:cs="宋体"/>
                <w:color w:val="auto"/>
                <w:kern w:val="0"/>
                <w:sz w:val="21"/>
                <w:szCs w:val="21"/>
              </w:rPr>
              <w:t>类别</w:t>
            </w:r>
            <w:r>
              <w:rPr>
                <w:color w:val="auto"/>
                <w:kern w:val="0"/>
                <w:sz w:val="21"/>
                <w:szCs w:val="21"/>
              </w:rPr>
              <w:t>3</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特异性靶器官毒性</w:t>
            </w:r>
            <w:r>
              <w:rPr>
                <w:color w:val="auto"/>
                <w:kern w:val="0"/>
                <w:sz w:val="21"/>
                <w:szCs w:val="21"/>
              </w:rPr>
              <w:t>-</w:t>
            </w:r>
            <w:r>
              <w:rPr>
                <w:rFonts w:hint="eastAsia" w:cs="宋体"/>
                <w:color w:val="auto"/>
                <w:kern w:val="0"/>
                <w:sz w:val="21"/>
                <w:szCs w:val="21"/>
              </w:rPr>
              <w:t>一次接触</w:t>
            </w:r>
            <w:r>
              <w:rPr>
                <w:color w:val="auto"/>
                <w:kern w:val="0"/>
                <w:sz w:val="21"/>
                <w:szCs w:val="21"/>
              </w:rPr>
              <w:t>,</w:t>
            </w:r>
            <w:r>
              <w:rPr>
                <w:rFonts w:hint="eastAsia" w:cs="宋体"/>
                <w:color w:val="auto"/>
                <w:kern w:val="0"/>
                <w:sz w:val="21"/>
                <w:szCs w:val="21"/>
              </w:rPr>
              <w:t>类别</w:t>
            </w:r>
            <w:r>
              <w:rPr>
                <w:color w:val="auto"/>
                <w:kern w:val="0"/>
                <w:sz w:val="21"/>
                <w:szCs w:val="21"/>
              </w:rPr>
              <w:t>3</w:t>
            </w:r>
            <w:r>
              <w:rPr>
                <w:rFonts w:hint="eastAsia" w:cs="宋体"/>
                <w:color w:val="auto"/>
                <w:kern w:val="0"/>
                <w:sz w:val="21"/>
                <w:szCs w:val="21"/>
              </w:rPr>
              <w:t>（麻醉效应）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8</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正丁醇</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2761</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71-36-3</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35</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ascii="Times New Roman" w:hAnsi="Times New Roman" w:cs="Times New Roman"/>
                <w:color w:val="auto"/>
                <w:sz w:val="21"/>
                <w:szCs w:val="21"/>
              </w:rPr>
              <w:t>1.4-11.2</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w:t>
            </w:r>
            <w:r>
              <w:rPr>
                <w:color w:val="auto"/>
                <w:kern w:val="0"/>
                <w:sz w:val="21"/>
                <w:szCs w:val="21"/>
              </w:rPr>
              <w:t>,</w:t>
            </w:r>
            <w:r>
              <w:rPr>
                <w:rFonts w:hint="eastAsia" w:cs="宋体"/>
                <w:color w:val="auto"/>
                <w:kern w:val="0"/>
                <w:sz w:val="21"/>
                <w:szCs w:val="21"/>
              </w:rPr>
              <w:t>类别</w:t>
            </w:r>
            <w:r>
              <w:rPr>
                <w:color w:val="auto"/>
                <w:kern w:val="0"/>
                <w:sz w:val="21"/>
                <w:szCs w:val="21"/>
              </w:rPr>
              <w:t>3</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皮肤腐蚀</w:t>
            </w:r>
            <w:r>
              <w:rPr>
                <w:color w:val="auto"/>
                <w:kern w:val="0"/>
                <w:sz w:val="21"/>
                <w:szCs w:val="21"/>
              </w:rPr>
              <w:t>/</w:t>
            </w:r>
            <w:r>
              <w:rPr>
                <w:rFonts w:hint="eastAsia" w:cs="宋体"/>
                <w:color w:val="auto"/>
                <w:kern w:val="0"/>
                <w:sz w:val="21"/>
                <w:szCs w:val="21"/>
              </w:rPr>
              <w:t>刺激</w:t>
            </w:r>
            <w:r>
              <w:rPr>
                <w:color w:val="auto"/>
                <w:kern w:val="0"/>
                <w:sz w:val="21"/>
                <w:szCs w:val="21"/>
              </w:rPr>
              <w:t>,</w:t>
            </w:r>
            <w:r>
              <w:rPr>
                <w:rFonts w:hint="eastAsia" w:cs="宋体"/>
                <w:color w:val="auto"/>
                <w:kern w:val="0"/>
                <w:sz w:val="21"/>
                <w:szCs w:val="21"/>
              </w:rPr>
              <w:t>类别</w:t>
            </w:r>
            <w:r>
              <w:rPr>
                <w:color w:val="auto"/>
                <w:kern w:val="0"/>
                <w:sz w:val="21"/>
                <w:szCs w:val="21"/>
              </w:rPr>
              <w:t>2</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严重眼损伤</w:t>
            </w:r>
            <w:r>
              <w:rPr>
                <w:color w:val="auto"/>
                <w:kern w:val="0"/>
                <w:sz w:val="21"/>
                <w:szCs w:val="21"/>
              </w:rPr>
              <w:t>/</w:t>
            </w:r>
            <w:r>
              <w:rPr>
                <w:rFonts w:hint="eastAsia" w:cs="宋体"/>
                <w:color w:val="auto"/>
                <w:kern w:val="0"/>
                <w:sz w:val="21"/>
                <w:szCs w:val="21"/>
              </w:rPr>
              <w:t>眼刺激</w:t>
            </w:r>
            <w:r>
              <w:rPr>
                <w:color w:val="auto"/>
                <w:kern w:val="0"/>
                <w:sz w:val="21"/>
                <w:szCs w:val="21"/>
              </w:rPr>
              <w:t>,</w:t>
            </w:r>
            <w:r>
              <w:rPr>
                <w:rFonts w:hint="eastAsia" w:cs="宋体"/>
                <w:color w:val="auto"/>
                <w:kern w:val="0"/>
                <w:sz w:val="21"/>
                <w:szCs w:val="21"/>
              </w:rPr>
              <w:t>类别</w:t>
            </w:r>
            <w:r>
              <w:rPr>
                <w:color w:val="auto"/>
                <w:kern w:val="0"/>
                <w:sz w:val="21"/>
                <w:szCs w:val="21"/>
              </w:rPr>
              <w:t>1</w:t>
            </w:r>
          </w:p>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特异性靶器官毒性</w:t>
            </w:r>
            <w:r>
              <w:rPr>
                <w:color w:val="auto"/>
                <w:kern w:val="0"/>
                <w:sz w:val="21"/>
                <w:szCs w:val="21"/>
              </w:rPr>
              <w:t>-</w:t>
            </w:r>
            <w:r>
              <w:rPr>
                <w:rFonts w:hint="eastAsia" w:cs="宋体"/>
                <w:color w:val="auto"/>
                <w:kern w:val="0"/>
                <w:sz w:val="21"/>
                <w:szCs w:val="21"/>
              </w:rPr>
              <w:t>一次接触</w:t>
            </w:r>
            <w:r>
              <w:rPr>
                <w:color w:val="auto"/>
                <w:kern w:val="0"/>
                <w:sz w:val="21"/>
                <w:szCs w:val="21"/>
              </w:rPr>
              <w:t>,</w:t>
            </w:r>
            <w:r>
              <w:rPr>
                <w:rFonts w:hint="eastAsia" w:cs="宋体"/>
                <w:color w:val="auto"/>
                <w:kern w:val="0"/>
                <w:sz w:val="21"/>
                <w:szCs w:val="21"/>
              </w:rPr>
              <w:t>类别</w:t>
            </w:r>
            <w:r>
              <w:rPr>
                <w:color w:val="auto"/>
                <w:kern w:val="0"/>
                <w:sz w:val="21"/>
                <w:szCs w:val="21"/>
              </w:rPr>
              <w:t>3</w:t>
            </w:r>
            <w:r>
              <w:rPr>
                <w:rFonts w:hint="eastAsia" w:cs="宋体"/>
                <w:color w:val="auto"/>
                <w:kern w:val="0"/>
                <w:sz w:val="21"/>
                <w:szCs w:val="21"/>
              </w:rPr>
              <w:t>（呼吸道刺激、麻醉效应）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9</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丙烯酸树脂涂料</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3</w:t>
            </w:r>
            <w:r>
              <w:rPr>
                <w:rFonts w:hint="eastAsia"/>
                <w:color w:val="auto"/>
                <w:sz w:val="21"/>
                <w:szCs w:val="21"/>
              </w:rPr>
              <w:t>6</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10</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聚氨酯树脂涂料</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27</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11</w:t>
            </w:r>
          </w:p>
        </w:tc>
        <w:tc>
          <w:tcPr>
            <w:tcW w:w="1950" w:type="dxa"/>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环氧树脂涂料</w:t>
            </w:r>
          </w:p>
        </w:tc>
        <w:tc>
          <w:tcPr>
            <w:tcW w:w="825"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vAlign w:val="center"/>
          </w:tcPr>
          <w:p>
            <w:pPr>
              <w:wordWrap w:val="0"/>
              <w:adjustRightInd w:val="0"/>
              <w:snapToGrid w:val="0"/>
              <w:spacing w:line="240" w:lineRule="auto"/>
              <w:jc w:val="center"/>
              <w:textAlignment w:val="center"/>
              <w:rPr>
                <w:color w:val="auto"/>
                <w:kern w:val="0"/>
                <w:sz w:val="21"/>
                <w:szCs w:val="21"/>
              </w:rPr>
            </w:pP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3</w:t>
            </w:r>
            <w:r>
              <w:rPr>
                <w:rFonts w:hint="eastAsia"/>
                <w:color w:val="auto"/>
                <w:sz w:val="21"/>
                <w:szCs w:val="21"/>
              </w:rPr>
              <w:t>0</w:t>
            </w:r>
          </w:p>
        </w:tc>
        <w:tc>
          <w:tcPr>
            <w:tcW w:w="950" w:type="dxa"/>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4" w:type="dxa"/>
            <w:tcBorders>
              <w:bottom w:val="single" w:color="auto" w:sz="8" w:space="0"/>
            </w:tcBorders>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12</w:t>
            </w:r>
          </w:p>
        </w:tc>
        <w:tc>
          <w:tcPr>
            <w:tcW w:w="1950" w:type="dxa"/>
            <w:tcBorders>
              <w:bottom w:val="single" w:color="auto" w:sz="8" w:space="0"/>
            </w:tcBorders>
            <w:vAlign w:val="center"/>
          </w:tcPr>
          <w:p>
            <w:pPr>
              <w:wordWrap w:val="0"/>
              <w:adjustRightInd w:val="0"/>
              <w:snapToGrid w:val="0"/>
              <w:spacing w:line="240" w:lineRule="auto"/>
              <w:jc w:val="center"/>
              <w:textAlignment w:val="center"/>
              <w:rPr>
                <w:color w:val="auto"/>
                <w:sz w:val="21"/>
                <w:szCs w:val="21"/>
              </w:rPr>
            </w:pPr>
            <w:r>
              <w:rPr>
                <w:rFonts w:hint="eastAsia" w:cs="宋体"/>
                <w:color w:val="auto"/>
                <w:sz w:val="21"/>
                <w:szCs w:val="21"/>
              </w:rPr>
              <w:t>氟碳树脂涂料</w:t>
            </w:r>
          </w:p>
        </w:tc>
        <w:tc>
          <w:tcPr>
            <w:tcW w:w="825" w:type="dxa"/>
            <w:tcBorders>
              <w:bottom w:val="single" w:color="auto" w:sz="8" w:space="0"/>
            </w:tcBorders>
            <w:vAlign w:val="center"/>
          </w:tcPr>
          <w:p>
            <w:pPr>
              <w:pStyle w:val="68"/>
              <w:widowControl w:val="0"/>
              <w:wordWrap w:val="0"/>
              <w:adjustRightInd w:val="0"/>
              <w:snapToGrid w:val="0"/>
              <w:spacing w:line="240" w:lineRule="auto"/>
              <w:ind w:firstLine="0"/>
              <w:jc w:val="center"/>
              <w:textAlignment w:val="center"/>
              <w:rPr>
                <w:color w:val="auto"/>
                <w:sz w:val="21"/>
                <w:szCs w:val="21"/>
              </w:rPr>
            </w:pPr>
            <w:r>
              <w:rPr>
                <w:color w:val="auto"/>
                <w:sz w:val="21"/>
                <w:szCs w:val="21"/>
              </w:rPr>
              <w:t>2828</w:t>
            </w:r>
          </w:p>
        </w:tc>
        <w:tc>
          <w:tcPr>
            <w:tcW w:w="1137" w:type="dxa"/>
            <w:tcBorders>
              <w:bottom w:val="single" w:color="auto" w:sz="8" w:space="0"/>
            </w:tcBorders>
            <w:vAlign w:val="center"/>
          </w:tcPr>
          <w:p>
            <w:pPr>
              <w:wordWrap w:val="0"/>
              <w:adjustRightInd w:val="0"/>
              <w:snapToGrid w:val="0"/>
              <w:spacing w:line="240" w:lineRule="auto"/>
              <w:jc w:val="center"/>
              <w:textAlignment w:val="center"/>
              <w:rPr>
                <w:color w:val="auto"/>
                <w:kern w:val="0"/>
                <w:sz w:val="21"/>
                <w:szCs w:val="21"/>
              </w:rPr>
            </w:pPr>
          </w:p>
        </w:tc>
        <w:tc>
          <w:tcPr>
            <w:tcW w:w="700" w:type="dxa"/>
            <w:tcBorders>
              <w:bottom w:val="single" w:color="auto" w:sz="8" w:space="0"/>
            </w:tcBorders>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s="宋体"/>
                <w:color w:val="auto"/>
                <w:sz w:val="21"/>
                <w:szCs w:val="21"/>
              </w:rPr>
              <w:t>乙</w:t>
            </w:r>
          </w:p>
        </w:tc>
        <w:tc>
          <w:tcPr>
            <w:tcW w:w="700" w:type="dxa"/>
            <w:tcBorders>
              <w:bottom w:val="single" w:color="auto" w:sz="8" w:space="0"/>
            </w:tcBorders>
            <w:vAlign w:val="center"/>
          </w:tcPr>
          <w:p>
            <w:pPr>
              <w:pStyle w:val="68"/>
              <w:widowControl w:val="0"/>
              <w:wordWrap w:val="0"/>
              <w:adjustRightInd w:val="0"/>
              <w:snapToGrid w:val="0"/>
              <w:spacing w:line="240" w:lineRule="auto"/>
              <w:ind w:firstLine="0"/>
              <w:jc w:val="center"/>
              <w:textAlignment w:val="center"/>
              <w:rPr>
                <w:color w:val="auto"/>
                <w:sz w:val="21"/>
                <w:szCs w:val="21"/>
              </w:rPr>
            </w:pPr>
            <w:r>
              <w:rPr>
                <w:rFonts w:hint="eastAsia"/>
                <w:color w:val="auto"/>
                <w:sz w:val="21"/>
                <w:szCs w:val="21"/>
              </w:rPr>
              <w:t>27</w:t>
            </w:r>
          </w:p>
        </w:tc>
        <w:tc>
          <w:tcPr>
            <w:tcW w:w="950" w:type="dxa"/>
            <w:tcBorders>
              <w:bottom w:val="single" w:color="auto" w:sz="8" w:space="0"/>
            </w:tcBorders>
            <w:vAlign w:val="center"/>
          </w:tcPr>
          <w:p>
            <w:pPr>
              <w:pStyle w:val="69"/>
              <w:widowControl w:val="0"/>
              <w:wordWrap w:val="0"/>
              <w:snapToGrid w:val="0"/>
              <w:spacing w:beforeLines="0" w:line="240" w:lineRule="auto"/>
              <w:jc w:val="center"/>
              <w:textAlignment w:val="center"/>
              <w:rPr>
                <w:rFonts w:ascii="Times New Roman" w:hAnsi="Times New Roman" w:cs="Times New Roman"/>
                <w:color w:val="auto"/>
                <w:sz w:val="21"/>
                <w:szCs w:val="21"/>
              </w:rPr>
            </w:pPr>
            <w:r>
              <w:rPr>
                <w:rFonts w:hint="eastAsia"/>
                <w:color w:val="auto"/>
                <w:sz w:val="21"/>
                <w:szCs w:val="21"/>
              </w:rPr>
              <w:t>无资料</w:t>
            </w:r>
          </w:p>
        </w:tc>
        <w:tc>
          <w:tcPr>
            <w:tcW w:w="2305" w:type="dxa"/>
            <w:tcBorders>
              <w:bottom w:val="single" w:color="auto" w:sz="8"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易燃液体，类别</w:t>
            </w:r>
            <w:r>
              <w:rPr>
                <w:color w:val="auto"/>
                <w:kern w:val="0"/>
                <w:sz w:val="21"/>
                <w:szCs w:val="21"/>
              </w:rPr>
              <w:t>3</w:t>
            </w:r>
          </w:p>
        </w:tc>
      </w:tr>
    </w:tbl>
    <w:p>
      <w:pPr>
        <w:wordWrap w:val="0"/>
        <w:adjustRightInd w:val="0"/>
        <w:snapToGrid w:val="0"/>
        <w:ind w:firstLine="560" w:firstLineChars="200"/>
        <w:textAlignment w:val="center"/>
        <w:rPr>
          <w:color w:val="auto"/>
          <w:kern w:val="0"/>
        </w:rPr>
      </w:pPr>
      <w:r>
        <w:rPr>
          <w:rFonts w:hint="eastAsia"/>
          <w:color w:val="auto"/>
          <w:kern w:val="0"/>
        </w:rPr>
        <w:t>3、</w:t>
      </w:r>
      <w:r>
        <w:rPr>
          <w:color w:val="auto"/>
          <w:kern w:val="0"/>
        </w:rPr>
        <w:t>具有爆炸性、可燃性、毒性、腐蚀性物质具体情况</w:t>
      </w:r>
    </w:p>
    <w:p>
      <w:pPr>
        <w:wordWrap w:val="0"/>
        <w:adjustRightInd w:val="0"/>
        <w:snapToGrid w:val="0"/>
        <w:jc w:val="center"/>
        <w:textAlignment w:val="center"/>
        <w:rPr>
          <w:color w:val="auto"/>
          <w:kern w:val="0"/>
        </w:rPr>
      </w:pPr>
      <w:r>
        <w:rPr>
          <w:rFonts w:hint="eastAsia"/>
          <w:color w:val="auto"/>
          <w:kern w:val="0"/>
        </w:rPr>
        <w:t>表3.2-2  具有爆炸性、可燃性、毒性、腐蚀性物质具体情况一览表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2"/>
        <w:gridCol w:w="931"/>
        <w:gridCol w:w="799"/>
        <w:gridCol w:w="1330"/>
        <w:gridCol w:w="931"/>
        <w:gridCol w:w="1597"/>
        <w:gridCol w:w="1065"/>
        <w:gridCol w:w="799"/>
        <w:gridCol w:w="1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序号</w:t>
            </w:r>
          </w:p>
        </w:tc>
        <w:tc>
          <w:tcPr>
            <w:tcW w:w="931"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危险物质</w:t>
            </w:r>
          </w:p>
        </w:tc>
        <w:tc>
          <w:tcPr>
            <w:tcW w:w="799"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危险特性</w:t>
            </w:r>
          </w:p>
        </w:tc>
        <w:tc>
          <w:tcPr>
            <w:tcW w:w="1330"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作业场所</w:t>
            </w:r>
          </w:p>
        </w:tc>
        <w:tc>
          <w:tcPr>
            <w:tcW w:w="931"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浓度</w:t>
            </w:r>
          </w:p>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（含量）</w:t>
            </w:r>
          </w:p>
        </w:tc>
        <w:tc>
          <w:tcPr>
            <w:tcW w:w="1597"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所在部位</w:t>
            </w:r>
          </w:p>
        </w:tc>
        <w:tc>
          <w:tcPr>
            <w:tcW w:w="1065"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最大设计理论存有量（t）</w:t>
            </w:r>
          </w:p>
        </w:tc>
        <w:tc>
          <w:tcPr>
            <w:tcW w:w="799"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温度（℃）</w:t>
            </w:r>
          </w:p>
        </w:tc>
        <w:tc>
          <w:tcPr>
            <w:tcW w:w="1127" w:type="dxa"/>
            <w:vAlign w:val="center"/>
          </w:tcPr>
          <w:p>
            <w:pPr>
              <w:suppressAutoHyphens/>
              <w:wordWrap w:val="0"/>
              <w:adjustRightInd w:val="0"/>
              <w:snapToGrid w:val="0"/>
              <w:spacing w:line="240" w:lineRule="auto"/>
              <w:jc w:val="center"/>
              <w:textAlignment w:val="center"/>
              <w:rPr>
                <w:b/>
                <w:bCs/>
                <w:color w:val="auto"/>
                <w:kern w:val="0"/>
                <w:sz w:val="21"/>
                <w:szCs w:val="21"/>
                <w:lang w:bidi="hi-IN"/>
              </w:rPr>
            </w:pPr>
            <w:r>
              <w:rPr>
                <w:b/>
                <w:bCs/>
                <w:color w:val="auto"/>
                <w:kern w:val="0"/>
                <w:sz w:val="21"/>
                <w:szCs w:val="21"/>
                <w:lang w:bidi="hi-IN"/>
              </w:rPr>
              <w:t>压力（Mpa）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环氧树脂</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2</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环氧树脂固化剂</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3</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溶剂型丙烯酸树脂</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4</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聚氨酯树脂</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氟碳树脂</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6</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二甲苯</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99</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防火分区二指定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20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7</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醋酸丁酯</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99</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防火分区一指定存放区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8</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正丁醇</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防火分区三指定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9</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丙烯酸</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树脂涂料</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防火分区三指定存放区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聚氨酯</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树脂涂料</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防火分区三指定存放区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20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11</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环氧树脂涂料</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防火分区三指定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20</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92"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12</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氟碳树脂涂料</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易燃</w:t>
            </w:r>
          </w:p>
        </w:tc>
        <w:tc>
          <w:tcPr>
            <w:tcW w:w="1330"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106甲类仓库</w:t>
            </w:r>
          </w:p>
        </w:tc>
        <w:tc>
          <w:tcPr>
            <w:tcW w:w="931"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w:t>
            </w:r>
          </w:p>
        </w:tc>
        <w:tc>
          <w:tcPr>
            <w:tcW w:w="159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防火分区三指定</w:t>
            </w:r>
          </w:p>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存放区</w:t>
            </w:r>
          </w:p>
        </w:tc>
        <w:tc>
          <w:tcPr>
            <w:tcW w:w="1065"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5</w:t>
            </w:r>
          </w:p>
        </w:tc>
        <w:tc>
          <w:tcPr>
            <w:tcW w:w="799"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常温</w:t>
            </w:r>
          </w:p>
        </w:tc>
        <w:tc>
          <w:tcPr>
            <w:tcW w:w="1127" w:type="dxa"/>
            <w:vAlign w:val="center"/>
          </w:tcPr>
          <w:p>
            <w:pPr>
              <w:suppressAutoHyphens/>
              <w:wordWrap w:val="0"/>
              <w:adjustRightInd w:val="0"/>
              <w:snapToGrid w:val="0"/>
              <w:spacing w:line="240" w:lineRule="auto"/>
              <w:jc w:val="center"/>
              <w:textAlignment w:val="center"/>
              <w:rPr>
                <w:color w:val="auto"/>
                <w:kern w:val="0"/>
                <w:sz w:val="21"/>
                <w:szCs w:val="21"/>
                <w:lang w:bidi="hi-IN"/>
              </w:rPr>
            </w:pPr>
            <w:r>
              <w:rPr>
                <w:color w:val="auto"/>
                <w:kern w:val="0"/>
                <w:sz w:val="21"/>
                <w:szCs w:val="21"/>
                <w:lang w:bidi="hi-IN"/>
              </w:rPr>
              <w:t>常压</w:t>
            </w:r>
          </w:p>
        </w:tc>
      </w:tr>
    </w:tbl>
    <w:p>
      <w:pPr>
        <w:wordWrap w:val="0"/>
        <w:adjustRightInd w:val="0"/>
        <w:snapToGrid w:val="0"/>
        <w:ind w:firstLine="560" w:firstLineChars="200"/>
        <w:textAlignment w:val="center"/>
        <w:rPr>
          <w:color w:val="auto"/>
          <w:kern w:val="0"/>
        </w:rPr>
      </w:pPr>
      <w:r>
        <w:rPr>
          <w:rFonts w:hint="eastAsia"/>
          <w:color w:val="auto"/>
          <w:kern w:val="0"/>
        </w:rPr>
        <w:t>4</w:t>
      </w:r>
      <w:r>
        <w:rPr>
          <w:color w:val="auto"/>
          <w:kern w:val="0"/>
        </w:rPr>
        <w:t>、特殊化学品辨识</w:t>
      </w:r>
    </w:p>
    <w:p>
      <w:pPr>
        <w:wordWrap w:val="0"/>
        <w:adjustRightInd w:val="0"/>
        <w:snapToGrid w:val="0"/>
        <w:ind w:firstLine="560" w:firstLineChars="200"/>
        <w:textAlignment w:val="center"/>
        <w:rPr>
          <w:color w:val="auto"/>
          <w:kern w:val="0"/>
        </w:rPr>
      </w:pPr>
      <w:r>
        <w:rPr>
          <w:rFonts w:hint="eastAsia"/>
          <w:color w:val="auto"/>
          <w:kern w:val="0"/>
        </w:rPr>
        <w:t>1</w:t>
      </w:r>
      <w:r>
        <w:rPr>
          <w:color w:val="auto"/>
          <w:kern w:val="0"/>
        </w:rPr>
        <w:t>）监控化学品辨识</w:t>
      </w:r>
    </w:p>
    <w:p>
      <w:pPr>
        <w:wordWrap w:val="0"/>
        <w:adjustRightInd w:val="0"/>
        <w:snapToGrid w:val="0"/>
        <w:ind w:firstLine="560" w:firstLineChars="200"/>
        <w:textAlignment w:val="center"/>
        <w:rPr>
          <w:color w:val="auto"/>
          <w:kern w:val="0"/>
        </w:rPr>
      </w:pPr>
      <w:r>
        <w:rPr>
          <w:color w:val="auto"/>
          <w:kern w:val="0"/>
        </w:rPr>
        <w:t>根据《监控化学品管理条例》（国务院令第190号）及《各类监控化学品名录》（中华人民共和国工业和信息化部令[2020]第52号）的规定，</w:t>
      </w:r>
      <w:r>
        <w:rPr>
          <w:rFonts w:hint="eastAsia"/>
          <w:color w:val="auto"/>
          <w:kern w:val="0"/>
        </w:rPr>
        <w:t>本项目</w:t>
      </w:r>
      <w:r>
        <w:rPr>
          <w:color w:val="auto"/>
          <w:kern w:val="0"/>
        </w:rPr>
        <w:t>不涉及监控化学品。</w:t>
      </w:r>
    </w:p>
    <w:p>
      <w:pPr>
        <w:wordWrap w:val="0"/>
        <w:adjustRightInd w:val="0"/>
        <w:snapToGrid w:val="0"/>
        <w:ind w:firstLine="560" w:firstLineChars="200"/>
        <w:textAlignment w:val="center"/>
        <w:rPr>
          <w:color w:val="auto"/>
          <w:kern w:val="0"/>
        </w:rPr>
      </w:pPr>
      <w:r>
        <w:rPr>
          <w:rFonts w:hint="eastAsia"/>
          <w:color w:val="auto"/>
          <w:kern w:val="0"/>
        </w:rPr>
        <w:t>2</w:t>
      </w:r>
      <w:r>
        <w:rPr>
          <w:color w:val="auto"/>
          <w:kern w:val="0"/>
        </w:rPr>
        <w:t>）易制毒化学品辨识</w:t>
      </w:r>
    </w:p>
    <w:p>
      <w:pPr>
        <w:wordWrap w:val="0"/>
        <w:adjustRightInd w:val="0"/>
        <w:snapToGrid w:val="0"/>
        <w:ind w:firstLine="560" w:firstLineChars="200"/>
        <w:textAlignment w:val="center"/>
        <w:rPr>
          <w:color w:val="auto"/>
          <w:kern w:val="0"/>
        </w:rPr>
      </w:pPr>
      <w:r>
        <w:rPr>
          <w:color w:val="auto"/>
          <w:kern w:val="0"/>
        </w:rPr>
        <w:t>根据《易制毒化学品管理条例》（国务院令第445号，第703号修改）的规定，</w:t>
      </w:r>
      <w:r>
        <w:rPr>
          <w:rFonts w:hint="eastAsia"/>
          <w:color w:val="auto"/>
          <w:kern w:val="0"/>
        </w:rPr>
        <w:t>本项目不</w:t>
      </w:r>
      <w:r>
        <w:rPr>
          <w:rFonts w:hint="eastAsia"/>
          <w:color w:val="auto"/>
          <w:kern w:val="0"/>
          <w:lang w:val="zh-CN"/>
        </w:rPr>
        <w:t>涉及易制毒化学品</w:t>
      </w:r>
      <w:r>
        <w:rPr>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3</w:t>
      </w:r>
      <w:r>
        <w:rPr>
          <w:color w:val="auto"/>
          <w:kern w:val="0"/>
        </w:rPr>
        <w:t>）易制爆化学品辨识</w:t>
      </w:r>
    </w:p>
    <w:p>
      <w:pPr>
        <w:wordWrap w:val="0"/>
        <w:adjustRightInd w:val="0"/>
        <w:snapToGrid w:val="0"/>
        <w:ind w:firstLine="560" w:firstLineChars="200"/>
        <w:textAlignment w:val="center"/>
        <w:rPr>
          <w:color w:val="auto"/>
          <w:kern w:val="0"/>
        </w:rPr>
      </w:pPr>
      <w:r>
        <w:rPr>
          <w:color w:val="auto"/>
          <w:kern w:val="0"/>
        </w:rPr>
        <w:t>根据《易制爆危险化学品目录》（2017年版），经辨识，该企业</w:t>
      </w:r>
      <w:r>
        <w:rPr>
          <w:rFonts w:hint="eastAsia"/>
          <w:color w:val="auto"/>
          <w:kern w:val="0"/>
        </w:rPr>
        <w:t>不</w:t>
      </w:r>
      <w:r>
        <w:rPr>
          <w:color w:val="auto"/>
          <w:kern w:val="0"/>
        </w:rPr>
        <w:t>涉及易制爆化学品。</w:t>
      </w:r>
    </w:p>
    <w:p>
      <w:pPr>
        <w:wordWrap w:val="0"/>
        <w:adjustRightInd w:val="0"/>
        <w:snapToGrid w:val="0"/>
        <w:ind w:firstLine="560" w:firstLineChars="200"/>
        <w:textAlignment w:val="center"/>
        <w:rPr>
          <w:color w:val="auto"/>
          <w:kern w:val="0"/>
        </w:rPr>
      </w:pPr>
      <w:r>
        <w:rPr>
          <w:rFonts w:hint="eastAsia"/>
          <w:color w:val="auto"/>
          <w:kern w:val="0"/>
        </w:rPr>
        <w:t>4</w:t>
      </w:r>
      <w:r>
        <w:rPr>
          <w:color w:val="auto"/>
          <w:kern w:val="0"/>
        </w:rPr>
        <w:t>）剧毒化学品辨识</w:t>
      </w:r>
    </w:p>
    <w:p>
      <w:pPr>
        <w:wordWrap w:val="0"/>
        <w:adjustRightInd w:val="0"/>
        <w:snapToGrid w:val="0"/>
        <w:ind w:firstLine="560" w:firstLineChars="200"/>
        <w:textAlignment w:val="center"/>
        <w:rPr>
          <w:color w:val="auto"/>
          <w:kern w:val="0"/>
        </w:rPr>
      </w:pPr>
      <w:r>
        <w:rPr>
          <w:color w:val="auto"/>
          <w:kern w:val="0"/>
        </w:rPr>
        <w:t>根据《危险化学品目录》（2022版），</w:t>
      </w:r>
      <w:r>
        <w:rPr>
          <w:rFonts w:hint="eastAsia"/>
          <w:color w:val="auto"/>
          <w:kern w:val="0"/>
        </w:rPr>
        <w:t>本项目</w:t>
      </w:r>
      <w:r>
        <w:rPr>
          <w:color w:val="auto"/>
          <w:kern w:val="0"/>
        </w:rPr>
        <w:t>不涉及剧毒化学品。</w:t>
      </w:r>
    </w:p>
    <w:p>
      <w:pPr>
        <w:wordWrap w:val="0"/>
        <w:adjustRightInd w:val="0"/>
        <w:snapToGrid w:val="0"/>
        <w:ind w:firstLine="560" w:firstLineChars="200"/>
        <w:textAlignment w:val="center"/>
        <w:rPr>
          <w:color w:val="auto"/>
          <w:kern w:val="0"/>
        </w:rPr>
      </w:pPr>
      <w:r>
        <w:rPr>
          <w:rFonts w:hint="eastAsia"/>
          <w:color w:val="auto"/>
          <w:kern w:val="0"/>
        </w:rPr>
        <w:t>5）高毒物品</w:t>
      </w:r>
    </w:p>
    <w:p>
      <w:pPr>
        <w:wordWrap w:val="0"/>
        <w:adjustRightInd w:val="0"/>
        <w:snapToGrid w:val="0"/>
        <w:ind w:firstLine="560" w:firstLineChars="200"/>
        <w:textAlignment w:val="center"/>
        <w:rPr>
          <w:color w:val="auto"/>
          <w:kern w:val="0"/>
        </w:rPr>
      </w:pPr>
      <w:r>
        <w:rPr>
          <w:rFonts w:hint="eastAsia"/>
          <w:color w:val="auto"/>
          <w:kern w:val="0"/>
        </w:rPr>
        <w:t>根据《高毒物品目录》（卫法监发[2003]142号）规定，本项目不涉及高毒化学品。</w:t>
      </w:r>
    </w:p>
    <w:p>
      <w:pPr>
        <w:wordWrap w:val="0"/>
        <w:adjustRightInd w:val="0"/>
        <w:snapToGrid w:val="0"/>
        <w:ind w:firstLine="560" w:firstLineChars="200"/>
        <w:textAlignment w:val="center"/>
        <w:rPr>
          <w:color w:val="auto"/>
          <w:kern w:val="0"/>
        </w:rPr>
      </w:pPr>
      <w:r>
        <w:rPr>
          <w:rFonts w:hint="eastAsia"/>
          <w:color w:val="auto"/>
          <w:kern w:val="0"/>
        </w:rPr>
        <w:t>6</w:t>
      </w:r>
      <w:r>
        <w:rPr>
          <w:color w:val="auto"/>
          <w:kern w:val="0"/>
        </w:rPr>
        <w:t>）特别管控危险化学品目录</w:t>
      </w:r>
    </w:p>
    <w:p>
      <w:pPr>
        <w:wordWrap w:val="0"/>
        <w:adjustRightInd w:val="0"/>
        <w:snapToGrid w:val="0"/>
        <w:ind w:firstLine="560" w:firstLineChars="200"/>
        <w:textAlignment w:val="center"/>
        <w:rPr>
          <w:color w:val="auto"/>
          <w:kern w:val="0"/>
        </w:rPr>
      </w:pPr>
      <w:r>
        <w:rPr>
          <w:color w:val="auto"/>
          <w:kern w:val="0"/>
        </w:rPr>
        <w:t>根据《特别管控危险化学品目录》应急管理部等四部门公告[2020]第1号的规定，</w:t>
      </w:r>
      <w:r>
        <w:rPr>
          <w:rFonts w:hint="eastAsia"/>
          <w:color w:val="auto"/>
          <w:kern w:val="0"/>
        </w:rPr>
        <w:t>本项目不</w:t>
      </w:r>
      <w:r>
        <w:rPr>
          <w:color w:val="auto"/>
          <w:kern w:val="0"/>
        </w:rPr>
        <w:t>涉</w:t>
      </w:r>
      <w:r>
        <w:rPr>
          <w:rFonts w:hint="eastAsia"/>
          <w:color w:val="auto"/>
          <w:kern w:val="0"/>
        </w:rPr>
        <w:t>及</w:t>
      </w:r>
      <w:r>
        <w:rPr>
          <w:color w:val="auto"/>
          <w:kern w:val="0"/>
        </w:rPr>
        <w:t>特别管控危险化学品。</w:t>
      </w:r>
    </w:p>
    <w:p>
      <w:pPr>
        <w:pStyle w:val="5"/>
        <w:keepNext w:val="0"/>
        <w:keepLines w:val="0"/>
        <w:wordWrap w:val="0"/>
        <w:adjustRightInd w:val="0"/>
        <w:snapToGrid w:val="0"/>
        <w:textAlignment w:val="center"/>
        <w:rPr>
          <w:color w:val="auto"/>
          <w:kern w:val="0"/>
        </w:rPr>
      </w:pPr>
      <w:bookmarkStart w:id="127" w:name="_Toc26760"/>
      <w:r>
        <w:rPr>
          <w:rFonts w:hint="eastAsia"/>
          <w:color w:val="auto"/>
          <w:kern w:val="0"/>
        </w:rPr>
        <w:t>3.2.2 危险工艺辨识</w:t>
      </w:r>
      <w:bookmarkEnd w:id="127"/>
    </w:p>
    <w:p>
      <w:pPr>
        <w:wordWrap w:val="0"/>
        <w:adjustRightInd w:val="0"/>
        <w:snapToGrid w:val="0"/>
        <w:ind w:firstLine="560" w:firstLineChars="200"/>
        <w:jc w:val="left"/>
        <w:textAlignment w:val="center"/>
        <w:rPr>
          <w:color w:val="auto"/>
          <w:kern w:val="0"/>
        </w:rPr>
      </w:pPr>
      <w:r>
        <w:rPr>
          <w:color w:val="auto"/>
          <w:kern w:val="0"/>
        </w:rPr>
        <w:t>根据《重点监管的危险化工工艺目录（2013完整版）》进行危险化工工艺辨识。</w:t>
      </w:r>
      <w:r>
        <w:rPr>
          <w:rFonts w:hint="eastAsia"/>
          <w:color w:val="auto"/>
          <w:kern w:val="0"/>
        </w:rPr>
        <w:t>本项目不涉及重点监管的危险化工工艺。</w:t>
      </w:r>
    </w:p>
    <w:p>
      <w:pPr>
        <w:wordWrap w:val="0"/>
        <w:adjustRightInd w:val="0"/>
        <w:snapToGrid w:val="0"/>
        <w:jc w:val="left"/>
        <w:textAlignment w:val="center"/>
        <w:outlineLvl w:val="2"/>
        <w:rPr>
          <w:b/>
          <w:bCs/>
          <w:color w:val="auto"/>
          <w:kern w:val="0"/>
        </w:rPr>
      </w:pPr>
      <w:bookmarkStart w:id="128" w:name="_Toc3935"/>
      <w:r>
        <w:rPr>
          <w:rFonts w:hint="eastAsia"/>
          <w:b/>
          <w:bCs/>
          <w:color w:val="auto"/>
          <w:kern w:val="0"/>
        </w:rPr>
        <w:t>3.2.3 重点监管危险化学品安全辨识</w:t>
      </w:r>
      <w:bookmarkEnd w:id="128"/>
    </w:p>
    <w:p>
      <w:pPr>
        <w:wordWrap w:val="0"/>
        <w:adjustRightInd w:val="0"/>
        <w:snapToGrid w:val="0"/>
        <w:ind w:firstLine="560" w:firstLineChars="200"/>
        <w:jc w:val="left"/>
        <w:textAlignment w:val="center"/>
        <w:rPr>
          <w:color w:val="auto"/>
          <w:kern w:val="0"/>
        </w:rPr>
      </w:pPr>
      <w:r>
        <w:rPr>
          <w:rFonts w:hint="eastAsia"/>
          <w:color w:val="auto"/>
          <w:kern w:val="0"/>
        </w:rPr>
        <w:t>根据国家安全生产监督管理总局《重点监管的危险化学品目录（2013年完整版）》的规定，本项目不涉及重点监管的危险化学品。</w:t>
      </w:r>
    </w:p>
    <w:p>
      <w:pPr>
        <w:pStyle w:val="4"/>
        <w:keepNext w:val="0"/>
        <w:keepLines w:val="0"/>
        <w:wordWrap w:val="0"/>
        <w:adjustRightInd w:val="0"/>
        <w:snapToGrid w:val="0"/>
        <w:jc w:val="center"/>
        <w:textAlignment w:val="center"/>
        <w:rPr>
          <w:color w:val="auto"/>
          <w:kern w:val="0"/>
        </w:rPr>
      </w:pPr>
      <w:bookmarkStart w:id="129" w:name="_Toc32183"/>
      <w:bookmarkStart w:id="130" w:name="_Toc7390"/>
      <w:bookmarkStart w:id="131" w:name="_Toc5725"/>
      <w:r>
        <w:rPr>
          <w:rFonts w:hint="eastAsia"/>
          <w:color w:val="auto"/>
          <w:kern w:val="0"/>
        </w:rPr>
        <w:t>3.3 选址及平面布置有害因素辨识分析</w:t>
      </w:r>
      <w:bookmarkEnd w:id="129"/>
      <w:bookmarkEnd w:id="130"/>
      <w:bookmarkEnd w:id="131"/>
    </w:p>
    <w:p>
      <w:pPr>
        <w:pStyle w:val="5"/>
        <w:keepNext w:val="0"/>
        <w:keepLines w:val="0"/>
        <w:wordWrap w:val="0"/>
        <w:adjustRightInd w:val="0"/>
        <w:snapToGrid w:val="0"/>
        <w:textAlignment w:val="center"/>
        <w:rPr>
          <w:color w:val="auto"/>
          <w:kern w:val="0"/>
        </w:rPr>
      </w:pPr>
      <w:bookmarkStart w:id="132" w:name="_Toc15622"/>
      <w:r>
        <w:rPr>
          <w:rFonts w:hint="eastAsia"/>
          <w:color w:val="auto"/>
          <w:kern w:val="0"/>
        </w:rPr>
        <w:t>3.3.1 项目选址危险有害因素辨识分析</w:t>
      </w:r>
      <w:bookmarkEnd w:id="132"/>
    </w:p>
    <w:p>
      <w:pPr>
        <w:wordWrap w:val="0"/>
        <w:adjustRightInd w:val="0"/>
        <w:snapToGrid w:val="0"/>
        <w:ind w:firstLine="560" w:firstLineChars="200"/>
        <w:textAlignment w:val="center"/>
        <w:rPr>
          <w:color w:val="auto"/>
          <w:kern w:val="0"/>
        </w:rPr>
      </w:pPr>
      <w:r>
        <w:rPr>
          <w:color w:val="auto"/>
          <w:kern w:val="0"/>
        </w:rPr>
        <w:t>项目选址地点在江西省丰城市高新技术产业园区</w:t>
      </w:r>
      <w:r>
        <w:rPr>
          <w:rFonts w:hint="eastAsia"/>
          <w:color w:val="auto"/>
          <w:kern w:val="0"/>
        </w:rPr>
        <w:t>内</w:t>
      </w:r>
      <w:r>
        <w:rPr>
          <w:color w:val="auto"/>
          <w:kern w:val="0"/>
        </w:rPr>
        <w:t>，</w:t>
      </w:r>
      <w:r>
        <w:rPr>
          <w:rFonts w:hint="eastAsia"/>
          <w:color w:val="auto"/>
          <w:kern w:val="0"/>
        </w:rPr>
        <w:t>公司</w:t>
      </w:r>
      <w:r>
        <w:rPr>
          <w:color w:val="auto"/>
          <w:kern w:val="0"/>
        </w:rPr>
        <w:t>周边</w:t>
      </w:r>
      <w:r>
        <w:rPr>
          <w:rFonts w:hint="eastAsia"/>
          <w:color w:val="auto"/>
          <w:kern w:val="0"/>
        </w:rPr>
        <w:t>500</w:t>
      </w:r>
      <w:r>
        <w:rPr>
          <w:color w:val="auto"/>
          <w:kern w:val="0"/>
        </w:rPr>
        <w:t>m范围内</w:t>
      </w:r>
      <w:r>
        <w:rPr>
          <w:rFonts w:hint="eastAsia"/>
          <w:color w:val="auto"/>
          <w:kern w:val="0"/>
        </w:rPr>
        <w:t>无高敏感防护目标、重要防护目标、一般防护目标。</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自然条件危险、有害因素分析</w:t>
      </w:r>
    </w:p>
    <w:p>
      <w:pPr>
        <w:wordWrap w:val="0"/>
        <w:adjustRightInd w:val="0"/>
        <w:snapToGrid w:val="0"/>
        <w:ind w:firstLine="560" w:firstLineChars="200"/>
        <w:textAlignment w:val="center"/>
        <w:rPr>
          <w:color w:val="auto"/>
          <w:kern w:val="0"/>
        </w:rPr>
      </w:pPr>
      <w:r>
        <w:rPr>
          <w:color w:val="auto"/>
          <w:kern w:val="0"/>
        </w:rPr>
        <w:t>1）地震</w:t>
      </w:r>
    </w:p>
    <w:p>
      <w:pPr>
        <w:wordWrap w:val="0"/>
        <w:adjustRightInd w:val="0"/>
        <w:snapToGrid w:val="0"/>
        <w:ind w:firstLine="560" w:firstLineChars="200"/>
        <w:textAlignment w:val="center"/>
        <w:rPr>
          <w:color w:val="auto"/>
          <w:kern w:val="0"/>
        </w:rPr>
      </w:pPr>
      <w:r>
        <w:rPr>
          <w:color w:val="auto"/>
          <w:kern w:val="0"/>
        </w:rPr>
        <w:t>地震可能造成建（构）筑物、设备设施、电力设施等的破坏，严重时可导致次生灾害，如生产、储存装置因地震作用发生破裂、倾覆后，容易造成人员伤亡和财产损失。</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所在区域地震烈度为</w:t>
      </w:r>
      <w:r>
        <w:rPr>
          <w:rFonts w:hint="eastAsia"/>
          <w:color w:val="auto"/>
          <w:kern w:val="0"/>
        </w:rPr>
        <w:t>6</w:t>
      </w:r>
      <w:r>
        <w:rPr>
          <w:color w:val="auto"/>
          <w:kern w:val="0"/>
        </w:rPr>
        <w:t>度，</w:t>
      </w:r>
      <w:r>
        <w:rPr>
          <w:rFonts w:hint="eastAsia"/>
          <w:color w:val="auto"/>
          <w:kern w:val="0"/>
        </w:rPr>
        <w:t>本项目1</w:t>
      </w:r>
      <w:r>
        <w:rPr>
          <w:color w:val="auto"/>
          <w:kern w:val="0"/>
        </w:rPr>
        <w:t>06</w:t>
      </w:r>
      <w:r>
        <w:rPr>
          <w:rFonts w:hint="eastAsia"/>
          <w:color w:val="auto"/>
          <w:kern w:val="0"/>
        </w:rPr>
        <w:t>甲类仓库提高一度进行</w:t>
      </w:r>
      <w:r>
        <w:rPr>
          <w:color w:val="auto"/>
          <w:kern w:val="0"/>
        </w:rPr>
        <w:t>建设。</w:t>
      </w:r>
    </w:p>
    <w:p>
      <w:pPr>
        <w:wordWrap w:val="0"/>
        <w:adjustRightInd w:val="0"/>
        <w:snapToGrid w:val="0"/>
        <w:ind w:firstLine="560" w:firstLineChars="200"/>
        <w:jc w:val="left"/>
        <w:textAlignment w:val="center"/>
        <w:rPr>
          <w:color w:val="auto"/>
          <w:kern w:val="0"/>
        </w:rPr>
      </w:pPr>
      <w:r>
        <w:rPr>
          <w:color w:val="auto"/>
          <w:kern w:val="0"/>
        </w:rPr>
        <w:t>2）雷击</w:t>
      </w:r>
    </w:p>
    <w:p>
      <w:pPr>
        <w:wordWrap w:val="0"/>
        <w:adjustRightInd w:val="0"/>
        <w:snapToGrid w:val="0"/>
        <w:ind w:firstLine="560" w:firstLineChars="200"/>
        <w:jc w:val="left"/>
        <w:textAlignment w:val="center"/>
        <w:rPr>
          <w:color w:val="auto"/>
          <w:kern w:val="0"/>
        </w:rPr>
      </w:pPr>
      <w:r>
        <w:rPr>
          <w:color w:val="auto"/>
          <w:kern w:val="0"/>
        </w:rPr>
        <w:t>雷暴同样是一种具有一定破坏力的自然现象，它是天空中的云层放电而引起的事故。雷电的能量非常巨大，它可以造成建筑物、构筑物的毁坏、人身伤亡和财产损失。雷暴主要发生在防雷措施不完善或因维护不良，检查不及时，使防雷、接地措施失效的情况下。</w:t>
      </w:r>
    </w:p>
    <w:p>
      <w:pPr>
        <w:wordWrap w:val="0"/>
        <w:adjustRightInd w:val="0"/>
        <w:snapToGrid w:val="0"/>
        <w:ind w:firstLine="560" w:firstLineChars="200"/>
        <w:jc w:val="left"/>
        <w:textAlignment w:val="center"/>
        <w:rPr>
          <w:color w:val="auto"/>
          <w:kern w:val="0"/>
        </w:rPr>
      </w:pPr>
      <w:r>
        <w:rPr>
          <w:color w:val="auto"/>
          <w:kern w:val="0"/>
        </w:rPr>
        <w:t>3）暴雨、洪水</w:t>
      </w:r>
    </w:p>
    <w:p>
      <w:pPr>
        <w:wordWrap w:val="0"/>
        <w:adjustRightInd w:val="0"/>
        <w:snapToGrid w:val="0"/>
        <w:ind w:firstLine="560" w:firstLineChars="200"/>
        <w:jc w:val="left"/>
        <w:textAlignment w:val="center"/>
        <w:rPr>
          <w:color w:val="auto"/>
          <w:kern w:val="0"/>
        </w:rPr>
      </w:pPr>
      <w:r>
        <w:rPr>
          <w:rFonts w:hint="eastAsia"/>
          <w:color w:val="auto"/>
          <w:kern w:val="0"/>
        </w:rPr>
        <w:t>根据现场情况，地表经过人工平整，厂区周边不具备产生灾难性洪水和泥石流的条件。经多年运行实践，界内未见重大不利地质影响的发展迹象。</w:t>
      </w:r>
      <w:r>
        <w:rPr>
          <w:color w:val="auto"/>
          <w:kern w:val="0"/>
        </w:rPr>
        <w:t>同时厂区</w:t>
      </w:r>
      <w:r>
        <w:rPr>
          <w:rFonts w:hint="eastAsia"/>
          <w:color w:val="auto"/>
          <w:kern w:val="0"/>
        </w:rPr>
        <w:t>内</w:t>
      </w:r>
      <w:r>
        <w:rPr>
          <w:color w:val="auto"/>
          <w:kern w:val="0"/>
        </w:rPr>
        <w:t>排水顺畅，暴雨时雨水排水系统能够顺利排出厂区，</w:t>
      </w:r>
      <w:r>
        <w:rPr>
          <w:rFonts w:hint="eastAsia"/>
          <w:color w:val="auto"/>
          <w:kern w:val="0"/>
        </w:rPr>
        <w:t>一般情况下</w:t>
      </w:r>
      <w:r>
        <w:rPr>
          <w:color w:val="auto"/>
          <w:kern w:val="0"/>
        </w:rPr>
        <w:t>不</w:t>
      </w:r>
      <w:r>
        <w:rPr>
          <w:rFonts w:hint="eastAsia"/>
          <w:color w:val="auto"/>
          <w:kern w:val="0"/>
        </w:rPr>
        <w:t>会</w:t>
      </w:r>
      <w:r>
        <w:rPr>
          <w:color w:val="auto"/>
          <w:kern w:val="0"/>
        </w:rPr>
        <w:t>受洪涝灾害。</w:t>
      </w:r>
    </w:p>
    <w:p>
      <w:pPr>
        <w:wordWrap w:val="0"/>
        <w:adjustRightInd w:val="0"/>
        <w:snapToGrid w:val="0"/>
        <w:ind w:firstLine="560" w:firstLineChars="200"/>
        <w:jc w:val="left"/>
        <w:textAlignment w:val="center"/>
        <w:rPr>
          <w:color w:val="auto"/>
          <w:kern w:val="0"/>
        </w:rPr>
      </w:pPr>
      <w:r>
        <w:rPr>
          <w:color w:val="auto"/>
          <w:kern w:val="0"/>
        </w:rPr>
        <w:t>4）</w:t>
      </w:r>
      <w:r>
        <w:rPr>
          <w:rFonts w:hint="eastAsia"/>
          <w:color w:val="auto"/>
          <w:kern w:val="0"/>
        </w:rPr>
        <w:t>高</w:t>
      </w:r>
      <w:r>
        <w:rPr>
          <w:color w:val="auto"/>
          <w:kern w:val="0"/>
        </w:rPr>
        <w:t>气温及潮湿天气</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所在地极端最高气温达39.7℃以上，相对湿度可达到100%以上，如通风不良就形成高温、高湿和低气流的不良气象条件，即湿热环境。人在此环境下工作，即使气温不很高，但由于蒸发散热更为困难，故虽大量出汗也不能发挥有效的散热作用，易导致体内热蓄积或水、电解质平衡失调，从而发生中暑。</w:t>
      </w:r>
    </w:p>
    <w:p>
      <w:pPr>
        <w:wordWrap w:val="0"/>
        <w:adjustRightInd w:val="0"/>
        <w:snapToGrid w:val="0"/>
        <w:ind w:firstLine="560" w:firstLineChars="200"/>
        <w:jc w:val="left"/>
        <w:textAlignment w:val="center"/>
        <w:rPr>
          <w:color w:val="auto"/>
          <w:kern w:val="0"/>
        </w:rPr>
      </w:pPr>
      <w:r>
        <w:rPr>
          <w:rFonts w:hint="eastAsia"/>
          <w:color w:val="auto"/>
          <w:kern w:val="0"/>
        </w:rPr>
        <w:t>高</w:t>
      </w:r>
      <w:r>
        <w:rPr>
          <w:color w:val="auto"/>
          <w:kern w:val="0"/>
        </w:rPr>
        <w:t>气温对</w:t>
      </w:r>
      <w:r>
        <w:rPr>
          <w:rFonts w:hint="eastAsia"/>
          <w:color w:val="auto"/>
          <w:kern w:val="0"/>
        </w:rPr>
        <w:t>本项目</w:t>
      </w:r>
      <w:r>
        <w:rPr>
          <w:color w:val="auto"/>
          <w:kern w:val="0"/>
        </w:rPr>
        <w:t>室内作业人员影响</w:t>
      </w:r>
      <w:r>
        <w:rPr>
          <w:rFonts w:hint="eastAsia"/>
          <w:color w:val="auto"/>
          <w:kern w:val="0"/>
        </w:rPr>
        <w:t>较小</w:t>
      </w:r>
      <w:r>
        <w:rPr>
          <w:color w:val="auto"/>
          <w:kern w:val="0"/>
        </w:rPr>
        <w:t>，</w:t>
      </w:r>
      <w:r>
        <w:rPr>
          <w:rFonts w:hint="eastAsia"/>
          <w:color w:val="auto"/>
          <w:kern w:val="0"/>
        </w:rPr>
        <w:t>会</w:t>
      </w:r>
      <w:r>
        <w:rPr>
          <w:color w:val="auto"/>
          <w:kern w:val="0"/>
        </w:rPr>
        <w:t>对室外操作人员的健康产生一定程度的不利影响，例如在夏季有可能造成室外高温作业危害，从而间接影响到作业安全；同时，</w:t>
      </w:r>
      <w:r>
        <w:rPr>
          <w:rFonts w:hint="eastAsia"/>
          <w:color w:val="auto"/>
          <w:kern w:val="0"/>
        </w:rPr>
        <w:t>高温</w:t>
      </w:r>
      <w:r>
        <w:rPr>
          <w:color w:val="auto"/>
          <w:kern w:val="0"/>
        </w:rPr>
        <w:t>温天气易发生违章用火、违章用电的现象，对防火安全影响产生不利影响</w:t>
      </w:r>
      <w:r>
        <w:rPr>
          <w:rFonts w:hint="eastAsia"/>
          <w:color w:val="auto"/>
          <w:kern w:val="0"/>
        </w:rPr>
        <w:t>。</w:t>
      </w:r>
    </w:p>
    <w:p>
      <w:pPr>
        <w:wordWrap w:val="0"/>
        <w:adjustRightInd w:val="0"/>
        <w:snapToGrid w:val="0"/>
        <w:ind w:firstLine="560" w:firstLineChars="200"/>
        <w:jc w:val="left"/>
        <w:textAlignment w:val="center"/>
        <w:rPr>
          <w:color w:val="auto"/>
          <w:kern w:val="0"/>
        </w:rPr>
      </w:pPr>
      <w:r>
        <w:rPr>
          <w:color w:val="auto"/>
          <w:kern w:val="0"/>
        </w:rPr>
        <w:t>在高温季节，对项目生产装置、设备设施有一定的影响，如电气设备运行温度过高，钢管管道受热膨胀，产生应力变化，导致管道等设施破裂，造成</w:t>
      </w:r>
      <w:r>
        <w:rPr>
          <w:rFonts w:hint="eastAsia"/>
          <w:color w:val="auto"/>
          <w:kern w:val="0"/>
        </w:rPr>
        <w:t>硫酸</w:t>
      </w:r>
      <w:r>
        <w:rPr>
          <w:color w:val="auto"/>
          <w:kern w:val="0"/>
        </w:rPr>
        <w:t>泄漏。高温天气加上高温设备的热辐射，可能导致人员中暑。</w:t>
      </w:r>
    </w:p>
    <w:p>
      <w:pPr>
        <w:wordWrap w:val="0"/>
        <w:adjustRightInd w:val="0"/>
        <w:snapToGrid w:val="0"/>
        <w:ind w:firstLine="560" w:firstLineChars="200"/>
        <w:jc w:val="left"/>
        <w:textAlignment w:val="center"/>
        <w:rPr>
          <w:color w:val="auto"/>
          <w:kern w:val="0"/>
        </w:rPr>
      </w:pPr>
      <w:r>
        <w:rPr>
          <w:color w:val="auto"/>
          <w:kern w:val="0"/>
        </w:rPr>
        <w:t>在运行过程中建筑、设备、管道可能因天气或物料等原因产生腐蚀，而腐蚀可能造成设备的损坏而发生泄漏，而基础、管架的腐蚀可能造成设备、管道的倾覆、变形、断裂等引起事故。</w:t>
      </w:r>
    </w:p>
    <w:p>
      <w:pPr>
        <w:wordWrap w:val="0"/>
        <w:adjustRightInd w:val="0"/>
        <w:snapToGrid w:val="0"/>
        <w:ind w:firstLine="560" w:firstLineChars="200"/>
        <w:jc w:val="left"/>
        <w:textAlignment w:val="center"/>
        <w:rPr>
          <w:color w:val="auto"/>
          <w:kern w:val="0"/>
        </w:rPr>
      </w:pPr>
      <w:r>
        <w:rPr>
          <w:color w:val="auto"/>
          <w:kern w:val="0"/>
        </w:rPr>
        <w:t>5）低气温</w:t>
      </w:r>
    </w:p>
    <w:p>
      <w:pPr>
        <w:wordWrap w:val="0"/>
        <w:adjustRightInd w:val="0"/>
        <w:snapToGrid w:val="0"/>
        <w:ind w:firstLine="560" w:firstLineChars="200"/>
        <w:jc w:val="left"/>
        <w:textAlignment w:val="center"/>
        <w:rPr>
          <w:color w:val="auto"/>
          <w:kern w:val="0"/>
        </w:rPr>
      </w:pPr>
      <w:r>
        <w:rPr>
          <w:color w:val="auto"/>
          <w:kern w:val="0"/>
        </w:rPr>
        <w:t>厂址所在区域极端最低气温</w:t>
      </w:r>
      <w:r>
        <w:rPr>
          <w:rFonts w:hint="eastAsia"/>
          <w:color w:val="auto"/>
          <w:kern w:val="0"/>
        </w:rPr>
        <w:t>低于0</w:t>
      </w:r>
      <w:r>
        <w:rPr>
          <w:color w:val="auto"/>
          <w:kern w:val="0"/>
        </w:rPr>
        <w:t>℃。低气温可能造成地面结冰，容易造成人员滑倒跌伤</w:t>
      </w:r>
      <w:r>
        <w:rPr>
          <w:rFonts w:hint="eastAsia"/>
          <w:color w:val="auto"/>
          <w:kern w:val="0"/>
        </w:rPr>
        <w:t>以及</w:t>
      </w:r>
      <w:r>
        <w:rPr>
          <w:color w:val="auto"/>
          <w:kern w:val="0"/>
        </w:rPr>
        <w:t>车辆制动失效、倾翻、伤人事故。低气温还可能造成水管结冰，水管爆裂等。</w:t>
      </w:r>
    </w:p>
    <w:p>
      <w:pPr>
        <w:wordWrap w:val="0"/>
        <w:adjustRightInd w:val="0"/>
        <w:snapToGrid w:val="0"/>
        <w:ind w:firstLine="560" w:firstLineChars="200"/>
        <w:jc w:val="left"/>
        <w:textAlignment w:val="center"/>
        <w:rPr>
          <w:color w:val="auto"/>
          <w:kern w:val="0"/>
        </w:rPr>
      </w:pPr>
      <w:r>
        <w:rPr>
          <w:color w:val="auto"/>
          <w:kern w:val="0"/>
        </w:rPr>
        <w:t>6）不良地质</w:t>
      </w:r>
    </w:p>
    <w:p>
      <w:pPr>
        <w:wordWrap w:val="0"/>
        <w:adjustRightInd w:val="0"/>
        <w:snapToGrid w:val="0"/>
        <w:ind w:firstLine="560" w:firstLineChars="200"/>
        <w:jc w:val="left"/>
        <w:textAlignment w:val="center"/>
        <w:rPr>
          <w:color w:val="auto"/>
          <w:kern w:val="0"/>
        </w:rPr>
      </w:pPr>
      <w:r>
        <w:rPr>
          <w:color w:val="auto"/>
          <w:kern w:val="0"/>
        </w:rPr>
        <w:t>地质灾害主要包括不良地质结构，造成建筑、基础下沉等，影响安全运行。如发生地震灾害，则可能损坏设备，造成人员伤亡，甚至引发火灾、爆炸事故，造成严重事故；如地质条件不良，基础下沉，造成损坏泄漏引发事故。</w:t>
      </w:r>
    </w:p>
    <w:p>
      <w:pPr>
        <w:wordWrap w:val="0"/>
        <w:adjustRightInd w:val="0"/>
        <w:snapToGrid w:val="0"/>
        <w:ind w:firstLine="560" w:firstLineChars="200"/>
        <w:jc w:val="left"/>
        <w:textAlignment w:val="center"/>
        <w:rPr>
          <w:color w:val="auto"/>
          <w:kern w:val="0"/>
        </w:rPr>
      </w:pPr>
      <w:r>
        <w:rPr>
          <w:color w:val="auto"/>
          <w:kern w:val="0"/>
        </w:rPr>
        <w:t>2</w:t>
      </w:r>
      <w:r>
        <w:rPr>
          <w:rFonts w:hint="eastAsia"/>
          <w:color w:val="auto"/>
          <w:kern w:val="0"/>
        </w:rPr>
        <w:t>、</w:t>
      </w:r>
      <w:r>
        <w:rPr>
          <w:color w:val="auto"/>
          <w:kern w:val="0"/>
        </w:rPr>
        <w:t>周围环境</w:t>
      </w:r>
    </w:p>
    <w:p>
      <w:pPr>
        <w:wordWrap w:val="0"/>
        <w:adjustRightInd w:val="0"/>
        <w:snapToGrid w:val="0"/>
        <w:ind w:firstLine="560" w:firstLineChars="200"/>
        <w:jc w:val="left"/>
        <w:textAlignment w:val="center"/>
        <w:rPr>
          <w:color w:val="auto"/>
          <w:kern w:val="0"/>
        </w:rPr>
      </w:pPr>
      <w:r>
        <w:rPr>
          <w:rFonts w:hint="eastAsia"/>
          <w:color w:val="auto"/>
          <w:kern w:val="0"/>
        </w:rPr>
        <w:t>1）本项目甲类仓</w:t>
      </w:r>
      <w:r>
        <w:rPr>
          <w:color w:val="auto"/>
          <w:kern w:val="0"/>
        </w:rPr>
        <w:t>与周边企业的间距均能满足规范要求。</w:t>
      </w:r>
    </w:p>
    <w:p>
      <w:pPr>
        <w:wordWrap w:val="0"/>
        <w:adjustRightInd w:val="0"/>
        <w:snapToGrid w:val="0"/>
        <w:ind w:firstLine="560" w:firstLineChars="200"/>
        <w:jc w:val="left"/>
        <w:textAlignment w:val="center"/>
        <w:rPr>
          <w:color w:val="auto"/>
          <w:kern w:val="0"/>
        </w:rPr>
      </w:pPr>
      <w:r>
        <w:rPr>
          <w:rFonts w:hint="eastAsia"/>
          <w:color w:val="auto"/>
          <w:kern w:val="0"/>
        </w:rPr>
        <w:t>2）本项目甲类仓库火灾事故对周边的影响</w:t>
      </w:r>
    </w:p>
    <w:p>
      <w:pPr>
        <w:wordWrap w:val="0"/>
        <w:adjustRightInd w:val="0"/>
        <w:snapToGrid w:val="0"/>
        <w:ind w:firstLine="560" w:firstLineChars="200"/>
        <w:jc w:val="left"/>
        <w:textAlignment w:val="center"/>
        <w:rPr>
          <w:color w:val="auto"/>
          <w:kern w:val="0"/>
        </w:rPr>
      </w:pPr>
      <w:r>
        <w:rPr>
          <w:rFonts w:hint="eastAsia"/>
          <w:color w:val="auto"/>
          <w:kern w:val="0"/>
        </w:rPr>
        <w:t>本</w:t>
      </w:r>
      <w:r>
        <w:rPr>
          <w:color w:val="auto"/>
          <w:kern w:val="0"/>
        </w:rPr>
        <w:t>项目</w:t>
      </w:r>
      <w:r>
        <w:rPr>
          <w:rFonts w:hint="eastAsia"/>
          <w:color w:val="auto"/>
          <w:kern w:val="0"/>
        </w:rPr>
        <w:t>甲类仓库</w:t>
      </w:r>
      <w:r>
        <w:rPr>
          <w:color w:val="auto"/>
          <w:kern w:val="0"/>
        </w:rPr>
        <w:t>按有关消防规范要求，设置了室外消火栓，室外消火栓的间距</w:t>
      </w:r>
      <w:r>
        <w:rPr>
          <w:rFonts w:hint="eastAsia"/>
          <w:color w:val="auto"/>
          <w:kern w:val="0"/>
        </w:rPr>
        <w:t>不大于</w:t>
      </w:r>
      <w:r>
        <w:rPr>
          <w:color w:val="auto"/>
          <w:kern w:val="0"/>
        </w:rPr>
        <w:t>120m，同时，在建筑物内配置了一定数量的灭火器。在</w:t>
      </w:r>
      <w:r>
        <w:rPr>
          <w:rFonts w:hint="eastAsia"/>
          <w:color w:val="auto"/>
          <w:kern w:val="0"/>
        </w:rPr>
        <w:t>本</w:t>
      </w:r>
      <w:r>
        <w:rPr>
          <w:color w:val="auto"/>
          <w:kern w:val="0"/>
        </w:rPr>
        <w:t>项目发生火灾事故时，消防废水</w:t>
      </w:r>
      <w:r>
        <w:rPr>
          <w:rFonts w:hint="eastAsia"/>
          <w:color w:val="auto"/>
          <w:kern w:val="0"/>
        </w:rPr>
        <w:t>收集至事故应急池后再</w:t>
      </w:r>
      <w:r>
        <w:rPr>
          <w:color w:val="auto"/>
          <w:kern w:val="0"/>
        </w:rPr>
        <w:t>排至</w:t>
      </w:r>
      <w:r>
        <w:rPr>
          <w:rFonts w:hint="eastAsia"/>
          <w:color w:val="auto"/>
          <w:kern w:val="0"/>
        </w:rPr>
        <w:t>园区</w:t>
      </w:r>
      <w:r>
        <w:rPr>
          <w:color w:val="auto"/>
          <w:kern w:val="0"/>
        </w:rPr>
        <w:t>污水</w:t>
      </w:r>
      <w:r>
        <w:rPr>
          <w:rFonts w:hint="eastAsia"/>
          <w:color w:val="auto"/>
          <w:kern w:val="0"/>
        </w:rPr>
        <w:t>站</w:t>
      </w:r>
      <w:r>
        <w:rPr>
          <w:color w:val="auto"/>
          <w:kern w:val="0"/>
        </w:rPr>
        <w:t>集中处理</w:t>
      </w:r>
      <w:r>
        <w:rPr>
          <w:rFonts w:hint="eastAsia"/>
          <w:color w:val="auto"/>
          <w:kern w:val="0"/>
        </w:rPr>
        <w:t>。</w:t>
      </w:r>
    </w:p>
    <w:p>
      <w:pPr>
        <w:wordWrap w:val="0"/>
        <w:adjustRightInd w:val="0"/>
        <w:snapToGrid w:val="0"/>
        <w:ind w:firstLine="560" w:firstLineChars="200"/>
        <w:jc w:val="left"/>
        <w:textAlignment w:val="center"/>
        <w:rPr>
          <w:color w:val="auto"/>
          <w:kern w:val="0"/>
        </w:rPr>
      </w:pPr>
      <w:r>
        <w:rPr>
          <w:rFonts w:hint="eastAsia"/>
          <w:color w:val="auto"/>
          <w:kern w:val="0"/>
        </w:rPr>
        <w:t>3）本</w:t>
      </w:r>
      <w:r>
        <w:rPr>
          <w:color w:val="auto"/>
          <w:kern w:val="0"/>
        </w:rPr>
        <w:t>项目</w:t>
      </w:r>
      <w:r>
        <w:rPr>
          <w:rFonts w:hint="eastAsia"/>
          <w:color w:val="auto"/>
          <w:kern w:val="0"/>
        </w:rPr>
        <w:t>甲类仓库涉及的</w:t>
      </w:r>
      <w:r>
        <w:rPr>
          <w:color w:val="auto"/>
          <w:kern w:val="0"/>
        </w:rPr>
        <w:t>危险、有害因素还包括：中毒窒息</w:t>
      </w:r>
      <w:r>
        <w:rPr>
          <w:rFonts w:hint="eastAsia"/>
          <w:color w:val="auto"/>
          <w:kern w:val="0"/>
        </w:rPr>
        <w:t>、灼烫</w:t>
      </w:r>
      <w:r>
        <w:rPr>
          <w:color w:val="auto"/>
          <w:kern w:val="0"/>
        </w:rPr>
        <w:t>、触电</w:t>
      </w:r>
      <w:r>
        <w:rPr>
          <w:rFonts w:hint="eastAsia"/>
          <w:color w:val="auto"/>
          <w:kern w:val="0"/>
        </w:rPr>
        <w:t>、</w:t>
      </w:r>
      <w:r>
        <w:rPr>
          <w:color w:val="auto"/>
          <w:kern w:val="0"/>
        </w:rPr>
        <w:t>车辆伤害</w:t>
      </w:r>
      <w:r>
        <w:rPr>
          <w:rFonts w:hint="eastAsia"/>
          <w:color w:val="auto"/>
          <w:kern w:val="0"/>
        </w:rPr>
        <w:t>、坍塌</w:t>
      </w:r>
      <w:r>
        <w:rPr>
          <w:color w:val="auto"/>
          <w:kern w:val="0"/>
        </w:rPr>
        <w:t>等，此类危险、有害因素主要对企业内部人员产生作用，作用效果较难外移，对周边的影响可以接受。</w:t>
      </w:r>
    </w:p>
    <w:p>
      <w:pPr>
        <w:wordWrap w:val="0"/>
        <w:adjustRightInd w:val="0"/>
        <w:snapToGrid w:val="0"/>
        <w:ind w:firstLine="560" w:firstLineChars="200"/>
        <w:jc w:val="left"/>
        <w:textAlignment w:val="center"/>
        <w:rPr>
          <w:color w:val="auto"/>
          <w:kern w:val="0"/>
        </w:rPr>
      </w:pPr>
      <w:r>
        <w:rPr>
          <w:rFonts w:hint="eastAsia"/>
          <w:color w:val="auto"/>
          <w:kern w:val="0"/>
        </w:rPr>
        <w:t>4）本项目</w:t>
      </w:r>
      <w:r>
        <w:rPr>
          <w:color w:val="auto"/>
          <w:kern w:val="0"/>
        </w:rPr>
        <w:t>区域周边存在企业，如周边企业涉及重大危险源或有毒气体，发生泄漏事故且可燃、有毒气体随大气扩散到周边其它场所，可能引起中毒、火灾爆炸事故。附近存在工业园道路，如周边企业及运输道路发生严重的火灾爆炸势必会对园区交通造成一定影响。</w:t>
      </w:r>
    </w:p>
    <w:p>
      <w:pPr>
        <w:wordWrap w:val="0"/>
        <w:adjustRightInd w:val="0"/>
        <w:snapToGrid w:val="0"/>
        <w:ind w:firstLine="560" w:firstLineChars="200"/>
        <w:jc w:val="left"/>
        <w:textAlignment w:val="center"/>
        <w:rPr>
          <w:color w:val="auto"/>
          <w:kern w:val="0"/>
        </w:rPr>
      </w:pPr>
      <w:r>
        <w:rPr>
          <w:color w:val="auto"/>
          <w:kern w:val="0"/>
        </w:rPr>
        <w:t>由以上的分析可知，项目周边环境对</w:t>
      </w:r>
      <w:r>
        <w:rPr>
          <w:rFonts w:hint="eastAsia"/>
          <w:color w:val="auto"/>
          <w:kern w:val="0"/>
        </w:rPr>
        <w:t>本</w:t>
      </w:r>
      <w:r>
        <w:rPr>
          <w:color w:val="auto"/>
          <w:kern w:val="0"/>
        </w:rPr>
        <w:t>项目的正常运行不会产生太大的影响。</w:t>
      </w:r>
    </w:p>
    <w:p>
      <w:pPr>
        <w:pStyle w:val="5"/>
        <w:keepNext w:val="0"/>
        <w:keepLines w:val="0"/>
        <w:wordWrap w:val="0"/>
        <w:adjustRightInd w:val="0"/>
        <w:snapToGrid w:val="0"/>
        <w:textAlignment w:val="center"/>
        <w:rPr>
          <w:color w:val="auto"/>
          <w:kern w:val="0"/>
        </w:rPr>
      </w:pPr>
      <w:bookmarkStart w:id="133" w:name="_Toc22163"/>
      <w:r>
        <w:rPr>
          <w:rFonts w:hint="eastAsia"/>
          <w:color w:val="auto"/>
          <w:kern w:val="0"/>
        </w:rPr>
        <w:t>3.3.2 总平面布置与建筑物危险有害因素辨识分析</w:t>
      </w:r>
      <w:bookmarkEnd w:id="133"/>
    </w:p>
    <w:p>
      <w:pPr>
        <w:wordWrap w:val="0"/>
        <w:adjustRightInd w:val="0"/>
        <w:snapToGrid w:val="0"/>
        <w:ind w:firstLine="560" w:firstLineChars="200"/>
        <w:textAlignment w:val="center"/>
        <w:rPr>
          <w:color w:val="auto"/>
          <w:kern w:val="0"/>
        </w:rPr>
      </w:pPr>
      <w:r>
        <w:rPr>
          <w:color w:val="auto"/>
          <w:kern w:val="0"/>
        </w:rPr>
        <w:t>功能分区不合理会造成安全生产管理不便，增大了事故发生的机率，一旦发生事故救援困难、受害人数增加，财产损失加大，事故后果扩大。</w:t>
      </w:r>
    </w:p>
    <w:p>
      <w:pPr>
        <w:wordWrap w:val="0"/>
        <w:adjustRightInd w:val="0"/>
        <w:snapToGrid w:val="0"/>
        <w:ind w:firstLine="560" w:firstLineChars="200"/>
        <w:textAlignment w:val="center"/>
        <w:rPr>
          <w:color w:val="auto"/>
          <w:kern w:val="0"/>
        </w:rPr>
      </w:pPr>
      <w:r>
        <w:rPr>
          <w:color w:val="auto"/>
          <w:kern w:val="0"/>
        </w:rPr>
        <w:t>装置与</w:t>
      </w:r>
      <w:r>
        <w:rPr>
          <w:rFonts w:hint="eastAsia"/>
          <w:color w:val="auto"/>
          <w:kern w:val="0"/>
        </w:rPr>
        <w:t>本项目仓库</w:t>
      </w:r>
      <w:r>
        <w:rPr>
          <w:color w:val="auto"/>
          <w:kern w:val="0"/>
        </w:rPr>
        <w:t>之间</w:t>
      </w:r>
      <w:r>
        <w:rPr>
          <w:rFonts w:hint="eastAsia"/>
          <w:color w:val="auto"/>
          <w:kern w:val="0"/>
        </w:rPr>
        <w:t>：本项目公司厂区其他</w:t>
      </w:r>
      <w:r>
        <w:rPr>
          <w:color w:val="auto"/>
          <w:kern w:val="0"/>
        </w:rPr>
        <w:t>装置与库房相互之间安全距离如不能符合《</w:t>
      </w:r>
      <w:r>
        <w:rPr>
          <w:rFonts w:hint="eastAsia"/>
          <w:color w:val="auto"/>
          <w:kern w:val="0"/>
        </w:rPr>
        <w:t>精细</w:t>
      </w:r>
      <w:r>
        <w:rPr>
          <w:color w:val="auto"/>
          <w:kern w:val="0"/>
        </w:rPr>
        <w:t>规》等规范要求，容易引发火灾爆炸事故及火灾蔓延，火情扩大，给消防灭火、事故处置和人员抢救都带来不利影响。</w:t>
      </w:r>
    </w:p>
    <w:p>
      <w:pPr>
        <w:wordWrap w:val="0"/>
        <w:adjustRightInd w:val="0"/>
        <w:snapToGrid w:val="0"/>
        <w:ind w:firstLine="560" w:firstLineChars="200"/>
        <w:textAlignment w:val="center"/>
        <w:rPr>
          <w:color w:val="auto"/>
          <w:kern w:val="0"/>
        </w:rPr>
      </w:pPr>
      <w:r>
        <w:rPr>
          <w:color w:val="auto"/>
          <w:kern w:val="0"/>
        </w:rPr>
        <w:t>厂区通道不畅；路面宽度、架空管道高度不符合消防要求；无环形通道或无回四场，都将给消防灭火带来不利影响。</w:t>
      </w:r>
    </w:p>
    <w:p>
      <w:pPr>
        <w:wordWrap w:val="0"/>
        <w:adjustRightInd w:val="0"/>
        <w:snapToGrid w:val="0"/>
        <w:ind w:firstLine="560" w:firstLineChars="200"/>
        <w:textAlignment w:val="center"/>
        <w:rPr>
          <w:color w:val="auto"/>
          <w:kern w:val="0"/>
        </w:rPr>
      </w:pPr>
      <w:r>
        <w:rPr>
          <w:color w:val="auto"/>
          <w:kern w:val="0"/>
        </w:rPr>
        <w:t>按规范要求设置出入口，合理的进行人流、物流，保证人员迅速疏散，物流畅通，有利于事故的应急处理。</w:t>
      </w:r>
    </w:p>
    <w:p>
      <w:pPr>
        <w:wordWrap w:val="0"/>
        <w:adjustRightInd w:val="0"/>
        <w:snapToGrid w:val="0"/>
        <w:ind w:firstLine="560" w:firstLineChars="200"/>
        <w:textAlignment w:val="center"/>
        <w:rPr>
          <w:color w:val="auto"/>
          <w:kern w:val="0"/>
        </w:rPr>
      </w:pPr>
      <w:r>
        <w:rPr>
          <w:rFonts w:hint="eastAsia"/>
          <w:color w:val="auto"/>
          <w:kern w:val="0"/>
        </w:rPr>
        <w:t>本项目甲类</w:t>
      </w:r>
      <w:r>
        <w:rPr>
          <w:color w:val="auto"/>
          <w:kern w:val="0"/>
        </w:rPr>
        <w:t>仓库其耐火等级</w:t>
      </w:r>
      <w:r>
        <w:rPr>
          <w:rFonts w:hint="eastAsia"/>
          <w:color w:val="auto"/>
          <w:kern w:val="0"/>
        </w:rPr>
        <w:t>不低于二级</w:t>
      </w:r>
      <w:r>
        <w:rPr>
          <w:color w:val="auto"/>
          <w:kern w:val="0"/>
        </w:rPr>
        <w:t>，符合防火要求，建构筑物间的防火间距满足《</w:t>
      </w:r>
      <w:r>
        <w:rPr>
          <w:rFonts w:hint="eastAsia"/>
          <w:color w:val="auto"/>
          <w:kern w:val="0"/>
        </w:rPr>
        <w:t>精细</w:t>
      </w:r>
      <w:r>
        <w:rPr>
          <w:color w:val="auto"/>
          <w:kern w:val="0"/>
        </w:rPr>
        <w:t>规》要求。</w:t>
      </w:r>
    </w:p>
    <w:p>
      <w:pPr>
        <w:pStyle w:val="4"/>
        <w:keepNext w:val="0"/>
        <w:keepLines w:val="0"/>
        <w:wordWrap w:val="0"/>
        <w:adjustRightInd w:val="0"/>
        <w:snapToGrid w:val="0"/>
        <w:jc w:val="center"/>
        <w:textAlignment w:val="center"/>
        <w:rPr>
          <w:color w:val="auto"/>
          <w:kern w:val="0"/>
        </w:rPr>
      </w:pPr>
      <w:bookmarkStart w:id="134" w:name="_Toc6842"/>
      <w:bookmarkStart w:id="135" w:name="_Toc25656"/>
      <w:bookmarkStart w:id="136" w:name="_Toc24592"/>
      <w:r>
        <w:rPr>
          <w:rFonts w:hint="eastAsia"/>
          <w:color w:val="auto"/>
          <w:kern w:val="0"/>
        </w:rPr>
        <w:t>3.4 按导致事故类别进行危险、有害因素辨识与分析</w:t>
      </w:r>
      <w:bookmarkEnd w:id="134"/>
      <w:bookmarkEnd w:id="135"/>
      <w:bookmarkEnd w:id="136"/>
    </w:p>
    <w:p>
      <w:pPr>
        <w:pStyle w:val="5"/>
        <w:keepNext w:val="0"/>
        <w:keepLines w:val="0"/>
        <w:wordWrap w:val="0"/>
        <w:adjustRightInd w:val="0"/>
        <w:snapToGrid w:val="0"/>
        <w:textAlignment w:val="center"/>
        <w:rPr>
          <w:color w:val="auto"/>
          <w:kern w:val="0"/>
        </w:rPr>
      </w:pPr>
      <w:bookmarkStart w:id="137" w:name="_Toc13463"/>
      <w:r>
        <w:rPr>
          <w:rFonts w:hint="eastAsia"/>
          <w:color w:val="auto"/>
          <w:kern w:val="0"/>
        </w:rPr>
        <w:t>3.4.1 生产过程中危险因素分析</w:t>
      </w:r>
      <w:bookmarkEnd w:id="137"/>
    </w:p>
    <w:p>
      <w:pPr>
        <w:wordWrap w:val="0"/>
        <w:adjustRightInd w:val="0"/>
        <w:snapToGrid w:val="0"/>
        <w:ind w:firstLine="560" w:firstLineChars="200"/>
        <w:textAlignment w:val="center"/>
        <w:rPr>
          <w:color w:val="auto"/>
          <w:kern w:val="0"/>
        </w:rPr>
      </w:pPr>
      <w:r>
        <w:rPr>
          <w:color w:val="auto"/>
          <w:kern w:val="0"/>
        </w:rPr>
        <w:t>根据物质的危险、有害因素和现场调查、了解的资料分析，按照《企业工伤事故分类》GB6441-1986的规定，该企业生产过程中的主要危险因素有：火灾、爆炸等，此外还存在中毒窒息</w:t>
      </w:r>
      <w:r>
        <w:rPr>
          <w:rFonts w:hint="eastAsia"/>
          <w:color w:val="auto"/>
          <w:kern w:val="0"/>
        </w:rPr>
        <w:t>、灼烫</w:t>
      </w:r>
      <w:r>
        <w:rPr>
          <w:color w:val="auto"/>
          <w:kern w:val="0"/>
        </w:rPr>
        <w:t>、触电</w:t>
      </w:r>
      <w:r>
        <w:rPr>
          <w:rFonts w:hint="eastAsia"/>
          <w:color w:val="auto"/>
          <w:kern w:val="0"/>
        </w:rPr>
        <w:t>、</w:t>
      </w:r>
      <w:r>
        <w:rPr>
          <w:color w:val="auto"/>
          <w:kern w:val="0"/>
        </w:rPr>
        <w:t>车辆伤害</w:t>
      </w:r>
      <w:r>
        <w:rPr>
          <w:rFonts w:hint="eastAsia"/>
          <w:color w:val="auto"/>
          <w:kern w:val="0"/>
        </w:rPr>
        <w:t>、坍塌以及噪声、高温与热辐射</w:t>
      </w:r>
      <w:r>
        <w:rPr>
          <w:color w:val="auto"/>
          <w:kern w:val="0"/>
        </w:rPr>
        <w:t>等危险、有害因素。</w:t>
      </w:r>
    </w:p>
    <w:p>
      <w:pPr>
        <w:pStyle w:val="6"/>
        <w:keepNext w:val="0"/>
        <w:keepLines w:val="0"/>
        <w:wordWrap w:val="0"/>
        <w:adjustRightInd w:val="0"/>
        <w:snapToGrid w:val="0"/>
        <w:textAlignment w:val="center"/>
        <w:rPr>
          <w:color w:val="auto"/>
          <w:kern w:val="0"/>
        </w:rPr>
      </w:pPr>
      <w:r>
        <w:rPr>
          <w:rFonts w:hint="eastAsia"/>
          <w:color w:val="auto"/>
          <w:kern w:val="0"/>
        </w:rPr>
        <w:t>3.4.1.1 火灾、爆炸</w:t>
      </w:r>
    </w:p>
    <w:p>
      <w:pPr>
        <w:wordWrap w:val="0"/>
        <w:adjustRightInd w:val="0"/>
        <w:snapToGrid w:val="0"/>
        <w:ind w:firstLine="560" w:firstLineChars="200"/>
        <w:textAlignment w:val="center"/>
        <w:rPr>
          <w:color w:val="auto"/>
          <w:kern w:val="0"/>
        </w:rPr>
      </w:pPr>
      <w:r>
        <w:rPr>
          <w:rFonts w:hint="eastAsia"/>
          <w:color w:val="auto"/>
          <w:kern w:val="0"/>
        </w:rPr>
        <w:t>本项目涉及储存的危险化学品大部分属于易燃易爆物质，环氧树脂、环氧树脂固化剂、溶剂型丙烯酸树脂、聚氨酯树脂、氟碳树脂、二甲苯、醋酸丁酯、正丁醇、丙烯酸树脂涂料、聚氨酯树脂涂料、环氧树脂涂料、氟碳树脂涂料等物质均属于易燃液体，火灾危险性分类中属甲、乙类，具有闪点低、爆炸极限宽的特点，其易燃，其蒸气与空气可形成爆炸性混合物，遇明火、高热能引起燃烧爆炸，与氧化剂接触，有爆炸危险。</w:t>
      </w:r>
    </w:p>
    <w:p>
      <w:pPr>
        <w:wordWrap w:val="0"/>
        <w:adjustRightInd w:val="0"/>
        <w:snapToGrid w:val="0"/>
        <w:ind w:firstLine="560" w:firstLineChars="200"/>
        <w:textAlignment w:val="center"/>
        <w:rPr>
          <w:color w:val="auto"/>
          <w:kern w:val="0"/>
        </w:rPr>
      </w:pPr>
      <w:r>
        <w:rPr>
          <w:rFonts w:hint="eastAsia"/>
          <w:color w:val="auto"/>
          <w:kern w:val="0"/>
        </w:rPr>
        <w:t>本项目发生火灾、爆炸危险的可能性如下：</w:t>
      </w:r>
    </w:p>
    <w:p>
      <w:pPr>
        <w:wordWrap w:val="0"/>
        <w:adjustRightInd w:val="0"/>
        <w:snapToGrid w:val="0"/>
        <w:ind w:firstLine="560" w:firstLineChars="200"/>
        <w:textAlignment w:val="center"/>
        <w:rPr>
          <w:color w:val="auto"/>
          <w:kern w:val="0"/>
        </w:rPr>
      </w:pPr>
      <w:r>
        <w:rPr>
          <w:rFonts w:hint="eastAsia"/>
          <w:color w:val="auto"/>
          <w:kern w:val="0"/>
        </w:rPr>
        <w:t>1、环氧树脂、环氧树脂固化剂、溶剂型丙烯酸树脂、聚氨酯树脂、氟碳树脂、二甲苯、醋酸丁酯、正丁醇、丙烯酸树脂涂料、聚氨酯树脂涂料、环氧树脂涂料、氟碳树脂涂料等易燃物料装卸造成桶装罐满溢泄漏。</w:t>
      </w:r>
    </w:p>
    <w:p>
      <w:pPr>
        <w:wordWrap w:val="0"/>
        <w:adjustRightInd w:val="0"/>
        <w:snapToGrid w:val="0"/>
        <w:ind w:firstLine="560" w:firstLineChars="200"/>
        <w:textAlignment w:val="center"/>
        <w:rPr>
          <w:color w:val="auto"/>
          <w:kern w:val="0"/>
        </w:rPr>
      </w:pPr>
      <w:r>
        <w:rPr>
          <w:rFonts w:hint="eastAsia"/>
          <w:color w:val="auto"/>
          <w:kern w:val="0"/>
        </w:rPr>
        <w:t>2、环氧树脂、环氧树脂固化剂、溶剂型丙烯酸树脂、聚氨酯树脂、氟碳树脂、二甲苯、醋酸丁酯、正丁醇、丙烯酸树脂涂料、聚氨酯树脂涂料、</w:t>
      </w:r>
    </w:p>
    <w:p>
      <w:pPr>
        <w:wordWrap w:val="0"/>
        <w:adjustRightInd w:val="0"/>
        <w:snapToGrid w:val="0"/>
        <w:ind w:firstLine="560" w:firstLineChars="200"/>
        <w:textAlignment w:val="center"/>
        <w:rPr>
          <w:color w:val="auto"/>
          <w:kern w:val="0"/>
        </w:rPr>
      </w:pPr>
      <w:r>
        <w:rPr>
          <w:rFonts w:hint="eastAsia"/>
          <w:color w:val="auto"/>
          <w:kern w:val="0"/>
        </w:rPr>
        <w:t>环氧树脂涂料、氟碳树脂涂料等易燃危险物料在装卸、搬运过程中采取滚动、违章使用叉车装卸或发生摔跌等造成包装容器损坏，遇到火源引起燃烧或爆炸。</w:t>
      </w:r>
    </w:p>
    <w:p>
      <w:pPr>
        <w:wordWrap w:val="0"/>
        <w:adjustRightInd w:val="0"/>
        <w:snapToGrid w:val="0"/>
        <w:ind w:firstLine="560" w:firstLineChars="200"/>
        <w:textAlignment w:val="center"/>
        <w:rPr>
          <w:color w:val="auto"/>
          <w:kern w:val="0"/>
        </w:rPr>
      </w:pPr>
      <w:r>
        <w:rPr>
          <w:rFonts w:hint="eastAsia"/>
          <w:color w:val="auto"/>
          <w:kern w:val="0"/>
        </w:rPr>
        <w:t>3、环氧树脂、环氧树脂固化剂、溶剂型丙烯酸树脂、聚氨酯树脂、氟碳树脂、二甲苯、醋酸丁酯、正丁醇、丙烯酸树脂涂料、聚氨酯树脂涂料、环氧树脂涂料、氟碳树脂涂料等物质均属于中、低闪点易燃液体，在夏季高温时极易挥发到空间积聚形成爆炸性气团，遇点火源发生燃烧、爆炸。</w:t>
      </w:r>
    </w:p>
    <w:p>
      <w:pPr>
        <w:wordWrap w:val="0"/>
        <w:adjustRightInd w:val="0"/>
        <w:snapToGrid w:val="0"/>
        <w:ind w:firstLine="560" w:firstLineChars="200"/>
        <w:textAlignment w:val="center"/>
        <w:rPr>
          <w:color w:val="auto"/>
          <w:kern w:val="0"/>
        </w:rPr>
      </w:pPr>
      <w:r>
        <w:rPr>
          <w:rFonts w:hint="eastAsia"/>
          <w:color w:val="auto"/>
          <w:kern w:val="0"/>
        </w:rPr>
        <w:t>4、进入防爆区域内的机动车辆，可能引发火灾、爆炸事故。</w:t>
      </w:r>
    </w:p>
    <w:p>
      <w:pPr>
        <w:wordWrap w:val="0"/>
        <w:adjustRightInd w:val="0"/>
        <w:snapToGrid w:val="0"/>
        <w:ind w:firstLine="560" w:firstLineChars="200"/>
        <w:textAlignment w:val="center"/>
        <w:rPr>
          <w:color w:val="auto"/>
          <w:kern w:val="0"/>
        </w:rPr>
      </w:pPr>
      <w:r>
        <w:rPr>
          <w:rFonts w:hint="eastAsia"/>
          <w:color w:val="auto"/>
          <w:kern w:val="0"/>
        </w:rPr>
        <w:t>5、员工操作错误或违规操作等，使用易产生火花的金属工具等，搬运桶装物料，不使用推车，直接将料桶滚过去或挪过去等，可能导致料桶破裂或产生火花，致使火灾、爆炸。</w:t>
      </w:r>
    </w:p>
    <w:p>
      <w:pPr>
        <w:wordWrap w:val="0"/>
        <w:adjustRightInd w:val="0"/>
        <w:snapToGrid w:val="0"/>
        <w:ind w:firstLine="560" w:firstLineChars="200"/>
        <w:textAlignment w:val="center"/>
        <w:rPr>
          <w:color w:val="auto"/>
          <w:kern w:val="0"/>
        </w:rPr>
      </w:pPr>
      <w:r>
        <w:rPr>
          <w:rFonts w:hint="eastAsia"/>
          <w:color w:val="auto"/>
          <w:kern w:val="0"/>
        </w:rPr>
        <w:t>6、可燃易燃物质桶装物料在装卸、搬运、包装、贮存过程中因碰撞、鼓包等原因造成包装容器损坏泄漏，遇到火源引起燃烧或爆炸。</w:t>
      </w:r>
    </w:p>
    <w:p>
      <w:pPr>
        <w:wordWrap w:val="0"/>
        <w:adjustRightInd w:val="0"/>
        <w:snapToGrid w:val="0"/>
        <w:ind w:firstLine="560" w:firstLineChars="200"/>
        <w:textAlignment w:val="center"/>
        <w:rPr>
          <w:color w:val="auto"/>
          <w:kern w:val="0"/>
        </w:rPr>
      </w:pPr>
      <w:r>
        <w:rPr>
          <w:rFonts w:hint="eastAsia"/>
          <w:color w:val="auto"/>
          <w:kern w:val="0"/>
        </w:rPr>
        <w:t>7、仓库内温度过高，密闭包装容器中物料汽化或受热分解，造成内部压力高，容器损坏泄漏。</w:t>
      </w:r>
    </w:p>
    <w:p>
      <w:pPr>
        <w:wordWrap w:val="0"/>
        <w:adjustRightInd w:val="0"/>
        <w:snapToGrid w:val="0"/>
        <w:ind w:firstLine="560" w:firstLineChars="200"/>
        <w:textAlignment w:val="center"/>
        <w:rPr>
          <w:color w:val="auto"/>
          <w:kern w:val="0"/>
        </w:rPr>
      </w:pPr>
      <w:r>
        <w:rPr>
          <w:rFonts w:hint="eastAsia"/>
          <w:color w:val="auto"/>
          <w:kern w:val="0"/>
        </w:rPr>
        <w:t>8、桶装物料堆垛不稳或堆垛过高，发生摔落造成包装损坏。</w:t>
      </w:r>
    </w:p>
    <w:p>
      <w:pPr>
        <w:wordWrap w:val="0"/>
        <w:adjustRightInd w:val="0"/>
        <w:snapToGrid w:val="0"/>
        <w:ind w:firstLine="560" w:firstLineChars="200"/>
        <w:textAlignment w:val="center"/>
        <w:rPr>
          <w:color w:val="auto"/>
          <w:kern w:val="0"/>
        </w:rPr>
      </w:pPr>
      <w:r>
        <w:rPr>
          <w:rFonts w:hint="eastAsia"/>
          <w:color w:val="auto"/>
          <w:kern w:val="0"/>
        </w:rPr>
        <w:t>9、受外部火灾影响或电气火灾、雷击影响，发生火灾、爆炸事故。</w:t>
      </w:r>
    </w:p>
    <w:p>
      <w:pPr>
        <w:wordWrap w:val="0"/>
        <w:adjustRightInd w:val="0"/>
        <w:snapToGrid w:val="0"/>
        <w:ind w:firstLine="560" w:firstLineChars="200"/>
        <w:textAlignment w:val="center"/>
        <w:rPr>
          <w:color w:val="auto"/>
          <w:kern w:val="0"/>
        </w:rPr>
      </w:pPr>
      <w:r>
        <w:rPr>
          <w:rFonts w:hint="eastAsia"/>
          <w:color w:val="auto"/>
          <w:kern w:val="0"/>
        </w:rPr>
        <w:t>10、安全设施失效，如各气体检测报警装置不灵敏，造成不能及时发现和消除故障或隐患，引发事故。</w:t>
      </w:r>
    </w:p>
    <w:p>
      <w:pPr>
        <w:wordWrap w:val="0"/>
        <w:adjustRightInd w:val="0"/>
        <w:snapToGrid w:val="0"/>
        <w:ind w:firstLine="560" w:firstLineChars="200"/>
        <w:textAlignment w:val="center"/>
        <w:rPr>
          <w:color w:val="auto"/>
          <w:kern w:val="0"/>
        </w:rPr>
      </w:pPr>
      <w:r>
        <w:rPr>
          <w:rFonts w:hint="eastAsia"/>
          <w:color w:val="auto"/>
          <w:kern w:val="0"/>
        </w:rPr>
        <w:t>11、检修作业时如需要动火，动火点距正在运行的装置较近，动火时易造成火灾、事故。</w:t>
      </w:r>
    </w:p>
    <w:p>
      <w:pPr>
        <w:wordWrap w:val="0"/>
        <w:adjustRightInd w:val="0"/>
        <w:snapToGrid w:val="0"/>
        <w:ind w:firstLine="560" w:firstLineChars="200"/>
        <w:textAlignment w:val="center"/>
        <w:rPr>
          <w:color w:val="auto"/>
          <w:kern w:val="0"/>
        </w:rPr>
      </w:pPr>
      <w:r>
        <w:rPr>
          <w:rFonts w:hint="eastAsia"/>
          <w:color w:val="auto"/>
          <w:kern w:val="0"/>
        </w:rPr>
        <w:t>12、物质发生火灾、爆炸的三个必要条件是可燃物，助燃物和足够的点火能量，三者缺一不可。本项目控制点火源对防止火灾、爆炸事故至关重要。</w:t>
      </w:r>
    </w:p>
    <w:p>
      <w:pPr>
        <w:wordWrap w:val="0"/>
        <w:adjustRightInd w:val="0"/>
        <w:snapToGrid w:val="0"/>
        <w:ind w:firstLine="560" w:firstLineChars="200"/>
        <w:textAlignment w:val="center"/>
        <w:rPr>
          <w:color w:val="auto"/>
          <w:kern w:val="0"/>
        </w:rPr>
      </w:pPr>
      <w:r>
        <w:rPr>
          <w:rFonts w:hint="eastAsia"/>
          <w:color w:val="auto"/>
          <w:kern w:val="0"/>
        </w:rPr>
        <w:t>13、在储存过程中，能够引起物料着火、爆炸的火源很多，如静电火花、电气火花、冲击摩擦热、雷电、化学反应热、高温物体及热辐射等。有些点火源很隐蔽，不易被人们察觉，如潜伏性强的静电。随着各种电气设备和自动化仪表的广泛应用，由于电接点接触不良、线路短路等所致的电火花引起的火灾明显增多。在易燃易爆物存在的场合，点火源越多，火灾危险性越大。</w:t>
      </w:r>
    </w:p>
    <w:p>
      <w:pPr>
        <w:wordWrap w:val="0"/>
        <w:adjustRightInd w:val="0"/>
        <w:snapToGrid w:val="0"/>
        <w:ind w:firstLine="560" w:firstLineChars="200"/>
        <w:textAlignment w:val="center"/>
        <w:rPr>
          <w:color w:val="auto"/>
          <w:kern w:val="0"/>
        </w:rPr>
      </w:pPr>
      <w:r>
        <w:rPr>
          <w:rFonts w:hint="eastAsia"/>
          <w:color w:val="auto"/>
          <w:kern w:val="0"/>
        </w:rPr>
        <w:t>14、易燃和可燃液体的桶装物料在装卸、搬运、包装、贮存过程中因碰撞、鼓包等原因造成包装容器损坏泄漏，遇到火源引起燃烧或爆炸。</w:t>
      </w:r>
    </w:p>
    <w:p>
      <w:pPr>
        <w:wordWrap w:val="0"/>
        <w:adjustRightInd w:val="0"/>
        <w:snapToGrid w:val="0"/>
        <w:ind w:firstLine="560" w:firstLineChars="200"/>
        <w:textAlignment w:val="center"/>
        <w:rPr>
          <w:color w:val="auto"/>
          <w:kern w:val="0"/>
        </w:rPr>
      </w:pPr>
      <w:r>
        <w:rPr>
          <w:rFonts w:hint="eastAsia"/>
          <w:color w:val="auto"/>
          <w:kern w:val="0"/>
        </w:rPr>
        <w:t>15、易燃易爆物料挥发产生的挥发性气体后随着风向扩散，与周围空气混合成易燃易爆混合物，存在火灾、爆炸危险性。</w:t>
      </w:r>
    </w:p>
    <w:p>
      <w:pPr>
        <w:wordWrap w:val="0"/>
        <w:adjustRightInd w:val="0"/>
        <w:snapToGrid w:val="0"/>
        <w:ind w:firstLine="560" w:firstLineChars="200"/>
        <w:textAlignment w:val="center"/>
        <w:rPr>
          <w:color w:val="auto"/>
          <w:kern w:val="0"/>
        </w:rPr>
      </w:pPr>
      <w:r>
        <w:rPr>
          <w:rFonts w:hint="eastAsia"/>
          <w:color w:val="auto"/>
          <w:kern w:val="0"/>
        </w:rPr>
        <w:t>16、仓库等储存场所，防雷防静电装置、设施失效，可引起火灾爆炸。</w:t>
      </w:r>
    </w:p>
    <w:p>
      <w:pPr>
        <w:wordWrap w:val="0"/>
        <w:adjustRightInd w:val="0"/>
        <w:snapToGrid w:val="0"/>
        <w:ind w:firstLine="560" w:firstLineChars="200"/>
        <w:textAlignment w:val="center"/>
        <w:rPr>
          <w:color w:val="auto"/>
          <w:kern w:val="0"/>
        </w:rPr>
      </w:pPr>
      <w:r>
        <w:rPr>
          <w:rFonts w:hint="eastAsia"/>
          <w:color w:val="auto"/>
          <w:kern w:val="0"/>
        </w:rPr>
        <w:t>17、外部火灾因素影响，亦可引起本项目火灾、爆炸事故发生。</w:t>
      </w:r>
    </w:p>
    <w:p>
      <w:pPr>
        <w:wordWrap w:val="0"/>
        <w:adjustRightInd w:val="0"/>
        <w:snapToGrid w:val="0"/>
        <w:ind w:firstLine="560" w:firstLineChars="200"/>
        <w:textAlignment w:val="center"/>
        <w:rPr>
          <w:color w:val="auto"/>
          <w:kern w:val="0"/>
        </w:rPr>
      </w:pPr>
      <w:r>
        <w:rPr>
          <w:rFonts w:hint="eastAsia"/>
          <w:color w:val="auto"/>
          <w:kern w:val="0"/>
        </w:rPr>
        <w:t>18、储存温度、湿度、通风条件不符；泄漏应急设施处置缺乏；违反装卸、搬运规范等，可引起火灾、爆炸、灼伤的危险。</w:t>
      </w:r>
    </w:p>
    <w:p>
      <w:pPr>
        <w:wordWrap w:val="0"/>
        <w:adjustRightInd w:val="0"/>
        <w:snapToGrid w:val="0"/>
        <w:ind w:firstLine="560" w:firstLineChars="200"/>
        <w:textAlignment w:val="center"/>
        <w:rPr>
          <w:color w:val="auto"/>
          <w:kern w:val="0"/>
        </w:rPr>
      </w:pPr>
      <w:r>
        <w:rPr>
          <w:rFonts w:hint="eastAsia"/>
          <w:color w:val="auto"/>
          <w:kern w:val="0"/>
        </w:rPr>
        <w:t>19、仓库内未设置安全周知卡、操作规程、严禁烟火等，可能会导致误操作引发事故发生。</w:t>
      </w:r>
    </w:p>
    <w:p>
      <w:pPr>
        <w:wordWrap w:val="0"/>
        <w:adjustRightInd w:val="0"/>
        <w:snapToGrid w:val="0"/>
        <w:ind w:firstLine="560" w:firstLineChars="200"/>
        <w:textAlignment w:val="center"/>
        <w:rPr>
          <w:color w:val="auto"/>
          <w:kern w:val="0"/>
        </w:rPr>
      </w:pPr>
      <w:r>
        <w:rPr>
          <w:rFonts w:hint="eastAsia"/>
          <w:color w:val="auto"/>
          <w:kern w:val="0"/>
        </w:rPr>
        <w:t>20、仓库缺乏防流散措施及泄漏物收集设施，一旦发生大规模泄露或火灾等情况造成库外环境污染，影响周边。</w:t>
      </w:r>
    </w:p>
    <w:p>
      <w:pPr>
        <w:wordWrap w:val="0"/>
        <w:adjustRightInd w:val="0"/>
        <w:snapToGrid w:val="0"/>
        <w:ind w:firstLine="560" w:firstLineChars="200"/>
        <w:textAlignment w:val="center"/>
        <w:rPr>
          <w:color w:val="auto"/>
          <w:kern w:val="0"/>
        </w:rPr>
      </w:pPr>
      <w:r>
        <w:rPr>
          <w:rFonts w:hint="eastAsia"/>
          <w:color w:val="auto"/>
          <w:kern w:val="0"/>
        </w:rPr>
        <w:t>21、桶装物料堆垛不稳或堆垛过高，发生摔落造成包装损坏。</w:t>
      </w:r>
    </w:p>
    <w:p>
      <w:pPr>
        <w:wordWrap w:val="0"/>
        <w:adjustRightInd w:val="0"/>
        <w:snapToGrid w:val="0"/>
        <w:textAlignment w:val="center"/>
        <w:outlineLvl w:val="3"/>
        <w:rPr>
          <w:b/>
          <w:bCs/>
          <w:color w:val="auto"/>
          <w:kern w:val="0"/>
        </w:rPr>
      </w:pPr>
      <w:r>
        <w:rPr>
          <w:rFonts w:hint="eastAsia"/>
          <w:b/>
          <w:bCs/>
          <w:color w:val="auto"/>
          <w:kern w:val="0"/>
        </w:rPr>
        <w:t>3.4.1.2 中毒、窒息</w:t>
      </w:r>
    </w:p>
    <w:p>
      <w:pPr>
        <w:wordWrap w:val="0"/>
        <w:adjustRightInd w:val="0"/>
        <w:snapToGrid w:val="0"/>
        <w:ind w:firstLine="560" w:firstLineChars="200"/>
        <w:textAlignment w:val="center"/>
        <w:rPr>
          <w:color w:val="auto"/>
          <w:kern w:val="0"/>
        </w:rPr>
      </w:pPr>
      <w:r>
        <w:rPr>
          <w:rFonts w:hint="eastAsia"/>
          <w:color w:val="auto"/>
          <w:kern w:val="0"/>
        </w:rPr>
        <w:t>本项目甲类仓库储存的正丁醇、二甲苯等均具有一定的毒性，其挥发的蒸气属于有害性气体，对眼睛、皮肤、黏膜都具有刺激作用。长期接触这些毒物会引起中毒。本项目可能发生中毒的途径有：</w:t>
      </w:r>
    </w:p>
    <w:p>
      <w:pPr>
        <w:wordWrap w:val="0"/>
        <w:adjustRightInd w:val="0"/>
        <w:snapToGrid w:val="0"/>
        <w:ind w:firstLine="560" w:firstLineChars="200"/>
        <w:textAlignment w:val="center"/>
        <w:rPr>
          <w:color w:val="auto"/>
          <w:kern w:val="0"/>
        </w:rPr>
      </w:pPr>
      <w:r>
        <w:rPr>
          <w:rFonts w:hint="eastAsia"/>
          <w:color w:val="auto"/>
          <w:kern w:val="0"/>
        </w:rPr>
        <w:t>1、中毒、窒息的环境因素</w:t>
      </w:r>
    </w:p>
    <w:p>
      <w:pPr>
        <w:wordWrap w:val="0"/>
        <w:adjustRightInd w:val="0"/>
        <w:snapToGrid w:val="0"/>
        <w:ind w:firstLine="560" w:firstLineChars="200"/>
        <w:textAlignment w:val="center"/>
        <w:rPr>
          <w:color w:val="auto"/>
          <w:kern w:val="0"/>
        </w:rPr>
      </w:pPr>
      <w:r>
        <w:rPr>
          <w:rFonts w:hint="eastAsia"/>
          <w:color w:val="auto"/>
          <w:kern w:val="0"/>
        </w:rPr>
        <w:t>1）泄漏的二甲苯等对人员有害液体挥发形成气团，可能威胁到厂外周围地区，造成大量人、畜中毒，使生态环境受到破坏，形成社会灾害性事故。</w:t>
      </w:r>
    </w:p>
    <w:p>
      <w:pPr>
        <w:wordWrap w:val="0"/>
        <w:adjustRightInd w:val="0"/>
        <w:snapToGrid w:val="0"/>
        <w:ind w:firstLine="560" w:firstLineChars="200"/>
        <w:textAlignment w:val="center"/>
        <w:rPr>
          <w:color w:val="auto"/>
          <w:kern w:val="0"/>
        </w:rPr>
      </w:pPr>
      <w:r>
        <w:rPr>
          <w:rFonts w:hint="eastAsia"/>
          <w:color w:val="auto"/>
          <w:kern w:val="0"/>
        </w:rPr>
        <w:t>2）二甲苯等有毒物料因包装破损、操作失误等原因泄漏后，经过吸入、食入或皮肤接触或受热分解，放出有害气体，会发生中毒窒息，高浓度环境下甚至死亡。</w:t>
      </w:r>
    </w:p>
    <w:p>
      <w:pPr>
        <w:wordWrap w:val="0"/>
        <w:adjustRightInd w:val="0"/>
        <w:snapToGrid w:val="0"/>
        <w:ind w:firstLine="560" w:firstLineChars="200"/>
        <w:textAlignment w:val="center"/>
        <w:rPr>
          <w:color w:val="auto"/>
          <w:kern w:val="0"/>
        </w:rPr>
      </w:pPr>
      <w:r>
        <w:rPr>
          <w:rFonts w:hint="eastAsia"/>
          <w:color w:val="auto"/>
          <w:kern w:val="0"/>
        </w:rPr>
        <w:t>3）二甲苯等有毒物料在运输、装卸等过程中，如果包装材质存在缺陷等，就会造成有害物料的泄漏，挥发形成蒸气环境引起人员中毒。</w:t>
      </w:r>
    </w:p>
    <w:p>
      <w:pPr>
        <w:wordWrap w:val="0"/>
        <w:adjustRightInd w:val="0"/>
        <w:snapToGrid w:val="0"/>
        <w:ind w:firstLine="560" w:firstLineChars="200"/>
        <w:textAlignment w:val="center"/>
        <w:rPr>
          <w:color w:val="auto"/>
          <w:kern w:val="0"/>
        </w:rPr>
      </w:pPr>
      <w:r>
        <w:rPr>
          <w:rFonts w:hint="eastAsia"/>
          <w:color w:val="auto"/>
          <w:kern w:val="0"/>
        </w:rPr>
        <w:t>4）管理不严、违章作业，防护不当或误操作，使毒害物品失控，也是造成人员中毒的因素之一。</w:t>
      </w:r>
    </w:p>
    <w:p>
      <w:pPr>
        <w:wordWrap w:val="0"/>
        <w:adjustRightInd w:val="0"/>
        <w:snapToGrid w:val="0"/>
        <w:ind w:firstLine="560" w:firstLineChars="200"/>
        <w:textAlignment w:val="center"/>
        <w:rPr>
          <w:color w:val="auto"/>
          <w:kern w:val="0"/>
        </w:rPr>
      </w:pPr>
      <w:r>
        <w:rPr>
          <w:rFonts w:hint="eastAsia"/>
          <w:color w:val="auto"/>
          <w:kern w:val="0"/>
        </w:rPr>
        <w:t>5）事故处理：在出现大量泄漏或火灾爆炸事故抢险，可能吸入高浓度有害物蒸气、吸入燃烧产物如一氧化等而中毒。</w:t>
      </w:r>
    </w:p>
    <w:p>
      <w:pPr>
        <w:wordWrap w:val="0"/>
        <w:adjustRightInd w:val="0"/>
        <w:snapToGrid w:val="0"/>
        <w:ind w:firstLine="560" w:firstLineChars="200"/>
        <w:textAlignment w:val="center"/>
        <w:rPr>
          <w:color w:val="auto"/>
          <w:kern w:val="0"/>
        </w:rPr>
      </w:pPr>
      <w:r>
        <w:rPr>
          <w:rFonts w:hint="eastAsia"/>
          <w:color w:val="auto"/>
          <w:kern w:val="0"/>
        </w:rPr>
        <w:t>2、中毒原因</w:t>
      </w:r>
    </w:p>
    <w:p>
      <w:pPr>
        <w:wordWrap w:val="0"/>
        <w:adjustRightInd w:val="0"/>
        <w:snapToGrid w:val="0"/>
        <w:ind w:firstLine="560" w:firstLineChars="200"/>
        <w:textAlignment w:val="center"/>
        <w:rPr>
          <w:color w:val="auto"/>
          <w:kern w:val="0"/>
        </w:rPr>
      </w:pPr>
      <w:r>
        <w:rPr>
          <w:rFonts w:hint="eastAsia"/>
          <w:color w:val="auto"/>
          <w:kern w:val="0"/>
        </w:rPr>
        <w:t>中毒发生的原因较为复杂，多数情况下不能用单一原因来解。常见中毒原因主要有以下几方面：</w:t>
      </w:r>
    </w:p>
    <w:p>
      <w:pPr>
        <w:wordWrap w:val="0"/>
        <w:adjustRightInd w:val="0"/>
        <w:snapToGrid w:val="0"/>
        <w:ind w:firstLine="560" w:firstLineChars="200"/>
        <w:textAlignment w:val="center"/>
        <w:rPr>
          <w:color w:val="auto"/>
          <w:kern w:val="0"/>
        </w:rPr>
      </w:pPr>
      <w:r>
        <w:rPr>
          <w:rFonts w:hint="eastAsia"/>
          <w:color w:val="auto"/>
          <w:kern w:val="0"/>
        </w:rPr>
        <w:t>1）有毒危险废物物料在储存、运输、使用过程中发生泄漏，造成局部高毒环境，毒物可以经过呼吸道、消化道、皮肤等途径进入作业人员体内，从而发生人员中毒事故。</w:t>
      </w:r>
    </w:p>
    <w:p>
      <w:pPr>
        <w:wordWrap w:val="0"/>
        <w:adjustRightInd w:val="0"/>
        <w:snapToGrid w:val="0"/>
        <w:ind w:firstLine="560" w:firstLineChars="200"/>
        <w:textAlignment w:val="center"/>
        <w:rPr>
          <w:color w:val="auto"/>
          <w:kern w:val="0"/>
        </w:rPr>
      </w:pPr>
      <w:r>
        <w:rPr>
          <w:rFonts w:hint="eastAsia"/>
          <w:color w:val="auto"/>
          <w:kern w:val="0"/>
        </w:rPr>
        <w:t>2）储存场所内通风设置或布置不善，自然通风差或换气量不足等，会造成毒性气体积聚，导致人员中毒、窒息。</w:t>
      </w:r>
    </w:p>
    <w:p>
      <w:pPr>
        <w:wordWrap w:val="0"/>
        <w:adjustRightInd w:val="0"/>
        <w:snapToGrid w:val="0"/>
        <w:ind w:firstLine="560" w:firstLineChars="200"/>
        <w:textAlignment w:val="center"/>
        <w:rPr>
          <w:color w:val="auto"/>
          <w:kern w:val="0"/>
        </w:rPr>
      </w:pPr>
      <w:r>
        <w:rPr>
          <w:rFonts w:hint="eastAsia"/>
          <w:color w:val="auto"/>
          <w:kern w:val="0"/>
        </w:rPr>
        <w:t>3）操作人员对使用的物料的毒性缺乏认知，忽视安全、忽视警告，未能严格遵守操作规程，操作时不佩戴必要的防护措施，容易造成中毒事故。</w:t>
      </w:r>
    </w:p>
    <w:p>
      <w:pPr>
        <w:wordWrap w:val="0"/>
        <w:adjustRightInd w:val="0"/>
        <w:snapToGrid w:val="0"/>
        <w:ind w:firstLine="560" w:firstLineChars="200"/>
        <w:textAlignment w:val="center"/>
        <w:rPr>
          <w:color w:val="auto"/>
          <w:kern w:val="0"/>
        </w:rPr>
      </w:pPr>
      <w:r>
        <w:rPr>
          <w:rFonts w:hint="eastAsia"/>
          <w:color w:val="auto"/>
          <w:kern w:val="0"/>
        </w:rPr>
        <w:t>4）当物料发生泄漏，如防护用品缺少或失效，操作人员缺乏泄漏物料</w:t>
      </w:r>
    </w:p>
    <w:p>
      <w:pPr>
        <w:wordWrap w:val="0"/>
        <w:adjustRightInd w:val="0"/>
        <w:snapToGrid w:val="0"/>
        <w:ind w:firstLine="560" w:firstLineChars="200"/>
        <w:textAlignment w:val="center"/>
        <w:rPr>
          <w:color w:val="auto"/>
          <w:kern w:val="0"/>
        </w:rPr>
      </w:pPr>
      <w:r>
        <w:rPr>
          <w:rFonts w:hint="eastAsia"/>
          <w:color w:val="auto"/>
          <w:kern w:val="0"/>
        </w:rPr>
        <w:t>的危险、危害特性及其应急预防方法的知识，可能导致人员中毒。</w:t>
      </w:r>
    </w:p>
    <w:p>
      <w:pPr>
        <w:wordWrap w:val="0"/>
        <w:adjustRightInd w:val="0"/>
        <w:snapToGrid w:val="0"/>
        <w:ind w:firstLine="560" w:firstLineChars="200"/>
        <w:textAlignment w:val="center"/>
        <w:rPr>
          <w:color w:val="auto"/>
          <w:kern w:val="0"/>
        </w:rPr>
      </w:pPr>
      <w:r>
        <w:rPr>
          <w:rFonts w:hint="eastAsia"/>
          <w:color w:val="auto"/>
          <w:kern w:val="0"/>
        </w:rPr>
        <w:t>5）在有毒环境下进行应急抢险作业，未按规定使用防毒用品，可能造成人员中毒；</w:t>
      </w:r>
    </w:p>
    <w:p>
      <w:pPr>
        <w:wordWrap w:val="0"/>
        <w:adjustRightInd w:val="0"/>
        <w:snapToGrid w:val="0"/>
        <w:ind w:firstLine="560" w:firstLineChars="200"/>
        <w:textAlignment w:val="center"/>
        <w:rPr>
          <w:color w:val="auto"/>
          <w:kern w:val="0"/>
        </w:rPr>
      </w:pPr>
      <w:r>
        <w:rPr>
          <w:rFonts w:hint="eastAsia"/>
          <w:color w:val="auto"/>
          <w:kern w:val="0"/>
        </w:rPr>
        <w:t>6）在有毒环境下进食、饮水，毒物随食物食入可能造成人员中毒，导致过敏性窒息。</w:t>
      </w:r>
    </w:p>
    <w:p>
      <w:pPr>
        <w:wordWrap w:val="0"/>
        <w:adjustRightInd w:val="0"/>
        <w:snapToGrid w:val="0"/>
        <w:ind w:firstLine="560" w:firstLineChars="200"/>
        <w:textAlignment w:val="center"/>
        <w:rPr>
          <w:color w:val="auto"/>
          <w:kern w:val="0"/>
        </w:rPr>
      </w:pPr>
      <w:r>
        <w:rPr>
          <w:rFonts w:hint="eastAsia"/>
          <w:color w:val="auto"/>
          <w:kern w:val="0"/>
        </w:rPr>
        <w:t>7）在发生火灾事故时，往往会产生大量有毒、有害的气体，也有可能造成其它有毒有害物料泄漏，引起人员中毒。</w:t>
      </w:r>
    </w:p>
    <w:p>
      <w:pPr>
        <w:wordWrap w:val="0"/>
        <w:adjustRightInd w:val="0"/>
        <w:snapToGrid w:val="0"/>
        <w:ind w:firstLine="560" w:firstLineChars="200"/>
        <w:textAlignment w:val="center"/>
        <w:rPr>
          <w:color w:val="auto"/>
          <w:kern w:val="0"/>
        </w:rPr>
      </w:pPr>
      <w:r>
        <w:rPr>
          <w:rFonts w:hint="eastAsia"/>
          <w:color w:val="auto"/>
          <w:kern w:val="0"/>
        </w:rPr>
        <w:t>8）没有个人防护用品；不使用或不当使用个人防护用品；缺乏安全知识；过度疲劳或其它不良身体状态；有从事有害作业的禁忌证。</w:t>
      </w:r>
    </w:p>
    <w:p>
      <w:pPr>
        <w:wordWrap w:val="0"/>
        <w:adjustRightInd w:val="0"/>
        <w:snapToGrid w:val="0"/>
        <w:ind w:firstLine="560" w:firstLineChars="200"/>
        <w:textAlignment w:val="center"/>
        <w:rPr>
          <w:color w:val="auto"/>
          <w:kern w:val="0"/>
        </w:rPr>
      </w:pPr>
      <w:r>
        <w:rPr>
          <w:rFonts w:hint="eastAsia"/>
          <w:color w:val="auto"/>
          <w:kern w:val="0"/>
        </w:rPr>
        <w:t>9）没有安全操作规程；违反安全操作制度或执行不当；没有安全警告标志或保障装置；缺乏必要的安全监护。</w:t>
      </w:r>
    </w:p>
    <w:p>
      <w:pPr>
        <w:wordWrap w:val="0"/>
        <w:adjustRightInd w:val="0"/>
        <w:snapToGrid w:val="0"/>
        <w:ind w:firstLine="560" w:firstLineChars="200"/>
        <w:textAlignment w:val="center"/>
        <w:rPr>
          <w:color w:val="auto"/>
          <w:kern w:val="0"/>
        </w:rPr>
      </w:pPr>
      <w:r>
        <w:rPr>
          <w:rFonts w:hint="eastAsia"/>
          <w:color w:val="auto"/>
          <w:kern w:val="0"/>
        </w:rPr>
        <w:t>10）化学品无毒性鉴定证明；化合物成分不明；化学品来源不明；化学品储存或放置不当；化学品转移或运输无标志或标志不清。</w:t>
      </w:r>
    </w:p>
    <w:p>
      <w:pPr>
        <w:wordWrap w:val="0"/>
        <w:adjustRightInd w:val="0"/>
        <w:snapToGrid w:val="0"/>
        <w:ind w:firstLine="560" w:firstLineChars="200"/>
        <w:textAlignment w:val="center"/>
        <w:rPr>
          <w:color w:val="auto"/>
          <w:kern w:val="0"/>
        </w:rPr>
      </w:pPr>
      <w:r>
        <w:rPr>
          <w:rFonts w:hint="eastAsia"/>
          <w:color w:val="auto"/>
          <w:kern w:val="0"/>
        </w:rPr>
        <w:t>11）安全培训工作不到位，从业人员缺乏基本的应急常识和自救互救能力。发生事故后，未采取安全措施，继续违章盲目施救，导致事故扩大。</w:t>
      </w:r>
    </w:p>
    <w:p>
      <w:pPr>
        <w:wordWrap w:val="0"/>
        <w:adjustRightInd w:val="0"/>
        <w:snapToGrid w:val="0"/>
        <w:textAlignment w:val="center"/>
        <w:outlineLvl w:val="3"/>
        <w:rPr>
          <w:rFonts w:cs="Times New Roman"/>
          <w:b/>
          <w:bCs/>
          <w:snapToGrid w:val="0"/>
          <w:color w:val="auto"/>
          <w:kern w:val="0"/>
          <w:szCs w:val="28"/>
        </w:rPr>
      </w:pPr>
      <w:r>
        <w:rPr>
          <w:rFonts w:cs="Times New Roman"/>
          <w:b/>
          <w:bCs/>
          <w:snapToGrid w:val="0"/>
          <w:color w:val="auto"/>
          <w:kern w:val="0"/>
          <w:szCs w:val="28"/>
        </w:rPr>
        <w:t>3.</w:t>
      </w:r>
      <w:r>
        <w:rPr>
          <w:rFonts w:hint="eastAsia" w:cs="Times New Roman"/>
          <w:b/>
          <w:bCs/>
          <w:snapToGrid w:val="0"/>
          <w:color w:val="auto"/>
          <w:kern w:val="0"/>
          <w:szCs w:val="28"/>
        </w:rPr>
        <w:t>4</w:t>
      </w:r>
      <w:r>
        <w:rPr>
          <w:rFonts w:cs="Times New Roman"/>
          <w:b/>
          <w:bCs/>
          <w:snapToGrid w:val="0"/>
          <w:color w:val="auto"/>
          <w:kern w:val="0"/>
          <w:szCs w:val="28"/>
        </w:rPr>
        <w:t>.</w:t>
      </w:r>
      <w:r>
        <w:rPr>
          <w:rFonts w:hint="eastAsia" w:cs="Times New Roman"/>
          <w:b/>
          <w:bCs/>
          <w:snapToGrid w:val="0"/>
          <w:color w:val="auto"/>
          <w:kern w:val="0"/>
          <w:szCs w:val="28"/>
        </w:rPr>
        <w:t>1.</w:t>
      </w:r>
      <w:r>
        <w:rPr>
          <w:rFonts w:cs="Times New Roman"/>
          <w:b/>
          <w:bCs/>
          <w:snapToGrid w:val="0"/>
          <w:color w:val="auto"/>
          <w:kern w:val="0"/>
          <w:szCs w:val="28"/>
        </w:rPr>
        <w:t xml:space="preserve">3 </w:t>
      </w:r>
      <w:r>
        <w:rPr>
          <w:rFonts w:hint="eastAsia" w:cs="Times New Roman"/>
          <w:b/>
          <w:bCs/>
          <w:snapToGrid w:val="0"/>
          <w:color w:val="auto"/>
          <w:kern w:val="0"/>
          <w:szCs w:val="28"/>
        </w:rPr>
        <w:t>灼烫</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本项目甲类仓库存储的危险</w:t>
      </w:r>
      <w:r>
        <w:rPr>
          <w:rFonts w:cs="Times New Roman"/>
          <w:snapToGrid w:val="0"/>
          <w:color w:val="auto"/>
          <w:kern w:val="0"/>
          <w:szCs w:val="28"/>
        </w:rPr>
        <w:t>化学品中，二甲苯</w:t>
      </w:r>
      <w:r>
        <w:rPr>
          <w:rFonts w:hint="eastAsia" w:cs="Times New Roman"/>
          <w:snapToGrid w:val="0"/>
          <w:color w:val="auto"/>
          <w:kern w:val="0"/>
          <w:szCs w:val="28"/>
        </w:rPr>
        <w:t>、</w:t>
      </w:r>
      <w:r>
        <w:rPr>
          <w:rFonts w:cs="Times New Roman"/>
          <w:snapToGrid w:val="0"/>
          <w:color w:val="auto"/>
          <w:kern w:val="0"/>
          <w:szCs w:val="28"/>
        </w:rPr>
        <w:t>正丁醇</w:t>
      </w:r>
      <w:r>
        <w:rPr>
          <w:rFonts w:hint="eastAsia"/>
          <w:color w:val="auto"/>
          <w:szCs w:val="28"/>
        </w:rPr>
        <w:t>等物质属于</w:t>
      </w:r>
      <w:r>
        <w:rPr>
          <w:rFonts w:cs="Times New Roman"/>
          <w:snapToGrid w:val="0"/>
          <w:color w:val="auto"/>
          <w:kern w:val="0"/>
          <w:szCs w:val="28"/>
        </w:rPr>
        <w:t>具有腐蚀性的危险化学品，该危险化学品如与皮肤、眼接触可引起化学灼伤，吸入可引起急性呼吸道刺激症状。</w:t>
      </w:r>
      <w:r>
        <w:rPr>
          <w:rFonts w:hint="eastAsia" w:cs="Times New Roman"/>
          <w:snapToGrid w:val="0"/>
          <w:color w:val="auto"/>
          <w:kern w:val="0"/>
          <w:szCs w:val="28"/>
        </w:rPr>
        <w:t>本项目出现化学灼伤的原因</w:t>
      </w:r>
      <w:r>
        <w:rPr>
          <w:rFonts w:cs="Times New Roman"/>
          <w:snapToGrid w:val="0"/>
          <w:color w:val="auto"/>
          <w:kern w:val="0"/>
          <w:szCs w:val="28"/>
        </w:rPr>
        <w:t>主要有以下几方面：</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1、含有腐蚀性物质</w:t>
      </w:r>
      <w:r>
        <w:rPr>
          <w:rFonts w:hint="eastAsia" w:cs="Times New Roman"/>
          <w:snapToGrid w:val="0"/>
          <w:color w:val="auto"/>
          <w:kern w:val="0"/>
          <w:szCs w:val="28"/>
        </w:rPr>
        <w:t>在装卸运输</w:t>
      </w:r>
      <w:r>
        <w:rPr>
          <w:rFonts w:cs="Times New Roman"/>
          <w:snapToGrid w:val="0"/>
          <w:color w:val="auto"/>
          <w:kern w:val="0"/>
          <w:szCs w:val="28"/>
        </w:rPr>
        <w:t>时发生泄露，接触到人员造成灼烫受伤。</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2、如果含有腐蚀性物质容器破裂</w:t>
      </w:r>
      <w:r>
        <w:rPr>
          <w:rFonts w:hint="eastAsia" w:cs="Times New Roman"/>
          <w:snapToGrid w:val="0"/>
          <w:color w:val="auto"/>
          <w:kern w:val="0"/>
          <w:szCs w:val="28"/>
        </w:rPr>
        <w:t>接触到人员</w:t>
      </w:r>
      <w:r>
        <w:rPr>
          <w:rFonts w:cs="Times New Roman"/>
          <w:snapToGrid w:val="0"/>
          <w:color w:val="auto"/>
          <w:kern w:val="0"/>
          <w:szCs w:val="28"/>
        </w:rPr>
        <w:t>等均可导致人体表面急性化学灼伤或人身伤亡事故。</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3、</w:t>
      </w:r>
      <w:r>
        <w:rPr>
          <w:rFonts w:cs="Times New Roman"/>
          <w:snapToGrid w:val="0"/>
          <w:color w:val="auto"/>
          <w:kern w:val="0"/>
          <w:szCs w:val="28"/>
        </w:rPr>
        <w:t>作业人员操作违章，引起飞溅；或因抢险等不慎接触腐蚀性物质对皮肤有原发性刺激和致灼伤作用，可导致人员化学灼伤。</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4</w:t>
      </w:r>
      <w:r>
        <w:rPr>
          <w:rFonts w:cs="Times New Roman"/>
          <w:snapToGrid w:val="0"/>
          <w:color w:val="auto"/>
          <w:kern w:val="0"/>
          <w:szCs w:val="28"/>
        </w:rPr>
        <w:t>、若工人在操作过程中因未正确佩戴劳保用品佩戴，未按照安全操作规程进行操作导致</w:t>
      </w:r>
      <w:r>
        <w:rPr>
          <w:rFonts w:hint="eastAsia" w:cs="Times New Roman"/>
          <w:snapToGrid w:val="0"/>
          <w:color w:val="auto"/>
          <w:kern w:val="0"/>
          <w:szCs w:val="28"/>
        </w:rPr>
        <w:t>腐蚀性物质</w:t>
      </w:r>
      <w:r>
        <w:rPr>
          <w:rFonts w:cs="Times New Roman"/>
          <w:snapToGrid w:val="0"/>
          <w:color w:val="auto"/>
          <w:kern w:val="0"/>
          <w:szCs w:val="28"/>
        </w:rPr>
        <w:t>发生泄漏或喷溅出来，溅到工人肢体上，造成人员化学灼伤。</w:t>
      </w:r>
    </w:p>
    <w:p>
      <w:pPr>
        <w:pStyle w:val="6"/>
        <w:keepNext w:val="0"/>
        <w:keepLines w:val="0"/>
        <w:wordWrap w:val="0"/>
        <w:adjustRightInd w:val="0"/>
        <w:snapToGrid w:val="0"/>
        <w:textAlignment w:val="center"/>
        <w:rPr>
          <w:color w:val="auto"/>
          <w:kern w:val="0"/>
        </w:rPr>
      </w:pPr>
      <w:r>
        <w:rPr>
          <w:rFonts w:hint="eastAsia"/>
          <w:color w:val="auto"/>
          <w:kern w:val="0"/>
        </w:rPr>
        <w:t>3.4.1.4 车辆伤害</w:t>
      </w:r>
    </w:p>
    <w:p>
      <w:pPr>
        <w:wordWrap w:val="0"/>
        <w:adjustRightInd w:val="0"/>
        <w:snapToGrid w:val="0"/>
        <w:ind w:firstLine="560" w:firstLineChars="200"/>
        <w:textAlignment w:val="center"/>
        <w:rPr>
          <w:color w:val="auto"/>
          <w:kern w:val="0"/>
        </w:rPr>
      </w:pPr>
      <w:r>
        <w:rPr>
          <w:color w:val="auto"/>
          <w:kern w:val="0"/>
        </w:rPr>
        <w:t>车辆伤害是指企业机动车辆在行使中引起的人体坠落和物体倒塌、下落、挤压伤亡事故；通常可因道路不良、视线不良、缺少行车安全警示标志、限速标志和道路指示以及车辆或驾驶员的管理等方面的缺陷均可能引发车辆伤害事故。</w:t>
      </w:r>
    </w:p>
    <w:p>
      <w:pPr>
        <w:wordWrap w:val="0"/>
        <w:adjustRightInd w:val="0"/>
        <w:snapToGrid w:val="0"/>
        <w:ind w:firstLine="560" w:firstLineChars="200"/>
        <w:textAlignment w:val="center"/>
        <w:rPr>
          <w:color w:val="auto"/>
          <w:kern w:val="0"/>
        </w:rPr>
      </w:pPr>
      <w:r>
        <w:rPr>
          <w:color w:val="auto"/>
          <w:kern w:val="0"/>
        </w:rPr>
        <w:t>项目物料的运进、运出均使用汽车、叉车等作为运输工具，企业的道路连着生产装置等，如果汽车速度较快、制动失灵、司机疏忽大意等时，可能发生车辆伤害的危险性；车辆运输亦可因道路参数、视线不良、缺少行车安全警示标志、限速标志和道路指示及车辆或驾驶员的管理等方面的缺陷引发车辆伤害事故。</w:t>
      </w:r>
    </w:p>
    <w:p>
      <w:pPr>
        <w:pStyle w:val="6"/>
        <w:keepNext w:val="0"/>
        <w:keepLines w:val="0"/>
        <w:wordWrap w:val="0"/>
        <w:adjustRightInd w:val="0"/>
        <w:snapToGrid w:val="0"/>
        <w:textAlignment w:val="center"/>
        <w:rPr>
          <w:color w:val="auto"/>
          <w:kern w:val="0"/>
        </w:rPr>
      </w:pPr>
      <w:r>
        <w:rPr>
          <w:rFonts w:hint="eastAsia"/>
          <w:color w:val="auto"/>
          <w:kern w:val="0"/>
        </w:rPr>
        <w:t>3.4.1.5 触电</w:t>
      </w:r>
    </w:p>
    <w:p>
      <w:pPr>
        <w:wordWrap w:val="0"/>
        <w:adjustRightInd w:val="0"/>
        <w:snapToGrid w:val="0"/>
        <w:ind w:firstLine="560" w:firstLineChars="200"/>
        <w:textAlignment w:val="center"/>
        <w:rPr>
          <w:color w:val="auto"/>
          <w:kern w:val="0"/>
        </w:rPr>
      </w:pPr>
      <w:r>
        <w:rPr>
          <w:color w:val="auto"/>
          <w:kern w:val="0"/>
        </w:rPr>
        <w:t>触电是由于电流及其转换成的其他形式的能量造成的事故。人身直接接触电源，简称触电。</w:t>
      </w:r>
    </w:p>
    <w:p>
      <w:pPr>
        <w:wordWrap w:val="0"/>
        <w:adjustRightInd w:val="0"/>
        <w:snapToGrid w:val="0"/>
        <w:ind w:firstLine="560" w:firstLineChars="200"/>
        <w:textAlignment w:val="center"/>
        <w:rPr>
          <w:color w:val="auto"/>
          <w:kern w:val="0"/>
        </w:rPr>
      </w:pPr>
      <w:r>
        <w:rPr>
          <w:color w:val="auto"/>
          <w:kern w:val="0"/>
        </w:rPr>
        <w:t>1）触电种类</w:t>
      </w:r>
    </w:p>
    <w:p>
      <w:pPr>
        <w:wordWrap w:val="0"/>
        <w:adjustRightInd w:val="0"/>
        <w:snapToGrid w:val="0"/>
        <w:ind w:firstLine="560" w:firstLineChars="200"/>
        <w:textAlignment w:val="center"/>
        <w:rPr>
          <w:color w:val="auto"/>
          <w:kern w:val="0"/>
        </w:rPr>
      </w:pPr>
      <w:r>
        <w:rPr>
          <w:color w:val="auto"/>
          <w:kern w:val="0"/>
        </w:rPr>
        <w:t>（1）电气伤害主要包括电击、电伤、电弧灼伤以及触电的二次事故。</w:t>
      </w:r>
    </w:p>
    <w:p>
      <w:pPr>
        <w:wordWrap w:val="0"/>
        <w:adjustRightInd w:val="0"/>
        <w:snapToGrid w:val="0"/>
        <w:ind w:firstLine="560" w:firstLineChars="200"/>
        <w:textAlignment w:val="center"/>
        <w:rPr>
          <w:color w:val="auto"/>
          <w:kern w:val="0"/>
        </w:rPr>
      </w:pPr>
      <w:r>
        <w:rPr>
          <w:color w:val="auto"/>
          <w:kern w:val="0"/>
        </w:rPr>
        <w:t>（2）电击是电流通过人体内部，破坏人的心脏、肺及神经系统的正常功能，极易引起死亡。</w:t>
      </w:r>
    </w:p>
    <w:p>
      <w:pPr>
        <w:wordWrap w:val="0"/>
        <w:adjustRightInd w:val="0"/>
        <w:snapToGrid w:val="0"/>
        <w:ind w:firstLine="560" w:firstLineChars="200"/>
        <w:textAlignment w:val="center"/>
        <w:rPr>
          <w:color w:val="auto"/>
          <w:kern w:val="0"/>
        </w:rPr>
      </w:pPr>
      <w:r>
        <w:rPr>
          <w:color w:val="auto"/>
          <w:kern w:val="0"/>
        </w:rPr>
        <w:t>（3）电伤则是电流的热效应，化学效应或机械效应对人形成的伤害，主要表现形式为电烧伤、电烙印和皮肤金属化。</w:t>
      </w:r>
    </w:p>
    <w:p>
      <w:pPr>
        <w:wordWrap w:val="0"/>
        <w:adjustRightInd w:val="0"/>
        <w:snapToGrid w:val="0"/>
        <w:ind w:firstLine="560" w:firstLineChars="200"/>
        <w:textAlignment w:val="center"/>
        <w:rPr>
          <w:color w:val="auto"/>
          <w:kern w:val="0"/>
        </w:rPr>
      </w:pPr>
      <w:r>
        <w:rPr>
          <w:color w:val="auto"/>
          <w:kern w:val="0"/>
        </w:rPr>
        <w:t>（4）电弧灼伤主要表现在违章操作如带负荷送电或停电，绝缘损坏或人为造成短路，引发电弧可能造成电灼伤事故。现场检修动火的电焊作业亦会引起电弧灼伤事故。</w:t>
      </w:r>
    </w:p>
    <w:p>
      <w:pPr>
        <w:wordWrap w:val="0"/>
        <w:adjustRightInd w:val="0"/>
        <w:snapToGrid w:val="0"/>
        <w:ind w:firstLine="560" w:firstLineChars="200"/>
        <w:textAlignment w:val="center"/>
        <w:rPr>
          <w:color w:val="auto"/>
          <w:kern w:val="0"/>
        </w:rPr>
      </w:pPr>
      <w:r>
        <w:rPr>
          <w:color w:val="auto"/>
          <w:kern w:val="0"/>
        </w:rPr>
        <w:t>（5）触电的二次事故是指人体触及的电流较小，一般小于摆脱电流时由于电流刺激而引起肌肉、关节振颤、痉挛而坠落、摔倒造成的伤害，其后果不明朗，可能对人员造成更大伤害。</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2）触电伤害途径</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1）原本不带电的物体，因电气系统发生故障而异常带电，可导致触电事故的发生。如电气设备的金属外壳，由于内部绝缘不良而带电；高压故障接地时，在接地处附近呈现出较高的跨步电压，均可造成触电事故。</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2）电缆若没有采取有效的阻燃和其他预防电缆层损坏的措施；电气设备接地接零措施不完善；临时性及移动设备（含手持电动工具及插座）的供电没有采用漏电保护器或漏电保护器性能不完善等都会造成生产设备及电动设备，厂房电器设备漏电而引发触电伤亡事故。</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车间</w:t>
      </w:r>
      <w:r>
        <w:rPr>
          <w:rFonts w:hint="eastAsia"/>
          <w:color w:val="auto"/>
          <w:kern w:val="0"/>
        </w:rPr>
        <w:t>存在</w:t>
      </w:r>
      <w:r>
        <w:rPr>
          <w:color w:val="auto"/>
          <w:kern w:val="0"/>
        </w:rPr>
        <w:t>使用电气设备及相应的变配电系统，如防护设施缺陷或不严格遵守操作规程，或者开关线路等电气材料本身存在缺陷、绝缘性能下降、设备保护接地失效、作业人员违章作业、个人防护缺陷等，可引发电气伤害事故。此外，带负荷操作时，若不严格遵守安全操作规程，有可能造成电弧烧伤。</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rFonts w:hint="eastAsia"/>
          <w:color w:val="auto"/>
          <w:kern w:val="0"/>
        </w:rPr>
        <w:t>3）</w:t>
      </w:r>
      <w:r>
        <w:rPr>
          <w:color w:val="auto"/>
          <w:kern w:val="0"/>
        </w:rPr>
        <w:t>电气的危险主要体现在：</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rFonts w:hint="eastAsia"/>
          <w:color w:val="auto"/>
          <w:kern w:val="0"/>
        </w:rPr>
        <w:t>（1）</w:t>
      </w:r>
      <w:r>
        <w:rPr>
          <w:color w:val="auto"/>
          <w:kern w:val="0"/>
        </w:rPr>
        <w:t>触电的危险，主要表现在带电体无保护或保护不当及残余电压引起的触电危险；电气设备绝缘不当或绝缘失效引起的触电危险；电气设备未按规定采取接地措施引起的触电危险。</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rFonts w:hint="eastAsia"/>
          <w:color w:val="auto"/>
          <w:kern w:val="0"/>
        </w:rPr>
        <w:t>（2）</w:t>
      </w:r>
      <w:r>
        <w:rPr>
          <w:color w:val="auto"/>
          <w:kern w:val="0"/>
        </w:rPr>
        <w:t>电气设备的保护措施不当引起的危险，表现在电气设备中的电流超过额定值或导线的载流能力，而无过流保护或过流保护不当引起的危险；电动机无过载保护或过载保护不当引起的危险；电动机超速引起的危险；电压过低、电压过高或电源中断引起的危险；电气设备产生静电引起的电击、燃烧、爆炸危险；电磁干扰使电气设备无法正常运行或产生误动作的危险及电磁辐射损害人身健康的危险；控制电路（或与其相关的元器件）失灵或损坏引起机床意外起动或误动作的危险；控制器件（按钮、指示灯等）的选择和安装不符合设计规定引起的危险</w:t>
      </w:r>
      <w:r>
        <w:rPr>
          <w:rFonts w:hint="eastAsia"/>
          <w:color w:val="auto"/>
          <w:kern w:val="0"/>
        </w:rPr>
        <w:t>。</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rFonts w:hint="eastAsia"/>
          <w:color w:val="auto"/>
          <w:kern w:val="0"/>
        </w:rPr>
        <w:t>4）</w:t>
      </w:r>
      <w:r>
        <w:rPr>
          <w:color w:val="auto"/>
          <w:kern w:val="0"/>
        </w:rPr>
        <w:t>引起触电的主要途径有：直接与带电体接；与绝缘损坏电气设备接触；跨步电压触电。</w:t>
      </w:r>
    </w:p>
    <w:p>
      <w:pPr>
        <w:pStyle w:val="6"/>
        <w:keepNext w:val="0"/>
        <w:keepLines w:val="0"/>
        <w:pageBreakBefore w:val="0"/>
        <w:widowControl w:val="0"/>
        <w:kinsoku/>
        <w:wordWrap w:val="0"/>
        <w:overflowPunct/>
        <w:topLinePunct w:val="0"/>
        <w:autoSpaceDE/>
        <w:autoSpaceDN/>
        <w:bidi w:val="0"/>
        <w:adjustRightInd w:val="0"/>
        <w:snapToGrid w:val="0"/>
        <w:spacing w:line="610" w:lineRule="exact"/>
        <w:textAlignment w:val="center"/>
        <w:rPr>
          <w:color w:val="auto"/>
          <w:kern w:val="0"/>
        </w:rPr>
      </w:pPr>
      <w:r>
        <w:rPr>
          <w:rFonts w:hint="eastAsia"/>
          <w:color w:val="auto"/>
          <w:kern w:val="0"/>
        </w:rPr>
        <w:t>3.4.1.6 坍塌</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本生产装置的物料堆积点、仓库。由于桶装或袋装化学品的无序堆放、外力撞击引起坍塌、自然灾害、人员误操作等因素容易造成坍塌伤人事故。</w:t>
      </w:r>
    </w:p>
    <w:p>
      <w:pPr>
        <w:keepNext w:val="0"/>
        <w:keepLines w:val="0"/>
        <w:pageBreakBefore w:val="0"/>
        <w:widowControl w:val="0"/>
        <w:kinsoku/>
        <w:wordWrap w:val="0"/>
        <w:overflowPunct/>
        <w:topLinePunct w:val="0"/>
        <w:autoSpaceDE/>
        <w:autoSpaceDN/>
        <w:bidi w:val="0"/>
        <w:adjustRightInd w:val="0"/>
        <w:snapToGrid w:val="0"/>
        <w:spacing w:line="610" w:lineRule="exact"/>
        <w:ind w:firstLine="560" w:firstLineChars="200"/>
        <w:textAlignment w:val="center"/>
        <w:rPr>
          <w:color w:val="auto"/>
          <w:kern w:val="0"/>
        </w:rPr>
      </w:pPr>
      <w:r>
        <w:rPr>
          <w:color w:val="auto"/>
          <w:kern w:val="0"/>
        </w:rPr>
        <w:t>厂区工程地质不符合要求或发生地震灾害时，会造成建成的建、构筑物坍塌。建（构）筑物、钢结构件等若强度、刚性不足，或质量存在缺陷，有发生坍塌的可能。</w:t>
      </w:r>
    </w:p>
    <w:p>
      <w:pPr>
        <w:pStyle w:val="5"/>
        <w:keepNext w:val="0"/>
        <w:keepLines w:val="0"/>
        <w:wordWrap w:val="0"/>
        <w:adjustRightInd w:val="0"/>
        <w:snapToGrid w:val="0"/>
        <w:textAlignment w:val="center"/>
        <w:rPr>
          <w:color w:val="auto"/>
          <w:kern w:val="0"/>
        </w:rPr>
      </w:pPr>
      <w:bookmarkStart w:id="138" w:name="_Toc18873"/>
      <w:r>
        <w:rPr>
          <w:rFonts w:hint="eastAsia"/>
          <w:color w:val="auto"/>
          <w:kern w:val="0"/>
        </w:rPr>
        <w:t>3.4.2 主要设备、设施危险性分析</w:t>
      </w:r>
      <w:bookmarkEnd w:id="138"/>
    </w:p>
    <w:p>
      <w:pPr>
        <w:wordWrap w:val="0"/>
        <w:adjustRightInd w:val="0"/>
        <w:snapToGrid w:val="0"/>
        <w:ind w:firstLine="560" w:firstLineChars="200"/>
        <w:textAlignment w:val="center"/>
        <w:rPr>
          <w:color w:val="auto"/>
          <w:kern w:val="0"/>
        </w:rPr>
      </w:pPr>
      <w:r>
        <w:rPr>
          <w:rFonts w:hint="eastAsia"/>
          <w:color w:val="auto"/>
          <w:kern w:val="0"/>
        </w:rPr>
        <w:t>本项目为安全设施提升改造项目，新建甲类仓库1座，涉及的</w:t>
      </w:r>
      <w:r>
        <w:rPr>
          <w:color w:val="auto"/>
          <w:kern w:val="0"/>
        </w:rPr>
        <w:t>主要设备设施</w:t>
      </w:r>
      <w:r>
        <w:rPr>
          <w:rFonts w:hint="eastAsia"/>
          <w:color w:val="auto"/>
          <w:kern w:val="0"/>
        </w:rPr>
        <w:t>为风机等</w:t>
      </w:r>
      <w:r>
        <w:rPr>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仓库风机等设备</w:t>
      </w:r>
      <w:r>
        <w:rPr>
          <w:color w:val="auto"/>
          <w:kern w:val="0"/>
        </w:rPr>
        <w:t>存在着卷入伤害的危险。机械设备部件或工具直接与人体接触，可能发生挤压、夹击、碰撞、卷绞、割刺等危险。机械设备的保险、信号装置有缺陷；机械设备裸露的传动、转动部位绞、碾、碰、戳、卷缠，伤及人体</w:t>
      </w:r>
      <w:r>
        <w:rPr>
          <w:rFonts w:hint="eastAsia"/>
          <w:color w:val="auto"/>
          <w:kern w:val="0"/>
        </w:rPr>
        <w:t>，</w:t>
      </w:r>
      <w:r>
        <w:rPr>
          <w:color w:val="auto"/>
          <w:kern w:val="0"/>
        </w:rPr>
        <w:t>造成</w:t>
      </w:r>
      <w:r>
        <w:rPr>
          <w:rFonts w:hint="eastAsia"/>
          <w:color w:val="auto"/>
          <w:kern w:val="0"/>
        </w:rPr>
        <w:t>机械伤害</w:t>
      </w:r>
      <w:r>
        <w:rPr>
          <w:color w:val="auto"/>
          <w:kern w:val="0"/>
        </w:rPr>
        <w:t>事故。</w:t>
      </w:r>
    </w:p>
    <w:p>
      <w:pPr>
        <w:pStyle w:val="5"/>
        <w:keepNext w:val="0"/>
        <w:keepLines w:val="0"/>
        <w:wordWrap w:val="0"/>
        <w:adjustRightInd w:val="0"/>
        <w:snapToGrid w:val="0"/>
        <w:textAlignment w:val="center"/>
        <w:rPr>
          <w:color w:val="auto"/>
          <w:kern w:val="0"/>
        </w:rPr>
      </w:pPr>
      <w:bookmarkStart w:id="139" w:name="_Toc24862"/>
      <w:r>
        <w:rPr>
          <w:rFonts w:hint="eastAsia"/>
          <w:color w:val="auto"/>
          <w:kern w:val="0"/>
        </w:rPr>
        <w:t>3.4.3 装卸过程中的危险有害因素</w:t>
      </w:r>
      <w:bookmarkEnd w:id="139"/>
    </w:p>
    <w:p>
      <w:pPr>
        <w:wordWrap w:val="0"/>
        <w:adjustRightInd w:val="0"/>
        <w:snapToGrid w:val="0"/>
        <w:ind w:firstLine="560" w:firstLineChars="200"/>
        <w:jc w:val="left"/>
        <w:textAlignment w:val="center"/>
        <w:rPr>
          <w:rFonts w:cs="Times New Roman"/>
          <w:color w:val="auto"/>
          <w:kern w:val="0"/>
          <w:szCs w:val="28"/>
        </w:rPr>
      </w:pPr>
      <w:r>
        <w:rPr>
          <w:rFonts w:hint="eastAsia"/>
          <w:color w:val="auto"/>
          <w:kern w:val="0"/>
        </w:rPr>
        <w:t>本项目涉及的危险化学品大部分属于易燃易爆物质，环氧树脂、环氧树脂固化剂、溶剂型丙烯酸树脂、聚氨酯树脂、氟碳树脂、二甲苯、醋酸丁酯、正丁醇、丙烯酸树脂涂料、聚氨酯树脂涂料、环氧树脂涂料、氟碳树脂涂料等物质均属于易燃液体，火灾危险性分类中属甲、乙类，具有闪点低、爆炸极限宽的特点，其易燃，其蒸气与空气可形成爆炸性混合物，遇明火、高热能引起燃烧爆炸，与氧化剂接触，有爆炸危险。</w:t>
      </w:r>
      <w:r>
        <w:rPr>
          <w:rFonts w:cs="Times New Roman"/>
          <w:color w:val="auto"/>
          <w:kern w:val="0"/>
          <w:szCs w:val="28"/>
        </w:rPr>
        <w:t>因此，本项目在</w:t>
      </w:r>
      <w:r>
        <w:rPr>
          <w:rFonts w:hint="eastAsia" w:cs="Times New Roman"/>
          <w:color w:val="auto"/>
          <w:kern w:val="0"/>
          <w:szCs w:val="28"/>
        </w:rPr>
        <w:t>装卸</w:t>
      </w:r>
      <w:r>
        <w:rPr>
          <w:rFonts w:cs="Times New Roman"/>
          <w:color w:val="auto"/>
          <w:kern w:val="0"/>
          <w:szCs w:val="28"/>
        </w:rPr>
        <w:t>过程中的危险、有害因素为</w:t>
      </w:r>
      <w:r>
        <w:rPr>
          <w:rFonts w:hint="eastAsia" w:cs="Times New Roman"/>
          <w:color w:val="auto"/>
          <w:kern w:val="0"/>
          <w:szCs w:val="28"/>
        </w:rPr>
        <w:t>火灾爆炸、中毒窒息、灼烫以及</w:t>
      </w:r>
      <w:r>
        <w:rPr>
          <w:rFonts w:cs="Times New Roman"/>
          <w:color w:val="auto"/>
          <w:kern w:val="0"/>
          <w:szCs w:val="28"/>
        </w:rPr>
        <w:t>车辆伤害。</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在装卸、搬运物料等作业过程中，如果在搬运过程中野蛮操作，且所搬运物装车受力不平衡，道路不平整均可产生翻车倾倒，引发安全事故。</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如果车间的设备布置和工艺设施的布置场地狭小等均有可能发生挤、压、碰、擦、刮等伤害。还有在汽车上装卸过程中也会因为工人精神不集中或者工人互相不协调发生挤、碰、砸伤事故。</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如由于桶装、袋装物料堆放不整齐、不牢固，易产生坍塌、物体打击等意外事故；如运转的排风机可能会造成的机械伤害事故等。</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该公司运输以汽车为主。车辆运输、装卸过程风险防范包括交通事故防范等。</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运输卸装过程也要严格按照国家有关规定执行，该公司运输或委托运输危险化学品的车辆必须办理“危险化学品三证”，必须配备相应的消防器材，有经过消防安全培训合格的驾驶员、押运员，并提倡今后开展第三方现代物流运输方式。</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危险化学品装卸前后，必须对车辆和库房进行必要的通风、清扫干净，装卸作业使用的工具必须能防止产生火花，必须有各种防护装置。</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每次运输前应准确告诉司机和押运人员有关运输物质的性质和事故应急处理方法，确保在事故发生情况下仍能事故应急，减缓影响。</w:t>
      </w:r>
    </w:p>
    <w:p>
      <w:pPr>
        <w:pStyle w:val="5"/>
        <w:keepNext w:val="0"/>
        <w:keepLines w:val="0"/>
        <w:wordWrap w:val="0"/>
        <w:adjustRightInd w:val="0"/>
        <w:snapToGrid w:val="0"/>
        <w:textAlignment w:val="center"/>
        <w:rPr>
          <w:color w:val="auto"/>
          <w:kern w:val="0"/>
        </w:rPr>
      </w:pPr>
      <w:bookmarkStart w:id="140" w:name="_Toc10688"/>
      <w:r>
        <w:rPr>
          <w:rFonts w:hint="eastAsia"/>
          <w:color w:val="auto"/>
          <w:kern w:val="0"/>
        </w:rPr>
        <w:t>3.4.4 公用辅助工程危险性分析</w:t>
      </w:r>
      <w:bookmarkEnd w:id="140"/>
    </w:p>
    <w:p>
      <w:pPr>
        <w:wordWrap w:val="0"/>
        <w:adjustRightInd w:val="0"/>
        <w:snapToGrid w:val="0"/>
        <w:ind w:firstLine="560" w:firstLineChars="200"/>
        <w:textAlignment w:val="center"/>
        <w:rPr>
          <w:color w:val="auto"/>
          <w:kern w:val="0"/>
        </w:rPr>
      </w:pPr>
      <w:r>
        <w:rPr>
          <w:rFonts w:hint="eastAsia"/>
          <w:color w:val="auto"/>
          <w:kern w:val="0"/>
        </w:rPr>
        <w:t>1、触电</w:t>
      </w:r>
    </w:p>
    <w:p>
      <w:pPr>
        <w:wordWrap w:val="0"/>
        <w:adjustRightInd w:val="0"/>
        <w:snapToGrid w:val="0"/>
        <w:ind w:firstLine="560" w:firstLineChars="200"/>
        <w:textAlignment w:val="center"/>
        <w:rPr>
          <w:color w:val="auto"/>
          <w:kern w:val="0"/>
        </w:rPr>
      </w:pPr>
      <w:r>
        <w:rPr>
          <w:rFonts w:hint="eastAsia"/>
          <w:color w:val="auto"/>
          <w:kern w:val="0"/>
        </w:rPr>
        <w:t>仓库的开关、照明配电柜等均存在直接接触电击及间接接触电击的可能。如电气线路或电气设备在设计、安装上存在缺陷，或在运行中，缺乏必要的检修维护，使设备或线路存在漏电、过热、短路、接头松脱、折线碰壳、绝缘老化、绝缘击穿、绝缘损坏、PE线断线等隐患，致使直接接触和间接接触的防护措施不到位；没有完成必要的保证安全的技术措施（如停电、验电、装设接地线、悬挂标志牌和装设遮拦）；电气设备运行管理不当，安全管理制度不完善；没有必要的保证安全的组织措施（工作票制度、工作许可制度、工作监护制度、工作间断转移和终结制度）；电工或机电设备操作人员的操作失误或违章作业等；操作无监护或监护不力意外触及带电体；未按规程正确使用电工安全用具（绝缘用具、屏护、警示牌等）；带负荷（特别是感性负荷）拉开裸露的闸刀开关；绝缘破坏、设备漏电；误操作引起短路；线路短路、开启式熔断器熔断时，炽热的金属微粒飞溅；人体过于接近带电体等；误操作引起短路；以上原因均可能导致触电。</w:t>
      </w:r>
    </w:p>
    <w:p>
      <w:pPr>
        <w:wordWrap w:val="0"/>
        <w:adjustRightInd w:val="0"/>
        <w:snapToGrid w:val="0"/>
        <w:ind w:firstLine="560" w:firstLineChars="200"/>
        <w:textAlignment w:val="center"/>
        <w:rPr>
          <w:color w:val="auto"/>
          <w:kern w:val="0"/>
        </w:rPr>
      </w:pPr>
      <w:r>
        <w:rPr>
          <w:rFonts w:hint="eastAsia"/>
          <w:color w:val="auto"/>
          <w:kern w:val="0"/>
        </w:rPr>
        <w:t>本项目甲类仓库涉及使用电气设备和电线电缆。如果电气设备或线路绝缘因击穿、老化、腐蚀、机械损坏等失效；电气设备未装设屏护装置将带电体与外界相隔离；带电体与地面、其它带电体和人体范围之间的安全距离不符合要求；低压电气设备未装设漏电保护装置或漏电保护装置失效；人体不可避免的长期接触的有触电危险的场所未采用相应等级的安全电压；用电设备金属外壳保护接地不良及人员操作、监护、防护缺陷等等，均可能导致触电。</w:t>
      </w:r>
    </w:p>
    <w:p>
      <w:pPr>
        <w:wordWrap w:val="0"/>
        <w:adjustRightInd w:val="0"/>
        <w:snapToGrid w:val="0"/>
        <w:ind w:firstLine="560" w:firstLineChars="200"/>
        <w:textAlignment w:val="center"/>
        <w:rPr>
          <w:color w:val="auto"/>
          <w:kern w:val="0"/>
        </w:rPr>
      </w:pPr>
      <w:r>
        <w:rPr>
          <w:rFonts w:hint="eastAsia"/>
          <w:color w:val="auto"/>
          <w:kern w:val="0"/>
        </w:rPr>
        <w:t>2、电气线路火灾</w:t>
      </w:r>
    </w:p>
    <w:p>
      <w:pPr>
        <w:wordWrap w:val="0"/>
        <w:adjustRightInd w:val="0"/>
        <w:snapToGrid w:val="0"/>
        <w:ind w:firstLine="560" w:firstLineChars="200"/>
        <w:textAlignment w:val="center"/>
        <w:rPr>
          <w:color w:val="auto"/>
          <w:kern w:val="0"/>
        </w:rPr>
      </w:pPr>
      <w:r>
        <w:rPr>
          <w:rFonts w:hint="eastAsia"/>
          <w:color w:val="auto"/>
          <w:kern w:val="0"/>
        </w:rPr>
        <w:t>短路：短路时由于电阻突然减小则电流将突然增大，因此线路短路时在极短的时间内会发出很大的热量。这个热量不仅能使绝缘层燃烧，而且能使金属熔化，引起邻近的易燃、可燃物质燃烧，从而造成火灾。</w:t>
      </w:r>
    </w:p>
    <w:p>
      <w:pPr>
        <w:wordWrap w:val="0"/>
        <w:adjustRightInd w:val="0"/>
        <w:snapToGrid w:val="0"/>
        <w:ind w:firstLine="560" w:firstLineChars="200"/>
        <w:textAlignment w:val="center"/>
        <w:rPr>
          <w:color w:val="auto"/>
          <w:kern w:val="0"/>
        </w:rPr>
      </w:pPr>
      <w:r>
        <w:rPr>
          <w:rFonts w:hint="eastAsia"/>
          <w:color w:val="auto"/>
          <w:kern w:val="0"/>
        </w:rPr>
        <w:t>过载（超负荷）：电气线路中允许连续通过而不致于使电线过热的电流量，称为安全载流量或安全电流。如导线流过的电流超过安全电流值，就叫导线过载。一般导线的最高允许工作温度为65℃。当过载时，导线的温度超过这个温度值，会使绝缘加速老化，甚至损坏，引起短路火灾事故。</w:t>
      </w:r>
    </w:p>
    <w:p>
      <w:pPr>
        <w:wordWrap w:val="0"/>
        <w:adjustRightInd w:val="0"/>
        <w:snapToGrid w:val="0"/>
        <w:ind w:firstLine="560" w:firstLineChars="200"/>
        <w:textAlignment w:val="center"/>
        <w:rPr>
          <w:color w:val="auto"/>
          <w:kern w:val="0"/>
        </w:rPr>
      </w:pPr>
      <w:r>
        <w:rPr>
          <w:rFonts w:hint="eastAsia"/>
          <w:color w:val="auto"/>
          <w:kern w:val="0"/>
        </w:rPr>
        <w:t>接触电阻过大：导体连接时，在接触面上形成的电阻称为接触电阻。接头处理良好，则接触电阻小；连接不牢或其他原因，使接头接触不良，则会导致局部接触电阻过大，产生高温，使金属变色甚至熔化，引起绝缘材料中可燃物燃烧。</w:t>
      </w:r>
    </w:p>
    <w:p>
      <w:pPr>
        <w:wordWrap w:val="0"/>
        <w:adjustRightInd w:val="0"/>
        <w:snapToGrid w:val="0"/>
        <w:ind w:firstLine="560" w:firstLineChars="200"/>
        <w:textAlignment w:val="center"/>
        <w:rPr>
          <w:color w:val="auto"/>
          <w:kern w:val="0"/>
        </w:rPr>
      </w:pPr>
      <w:r>
        <w:rPr>
          <w:rFonts w:hint="eastAsia"/>
          <w:color w:val="auto"/>
          <w:kern w:val="0"/>
        </w:rPr>
        <w:t>电缆铺设不当影响通风散热。</w:t>
      </w:r>
    </w:p>
    <w:p>
      <w:pPr>
        <w:wordWrap w:val="0"/>
        <w:adjustRightInd w:val="0"/>
        <w:snapToGrid w:val="0"/>
        <w:ind w:firstLine="560" w:firstLineChars="200"/>
        <w:textAlignment w:val="center"/>
        <w:rPr>
          <w:color w:val="auto"/>
          <w:kern w:val="0"/>
        </w:rPr>
      </w:pPr>
      <w:r>
        <w:rPr>
          <w:rFonts w:hint="eastAsia"/>
          <w:color w:val="auto"/>
          <w:kern w:val="0"/>
        </w:rPr>
        <w:t>电火花及电弧：电火花是极间的击穿放电。电弧是大量的电火花汇集而成的。一般电火花的温度都很高，特别是电弧，温度可高达6000℃。因此，电火花不仅能引起绝缘物质的燃烧，而且可以引起金属熔化、飞溅，是危险火源。</w:t>
      </w:r>
    </w:p>
    <w:p>
      <w:pPr>
        <w:pStyle w:val="4"/>
        <w:keepNext w:val="0"/>
        <w:keepLines w:val="0"/>
        <w:wordWrap w:val="0"/>
        <w:adjustRightInd w:val="0"/>
        <w:snapToGrid w:val="0"/>
        <w:jc w:val="center"/>
        <w:textAlignment w:val="center"/>
        <w:rPr>
          <w:color w:val="auto"/>
          <w:kern w:val="0"/>
        </w:rPr>
      </w:pPr>
      <w:bookmarkStart w:id="141" w:name="_Toc2152"/>
      <w:bookmarkStart w:id="142" w:name="_Toc32727"/>
      <w:bookmarkStart w:id="143" w:name="_Toc10717"/>
      <w:r>
        <w:rPr>
          <w:rFonts w:hint="eastAsia"/>
          <w:color w:val="auto"/>
          <w:kern w:val="0"/>
        </w:rPr>
        <w:t>3.5 生产过程中的有害因素分析</w:t>
      </w:r>
      <w:bookmarkEnd w:id="141"/>
      <w:bookmarkEnd w:id="142"/>
      <w:bookmarkEnd w:id="143"/>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存在的主要有害因素为噪声危害</w:t>
      </w:r>
      <w:r>
        <w:rPr>
          <w:rFonts w:hint="eastAsia"/>
          <w:color w:val="auto"/>
          <w:kern w:val="0"/>
        </w:rPr>
        <w:t>、毒物、高温热辐射</w:t>
      </w:r>
      <w:r>
        <w:rPr>
          <w:color w:val="auto"/>
          <w:kern w:val="0"/>
        </w:rPr>
        <w:t>等。</w:t>
      </w:r>
    </w:p>
    <w:p>
      <w:pPr>
        <w:wordWrap w:val="0"/>
        <w:adjustRightInd w:val="0"/>
        <w:snapToGrid w:val="0"/>
        <w:textAlignment w:val="center"/>
        <w:outlineLvl w:val="2"/>
        <w:rPr>
          <w:rFonts w:cs="Times New Roman"/>
          <w:b/>
          <w:bCs/>
          <w:color w:val="auto"/>
          <w:kern w:val="0"/>
          <w:szCs w:val="28"/>
        </w:rPr>
      </w:pPr>
      <w:bookmarkStart w:id="144" w:name="_Toc18474"/>
      <w:r>
        <w:rPr>
          <w:rFonts w:hint="eastAsia" w:cs="Times New Roman"/>
          <w:b/>
          <w:bCs/>
          <w:color w:val="auto"/>
          <w:kern w:val="0"/>
          <w:szCs w:val="28"/>
        </w:rPr>
        <w:t xml:space="preserve">3.5.1 </w:t>
      </w:r>
      <w:r>
        <w:rPr>
          <w:rFonts w:cs="Times New Roman"/>
          <w:b/>
          <w:bCs/>
          <w:color w:val="auto"/>
          <w:kern w:val="0"/>
          <w:szCs w:val="28"/>
        </w:rPr>
        <w:t>噪声</w:t>
      </w:r>
      <w:bookmarkEnd w:id="144"/>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生产过程中使用的</w:t>
      </w:r>
      <w:r>
        <w:rPr>
          <w:rFonts w:hint="eastAsia" w:cs="Times New Roman"/>
          <w:color w:val="auto"/>
          <w:kern w:val="0"/>
          <w:szCs w:val="28"/>
        </w:rPr>
        <w:t>风机、叉车</w:t>
      </w:r>
      <w:r>
        <w:rPr>
          <w:rFonts w:cs="Times New Roman"/>
          <w:color w:val="auto"/>
          <w:kern w:val="0"/>
          <w:szCs w:val="28"/>
        </w:rPr>
        <w:t>等设备、车辆等产生的噪音和振动可能超标。噪声与振动严重时可能给操作人员带来伤害，使受害人员丧失听力形成永久性致残。</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噪声对人的危害是多方面的。噪声可以使人耳聋，还可能引起高血压、心脏病、神经官能症等疾病。噪声还污染环境，影响人们的正常生活和生产活动。振动能损坏建筑物与影响仪器设备等的正常运行，长时间的剧烈振动会造成附近的精密仪器设备的失灵，降低使用寿命。</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噪声对人的危害，主要有以下几个方面：</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1</w:t>
      </w:r>
      <w:r>
        <w:rPr>
          <w:rFonts w:hint="eastAsia" w:cs="Times New Roman"/>
          <w:color w:val="auto"/>
          <w:kern w:val="0"/>
          <w:szCs w:val="28"/>
        </w:rPr>
        <w:t>、</w:t>
      </w:r>
      <w:r>
        <w:rPr>
          <w:rFonts w:cs="Times New Roman"/>
          <w:color w:val="auto"/>
          <w:kern w:val="0"/>
          <w:szCs w:val="28"/>
        </w:rPr>
        <w:t>听力和听觉器官的损伤。</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2</w:t>
      </w:r>
      <w:r>
        <w:rPr>
          <w:rFonts w:hint="eastAsia" w:cs="Times New Roman"/>
          <w:color w:val="auto"/>
          <w:kern w:val="0"/>
          <w:szCs w:val="28"/>
        </w:rPr>
        <w:t>、</w:t>
      </w:r>
      <w:r>
        <w:rPr>
          <w:rFonts w:cs="Times New Roman"/>
          <w:color w:val="auto"/>
          <w:kern w:val="0"/>
          <w:szCs w:val="28"/>
        </w:rPr>
        <w:t>引起心血管系统的病症和神经衰弱，如头痛、头晕、失眠、多梦、乏力、记忆力衰退、心悸、恶心等。</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3</w:t>
      </w:r>
      <w:r>
        <w:rPr>
          <w:rFonts w:hint="eastAsia" w:cs="Times New Roman"/>
          <w:color w:val="auto"/>
          <w:kern w:val="0"/>
          <w:szCs w:val="28"/>
        </w:rPr>
        <w:t>、</w:t>
      </w:r>
      <w:r>
        <w:rPr>
          <w:rFonts w:cs="Times New Roman"/>
          <w:color w:val="auto"/>
          <w:kern w:val="0"/>
          <w:szCs w:val="28"/>
        </w:rPr>
        <w:t>对消化系统的影响将引起胃功能紊乱、食欲不振、消化不良。</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4</w:t>
      </w:r>
      <w:r>
        <w:rPr>
          <w:rFonts w:hint="eastAsia" w:cs="Times New Roman"/>
          <w:color w:val="auto"/>
          <w:kern w:val="0"/>
          <w:szCs w:val="28"/>
        </w:rPr>
        <w:t>、</w:t>
      </w:r>
      <w:r>
        <w:rPr>
          <w:rFonts w:cs="Times New Roman"/>
          <w:color w:val="auto"/>
          <w:kern w:val="0"/>
          <w:szCs w:val="28"/>
        </w:rPr>
        <w:t>对视觉功能的影响是由于神经系统互相作用的结果，能引起视网膜轴体细胞光受性降低，视力清晰稳定性缩小。</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5</w:t>
      </w:r>
      <w:r>
        <w:rPr>
          <w:rFonts w:hint="eastAsia" w:cs="Times New Roman"/>
          <w:color w:val="auto"/>
          <w:kern w:val="0"/>
          <w:szCs w:val="28"/>
        </w:rPr>
        <w:t>、</w:t>
      </w:r>
      <w:r>
        <w:rPr>
          <w:rFonts w:cs="Times New Roman"/>
          <w:color w:val="auto"/>
          <w:kern w:val="0"/>
          <w:szCs w:val="28"/>
        </w:rPr>
        <w:t>易使人烦躁不安与疲乏，注意力分散，导致工作效率降低，遮蔽音响警报信号，易造成事故。</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6</w:t>
      </w:r>
      <w:r>
        <w:rPr>
          <w:rFonts w:hint="eastAsia" w:cs="Times New Roman"/>
          <w:color w:val="auto"/>
          <w:kern w:val="0"/>
          <w:szCs w:val="28"/>
        </w:rPr>
        <w:t>、</w:t>
      </w:r>
      <w:r>
        <w:rPr>
          <w:rFonts w:cs="Times New Roman"/>
          <w:color w:val="auto"/>
          <w:kern w:val="0"/>
          <w:szCs w:val="28"/>
        </w:rPr>
        <w:t>160分贝以上的高声强噪声可引起建筑物的玻璃震碎、墙壁震裂、屋瓦震落、烟囱倒塌等。</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如果作业人员未采取安全防护措施，长期在有噪声超标的环境中作业，存在噪声引发职业危害的可能。</w:t>
      </w:r>
    </w:p>
    <w:p>
      <w:pPr>
        <w:wordWrap w:val="0"/>
        <w:adjustRightInd w:val="0"/>
        <w:snapToGrid w:val="0"/>
        <w:textAlignment w:val="center"/>
        <w:outlineLvl w:val="2"/>
        <w:rPr>
          <w:rFonts w:cs="Times New Roman"/>
          <w:b/>
          <w:bCs/>
          <w:color w:val="auto"/>
          <w:kern w:val="0"/>
          <w:szCs w:val="28"/>
        </w:rPr>
      </w:pPr>
      <w:bookmarkStart w:id="145" w:name="_Toc19266"/>
      <w:r>
        <w:rPr>
          <w:rFonts w:hint="eastAsia" w:cs="Times New Roman"/>
          <w:b/>
          <w:bCs/>
          <w:color w:val="auto"/>
          <w:kern w:val="0"/>
          <w:szCs w:val="28"/>
        </w:rPr>
        <w:t xml:space="preserve">3.5.2 </w:t>
      </w:r>
      <w:r>
        <w:rPr>
          <w:rFonts w:cs="Times New Roman"/>
          <w:b/>
          <w:bCs/>
          <w:color w:val="auto"/>
          <w:kern w:val="0"/>
          <w:szCs w:val="28"/>
        </w:rPr>
        <w:t>毒物</w:t>
      </w:r>
      <w:bookmarkEnd w:id="145"/>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本项目涉及的二甲苯、正丁醇等有毒化学品。毒物主要经呼吸道、皮肤进入体内，也可经消化道进入。但本项目有害物质主要通过呼吸道侵入人体，其中毒形式一般表现为急性中毒、亚急性或慢性中毒症状。</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有害因素主要考虑作业人员长期接触存在低浓度有毒环境可能造成的生理机能的损害。如果作业人员未采取安全防护措施或防护设施失效，在有毒物质超标的环境中长时间作业，存在患职业病的可能。</w:t>
      </w:r>
    </w:p>
    <w:p>
      <w:pPr>
        <w:wordWrap w:val="0"/>
        <w:adjustRightInd w:val="0"/>
        <w:snapToGrid w:val="0"/>
        <w:textAlignment w:val="center"/>
        <w:outlineLvl w:val="2"/>
        <w:rPr>
          <w:rFonts w:cs="Times New Roman"/>
          <w:b/>
          <w:bCs/>
          <w:color w:val="auto"/>
          <w:kern w:val="0"/>
          <w:szCs w:val="28"/>
        </w:rPr>
      </w:pPr>
      <w:bookmarkStart w:id="146" w:name="_Toc14894"/>
      <w:r>
        <w:rPr>
          <w:rFonts w:hint="eastAsia" w:cs="Times New Roman"/>
          <w:b/>
          <w:bCs/>
          <w:color w:val="auto"/>
          <w:kern w:val="0"/>
          <w:szCs w:val="28"/>
        </w:rPr>
        <w:t xml:space="preserve">3.5.3 </w:t>
      </w:r>
      <w:r>
        <w:rPr>
          <w:rFonts w:cs="Times New Roman"/>
          <w:b/>
          <w:bCs/>
          <w:color w:val="auto"/>
          <w:kern w:val="0"/>
          <w:szCs w:val="28"/>
        </w:rPr>
        <w:t>高温</w:t>
      </w:r>
      <w:r>
        <w:rPr>
          <w:rFonts w:hint="eastAsia" w:cs="Times New Roman"/>
          <w:b/>
          <w:bCs/>
          <w:color w:val="auto"/>
          <w:kern w:val="0"/>
          <w:szCs w:val="28"/>
        </w:rPr>
        <w:t>热辐射</w:t>
      </w:r>
      <w:bookmarkEnd w:id="146"/>
    </w:p>
    <w:p>
      <w:pPr>
        <w:wordWrap w:val="0"/>
        <w:adjustRightInd w:val="0"/>
        <w:snapToGrid w:val="0"/>
        <w:ind w:firstLine="560" w:firstLineChars="200"/>
        <w:textAlignment w:val="center"/>
        <w:rPr>
          <w:color w:val="auto"/>
          <w:kern w:val="0"/>
        </w:rPr>
      </w:pPr>
      <w:r>
        <w:rPr>
          <w:color w:val="auto"/>
          <w:kern w:val="0"/>
        </w:rPr>
        <w:t>夏季露天作业，如：露天物料搬运、露天设备检修等，其高温和热辐射主要来源是太阳辐射。夏季露天作业时还受地表和周围物体二次辐射源的附加热作用。露天作业中的热辐射强度作用的持续时间较长，且头颅常受到阳光直接照射，加之中午前后气温升高，此时如劳动强度过大，则人体极易因过度蓄热而中暑。此外，夏天作业时，因建筑物遮挡了气流，常因无风而感到闷热不适，如不采取防暑措施，也易发生中暑。</w:t>
      </w:r>
    </w:p>
    <w:p>
      <w:pPr>
        <w:wordWrap w:val="0"/>
        <w:adjustRightInd w:val="0"/>
        <w:snapToGrid w:val="0"/>
        <w:ind w:firstLine="560" w:firstLineChars="200"/>
        <w:textAlignment w:val="center"/>
        <w:rPr>
          <w:color w:val="auto"/>
          <w:kern w:val="0"/>
        </w:rPr>
      </w:pPr>
      <w:r>
        <w:rPr>
          <w:color w:val="auto"/>
          <w:kern w:val="0"/>
        </w:rPr>
        <w:t>高温可使作业工人感到热、头晕、心慌、烦、渴、无力、疲倦等不适感，可出现一系列生理功能的改变，主要表现在：</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体温调节障碍，由于体内蓄热，体温升高。</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大量水盐丧失，可引起水盐代谢平衡紊乱，导致体内酸碱平衡和渗透压失调。</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心律脉搏加快，皮肤血管扩张及血管紧张度增加，加重心脏负担，血压下降。但重体力劳动时，血压也可能增加。</w:t>
      </w:r>
    </w:p>
    <w:p>
      <w:pPr>
        <w:wordWrap w:val="0"/>
        <w:adjustRightInd w:val="0"/>
        <w:snapToGrid w:val="0"/>
        <w:ind w:firstLine="560" w:firstLineChars="200"/>
        <w:textAlignment w:val="center"/>
        <w:rPr>
          <w:color w:val="auto"/>
          <w:kern w:val="0"/>
        </w:rPr>
      </w:pPr>
      <w:r>
        <w:rPr>
          <w:color w:val="auto"/>
          <w:kern w:val="0"/>
        </w:rPr>
        <w:t>4</w:t>
      </w:r>
      <w:r>
        <w:rPr>
          <w:rFonts w:hint="eastAsia"/>
          <w:color w:val="auto"/>
          <w:kern w:val="0"/>
        </w:rPr>
        <w:t>、</w:t>
      </w:r>
      <w:r>
        <w:rPr>
          <w:color w:val="auto"/>
          <w:kern w:val="0"/>
        </w:rPr>
        <w:t>消化道贫血，唾液、胃液分泌减少，胃液酸度减低，淀粉活性下降，胃肠蠕动减慢，造成消化不良和其他胃肠道疾病增加。</w:t>
      </w:r>
    </w:p>
    <w:p>
      <w:pPr>
        <w:wordWrap w:val="0"/>
        <w:adjustRightInd w:val="0"/>
        <w:snapToGrid w:val="0"/>
        <w:ind w:firstLine="560" w:firstLineChars="200"/>
        <w:textAlignment w:val="center"/>
        <w:rPr>
          <w:color w:val="auto"/>
          <w:kern w:val="0"/>
        </w:rPr>
      </w:pPr>
      <w:r>
        <w:rPr>
          <w:color w:val="auto"/>
          <w:kern w:val="0"/>
        </w:rPr>
        <w:t>5</w:t>
      </w:r>
      <w:r>
        <w:rPr>
          <w:rFonts w:hint="eastAsia"/>
          <w:color w:val="auto"/>
          <w:kern w:val="0"/>
        </w:rPr>
        <w:t>、</w:t>
      </w:r>
      <w:r>
        <w:rPr>
          <w:color w:val="auto"/>
          <w:kern w:val="0"/>
        </w:rPr>
        <w:t>高温条件下若水盐供应不足可使尿浓缩，增加肾脏负担，有时可见到肾功能不全，尿中出现蛋白、红细胞等。</w:t>
      </w:r>
    </w:p>
    <w:p>
      <w:pPr>
        <w:wordWrap w:val="0"/>
        <w:adjustRightInd w:val="0"/>
        <w:snapToGrid w:val="0"/>
        <w:ind w:firstLine="560" w:firstLineChars="200"/>
        <w:textAlignment w:val="center"/>
        <w:rPr>
          <w:color w:val="auto"/>
          <w:kern w:val="0"/>
        </w:rPr>
      </w:pPr>
      <w:r>
        <w:rPr>
          <w:color w:val="auto"/>
          <w:kern w:val="0"/>
        </w:rPr>
        <w:t>6</w:t>
      </w:r>
      <w:r>
        <w:rPr>
          <w:rFonts w:hint="eastAsia"/>
          <w:color w:val="auto"/>
          <w:kern w:val="0"/>
        </w:rPr>
        <w:t>、</w:t>
      </w:r>
      <w:r>
        <w:rPr>
          <w:color w:val="auto"/>
          <w:kern w:val="0"/>
        </w:rPr>
        <w:t>神经系统可出现中枢神经系统抑制，注意力和肌肉的工作能力、动作的准确性和协调性及反应速度的降低等。</w:t>
      </w:r>
    </w:p>
    <w:p>
      <w:pPr>
        <w:wordWrap w:val="0"/>
        <w:adjustRightInd w:val="0"/>
        <w:snapToGrid w:val="0"/>
        <w:ind w:firstLine="560" w:firstLineChars="200"/>
        <w:textAlignment w:val="center"/>
        <w:rPr>
          <w:color w:val="auto"/>
          <w:kern w:val="0"/>
        </w:rPr>
      </w:pPr>
      <w:r>
        <w:rPr>
          <w:color w:val="auto"/>
          <w:kern w:val="0"/>
        </w:rPr>
        <w:t>高温危害程度与气温、湿度、气流、辐射热和个体热耐受性有关。</w:t>
      </w:r>
    </w:p>
    <w:p>
      <w:pPr>
        <w:pStyle w:val="5"/>
        <w:keepNext w:val="0"/>
        <w:keepLines w:val="0"/>
        <w:wordWrap w:val="0"/>
        <w:adjustRightInd w:val="0"/>
        <w:snapToGrid w:val="0"/>
        <w:textAlignment w:val="center"/>
        <w:rPr>
          <w:color w:val="auto"/>
          <w:kern w:val="0"/>
        </w:rPr>
      </w:pPr>
      <w:bookmarkStart w:id="147" w:name="_Toc3647"/>
      <w:r>
        <w:rPr>
          <w:rFonts w:hint="eastAsia"/>
          <w:color w:val="auto"/>
          <w:kern w:val="0"/>
        </w:rPr>
        <w:t>3.5.4 其他</w:t>
      </w:r>
      <w:bookmarkEnd w:id="147"/>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在生产、检修过程中可能存在因环境不良、注意力不集中等原因造成的滑跌、绊倒、碰撞等，造成人员伤害。</w:t>
      </w:r>
    </w:p>
    <w:p>
      <w:pPr>
        <w:pStyle w:val="4"/>
        <w:keepNext w:val="0"/>
        <w:keepLines w:val="0"/>
        <w:wordWrap w:val="0"/>
        <w:adjustRightInd w:val="0"/>
        <w:snapToGrid w:val="0"/>
        <w:jc w:val="center"/>
        <w:textAlignment w:val="center"/>
        <w:rPr>
          <w:color w:val="auto"/>
          <w:kern w:val="0"/>
        </w:rPr>
      </w:pPr>
      <w:bookmarkStart w:id="148" w:name="_Toc13738"/>
      <w:bookmarkStart w:id="149" w:name="_Toc21308"/>
      <w:bookmarkStart w:id="150" w:name="_Toc31259"/>
      <w:r>
        <w:rPr>
          <w:rFonts w:hint="eastAsia"/>
          <w:color w:val="auto"/>
          <w:kern w:val="0"/>
        </w:rPr>
        <w:t>3.6 危险有害因素分布情况</w:t>
      </w:r>
      <w:bookmarkEnd w:id="148"/>
      <w:bookmarkEnd w:id="149"/>
      <w:bookmarkEnd w:id="150"/>
    </w:p>
    <w:p>
      <w:pPr>
        <w:wordWrap w:val="0"/>
        <w:adjustRightInd w:val="0"/>
        <w:snapToGrid w:val="0"/>
        <w:ind w:firstLine="560" w:firstLineChars="200"/>
        <w:textAlignment w:val="center"/>
        <w:rPr>
          <w:color w:val="auto"/>
          <w:kern w:val="0"/>
        </w:rPr>
      </w:pPr>
      <w:r>
        <w:rPr>
          <w:rFonts w:hint="eastAsia"/>
          <w:color w:val="auto"/>
          <w:kern w:val="0"/>
        </w:rPr>
        <w:t>本项目危险有害因素在本项目中的分布情况见下表：</w:t>
      </w:r>
    </w:p>
    <w:p>
      <w:pPr>
        <w:wordWrap w:val="0"/>
        <w:adjustRightInd w:val="0"/>
        <w:snapToGrid w:val="0"/>
        <w:jc w:val="center"/>
        <w:textAlignment w:val="center"/>
        <w:rPr>
          <w:color w:val="auto"/>
          <w:kern w:val="0"/>
        </w:rPr>
      </w:pPr>
      <w:r>
        <w:rPr>
          <w:rFonts w:hint="eastAsia"/>
          <w:color w:val="auto"/>
          <w:kern w:val="0"/>
        </w:rPr>
        <w:t>表3.6-1  本项目主要危险危害分布表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836"/>
        <w:gridCol w:w="668"/>
        <w:gridCol w:w="668"/>
        <w:gridCol w:w="668"/>
        <w:gridCol w:w="668"/>
        <w:gridCol w:w="668"/>
        <w:gridCol w:w="668"/>
        <w:gridCol w:w="668"/>
        <w:gridCol w:w="668"/>
        <w:gridCol w:w="668"/>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5" w:type="dxa"/>
            <w:vMerge w:val="restart"/>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序</w:t>
            </w:r>
          </w:p>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号</w:t>
            </w:r>
          </w:p>
        </w:tc>
        <w:tc>
          <w:tcPr>
            <w:tcW w:w="1882" w:type="dxa"/>
            <w:vMerge w:val="restart"/>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子单元</w:t>
            </w:r>
          </w:p>
        </w:tc>
        <w:tc>
          <w:tcPr>
            <w:tcW w:w="680" w:type="dxa"/>
            <w:gridSpan w:val="7"/>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危险因素</w:t>
            </w:r>
          </w:p>
        </w:tc>
        <w:tc>
          <w:tcPr>
            <w:tcW w:w="680" w:type="dxa"/>
            <w:gridSpan w:val="3"/>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5" w:type="dxa"/>
            <w:vMerge w:val="continue"/>
            <w:vAlign w:val="center"/>
          </w:tcPr>
          <w:p>
            <w:pPr>
              <w:wordWrap w:val="0"/>
              <w:adjustRightInd w:val="0"/>
              <w:snapToGrid w:val="0"/>
              <w:spacing w:line="240" w:lineRule="auto"/>
              <w:contextualSpacing/>
              <w:jc w:val="center"/>
              <w:textAlignment w:val="center"/>
              <w:rPr>
                <w:rFonts w:cs="Times New Roman"/>
                <w:b/>
                <w:bCs/>
                <w:color w:val="auto"/>
                <w:sz w:val="21"/>
                <w:szCs w:val="21"/>
              </w:rPr>
            </w:pPr>
          </w:p>
        </w:tc>
        <w:tc>
          <w:tcPr>
            <w:tcW w:w="1882" w:type="dxa"/>
            <w:vMerge w:val="continue"/>
            <w:vAlign w:val="center"/>
          </w:tcPr>
          <w:p>
            <w:pPr>
              <w:wordWrap w:val="0"/>
              <w:adjustRightInd w:val="0"/>
              <w:snapToGrid w:val="0"/>
              <w:spacing w:line="240" w:lineRule="auto"/>
              <w:contextualSpacing/>
              <w:jc w:val="center"/>
              <w:textAlignment w:val="center"/>
              <w:rPr>
                <w:rFonts w:cs="Times New Roman"/>
                <w:b/>
                <w:bCs/>
                <w:color w:val="auto"/>
                <w:sz w:val="21"/>
                <w:szCs w:val="21"/>
              </w:rPr>
            </w:pP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火灾</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爆炸</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中毒</w:t>
            </w:r>
            <w:r>
              <w:rPr>
                <w:rFonts w:hint="eastAsia" w:cs="Times New Roman"/>
                <w:b/>
                <w:bCs/>
                <w:color w:val="auto"/>
                <w:sz w:val="21"/>
                <w:szCs w:val="21"/>
              </w:rPr>
              <w:t>窒息</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hint="eastAsia" w:cs="Times New Roman"/>
                <w:b/>
                <w:bCs/>
                <w:color w:val="auto"/>
                <w:sz w:val="21"/>
                <w:szCs w:val="21"/>
              </w:rPr>
              <w:t>化学</w:t>
            </w:r>
            <w:r>
              <w:rPr>
                <w:rFonts w:cs="Times New Roman"/>
                <w:b/>
                <w:bCs/>
                <w:color w:val="auto"/>
                <w:sz w:val="21"/>
                <w:szCs w:val="21"/>
              </w:rPr>
              <w:t>灼伤</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车辆伤害</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触电</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坍塌</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cs="Times New Roman"/>
                <w:b/>
                <w:bCs/>
                <w:color w:val="auto"/>
                <w:sz w:val="21"/>
                <w:szCs w:val="21"/>
              </w:rPr>
              <w:t>噪声</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hint="eastAsia" w:cs="Times New Roman"/>
                <w:b/>
                <w:bCs/>
                <w:color w:val="auto"/>
                <w:sz w:val="21"/>
                <w:szCs w:val="21"/>
              </w:rPr>
              <w:t>毒物</w:t>
            </w:r>
          </w:p>
        </w:tc>
        <w:tc>
          <w:tcPr>
            <w:tcW w:w="680" w:type="dxa"/>
            <w:vAlign w:val="center"/>
          </w:tcPr>
          <w:p>
            <w:pPr>
              <w:wordWrap w:val="0"/>
              <w:adjustRightInd w:val="0"/>
              <w:snapToGrid w:val="0"/>
              <w:spacing w:line="240" w:lineRule="auto"/>
              <w:contextualSpacing/>
              <w:jc w:val="center"/>
              <w:textAlignment w:val="center"/>
              <w:rPr>
                <w:rFonts w:cs="Times New Roman"/>
                <w:b/>
                <w:bCs/>
                <w:color w:val="auto"/>
                <w:sz w:val="21"/>
                <w:szCs w:val="21"/>
              </w:rPr>
            </w:pPr>
            <w:r>
              <w:rPr>
                <w:rFonts w:hint="eastAsia" w:cs="Times New Roman"/>
                <w:b/>
                <w:bCs/>
                <w:color w:val="auto"/>
                <w:sz w:val="21"/>
                <w:szCs w:val="21"/>
              </w:rPr>
              <w:t>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5"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hint="eastAsia" w:cs="Times New Roman"/>
                <w:color w:val="auto"/>
                <w:sz w:val="21"/>
                <w:szCs w:val="21"/>
              </w:rPr>
              <w:t>1</w:t>
            </w:r>
          </w:p>
        </w:tc>
        <w:tc>
          <w:tcPr>
            <w:tcW w:w="1882"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hint="eastAsia" w:cs="Times New Roman"/>
                <w:color w:val="auto"/>
                <w:sz w:val="21"/>
                <w:szCs w:val="21"/>
              </w:rPr>
              <w:t>106</w:t>
            </w:r>
            <w:r>
              <w:rPr>
                <w:rFonts w:cs="Times New Roman"/>
                <w:color w:val="auto"/>
                <w:sz w:val="21"/>
                <w:szCs w:val="21"/>
              </w:rPr>
              <w:t>甲类仓库</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c>
          <w:tcPr>
            <w:tcW w:w="680" w:type="dxa"/>
            <w:vAlign w:val="center"/>
          </w:tcPr>
          <w:p>
            <w:pPr>
              <w:wordWrap w:val="0"/>
              <w:adjustRightInd w:val="0"/>
              <w:snapToGrid w:val="0"/>
              <w:spacing w:line="240" w:lineRule="auto"/>
              <w:contextualSpacing/>
              <w:jc w:val="center"/>
              <w:textAlignment w:val="center"/>
              <w:rPr>
                <w:rFonts w:cs="Times New Roman"/>
                <w:color w:val="auto"/>
                <w:sz w:val="21"/>
                <w:szCs w:val="21"/>
              </w:rPr>
            </w:pPr>
            <w:r>
              <w:rPr>
                <w:rFonts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gridSpan w:val="12"/>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备注：“√”表示存在危险或危害</w:t>
            </w:r>
          </w:p>
        </w:tc>
      </w:tr>
    </w:tbl>
    <w:p>
      <w:pPr>
        <w:wordWrap w:val="0"/>
        <w:adjustRightInd w:val="0"/>
        <w:snapToGrid w:val="0"/>
        <w:spacing w:line="440" w:lineRule="exact"/>
        <w:ind w:firstLine="422" w:firstLineChars="200"/>
        <w:textAlignment w:val="center"/>
        <w:rPr>
          <w:b/>
          <w:bCs/>
          <w:color w:val="auto"/>
          <w:kern w:val="0"/>
          <w:sz w:val="21"/>
          <w:szCs w:val="21"/>
        </w:rPr>
      </w:pPr>
      <w:r>
        <w:rPr>
          <w:b/>
          <w:bCs/>
          <w:color w:val="auto"/>
          <w:kern w:val="0"/>
          <w:sz w:val="21"/>
          <w:szCs w:val="21"/>
        </w:rPr>
        <w:t>注：有“√”处为危险有害因素可能存在。</w:t>
      </w:r>
    </w:p>
    <w:p>
      <w:pPr>
        <w:pStyle w:val="4"/>
        <w:keepNext w:val="0"/>
        <w:keepLines w:val="0"/>
        <w:wordWrap w:val="0"/>
        <w:adjustRightInd w:val="0"/>
        <w:snapToGrid w:val="0"/>
        <w:jc w:val="center"/>
        <w:textAlignment w:val="center"/>
        <w:rPr>
          <w:color w:val="auto"/>
          <w:kern w:val="0"/>
        </w:rPr>
      </w:pPr>
      <w:bookmarkStart w:id="151" w:name="_Toc19928"/>
      <w:bookmarkStart w:id="152" w:name="_Toc27711"/>
      <w:bookmarkStart w:id="153" w:name="_Toc5540"/>
      <w:bookmarkStart w:id="154" w:name="_Toc211679005"/>
      <w:bookmarkStart w:id="155" w:name="_Toc29308893"/>
      <w:bookmarkStart w:id="156" w:name="_Toc32541"/>
      <w:bookmarkStart w:id="157" w:name="_Toc380587594"/>
      <w:bookmarkStart w:id="158" w:name="_Toc211679006"/>
      <w:r>
        <w:rPr>
          <w:color w:val="auto"/>
          <w:kern w:val="0"/>
        </w:rPr>
        <w:t>3.</w:t>
      </w:r>
      <w:r>
        <w:rPr>
          <w:rFonts w:hint="eastAsia"/>
          <w:color w:val="auto"/>
          <w:kern w:val="0"/>
        </w:rPr>
        <w:t>7</w:t>
      </w:r>
      <w:r>
        <w:rPr>
          <w:color w:val="auto"/>
          <w:kern w:val="0"/>
        </w:rPr>
        <w:t xml:space="preserve"> 重大危险源辨识</w:t>
      </w:r>
      <w:bookmarkEnd w:id="151"/>
      <w:bookmarkEnd w:id="152"/>
      <w:bookmarkEnd w:id="153"/>
    </w:p>
    <w:p>
      <w:pPr>
        <w:pStyle w:val="5"/>
        <w:keepNext w:val="0"/>
        <w:keepLines w:val="0"/>
        <w:wordWrap w:val="0"/>
        <w:adjustRightInd w:val="0"/>
        <w:snapToGrid w:val="0"/>
        <w:textAlignment w:val="center"/>
        <w:rPr>
          <w:rFonts w:cs="Times New Roman"/>
          <w:color w:val="auto"/>
          <w:kern w:val="0"/>
          <w:szCs w:val="28"/>
        </w:rPr>
      </w:pPr>
      <w:bookmarkStart w:id="159" w:name="_Toc23424"/>
      <w:r>
        <w:rPr>
          <w:rFonts w:cs="Times New Roman"/>
          <w:color w:val="auto"/>
          <w:kern w:val="0"/>
          <w:szCs w:val="28"/>
        </w:rPr>
        <w:t>3.</w:t>
      </w:r>
      <w:r>
        <w:rPr>
          <w:rFonts w:hint="eastAsia" w:cs="Times New Roman"/>
          <w:color w:val="auto"/>
          <w:kern w:val="0"/>
          <w:szCs w:val="28"/>
        </w:rPr>
        <w:t>7</w:t>
      </w:r>
      <w:r>
        <w:rPr>
          <w:rFonts w:cs="Times New Roman"/>
          <w:color w:val="auto"/>
          <w:kern w:val="0"/>
          <w:szCs w:val="28"/>
        </w:rPr>
        <w:t>.1 重大危险源辨识相关资料介绍</w:t>
      </w:r>
      <w:bookmarkEnd w:id="154"/>
      <w:bookmarkEnd w:id="155"/>
      <w:bookmarkEnd w:id="156"/>
      <w:bookmarkEnd w:id="157"/>
      <w:bookmarkEnd w:id="159"/>
    </w:p>
    <w:bookmarkEnd w:id="158"/>
    <w:p>
      <w:pPr>
        <w:wordWrap w:val="0"/>
        <w:adjustRightInd w:val="0"/>
        <w:snapToGrid w:val="0"/>
        <w:ind w:firstLine="560" w:firstLineChars="200"/>
        <w:textAlignment w:val="center"/>
        <w:rPr>
          <w:rFonts w:cs="Times New Roman"/>
          <w:color w:val="auto"/>
          <w:kern w:val="0"/>
          <w:szCs w:val="28"/>
        </w:rPr>
      </w:pPr>
      <w:bookmarkStart w:id="160" w:name="_Toc306444713"/>
      <w:r>
        <w:rPr>
          <w:rFonts w:cs="Times New Roman"/>
          <w:color w:val="auto"/>
          <w:kern w:val="0"/>
          <w:szCs w:val="28"/>
        </w:rPr>
        <w:t>本报告遵循的重大危险源辨识标准有5个：</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一</w:t>
      </w:r>
      <w:r>
        <w:rPr>
          <w:rFonts w:hint="eastAsia" w:cs="Times New Roman"/>
          <w:color w:val="auto"/>
          <w:kern w:val="0"/>
          <w:szCs w:val="28"/>
        </w:rPr>
        <w:t>、</w:t>
      </w:r>
      <w:r>
        <w:rPr>
          <w:rFonts w:cs="Times New Roman"/>
          <w:color w:val="auto"/>
          <w:kern w:val="0"/>
          <w:szCs w:val="28"/>
        </w:rPr>
        <w:t>《危险化学品重大危险源辨识》（GB18218-2018）；</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二</w:t>
      </w:r>
      <w:r>
        <w:rPr>
          <w:rFonts w:hint="eastAsia" w:cs="Times New Roman"/>
          <w:color w:val="auto"/>
          <w:kern w:val="0"/>
          <w:szCs w:val="28"/>
        </w:rPr>
        <w:t>、</w:t>
      </w:r>
      <w:r>
        <w:rPr>
          <w:rFonts w:cs="Times New Roman"/>
          <w:color w:val="auto"/>
          <w:kern w:val="0"/>
          <w:szCs w:val="28"/>
        </w:rPr>
        <w:t>《危险货物品名表》（GB12268-2012）</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三</w:t>
      </w:r>
      <w:r>
        <w:rPr>
          <w:rFonts w:hint="eastAsia" w:cs="Times New Roman"/>
          <w:color w:val="auto"/>
          <w:kern w:val="0"/>
          <w:szCs w:val="28"/>
        </w:rPr>
        <w:t>、</w:t>
      </w:r>
      <w:r>
        <w:rPr>
          <w:rFonts w:cs="Times New Roman"/>
          <w:color w:val="auto"/>
          <w:kern w:val="0"/>
          <w:szCs w:val="28"/>
        </w:rPr>
        <w:t>《危险化学品重大危险源监督管理暂行规定》</w:t>
      </w:r>
      <w:r>
        <w:rPr>
          <w:rFonts w:hint="eastAsia" w:cs="Times New Roman"/>
          <w:color w:val="auto"/>
          <w:kern w:val="0"/>
          <w:szCs w:val="28"/>
        </w:rPr>
        <w:t>（</w:t>
      </w:r>
      <w:r>
        <w:rPr>
          <w:rFonts w:cs="Times New Roman"/>
          <w:color w:val="auto"/>
          <w:kern w:val="0"/>
          <w:szCs w:val="28"/>
        </w:rPr>
        <w:t>国家安全生产监督管理总局令第40号</w:t>
      </w:r>
      <w:r>
        <w:rPr>
          <w:rFonts w:hint="eastAsia" w:cs="Times New Roman"/>
          <w:color w:val="auto"/>
          <w:kern w:val="0"/>
          <w:szCs w:val="28"/>
        </w:rPr>
        <w:t>）</w:t>
      </w:r>
    </w:p>
    <w:p>
      <w:pPr>
        <w:wordWrap w:val="0"/>
        <w:adjustRightInd w:val="0"/>
        <w:snapToGrid w:val="0"/>
        <w:ind w:firstLine="536" w:firstLineChars="200"/>
        <w:textAlignment w:val="center"/>
        <w:rPr>
          <w:rFonts w:cs="Times New Roman"/>
          <w:color w:val="auto"/>
          <w:spacing w:val="-6"/>
          <w:kern w:val="0"/>
          <w:szCs w:val="28"/>
        </w:rPr>
      </w:pPr>
      <w:r>
        <w:rPr>
          <w:rFonts w:cs="Times New Roman"/>
          <w:color w:val="auto"/>
          <w:spacing w:val="-6"/>
          <w:kern w:val="0"/>
          <w:szCs w:val="28"/>
        </w:rPr>
        <w:t>四</w:t>
      </w:r>
      <w:r>
        <w:rPr>
          <w:rFonts w:hint="eastAsia" w:cs="Times New Roman"/>
          <w:color w:val="auto"/>
          <w:spacing w:val="-6"/>
          <w:kern w:val="0"/>
          <w:szCs w:val="28"/>
        </w:rPr>
        <w:t>、</w:t>
      </w:r>
      <w:r>
        <w:rPr>
          <w:rFonts w:cs="Times New Roman"/>
          <w:color w:val="auto"/>
          <w:spacing w:val="-6"/>
          <w:kern w:val="0"/>
          <w:szCs w:val="28"/>
        </w:rPr>
        <w:t>《危险化学品目录》（2022版）</w:t>
      </w:r>
      <w:r>
        <w:rPr>
          <w:rFonts w:hint="eastAsia" w:cs="Times New Roman"/>
          <w:color w:val="auto"/>
          <w:spacing w:val="-6"/>
          <w:kern w:val="0"/>
          <w:szCs w:val="28"/>
        </w:rPr>
        <w:t>应急管理部等十部门</w:t>
      </w:r>
      <w:r>
        <w:rPr>
          <w:rFonts w:cs="Times New Roman"/>
          <w:color w:val="auto"/>
          <w:spacing w:val="-6"/>
          <w:kern w:val="0"/>
          <w:szCs w:val="28"/>
        </w:rPr>
        <w:t>2022年第8号</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五</w:t>
      </w:r>
      <w:r>
        <w:rPr>
          <w:rFonts w:hint="eastAsia" w:cs="Times New Roman"/>
          <w:color w:val="auto"/>
          <w:kern w:val="0"/>
          <w:szCs w:val="28"/>
        </w:rPr>
        <w:t>、</w:t>
      </w:r>
      <w:r>
        <w:rPr>
          <w:rFonts w:cs="Times New Roman"/>
          <w:color w:val="auto"/>
          <w:kern w:val="0"/>
          <w:szCs w:val="28"/>
        </w:rPr>
        <w:t>《危险化学品目录（2015版）实施指南（试行）》安监总厅管三〔2015〕80</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1</w:t>
      </w:r>
      <w:r>
        <w:rPr>
          <w:rFonts w:hint="eastAsia" w:cs="Times New Roman"/>
          <w:color w:val="auto"/>
          <w:kern w:val="0"/>
          <w:szCs w:val="28"/>
        </w:rPr>
        <w:t>、</w:t>
      </w:r>
      <w:r>
        <w:rPr>
          <w:rFonts w:cs="Times New Roman"/>
          <w:color w:val="auto"/>
          <w:kern w:val="0"/>
          <w:szCs w:val="28"/>
        </w:rPr>
        <w:t>《危险化学品重大危险源辨识》</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根据</w:t>
      </w:r>
      <w:bookmarkStart w:id="161" w:name="OLE_LINK43"/>
      <w:r>
        <w:rPr>
          <w:rFonts w:cs="Times New Roman"/>
          <w:color w:val="auto"/>
          <w:kern w:val="0"/>
          <w:szCs w:val="28"/>
        </w:rPr>
        <w:t>《危险化学品重大危险源辨识》</w:t>
      </w:r>
      <w:r>
        <w:rPr>
          <w:rFonts w:hint="eastAsia" w:cs="Times New Roman"/>
          <w:color w:val="auto"/>
          <w:kern w:val="0"/>
          <w:szCs w:val="28"/>
        </w:rPr>
        <w:t>（</w:t>
      </w:r>
      <w:r>
        <w:rPr>
          <w:rFonts w:cs="Times New Roman"/>
          <w:color w:val="auto"/>
          <w:kern w:val="0"/>
          <w:szCs w:val="28"/>
        </w:rPr>
        <w:t>GB18218-2018</w:t>
      </w:r>
      <w:bookmarkEnd w:id="161"/>
      <w:r>
        <w:rPr>
          <w:rFonts w:hint="eastAsia" w:cs="Times New Roman"/>
          <w:color w:val="auto"/>
          <w:kern w:val="0"/>
          <w:szCs w:val="28"/>
        </w:rPr>
        <w:t>）</w:t>
      </w:r>
      <w:r>
        <w:rPr>
          <w:rFonts w:cs="Times New Roman"/>
          <w:color w:val="auto"/>
          <w:kern w:val="0"/>
          <w:szCs w:val="28"/>
        </w:rPr>
        <w:t>的定义，危险化学品重大危险源是指长期地或临时地生产、储存、使用或经营危险化学品，且危险化学品的数量等于或超过临界量的单元。这里的单元是涉及危险化学品的生产、储存装置、设施或场所，分为生产单元和储存单元；生产单元是指危险化学品的生产、加工及使用等装置及设施，当装置及设施之间有切断阀时，以切断阀作为分隔界限划分独立的单元；储存单元：用于储存危险化学品的储罐或仓库组成的相对独立的区域，储罐区以罐区防火堤为界限划分为独立的单元，仓库以独立库房</w:t>
      </w:r>
      <w:r>
        <w:rPr>
          <w:rFonts w:hint="eastAsia" w:cs="Times New Roman"/>
          <w:color w:val="auto"/>
          <w:kern w:val="0"/>
          <w:szCs w:val="28"/>
        </w:rPr>
        <w:t>（</w:t>
      </w:r>
      <w:r>
        <w:rPr>
          <w:rFonts w:cs="Times New Roman"/>
          <w:color w:val="auto"/>
          <w:kern w:val="0"/>
          <w:szCs w:val="28"/>
        </w:rPr>
        <w:t>独立建筑物〉为界限划分为独立的单元。临界量：某种或某类危险化学品构成重大危险源所规定的最小数量。</w:t>
      </w:r>
    </w:p>
    <w:p>
      <w:pPr>
        <w:wordWrap w:val="0"/>
        <w:adjustRightInd w:val="0"/>
        <w:snapToGrid w:val="0"/>
        <w:ind w:firstLine="536" w:firstLineChars="200"/>
        <w:textAlignment w:val="center"/>
        <w:rPr>
          <w:rFonts w:cs="Times New Roman"/>
          <w:color w:val="auto"/>
          <w:spacing w:val="-6"/>
          <w:kern w:val="0"/>
          <w:sz w:val="28"/>
          <w:szCs w:val="28"/>
        </w:rPr>
      </w:pPr>
      <w:r>
        <w:rPr>
          <w:rFonts w:cs="Times New Roman"/>
          <w:color w:val="auto"/>
          <w:spacing w:val="-6"/>
          <w:kern w:val="0"/>
          <w:sz w:val="28"/>
          <w:szCs w:val="28"/>
        </w:rPr>
        <w:t>危险化学品重大危险源的辨识依据是物质的危险特性及其数量。单元内存在的危险化学品的数量根据处理危险化学品种类的多少分为以下两种情况：</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1）单元内存在的危险化学品为单一品种，则该危险化学品的数量即为单元内危险化学品的总量，若等于或超过其对应的临界量，则定为重大危险源；</w:t>
      </w:r>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2）单元内存在的危险化学品为多品种时，则按式（1）计算，若满足式（1），则定为重大危险源：</w:t>
      </w:r>
    </w:p>
    <w:p>
      <w:pPr>
        <w:wordWrap w:val="0"/>
        <w:adjustRightInd w:val="0"/>
        <w:snapToGrid w:val="0"/>
        <w:spacing w:line="360" w:lineRule="auto"/>
        <w:ind w:firstLine="560" w:firstLineChars="200"/>
        <w:jc w:val="left"/>
        <w:textAlignment w:val="center"/>
        <w:rPr>
          <w:rFonts w:cs="Times New Roman"/>
          <w:color w:val="auto"/>
          <w:kern w:val="0"/>
          <w:szCs w:val="28"/>
        </w:rPr>
      </w:pPr>
      <w:r>
        <w:rPr>
          <w:rFonts w:cs="Times New Roman"/>
          <w:color w:val="auto"/>
          <w:kern w:val="0"/>
          <w:szCs w:val="28"/>
        </w:rPr>
        <w:drawing>
          <wp:inline distT="0" distB="0" distL="114300" distR="114300">
            <wp:extent cx="3810000" cy="552450"/>
            <wp:effectExtent l="0" t="0" r="0" b="0"/>
            <wp:docPr id="55" name="图片 3" descr="gb18218-2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gb18218-2000-6"/>
                    <pic:cNvPicPr>
                      <a:picLocks noChangeAspect="1"/>
                    </pic:cNvPicPr>
                  </pic:nvPicPr>
                  <pic:blipFill>
                    <a:blip r:embed="rId13"/>
                    <a:stretch>
                      <a:fillRect/>
                    </a:stretch>
                  </pic:blipFill>
                  <pic:spPr>
                    <a:xfrm>
                      <a:off x="0" y="0"/>
                      <a:ext cx="3810000" cy="552450"/>
                    </a:xfrm>
                    <a:prstGeom prst="rect">
                      <a:avLst/>
                    </a:prstGeom>
                    <a:noFill/>
                    <a:ln>
                      <a:noFill/>
                    </a:ln>
                  </pic:spPr>
                </pic:pic>
              </a:graphicData>
            </a:graphic>
          </wp:inline>
        </w:drawing>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式中：q1，q2……qn—每种危险化学品实际存在量，单位为吨（t）。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Q1，Q2……Qn—与各危险化学品相对应的临界量，单位为吨（t）。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2</w:t>
      </w:r>
      <w:r>
        <w:rPr>
          <w:rFonts w:hint="eastAsia" w:cs="Times New Roman"/>
          <w:color w:val="auto"/>
          <w:kern w:val="0"/>
          <w:szCs w:val="28"/>
        </w:rPr>
        <w:t>、</w:t>
      </w:r>
      <w:r>
        <w:rPr>
          <w:rFonts w:cs="Times New Roman"/>
          <w:color w:val="auto"/>
          <w:kern w:val="0"/>
          <w:szCs w:val="28"/>
        </w:rPr>
        <w:t>危险化学品重大危险源分级</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1）</w:t>
      </w:r>
      <w:r>
        <w:rPr>
          <w:rFonts w:cs="Times New Roman"/>
          <w:color w:val="auto"/>
          <w:kern w:val="0"/>
          <w:szCs w:val="28"/>
        </w:rPr>
        <w:t>分级指标</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采用单元内各种危险化学品实际存在量与其对应的临界量比值，经校正系数校正后的比值之和R作为分级指标。</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2）</w:t>
      </w:r>
      <w:r>
        <w:rPr>
          <w:rFonts w:cs="Times New Roman"/>
          <w:color w:val="auto"/>
          <w:kern w:val="0"/>
          <w:szCs w:val="28"/>
        </w:rPr>
        <w:t>R的计算方法</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R=α[β1</w:t>
      </w:r>
      <w:r>
        <w:rPr>
          <w:rFonts w:hint="eastAsia" w:cs="Times New Roman"/>
          <w:color w:val="auto"/>
          <w:kern w:val="0"/>
          <w:szCs w:val="28"/>
        </w:rPr>
        <w:t>（</w:t>
      </w:r>
      <w:r>
        <w:rPr>
          <w:rFonts w:cs="Times New Roman"/>
          <w:color w:val="auto"/>
          <w:kern w:val="0"/>
          <w:szCs w:val="28"/>
        </w:rPr>
        <w:t>q1/Q1</w:t>
      </w:r>
      <w:r>
        <w:rPr>
          <w:rFonts w:hint="eastAsia" w:cs="Times New Roman"/>
          <w:color w:val="auto"/>
          <w:kern w:val="0"/>
          <w:szCs w:val="28"/>
        </w:rPr>
        <w:t>）</w:t>
      </w:r>
      <w:r>
        <w:rPr>
          <w:rFonts w:cs="Times New Roman"/>
          <w:color w:val="auto"/>
          <w:kern w:val="0"/>
          <w:szCs w:val="28"/>
        </w:rPr>
        <w:t>+β2</w:t>
      </w:r>
      <w:r>
        <w:rPr>
          <w:rFonts w:hint="eastAsia" w:cs="Times New Roman"/>
          <w:color w:val="auto"/>
          <w:kern w:val="0"/>
          <w:szCs w:val="28"/>
        </w:rPr>
        <w:t>（</w:t>
      </w:r>
      <w:r>
        <w:rPr>
          <w:rFonts w:cs="Times New Roman"/>
          <w:color w:val="auto"/>
          <w:kern w:val="0"/>
          <w:szCs w:val="28"/>
        </w:rPr>
        <w:t>q2/Q2</w:t>
      </w:r>
      <w:r>
        <w:rPr>
          <w:rFonts w:hint="eastAsia" w:cs="Times New Roman"/>
          <w:color w:val="auto"/>
          <w:kern w:val="0"/>
          <w:szCs w:val="28"/>
        </w:rPr>
        <w:t>）</w:t>
      </w:r>
      <w:r>
        <w:rPr>
          <w:rFonts w:cs="Times New Roman"/>
          <w:color w:val="auto"/>
          <w:kern w:val="0"/>
          <w:szCs w:val="28"/>
        </w:rPr>
        <w:t>+………+βn</w:t>
      </w:r>
      <w:r>
        <w:rPr>
          <w:rFonts w:hint="eastAsia" w:cs="Times New Roman"/>
          <w:color w:val="auto"/>
          <w:kern w:val="0"/>
          <w:szCs w:val="28"/>
        </w:rPr>
        <w:t>（</w:t>
      </w:r>
      <w:r>
        <w:rPr>
          <w:rFonts w:cs="Times New Roman"/>
          <w:color w:val="auto"/>
          <w:kern w:val="0"/>
          <w:szCs w:val="28"/>
        </w:rPr>
        <w:t>qn/Qn</w:t>
      </w:r>
      <w:r>
        <w:rPr>
          <w:rFonts w:hint="eastAsia" w:cs="Times New Roman"/>
          <w:color w:val="auto"/>
          <w:kern w:val="0"/>
          <w:szCs w:val="28"/>
        </w:rPr>
        <w:t>）</w:t>
      </w:r>
      <w:r>
        <w:rPr>
          <w:rFonts w:cs="Times New Roman"/>
          <w:color w:val="auto"/>
          <w:kern w:val="0"/>
          <w:szCs w:val="28"/>
        </w:rPr>
        <w: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式中：</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q1，q2，…，qn—每种危险化学品实际存在（在线）量（单位：t）；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Q1，Q2，…，Qn—与各危险化学品相对应的临界量（单位：t）；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β1，β2…，βn— 与各危险化学品相对应的校正系数；</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α—该危险化学品重大危险源厂区外暴露人员的校正系数。</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3）</w:t>
      </w:r>
      <w:r>
        <w:rPr>
          <w:rFonts w:cs="Times New Roman"/>
          <w:color w:val="auto"/>
          <w:kern w:val="0"/>
          <w:szCs w:val="28"/>
        </w:rPr>
        <w:t>校正系数β的取值</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根据单元内危险化学品的类别不同，设定校正系数β值，在GB18218-2018表1范围内的危险化学品，其β值按GB18218-2018表1确定；未在GB18218-2018表1范围内的危险化学品，其β值按GB18218-2018表2确定；</w:t>
      </w:r>
    </w:p>
    <w:p>
      <w:pPr>
        <w:wordWrap w:val="0"/>
        <w:adjustRightInd w:val="0"/>
        <w:snapToGrid w:val="0"/>
        <w:jc w:val="center"/>
        <w:textAlignment w:val="center"/>
        <w:rPr>
          <w:rFonts w:cs="Times New Roman"/>
          <w:color w:val="auto"/>
          <w:kern w:val="0"/>
          <w:szCs w:val="28"/>
        </w:rPr>
      </w:pPr>
      <w:r>
        <w:rPr>
          <w:rFonts w:cs="Times New Roman"/>
          <w:color w:val="auto"/>
          <w:kern w:val="0"/>
          <w:szCs w:val="28"/>
        </w:rPr>
        <w:t>GB18218-2018表1  毒性气体校正系数β取值表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745"/>
        <w:gridCol w:w="1359"/>
        <w:gridCol w:w="1739"/>
        <w:gridCol w:w="1244"/>
        <w:gridCol w:w="1625"/>
        <w:gridCol w:w="13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危险化学品类别</w:t>
            </w:r>
          </w:p>
        </w:tc>
        <w:tc>
          <w:tcPr>
            <w:tcW w:w="1418"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校正系数β</w:t>
            </w:r>
          </w:p>
        </w:tc>
        <w:tc>
          <w:tcPr>
            <w:tcW w:w="1822"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危险化学品类别</w:t>
            </w:r>
          </w:p>
        </w:tc>
        <w:tc>
          <w:tcPr>
            <w:tcW w:w="1296"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校正系数β</w:t>
            </w:r>
          </w:p>
        </w:tc>
        <w:tc>
          <w:tcPr>
            <w:tcW w:w="1701"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危险化学品类别</w:t>
            </w:r>
          </w:p>
        </w:tc>
        <w:tc>
          <w:tcPr>
            <w:tcW w:w="1418"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校正系数β</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一氧化碳</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二氧化硫</w:t>
            </w:r>
          </w:p>
        </w:tc>
        <w:tc>
          <w:tcPr>
            <w:tcW w:w="12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7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氨</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环氧乙烷</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氯化氢</w:t>
            </w:r>
          </w:p>
        </w:tc>
        <w:tc>
          <w:tcPr>
            <w:tcW w:w="12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7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溴甲烷</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氯</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硫化氢</w:t>
            </w:r>
          </w:p>
        </w:tc>
        <w:tc>
          <w:tcPr>
            <w:tcW w:w="12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7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氟化氢</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二氧化氮</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w:t>
            </w:r>
          </w:p>
        </w:tc>
        <w:tc>
          <w:tcPr>
            <w:tcW w:w="182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氰化氢</w:t>
            </w:r>
          </w:p>
        </w:tc>
        <w:tc>
          <w:tcPr>
            <w:tcW w:w="129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w:t>
            </w:r>
          </w:p>
        </w:tc>
        <w:tc>
          <w:tcPr>
            <w:tcW w:w="170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碳酰氯</w:t>
            </w:r>
          </w:p>
        </w:tc>
        <w:tc>
          <w:tcPr>
            <w:tcW w:w="14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9"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磷化氢</w:t>
            </w:r>
          </w:p>
        </w:tc>
        <w:tc>
          <w:tcPr>
            <w:tcW w:w="1418"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20</w:t>
            </w:r>
          </w:p>
        </w:tc>
        <w:tc>
          <w:tcPr>
            <w:tcW w:w="1822"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异氰酸甲酯</w:t>
            </w:r>
          </w:p>
        </w:tc>
        <w:tc>
          <w:tcPr>
            <w:tcW w:w="1296"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20</w:t>
            </w:r>
          </w:p>
        </w:tc>
        <w:tc>
          <w:tcPr>
            <w:tcW w:w="1701"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418"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p>
        </w:tc>
      </w:tr>
    </w:tbl>
    <w:p>
      <w:pPr>
        <w:wordWrap w:val="0"/>
        <w:adjustRightInd w:val="0"/>
        <w:snapToGrid w:val="0"/>
        <w:jc w:val="center"/>
        <w:textAlignment w:val="center"/>
        <w:rPr>
          <w:rFonts w:cs="Times New Roman"/>
          <w:color w:val="auto"/>
          <w:kern w:val="0"/>
          <w:szCs w:val="28"/>
        </w:rPr>
      </w:pPr>
      <w:r>
        <w:rPr>
          <w:rFonts w:cs="Times New Roman"/>
          <w:color w:val="auto"/>
          <w:kern w:val="0"/>
          <w:szCs w:val="28"/>
        </w:rPr>
        <w:t>GB18218-2018表2  未在GB18218-2018表3中列举的危险化学品校正系数β值取值表</w:t>
      </w:r>
    </w:p>
    <w:tbl>
      <w:tblPr>
        <w:tblStyle w:val="24"/>
        <w:tblW w:w="907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88"/>
        <w:gridCol w:w="691"/>
        <w:gridCol w:w="1033"/>
        <w:gridCol w:w="890"/>
        <w:gridCol w:w="669"/>
        <w:gridCol w:w="1195"/>
        <w:gridCol w:w="1066"/>
        <w:gridCol w:w="750"/>
        <w:gridCol w:w="10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1688"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类别</w:t>
            </w:r>
          </w:p>
        </w:tc>
        <w:tc>
          <w:tcPr>
            <w:tcW w:w="691"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符号</w:t>
            </w:r>
          </w:p>
        </w:tc>
        <w:tc>
          <w:tcPr>
            <w:tcW w:w="1033"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β校正系数</w:t>
            </w:r>
          </w:p>
        </w:tc>
        <w:tc>
          <w:tcPr>
            <w:tcW w:w="890"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类别</w:t>
            </w:r>
          </w:p>
        </w:tc>
        <w:tc>
          <w:tcPr>
            <w:tcW w:w="669"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符号</w:t>
            </w:r>
          </w:p>
        </w:tc>
        <w:tc>
          <w:tcPr>
            <w:tcW w:w="1195"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β校正系数</w:t>
            </w:r>
          </w:p>
        </w:tc>
        <w:tc>
          <w:tcPr>
            <w:tcW w:w="1066"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类别</w:t>
            </w:r>
          </w:p>
        </w:tc>
        <w:tc>
          <w:tcPr>
            <w:tcW w:w="750"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符号</w:t>
            </w:r>
          </w:p>
        </w:tc>
        <w:tc>
          <w:tcPr>
            <w:tcW w:w="1094"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β校正系数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1" w:hRule="atLeast"/>
          <w:jc w:val="center"/>
        </w:trPr>
        <w:tc>
          <w:tcPr>
            <w:tcW w:w="1688"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急性毒性</w:t>
            </w: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J1</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890"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爆炸物</w:t>
            </w: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W1.1</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06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氧化性气体</w:t>
            </w: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W4</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8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J2</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890"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W1.2</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066"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易燃液体</w:t>
            </w: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W5.1</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8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J3</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890"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W1.3</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06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W5.2</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1" w:hRule="atLeast"/>
          <w:jc w:val="center"/>
        </w:trPr>
        <w:tc>
          <w:tcPr>
            <w:tcW w:w="168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J4</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89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易燃气体</w:t>
            </w: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W2</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1.5</w:t>
            </w:r>
          </w:p>
        </w:tc>
        <w:tc>
          <w:tcPr>
            <w:tcW w:w="106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W5.3</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168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J5</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89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气溶胶</w:t>
            </w: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W3</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06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W5.4</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88"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自反应物质和混合物</w:t>
            </w: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W6.1</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1.5</w:t>
            </w:r>
          </w:p>
        </w:tc>
        <w:tc>
          <w:tcPr>
            <w:tcW w:w="890"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有机氧化物</w:t>
            </w: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W7.1</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1.5</w:t>
            </w:r>
          </w:p>
        </w:tc>
        <w:tc>
          <w:tcPr>
            <w:tcW w:w="1066"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氧化性固体和液体</w:t>
            </w: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W9.1</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88"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W6.2</w:t>
            </w:r>
          </w:p>
        </w:tc>
        <w:tc>
          <w:tcPr>
            <w:tcW w:w="103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890"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66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W7.2</w:t>
            </w:r>
          </w:p>
        </w:tc>
        <w:tc>
          <w:tcPr>
            <w:tcW w:w="119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066"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7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W9.2</w:t>
            </w:r>
          </w:p>
        </w:tc>
        <w:tc>
          <w:tcPr>
            <w:tcW w:w="109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1688"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自然液体和固体</w:t>
            </w:r>
          </w:p>
        </w:tc>
        <w:tc>
          <w:tcPr>
            <w:tcW w:w="691"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W8</w:t>
            </w:r>
          </w:p>
        </w:tc>
        <w:tc>
          <w:tcPr>
            <w:tcW w:w="1033"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890"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易燃固体</w:t>
            </w:r>
          </w:p>
        </w:tc>
        <w:tc>
          <w:tcPr>
            <w:tcW w:w="669"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W10</w:t>
            </w:r>
          </w:p>
        </w:tc>
        <w:tc>
          <w:tcPr>
            <w:tcW w:w="1195"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066"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遇水放出易燃气体的物质和混合物</w:t>
            </w:r>
          </w:p>
        </w:tc>
        <w:tc>
          <w:tcPr>
            <w:tcW w:w="750"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W11</w:t>
            </w:r>
          </w:p>
        </w:tc>
        <w:tc>
          <w:tcPr>
            <w:tcW w:w="1094"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r>
    </w:tbl>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4）</w:t>
      </w:r>
      <w:r>
        <w:rPr>
          <w:rFonts w:cs="Times New Roman"/>
          <w:color w:val="auto"/>
          <w:kern w:val="0"/>
          <w:szCs w:val="28"/>
        </w:rPr>
        <w:t>校正系数α的取值</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根据重大危险源的厂区边界向外扩展500m范围内常住人口数量，设定厂外暴露人员校正系数α值，见表3：</w:t>
      </w:r>
    </w:p>
    <w:p>
      <w:pPr>
        <w:wordWrap w:val="0"/>
        <w:adjustRightInd w:val="0"/>
        <w:snapToGrid w:val="0"/>
        <w:jc w:val="center"/>
        <w:textAlignment w:val="center"/>
        <w:rPr>
          <w:rFonts w:cs="Times New Roman"/>
          <w:color w:val="auto"/>
          <w:kern w:val="0"/>
          <w:szCs w:val="28"/>
        </w:rPr>
      </w:pPr>
      <w:r>
        <w:rPr>
          <w:rFonts w:cs="Times New Roman"/>
          <w:color w:val="auto"/>
          <w:kern w:val="0"/>
          <w:szCs w:val="28"/>
        </w:rPr>
        <w:t>GB18218-2018表3  校正系数α取值表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535"/>
        <w:gridCol w:w="453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厂外可能暴露人员数量</w:t>
            </w:r>
          </w:p>
        </w:tc>
        <w:tc>
          <w:tcPr>
            <w:tcW w:w="4379"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i/>
                <w:iCs/>
                <w:color w:val="auto"/>
                <w:kern w:val="0"/>
                <w:sz w:val="21"/>
                <w:szCs w:val="21"/>
              </w:rPr>
              <w:t>α</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100人以上</w:t>
            </w:r>
          </w:p>
        </w:tc>
        <w:tc>
          <w:tcPr>
            <w:tcW w:w="437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50人～99人</w:t>
            </w:r>
          </w:p>
        </w:tc>
        <w:tc>
          <w:tcPr>
            <w:tcW w:w="437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30人～49人</w:t>
            </w:r>
          </w:p>
        </w:tc>
        <w:tc>
          <w:tcPr>
            <w:tcW w:w="437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1～29人</w:t>
            </w:r>
          </w:p>
        </w:tc>
        <w:tc>
          <w:tcPr>
            <w:tcW w:w="4379"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378"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0人</w:t>
            </w:r>
          </w:p>
        </w:tc>
        <w:tc>
          <w:tcPr>
            <w:tcW w:w="4379"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0.5</w:t>
            </w:r>
          </w:p>
        </w:tc>
      </w:tr>
    </w:tbl>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5）</w:t>
      </w:r>
      <w:r>
        <w:rPr>
          <w:rFonts w:cs="Times New Roman"/>
          <w:color w:val="auto"/>
          <w:kern w:val="0"/>
          <w:szCs w:val="28"/>
        </w:rPr>
        <w:t>分级标准</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根据计算出来的R值，按表4确定危险化学品重大危险源的级别。</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GB18218-2018表4  危险化学品重大危险源级别和R值的对应关系</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637"/>
        <w:gridCol w:w="443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466"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危险化学品重大危险源级别</w:t>
            </w:r>
          </w:p>
        </w:tc>
        <w:tc>
          <w:tcPr>
            <w:tcW w:w="4270"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R值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46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一级</w:t>
            </w:r>
          </w:p>
        </w:tc>
        <w:tc>
          <w:tcPr>
            <w:tcW w:w="42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R≥100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46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二级</w:t>
            </w:r>
          </w:p>
        </w:tc>
        <w:tc>
          <w:tcPr>
            <w:tcW w:w="42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100&gt;R≥50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46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三级</w:t>
            </w:r>
          </w:p>
        </w:tc>
        <w:tc>
          <w:tcPr>
            <w:tcW w:w="427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50&gt;R≥10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466"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四级</w:t>
            </w:r>
          </w:p>
        </w:tc>
        <w:tc>
          <w:tcPr>
            <w:tcW w:w="4270"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R&lt;10</w:t>
            </w:r>
          </w:p>
        </w:tc>
      </w:tr>
      <w:bookmarkEnd w:id="160"/>
    </w:tbl>
    <w:p>
      <w:pPr>
        <w:pStyle w:val="5"/>
        <w:keepNext w:val="0"/>
        <w:keepLines w:val="0"/>
        <w:wordWrap w:val="0"/>
        <w:adjustRightInd w:val="0"/>
        <w:snapToGrid w:val="0"/>
        <w:textAlignment w:val="center"/>
        <w:rPr>
          <w:rFonts w:cs="Times New Roman"/>
          <w:color w:val="auto"/>
          <w:kern w:val="0"/>
          <w:szCs w:val="28"/>
        </w:rPr>
      </w:pPr>
      <w:bookmarkStart w:id="162" w:name="_Toc336214889"/>
      <w:bookmarkStart w:id="163" w:name="_Toc24351"/>
      <w:bookmarkStart w:id="164" w:name="_Toc29308894"/>
      <w:bookmarkStart w:id="165" w:name="_Toc380587595"/>
      <w:bookmarkStart w:id="166" w:name="_Toc27622"/>
      <w:r>
        <w:rPr>
          <w:rFonts w:cs="Times New Roman"/>
          <w:color w:val="auto"/>
          <w:kern w:val="0"/>
          <w:szCs w:val="28"/>
        </w:rPr>
        <w:t>3.</w:t>
      </w:r>
      <w:r>
        <w:rPr>
          <w:rFonts w:hint="eastAsia" w:cs="Times New Roman"/>
          <w:color w:val="auto"/>
          <w:kern w:val="0"/>
          <w:szCs w:val="28"/>
        </w:rPr>
        <w:t>7</w:t>
      </w:r>
      <w:r>
        <w:rPr>
          <w:rFonts w:cs="Times New Roman"/>
          <w:color w:val="auto"/>
          <w:kern w:val="0"/>
          <w:szCs w:val="28"/>
        </w:rPr>
        <w:t>.2 危险化学品重大危险源辨识过程</w:t>
      </w:r>
      <w:bookmarkEnd w:id="162"/>
      <w:bookmarkEnd w:id="163"/>
      <w:bookmarkEnd w:id="164"/>
      <w:bookmarkEnd w:id="165"/>
      <w:bookmarkEnd w:id="166"/>
    </w:p>
    <w:p>
      <w:pPr>
        <w:wordWrap w:val="0"/>
        <w:adjustRightInd w:val="0"/>
        <w:snapToGrid w:val="0"/>
        <w:ind w:firstLine="560" w:firstLineChars="200"/>
        <w:jc w:val="left"/>
        <w:textAlignment w:val="center"/>
        <w:rPr>
          <w:rFonts w:cs="Times New Roman"/>
          <w:color w:val="auto"/>
          <w:szCs w:val="28"/>
        </w:rPr>
      </w:pPr>
      <w:r>
        <w:rPr>
          <w:rFonts w:hint="eastAsia" w:cs="Times New Roman"/>
          <w:color w:val="auto"/>
          <w:szCs w:val="28"/>
        </w:rPr>
        <w:t>106仓库储存单元划分情况分别见附表3.7-1。</w:t>
      </w:r>
    </w:p>
    <w:p>
      <w:pPr>
        <w:wordWrap w:val="0"/>
        <w:adjustRightInd w:val="0"/>
        <w:snapToGrid w:val="0"/>
        <w:jc w:val="center"/>
        <w:textAlignment w:val="center"/>
        <w:rPr>
          <w:rFonts w:cs="Times New Roman"/>
          <w:color w:val="auto"/>
          <w:szCs w:val="28"/>
        </w:rPr>
      </w:pPr>
      <w:r>
        <w:rPr>
          <w:rFonts w:hint="eastAsia" w:cs="Times New Roman"/>
          <w:color w:val="auto"/>
          <w:szCs w:val="28"/>
        </w:rPr>
        <w:t>表3.7-1  单元划分表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420"/>
        <w:gridCol w:w="5944"/>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b/>
                <w:bCs/>
                <w:color w:val="auto"/>
                <w:sz w:val="21"/>
                <w:szCs w:val="21"/>
              </w:rPr>
            </w:pPr>
            <w:r>
              <w:rPr>
                <w:rFonts w:cs="Times New Roman"/>
                <w:b/>
                <w:bCs/>
                <w:color w:val="auto"/>
                <w:sz w:val="21"/>
                <w:szCs w:val="21"/>
              </w:rPr>
              <w:t>序号</w:t>
            </w:r>
          </w:p>
        </w:tc>
        <w:tc>
          <w:tcPr>
            <w:tcW w:w="1420" w:type="dxa"/>
            <w:tcBorders>
              <w:top w:val="single" w:color="auto" w:sz="4" w:space="0"/>
              <w:left w:val="nil"/>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b/>
                <w:bCs/>
                <w:color w:val="auto"/>
                <w:sz w:val="21"/>
                <w:szCs w:val="21"/>
              </w:rPr>
            </w:pPr>
            <w:r>
              <w:rPr>
                <w:rFonts w:cs="Times New Roman"/>
                <w:b/>
                <w:bCs/>
                <w:color w:val="auto"/>
                <w:sz w:val="21"/>
                <w:szCs w:val="21"/>
              </w:rPr>
              <w:t>名称</w:t>
            </w:r>
          </w:p>
        </w:tc>
        <w:tc>
          <w:tcPr>
            <w:tcW w:w="5944" w:type="dxa"/>
            <w:tcBorders>
              <w:top w:val="single" w:color="auto" w:sz="4" w:space="0"/>
              <w:left w:val="nil"/>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b/>
                <w:bCs/>
                <w:color w:val="auto"/>
                <w:sz w:val="21"/>
                <w:szCs w:val="21"/>
              </w:rPr>
            </w:pPr>
            <w:r>
              <w:rPr>
                <w:rFonts w:cs="Times New Roman"/>
                <w:b/>
                <w:bCs/>
                <w:color w:val="auto"/>
                <w:sz w:val="21"/>
                <w:szCs w:val="21"/>
              </w:rPr>
              <w:t>涉及的危险化学品</w:t>
            </w:r>
          </w:p>
        </w:tc>
        <w:tc>
          <w:tcPr>
            <w:tcW w:w="906" w:type="dxa"/>
            <w:tcBorders>
              <w:top w:val="single" w:color="auto" w:sz="4" w:space="0"/>
              <w:left w:val="nil"/>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b/>
                <w:bCs/>
                <w:color w:val="auto"/>
                <w:sz w:val="21"/>
                <w:szCs w:val="21"/>
              </w:rPr>
            </w:pPr>
            <w:r>
              <w:rPr>
                <w:rFonts w:hint="eastAsia" w:cs="Times New Roman"/>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1</w:t>
            </w:r>
          </w:p>
        </w:tc>
        <w:tc>
          <w:tcPr>
            <w:tcW w:w="1420" w:type="dxa"/>
            <w:tcBorders>
              <w:top w:val="single" w:color="auto" w:sz="4" w:space="0"/>
              <w:left w:val="nil"/>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color w:val="auto"/>
                <w:sz w:val="21"/>
                <w:szCs w:val="21"/>
                <w:lang w:eastAsia="en-US"/>
              </w:rPr>
            </w:pPr>
            <w:r>
              <w:rPr>
                <w:rFonts w:hint="eastAsia" w:cs="Times New Roman"/>
                <w:color w:val="auto"/>
                <w:sz w:val="21"/>
                <w:szCs w:val="21"/>
              </w:rPr>
              <w:t>106</w:t>
            </w:r>
            <w:r>
              <w:rPr>
                <w:rFonts w:cs="Times New Roman"/>
                <w:color w:val="auto"/>
                <w:sz w:val="21"/>
                <w:szCs w:val="21"/>
              </w:rPr>
              <w:t>甲类仓库</w:t>
            </w:r>
          </w:p>
        </w:tc>
        <w:tc>
          <w:tcPr>
            <w:tcW w:w="5944" w:type="dxa"/>
            <w:tcBorders>
              <w:top w:val="single" w:color="auto" w:sz="4" w:space="0"/>
              <w:left w:val="nil"/>
              <w:bottom w:val="single" w:color="auto" w:sz="4" w:space="0"/>
              <w:right w:val="single" w:color="auto" w:sz="4" w:space="0"/>
            </w:tcBorders>
            <w:vAlign w:val="center"/>
          </w:tcPr>
          <w:p>
            <w:pPr>
              <w:wordWrap w:val="0"/>
              <w:adjustRightInd w:val="0"/>
              <w:snapToGrid w:val="0"/>
              <w:spacing w:line="320" w:lineRule="exact"/>
              <w:jc w:val="center"/>
              <w:textAlignment w:val="center"/>
              <w:rPr>
                <w:rFonts w:cs="Times New Roman"/>
                <w:color w:val="auto"/>
                <w:sz w:val="21"/>
                <w:szCs w:val="21"/>
              </w:rPr>
            </w:pPr>
            <w:r>
              <w:rPr>
                <w:rFonts w:hint="eastAsia" w:cs="宋体"/>
                <w:color w:val="auto"/>
                <w:sz w:val="21"/>
              </w:rPr>
              <w:t>二甲苯、正丁醇、醋酸丁酯、丙烯酸树脂涂料、聚氨酯树脂涂料、环氧树脂涂料、氟碳树脂涂料、环氧树脂、环氧树脂固化剂、溶剂型丙烯酸树脂、氟碳树脂、聚氨酯树脂</w:t>
            </w:r>
          </w:p>
        </w:tc>
        <w:tc>
          <w:tcPr>
            <w:tcW w:w="906" w:type="dxa"/>
            <w:tcBorders>
              <w:top w:val="single" w:color="auto" w:sz="4" w:space="0"/>
              <w:left w:val="nil"/>
              <w:right w:val="single" w:color="auto" w:sz="4" w:space="0"/>
            </w:tcBorders>
            <w:vAlign w:val="center"/>
          </w:tcPr>
          <w:p>
            <w:pPr>
              <w:wordWrap w:val="0"/>
              <w:adjustRightInd w:val="0"/>
              <w:snapToGrid w:val="0"/>
              <w:spacing w:line="320" w:lineRule="exact"/>
              <w:jc w:val="center"/>
              <w:textAlignment w:val="center"/>
              <w:rPr>
                <w:rFonts w:cs="Times New Roman"/>
                <w:color w:val="auto"/>
                <w:sz w:val="21"/>
                <w:szCs w:val="21"/>
              </w:rPr>
            </w:pPr>
          </w:p>
        </w:tc>
      </w:tr>
    </w:tbl>
    <w:p>
      <w:pPr>
        <w:wordWrap w:val="0"/>
        <w:adjustRightInd w:val="0"/>
        <w:snapToGrid w:val="0"/>
        <w:ind w:firstLine="560" w:firstLineChars="200"/>
        <w:textAlignment w:val="center"/>
        <w:rPr>
          <w:rFonts w:cs="Times New Roman"/>
          <w:color w:val="auto"/>
          <w:szCs w:val="28"/>
        </w:rPr>
      </w:pPr>
      <w:r>
        <w:rPr>
          <w:rFonts w:cs="Times New Roman"/>
          <w:color w:val="auto"/>
          <w:szCs w:val="28"/>
        </w:rPr>
        <w:t>2</w:t>
      </w:r>
      <w:r>
        <w:rPr>
          <w:rFonts w:hint="eastAsia" w:cs="宋体"/>
          <w:color w:val="auto"/>
          <w:szCs w:val="28"/>
        </w:rPr>
        <w:t>、根据</w:t>
      </w:r>
      <w:r>
        <w:rPr>
          <w:rFonts w:hint="eastAsia" w:cs="宋体"/>
          <w:color w:val="auto"/>
          <w:sz w:val="24"/>
        </w:rPr>
        <w:t>《</w:t>
      </w:r>
      <w:r>
        <w:rPr>
          <w:rFonts w:hint="eastAsia" w:cs="宋体"/>
          <w:color w:val="auto"/>
          <w:szCs w:val="28"/>
        </w:rPr>
        <w:t>危险化学品目录》（20</w:t>
      </w:r>
      <w:r>
        <w:rPr>
          <w:rFonts w:cs="宋体"/>
          <w:color w:val="auto"/>
          <w:szCs w:val="28"/>
        </w:rPr>
        <w:t>22</w:t>
      </w:r>
      <w:r>
        <w:rPr>
          <w:rFonts w:hint="eastAsia" w:cs="宋体"/>
          <w:color w:val="auto"/>
          <w:szCs w:val="28"/>
        </w:rPr>
        <w:t>版）、</w:t>
      </w:r>
      <w:r>
        <w:rPr>
          <w:rFonts w:hint="eastAsia" w:cs="宋体"/>
          <w:color w:val="auto"/>
          <w:szCs w:val="28"/>
          <w:lang w:val="zh-CN"/>
        </w:rPr>
        <w:t>《危险化学品重大危险源辨识》</w:t>
      </w:r>
      <w:r>
        <w:rPr>
          <w:rFonts w:cs="Times New Roman"/>
          <w:color w:val="auto"/>
          <w:szCs w:val="28"/>
        </w:rPr>
        <w:t>GB18218-2018</w:t>
      </w:r>
      <w:r>
        <w:rPr>
          <w:rFonts w:hint="eastAsia" w:cs="Times New Roman"/>
          <w:color w:val="auto"/>
          <w:szCs w:val="28"/>
        </w:rPr>
        <w:t>及物料的MSDS</w:t>
      </w:r>
      <w:r>
        <w:rPr>
          <w:rFonts w:hint="eastAsia" w:cs="宋体"/>
          <w:color w:val="auto"/>
          <w:szCs w:val="28"/>
        </w:rPr>
        <w:t>，本项目</w:t>
      </w:r>
      <w:r>
        <w:rPr>
          <w:rFonts w:hint="eastAsia" w:cs="宋体"/>
          <w:color w:val="auto"/>
          <w:szCs w:val="28"/>
          <w:lang w:val="zh-CN"/>
        </w:rPr>
        <w:t>涉及的危险化学品中二甲苯、正丁醇、醋酸丁酯、丙烯酸树脂涂料、聚氨酯树脂涂料、环氧树脂涂料、氟碳树脂涂料、环氧树脂、环氧树脂固化剂、溶剂型丙烯酸树脂、氟碳树脂、聚氨酯树脂</w:t>
      </w:r>
      <w:r>
        <w:rPr>
          <w:rFonts w:hint="eastAsia" w:cs="宋体"/>
          <w:color w:val="auto"/>
          <w:szCs w:val="28"/>
        </w:rPr>
        <w:t>属于重大危险源辨识范围内物质。</w:t>
      </w:r>
    </w:p>
    <w:p>
      <w:pPr>
        <w:wordWrap w:val="0"/>
        <w:adjustRightInd w:val="0"/>
        <w:snapToGrid w:val="0"/>
        <w:ind w:firstLine="560" w:firstLineChars="200"/>
        <w:textAlignment w:val="center"/>
        <w:rPr>
          <w:rFonts w:cs="Times New Roman"/>
          <w:color w:val="auto"/>
          <w:szCs w:val="28"/>
        </w:rPr>
      </w:pPr>
      <w:r>
        <w:rPr>
          <w:rFonts w:cs="Times New Roman"/>
          <w:color w:val="auto"/>
          <w:szCs w:val="28"/>
        </w:rPr>
        <w:t>3</w:t>
      </w:r>
      <w:r>
        <w:rPr>
          <w:rFonts w:hint="eastAsia" w:cs="宋体"/>
          <w:color w:val="auto"/>
          <w:szCs w:val="28"/>
        </w:rPr>
        <w:t>、根据</w:t>
      </w:r>
      <w:r>
        <w:rPr>
          <w:rFonts w:cs="Times New Roman"/>
          <w:color w:val="auto"/>
          <w:szCs w:val="28"/>
        </w:rPr>
        <w:t>GB18218-2018</w:t>
      </w:r>
      <w:r>
        <w:rPr>
          <w:rFonts w:hint="eastAsia" w:cs="宋体"/>
          <w:color w:val="auto"/>
          <w:szCs w:val="28"/>
        </w:rPr>
        <w:t>的要求，构成危险化学品重大危险源的物质及临界量见表3</w:t>
      </w:r>
      <w:r>
        <w:rPr>
          <w:rFonts w:cs="Times New Roman"/>
          <w:color w:val="auto"/>
          <w:szCs w:val="28"/>
        </w:rPr>
        <w:t>.</w:t>
      </w:r>
      <w:r>
        <w:rPr>
          <w:rFonts w:hint="eastAsia" w:cs="Times New Roman"/>
          <w:color w:val="auto"/>
          <w:szCs w:val="28"/>
        </w:rPr>
        <w:t>7</w:t>
      </w:r>
      <w:r>
        <w:rPr>
          <w:rFonts w:cs="Times New Roman"/>
          <w:color w:val="auto"/>
          <w:szCs w:val="28"/>
        </w:rPr>
        <w:t>-</w:t>
      </w:r>
      <w:r>
        <w:rPr>
          <w:rFonts w:hint="eastAsia" w:cs="Times New Roman"/>
          <w:color w:val="auto"/>
          <w:szCs w:val="28"/>
        </w:rPr>
        <w:t>2</w:t>
      </w:r>
      <w:r>
        <w:rPr>
          <w:rFonts w:hint="eastAsia" w:cs="宋体"/>
          <w:color w:val="auto"/>
          <w:szCs w:val="28"/>
        </w:rPr>
        <w:t>。</w:t>
      </w:r>
    </w:p>
    <w:p>
      <w:pPr>
        <w:wordWrap w:val="0"/>
        <w:adjustRightInd w:val="0"/>
        <w:snapToGrid w:val="0"/>
        <w:jc w:val="center"/>
        <w:textAlignment w:val="center"/>
        <w:rPr>
          <w:rFonts w:cs="Times New Roman"/>
          <w:color w:val="auto"/>
          <w:szCs w:val="28"/>
        </w:rPr>
      </w:pPr>
      <w:r>
        <w:rPr>
          <w:rFonts w:hint="eastAsia" w:cs="宋体"/>
          <w:color w:val="auto"/>
          <w:szCs w:val="28"/>
        </w:rPr>
        <w:t>表3</w:t>
      </w:r>
      <w:r>
        <w:rPr>
          <w:rFonts w:cs="Times New Roman"/>
          <w:color w:val="auto"/>
          <w:szCs w:val="28"/>
        </w:rPr>
        <w:t>.</w:t>
      </w:r>
      <w:r>
        <w:rPr>
          <w:rFonts w:hint="eastAsia" w:cs="Times New Roman"/>
          <w:color w:val="auto"/>
          <w:szCs w:val="28"/>
        </w:rPr>
        <w:t>7</w:t>
      </w:r>
      <w:r>
        <w:rPr>
          <w:rFonts w:cs="Times New Roman"/>
          <w:color w:val="auto"/>
          <w:szCs w:val="28"/>
        </w:rPr>
        <w:t>-</w:t>
      </w:r>
      <w:r>
        <w:rPr>
          <w:rFonts w:hint="eastAsia" w:cs="Times New Roman"/>
          <w:color w:val="auto"/>
          <w:szCs w:val="28"/>
        </w:rPr>
        <w:t>2</w:t>
      </w:r>
      <w:r>
        <w:rPr>
          <w:rFonts w:cs="Times New Roman"/>
          <w:color w:val="auto"/>
          <w:szCs w:val="28"/>
        </w:rPr>
        <w:t xml:space="preserve">  GB18218-2018</w:t>
      </w:r>
      <w:r>
        <w:rPr>
          <w:rFonts w:hint="eastAsia" w:cs="宋体"/>
          <w:color w:val="auto"/>
          <w:szCs w:val="28"/>
        </w:rPr>
        <w:t>表</w:t>
      </w:r>
      <w:r>
        <w:rPr>
          <w:rFonts w:cs="Times New Roman"/>
          <w:color w:val="auto"/>
          <w:szCs w:val="28"/>
        </w:rPr>
        <w:t>1</w:t>
      </w:r>
      <w:r>
        <w:rPr>
          <w:rFonts w:hint="eastAsia" w:cs="宋体"/>
          <w:color w:val="auto"/>
          <w:szCs w:val="28"/>
        </w:rPr>
        <w:t>、</w:t>
      </w:r>
      <w:r>
        <w:rPr>
          <w:rFonts w:cs="Times New Roman"/>
          <w:color w:val="auto"/>
          <w:szCs w:val="28"/>
        </w:rPr>
        <w:t>2</w:t>
      </w:r>
      <w:r>
        <w:rPr>
          <w:rFonts w:hint="eastAsia" w:cs="宋体"/>
          <w:color w:val="auto"/>
          <w:szCs w:val="28"/>
        </w:rPr>
        <w:t>列出的物质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12"/>
        <w:gridCol w:w="2815"/>
        <w:gridCol w:w="1716"/>
        <w:gridCol w:w="1519"/>
        <w:gridCol w:w="200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sz w:val="21"/>
                <w:lang w:val="zh-CN"/>
              </w:rPr>
            </w:pPr>
            <w:r>
              <w:rPr>
                <w:rFonts w:hint="eastAsia" w:cs="宋体"/>
                <w:b/>
                <w:bCs/>
                <w:color w:val="auto"/>
                <w:sz w:val="21"/>
                <w:lang w:val="zh-CN"/>
              </w:rPr>
              <w:t>序号</w:t>
            </w:r>
          </w:p>
        </w:tc>
        <w:tc>
          <w:tcPr>
            <w:tcW w:w="2824"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sz w:val="21"/>
                <w:lang w:val="zh-CN"/>
              </w:rPr>
            </w:pPr>
            <w:r>
              <w:rPr>
                <w:rFonts w:hint="eastAsia" w:cs="宋体"/>
                <w:b/>
                <w:bCs/>
                <w:color w:val="auto"/>
                <w:sz w:val="21"/>
                <w:lang w:val="zh-CN"/>
              </w:rPr>
              <w:t>危险化学品名称和说明</w:t>
            </w:r>
          </w:p>
        </w:tc>
        <w:tc>
          <w:tcPr>
            <w:tcW w:w="1721"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sz w:val="21"/>
                <w:lang w:val="zh-CN"/>
              </w:rPr>
            </w:pPr>
            <w:r>
              <w:rPr>
                <w:rFonts w:cs="Times New Roman"/>
                <w:b/>
                <w:bCs/>
                <w:color w:val="auto"/>
                <w:sz w:val="21"/>
                <w:lang w:val="zh-CN"/>
              </w:rPr>
              <w:t>CAS</w:t>
            </w:r>
            <w:r>
              <w:rPr>
                <w:rFonts w:hint="eastAsia" w:cs="宋体"/>
                <w:b/>
                <w:bCs/>
                <w:color w:val="auto"/>
                <w:sz w:val="21"/>
                <w:lang w:val="zh-CN"/>
              </w:rPr>
              <w:t>号</w:t>
            </w:r>
          </w:p>
        </w:tc>
        <w:tc>
          <w:tcPr>
            <w:tcW w:w="1524"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sz w:val="21"/>
                <w:lang w:val="zh-CN"/>
              </w:rPr>
            </w:pPr>
            <w:r>
              <w:rPr>
                <w:rFonts w:hint="eastAsia" w:cs="宋体"/>
                <w:b/>
                <w:bCs/>
                <w:color w:val="auto"/>
                <w:sz w:val="21"/>
                <w:lang w:val="zh-CN"/>
              </w:rPr>
              <w:t>临界量</w:t>
            </w:r>
            <w:r>
              <w:rPr>
                <w:rFonts w:hint="eastAsia" w:cs="Times New Roman"/>
                <w:b/>
                <w:bCs/>
                <w:color w:val="auto"/>
                <w:sz w:val="21"/>
                <w:lang w:val="zh-CN"/>
              </w:rPr>
              <w:t>（</w:t>
            </w:r>
            <w:r>
              <w:rPr>
                <w:rFonts w:hint="eastAsia" w:cs="宋体"/>
                <w:b/>
                <w:bCs/>
                <w:color w:val="auto"/>
                <w:sz w:val="21"/>
                <w:lang w:val="zh-CN"/>
              </w:rPr>
              <w:t>吨）</w:t>
            </w:r>
          </w:p>
        </w:tc>
        <w:tc>
          <w:tcPr>
            <w:tcW w:w="2016" w:type="dxa"/>
            <w:tcBorders>
              <w:top w:val="single" w:color="auto" w:sz="4" w:space="0"/>
            </w:tcBorders>
            <w:vAlign w:val="center"/>
          </w:tcPr>
          <w:p>
            <w:pPr>
              <w:wordWrap w:val="0"/>
              <w:adjustRightInd w:val="0"/>
              <w:snapToGrid w:val="0"/>
              <w:spacing w:line="240" w:lineRule="auto"/>
              <w:jc w:val="center"/>
              <w:textAlignment w:val="center"/>
              <w:rPr>
                <w:rFonts w:cs="Times New Roman"/>
                <w:b/>
                <w:bCs/>
                <w:color w:val="auto"/>
                <w:sz w:val="21"/>
                <w:lang w:val="zh-CN"/>
              </w:rPr>
            </w:pPr>
            <w:r>
              <w:rPr>
                <w:rFonts w:hint="eastAsia" w:cs="宋体"/>
                <w:b/>
                <w:bCs/>
                <w:color w:val="auto"/>
                <w:sz w:val="21"/>
                <w:lang w:val="zh-CN"/>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1</w:t>
            </w:r>
          </w:p>
        </w:tc>
        <w:tc>
          <w:tcPr>
            <w:tcW w:w="2824"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rPr>
              <w:t>二甲苯</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80-62-6</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lang w:val="zh-CN"/>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lang w:val="zh-CN"/>
              </w:rPr>
            </w:pPr>
            <w:r>
              <w:rPr>
                <w:rFonts w:cs="Times New Roman"/>
                <w:color w:val="auto"/>
                <w:sz w:val="21"/>
                <w:lang w:val="zh-CN"/>
              </w:rPr>
              <w:t>2</w:t>
            </w:r>
          </w:p>
        </w:tc>
        <w:tc>
          <w:tcPr>
            <w:tcW w:w="2824"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rPr>
              <w:t>正丁醇</w:t>
            </w:r>
          </w:p>
        </w:tc>
        <w:tc>
          <w:tcPr>
            <w:tcW w:w="1721" w:type="dxa"/>
            <w:vAlign w:val="center"/>
          </w:tcPr>
          <w:p>
            <w:pPr>
              <w:pStyle w:val="68"/>
              <w:widowControl w:val="0"/>
              <w:wordWrap w:val="0"/>
              <w:adjustRightInd w:val="0"/>
              <w:snapToGrid w:val="0"/>
              <w:spacing w:line="240" w:lineRule="auto"/>
              <w:ind w:firstLine="0"/>
              <w:jc w:val="center"/>
              <w:textAlignment w:val="center"/>
              <w:rPr>
                <w:color w:val="auto"/>
              </w:rPr>
            </w:pPr>
            <w:r>
              <w:rPr>
                <w:color w:val="auto"/>
              </w:rPr>
              <w:t>96-33-3</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3</w:t>
            </w:r>
          </w:p>
        </w:tc>
        <w:tc>
          <w:tcPr>
            <w:tcW w:w="2824"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rPr>
              <w:t>醋酸丁酯</w:t>
            </w:r>
          </w:p>
        </w:tc>
        <w:tc>
          <w:tcPr>
            <w:tcW w:w="1721" w:type="dxa"/>
            <w:vAlign w:val="center"/>
          </w:tcPr>
          <w:p>
            <w:pPr>
              <w:pStyle w:val="68"/>
              <w:widowControl w:val="0"/>
              <w:wordWrap w:val="0"/>
              <w:adjustRightInd w:val="0"/>
              <w:snapToGrid w:val="0"/>
              <w:spacing w:line="240" w:lineRule="auto"/>
              <w:ind w:firstLine="0"/>
              <w:jc w:val="center"/>
              <w:textAlignment w:val="center"/>
              <w:rPr>
                <w:color w:val="auto"/>
              </w:rPr>
            </w:pPr>
            <w:r>
              <w:rPr>
                <w:color w:val="auto"/>
              </w:rPr>
              <w:t>123-86-4</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4</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丙烯酸树脂涂料</w:t>
            </w:r>
          </w:p>
        </w:tc>
        <w:tc>
          <w:tcPr>
            <w:tcW w:w="1721" w:type="dxa"/>
            <w:vAlign w:val="center"/>
          </w:tcPr>
          <w:p>
            <w:pPr>
              <w:pStyle w:val="68"/>
              <w:widowControl w:val="0"/>
              <w:wordWrap w:val="0"/>
              <w:adjustRightInd w:val="0"/>
              <w:snapToGrid w:val="0"/>
              <w:spacing w:line="240" w:lineRule="auto"/>
              <w:ind w:firstLine="0"/>
              <w:jc w:val="center"/>
              <w:textAlignment w:val="center"/>
              <w:rPr>
                <w:color w:val="auto"/>
              </w:rPr>
            </w:pPr>
            <w:r>
              <w:rPr>
                <w:color w:val="auto"/>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聚氨酯树脂涂料</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6</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环氧树脂涂料</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7</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氟碳树脂涂料</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8</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环氧树脂</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9</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环氧树脂固化剂</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10</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溶剂型丙烯酸树脂</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11</w:t>
            </w:r>
          </w:p>
        </w:tc>
        <w:tc>
          <w:tcPr>
            <w:tcW w:w="2824" w:type="dxa"/>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聚氨酯树脂</w:t>
            </w:r>
          </w:p>
        </w:tc>
        <w:tc>
          <w:tcPr>
            <w:tcW w:w="1721"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5"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12</w:t>
            </w:r>
          </w:p>
        </w:tc>
        <w:tc>
          <w:tcPr>
            <w:tcW w:w="2824"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rPr>
            </w:pPr>
            <w:r>
              <w:rPr>
                <w:rFonts w:hint="eastAsia" w:cs="宋体"/>
                <w:color w:val="auto"/>
                <w:sz w:val="21"/>
              </w:rPr>
              <w:t>氟碳树脂</w:t>
            </w:r>
          </w:p>
        </w:tc>
        <w:tc>
          <w:tcPr>
            <w:tcW w:w="1721"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w:t>
            </w:r>
          </w:p>
        </w:tc>
        <w:tc>
          <w:tcPr>
            <w:tcW w:w="1524"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sz w:val="21"/>
              </w:rPr>
            </w:pPr>
            <w:r>
              <w:rPr>
                <w:rFonts w:cs="Times New Roman"/>
                <w:color w:val="auto"/>
                <w:sz w:val="21"/>
              </w:rPr>
              <w:t>5000</w:t>
            </w:r>
          </w:p>
        </w:tc>
        <w:tc>
          <w:tcPr>
            <w:tcW w:w="2016" w:type="dxa"/>
            <w:tcBorders>
              <w:bottom w:val="single" w:color="auto" w:sz="4" w:space="0"/>
            </w:tcBorders>
            <w:vAlign w:val="center"/>
          </w:tcPr>
          <w:p>
            <w:pPr>
              <w:wordWrap w:val="0"/>
              <w:adjustRightInd w:val="0"/>
              <w:snapToGrid w:val="0"/>
              <w:spacing w:line="240" w:lineRule="auto"/>
              <w:jc w:val="center"/>
              <w:textAlignment w:val="center"/>
              <w:rPr>
                <w:rFonts w:cs="Times New Roman"/>
                <w:color w:val="auto"/>
                <w:sz w:val="21"/>
              </w:rPr>
            </w:pPr>
            <w:r>
              <w:rPr>
                <w:rFonts w:hint="eastAsia" w:cs="宋体"/>
                <w:color w:val="auto"/>
                <w:sz w:val="21"/>
                <w:lang w:val="zh-CN"/>
              </w:rPr>
              <w:t>易燃液体，类别3</w:t>
            </w:r>
          </w:p>
        </w:tc>
      </w:tr>
    </w:tbl>
    <w:p>
      <w:pPr>
        <w:wordWrap w:val="0"/>
        <w:adjustRightInd w:val="0"/>
        <w:snapToGrid w:val="0"/>
        <w:spacing w:line="540" w:lineRule="exact"/>
        <w:ind w:firstLine="560" w:firstLineChars="200"/>
        <w:textAlignment w:val="center"/>
        <w:rPr>
          <w:rFonts w:cs="Times New Roman"/>
          <w:color w:val="auto"/>
          <w:szCs w:val="28"/>
        </w:rPr>
      </w:pPr>
      <w:r>
        <w:rPr>
          <w:rFonts w:cs="Times New Roman"/>
          <w:color w:val="auto"/>
          <w:szCs w:val="28"/>
        </w:rPr>
        <w:t>4</w:t>
      </w:r>
      <w:r>
        <w:rPr>
          <w:rFonts w:hint="eastAsia" w:cs="宋体"/>
          <w:color w:val="auto"/>
          <w:szCs w:val="28"/>
        </w:rPr>
        <w:t>、重大危险源辨识、分级</w:t>
      </w:r>
    </w:p>
    <w:p>
      <w:pPr>
        <w:wordWrap w:val="0"/>
        <w:adjustRightInd w:val="0"/>
        <w:snapToGrid w:val="0"/>
        <w:spacing w:line="540" w:lineRule="exact"/>
        <w:ind w:firstLine="516" w:firstLineChars="200"/>
        <w:textAlignment w:val="center"/>
        <w:rPr>
          <w:rFonts w:cs="Times New Roman"/>
          <w:color w:val="auto"/>
          <w:szCs w:val="28"/>
        </w:rPr>
      </w:pPr>
      <w:r>
        <w:rPr>
          <w:rFonts w:hint="eastAsia" w:cs="宋体"/>
          <w:color w:val="auto"/>
          <w:spacing w:val="-11"/>
          <w:szCs w:val="28"/>
        </w:rPr>
        <w:t>根据表3</w:t>
      </w:r>
      <w:r>
        <w:rPr>
          <w:rFonts w:cs="Times New Roman"/>
          <w:color w:val="auto"/>
          <w:spacing w:val="-11"/>
          <w:szCs w:val="28"/>
        </w:rPr>
        <w:t>.</w:t>
      </w:r>
      <w:r>
        <w:rPr>
          <w:rFonts w:hint="eastAsia" w:cs="Times New Roman"/>
          <w:color w:val="auto"/>
          <w:spacing w:val="-11"/>
          <w:szCs w:val="28"/>
        </w:rPr>
        <w:t>7</w:t>
      </w:r>
      <w:r>
        <w:rPr>
          <w:rFonts w:cs="Times New Roman"/>
          <w:color w:val="auto"/>
          <w:spacing w:val="-11"/>
          <w:szCs w:val="28"/>
        </w:rPr>
        <w:t>-</w:t>
      </w:r>
      <w:r>
        <w:rPr>
          <w:rFonts w:hint="eastAsia" w:cs="Times New Roman"/>
          <w:color w:val="auto"/>
          <w:spacing w:val="-11"/>
          <w:szCs w:val="28"/>
        </w:rPr>
        <w:t>2</w:t>
      </w:r>
      <w:r>
        <w:rPr>
          <w:rFonts w:hint="eastAsia" w:cs="宋体"/>
          <w:color w:val="auto"/>
          <w:spacing w:val="-11"/>
          <w:szCs w:val="28"/>
        </w:rPr>
        <w:t>，列出本项目储存单元重大危险源辨识、分级表，见表3</w:t>
      </w:r>
      <w:r>
        <w:rPr>
          <w:rFonts w:cs="Times New Roman"/>
          <w:color w:val="auto"/>
          <w:spacing w:val="-11"/>
          <w:szCs w:val="28"/>
        </w:rPr>
        <w:t>.</w:t>
      </w:r>
      <w:r>
        <w:rPr>
          <w:rFonts w:hint="eastAsia" w:cs="Times New Roman"/>
          <w:color w:val="auto"/>
          <w:spacing w:val="-11"/>
          <w:szCs w:val="28"/>
        </w:rPr>
        <w:t>7</w:t>
      </w:r>
      <w:r>
        <w:rPr>
          <w:rFonts w:cs="Times New Roman"/>
          <w:color w:val="auto"/>
          <w:spacing w:val="-11"/>
          <w:szCs w:val="28"/>
        </w:rPr>
        <w:t>-</w:t>
      </w:r>
      <w:r>
        <w:rPr>
          <w:rFonts w:hint="eastAsia" w:cs="Times New Roman"/>
          <w:color w:val="auto"/>
          <w:spacing w:val="-11"/>
          <w:szCs w:val="28"/>
        </w:rPr>
        <w:t>3</w:t>
      </w:r>
      <w:r>
        <w:rPr>
          <w:rFonts w:hint="eastAsia" w:cs="宋体"/>
          <w:color w:val="auto"/>
          <w:spacing w:val="-11"/>
          <w:szCs w:val="28"/>
        </w:rPr>
        <w:t>。</w:t>
      </w:r>
    </w:p>
    <w:p>
      <w:pPr>
        <w:wordWrap w:val="0"/>
        <w:adjustRightInd w:val="0"/>
        <w:snapToGrid w:val="0"/>
        <w:jc w:val="center"/>
        <w:textAlignment w:val="center"/>
        <w:rPr>
          <w:rFonts w:cs="Times New Roman"/>
          <w:color w:val="auto"/>
          <w:szCs w:val="28"/>
        </w:rPr>
      </w:pPr>
      <w:r>
        <w:rPr>
          <w:rFonts w:hint="eastAsia" w:cs="宋体"/>
          <w:color w:val="auto"/>
          <w:szCs w:val="28"/>
        </w:rPr>
        <w:t>表3</w:t>
      </w:r>
      <w:r>
        <w:rPr>
          <w:rFonts w:cs="Times New Roman"/>
          <w:color w:val="auto"/>
          <w:szCs w:val="28"/>
        </w:rPr>
        <w:t>.</w:t>
      </w:r>
      <w:r>
        <w:rPr>
          <w:rFonts w:hint="eastAsia" w:cs="Times New Roman"/>
          <w:color w:val="auto"/>
          <w:szCs w:val="28"/>
        </w:rPr>
        <w:t>7</w:t>
      </w:r>
      <w:r>
        <w:rPr>
          <w:rFonts w:cs="Times New Roman"/>
          <w:color w:val="auto"/>
          <w:szCs w:val="28"/>
        </w:rPr>
        <w:t>-</w:t>
      </w:r>
      <w:r>
        <w:rPr>
          <w:rFonts w:hint="eastAsia" w:cs="Times New Roman"/>
          <w:color w:val="auto"/>
          <w:szCs w:val="28"/>
        </w:rPr>
        <w:t>3</w:t>
      </w:r>
      <w:r>
        <w:rPr>
          <w:rFonts w:cs="Times New Roman"/>
          <w:color w:val="auto"/>
          <w:szCs w:val="28"/>
        </w:rPr>
        <w:t xml:space="preserve">  10</w:t>
      </w:r>
      <w:r>
        <w:rPr>
          <w:rFonts w:hint="eastAsia" w:cs="Times New Roman"/>
          <w:color w:val="auto"/>
          <w:szCs w:val="28"/>
        </w:rPr>
        <w:t>6甲类</w:t>
      </w:r>
      <w:r>
        <w:rPr>
          <w:rFonts w:hint="eastAsia" w:cs="宋体"/>
          <w:color w:val="auto"/>
          <w:szCs w:val="28"/>
        </w:rPr>
        <w:t>仓库储存单元重大危险源辨识表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486"/>
        <w:gridCol w:w="1906"/>
        <w:gridCol w:w="1128"/>
        <w:gridCol w:w="1191"/>
        <w:gridCol w:w="1153"/>
        <w:gridCol w:w="588"/>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61"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序号</w:t>
            </w:r>
          </w:p>
        </w:tc>
        <w:tc>
          <w:tcPr>
            <w:tcW w:w="1486"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名称</w:t>
            </w:r>
          </w:p>
        </w:tc>
        <w:tc>
          <w:tcPr>
            <w:tcW w:w="1906"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分类</w:t>
            </w:r>
          </w:p>
        </w:tc>
        <w:tc>
          <w:tcPr>
            <w:tcW w:w="1128"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hint="eastAsia" w:cs="宋体"/>
                <w:b/>
                <w:bCs/>
                <w:color w:val="auto"/>
                <w:sz w:val="21"/>
                <w:szCs w:val="21"/>
              </w:rPr>
              <w:t>特殊状态</w:t>
            </w:r>
          </w:p>
        </w:tc>
        <w:tc>
          <w:tcPr>
            <w:tcW w:w="1191"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临界量（</w:t>
            </w:r>
            <w:r>
              <w:rPr>
                <w:rFonts w:cs="Times New Roman"/>
                <w:b/>
                <w:bCs/>
                <w:color w:val="auto"/>
                <w:sz w:val="21"/>
                <w:szCs w:val="21"/>
                <w:lang w:val="zh-CN"/>
              </w:rPr>
              <w:t>t</w:t>
            </w:r>
            <w:r>
              <w:rPr>
                <w:rFonts w:hint="eastAsia" w:cs="宋体"/>
                <w:b/>
                <w:bCs/>
                <w:color w:val="auto"/>
                <w:sz w:val="21"/>
                <w:szCs w:val="21"/>
                <w:lang w:val="zh-CN"/>
              </w:rPr>
              <w:t>）</w:t>
            </w:r>
          </w:p>
        </w:tc>
        <w:tc>
          <w:tcPr>
            <w:tcW w:w="1153"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最大量（</w:t>
            </w:r>
            <w:r>
              <w:rPr>
                <w:rFonts w:cs="Times New Roman"/>
                <w:b/>
                <w:bCs/>
                <w:color w:val="auto"/>
                <w:sz w:val="21"/>
                <w:szCs w:val="21"/>
                <w:lang w:val="zh-CN"/>
              </w:rPr>
              <w:t>t</w:t>
            </w:r>
            <w:r>
              <w:rPr>
                <w:rFonts w:hint="eastAsia" w:cs="宋体"/>
                <w:b/>
                <w:bCs/>
                <w:color w:val="auto"/>
                <w:sz w:val="21"/>
                <w:szCs w:val="21"/>
                <w:lang w:val="zh-CN"/>
              </w:rPr>
              <w:t>）</w:t>
            </w:r>
          </w:p>
        </w:tc>
        <w:tc>
          <w:tcPr>
            <w:tcW w:w="588"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cs="Times New Roman"/>
                <w:b/>
                <w:bCs/>
                <w:color w:val="auto"/>
                <w:sz w:val="21"/>
                <w:szCs w:val="21"/>
                <w:lang w:val="zh-CN"/>
              </w:rPr>
              <w:t>β</w:t>
            </w:r>
            <w:r>
              <w:rPr>
                <w:rFonts w:hint="eastAsia" w:cs="宋体"/>
                <w:b/>
                <w:bCs/>
                <w:color w:val="auto"/>
                <w:sz w:val="21"/>
                <w:szCs w:val="21"/>
                <w:lang w:val="zh-CN"/>
              </w:rPr>
              <w:t>值</w:t>
            </w:r>
          </w:p>
        </w:tc>
        <w:tc>
          <w:tcPr>
            <w:tcW w:w="983" w:type="dxa"/>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cs="Times New Roman"/>
                <w:b/>
                <w:bCs/>
                <w:color w:val="auto"/>
                <w:sz w:val="21"/>
                <w:szCs w:val="21"/>
                <w:lang w:val="zh-CN"/>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lang w:val="zh-CN"/>
              </w:rPr>
              <w:t>1</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二甲苯</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20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2</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正丁醇</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3</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醋酸丁酯</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4</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丙烯酸树脂涂料</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聚氨酯树脂涂料</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20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6</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环氧树脂涂料</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20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7</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氟碳树脂涂料</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8</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环氧树脂</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9</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环氧树脂固化剂</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10</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溶剂型丙烯酸树脂</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11</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聚氨酯树脂</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10</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12</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rPr>
              <w:t>氟碳树脂</w:t>
            </w:r>
          </w:p>
        </w:tc>
        <w:tc>
          <w:tcPr>
            <w:tcW w:w="1906"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宋体"/>
                <w:color w:val="auto"/>
                <w:sz w:val="21"/>
                <w:szCs w:val="21"/>
                <w:lang w:val="zh-CN"/>
              </w:rPr>
              <w:t>易燃液体，类别3、</w:t>
            </w:r>
            <w:r>
              <w:rPr>
                <w:rFonts w:cs="Times New Roman"/>
                <w:color w:val="auto"/>
                <w:sz w:val="21"/>
                <w:szCs w:val="21"/>
              </w:rPr>
              <w:t>W5.4</w:t>
            </w:r>
          </w:p>
        </w:tc>
        <w:tc>
          <w:tcPr>
            <w:tcW w:w="112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w:t>
            </w:r>
          </w:p>
        </w:tc>
        <w:tc>
          <w:tcPr>
            <w:tcW w:w="119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5000</w:t>
            </w:r>
          </w:p>
        </w:tc>
        <w:tc>
          <w:tcPr>
            <w:tcW w:w="115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5</w:t>
            </w:r>
          </w:p>
        </w:tc>
        <w:tc>
          <w:tcPr>
            <w:tcW w:w="588"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983"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61"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hint="eastAsia" w:cs="宋体"/>
                <w:color w:val="auto"/>
                <w:sz w:val="21"/>
                <w:szCs w:val="21"/>
                <w:lang w:val="zh-CN"/>
              </w:rPr>
              <w:t>合计</w:t>
            </w:r>
          </w:p>
        </w:tc>
        <w:tc>
          <w:tcPr>
            <w:tcW w:w="1486"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1906"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1128"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1191"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1153"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588" w:type="dxa"/>
            <w:vAlign w:val="center"/>
          </w:tcPr>
          <w:p>
            <w:pPr>
              <w:wordWrap w:val="0"/>
              <w:adjustRightInd w:val="0"/>
              <w:snapToGrid w:val="0"/>
              <w:spacing w:line="240" w:lineRule="exact"/>
              <w:jc w:val="center"/>
              <w:textAlignment w:val="center"/>
              <w:rPr>
                <w:rFonts w:cs="Times New Roman"/>
                <w:color w:val="auto"/>
                <w:sz w:val="21"/>
                <w:szCs w:val="21"/>
                <w:lang w:val="zh-CN"/>
              </w:rPr>
            </w:pPr>
          </w:p>
        </w:tc>
        <w:tc>
          <w:tcPr>
            <w:tcW w:w="983" w:type="dxa"/>
            <w:vAlign w:val="center"/>
          </w:tcPr>
          <w:p>
            <w:pPr>
              <w:wordWrap w:val="0"/>
              <w:adjustRightInd w:val="0"/>
              <w:snapToGrid w:val="0"/>
              <w:spacing w:line="240" w:lineRule="exact"/>
              <w:jc w:val="center"/>
              <w:textAlignment w:val="center"/>
              <w:rPr>
                <w:rFonts w:cs="Times New Roman"/>
                <w:color w:val="auto"/>
                <w:sz w:val="21"/>
                <w:szCs w:val="21"/>
                <w:lang w:val="zh-CN"/>
              </w:rPr>
            </w:pPr>
            <w:r>
              <w:rPr>
                <w:rFonts w:cs="Times New Roman"/>
                <w:color w:val="auto"/>
                <w:sz w:val="21"/>
                <w:szCs w:val="21"/>
                <w:lang w:val="zh-CN"/>
              </w:rPr>
              <w:fldChar w:fldCharType="begin"/>
            </w:r>
            <w:r>
              <w:rPr>
                <w:rFonts w:cs="Times New Roman"/>
                <w:color w:val="auto"/>
                <w:sz w:val="21"/>
                <w:szCs w:val="21"/>
                <w:lang w:val="zh-CN"/>
              </w:rPr>
              <w:instrText xml:space="preserve"> = sum(H2:H13) \* MERGEFORMAT </w:instrText>
            </w:r>
            <w:r>
              <w:rPr>
                <w:rFonts w:cs="Times New Roman"/>
                <w:color w:val="auto"/>
                <w:sz w:val="21"/>
                <w:szCs w:val="21"/>
                <w:lang w:val="zh-CN"/>
              </w:rPr>
              <w:fldChar w:fldCharType="separate"/>
            </w:r>
            <w:r>
              <w:rPr>
                <w:rFonts w:cs="Times New Roman"/>
                <w:color w:val="auto"/>
                <w:sz w:val="21"/>
                <w:szCs w:val="21"/>
                <w:lang w:val="zh-CN"/>
              </w:rPr>
              <w:t>0.025</w:t>
            </w:r>
            <w:r>
              <w:rPr>
                <w:rFonts w:cs="Times New Roman"/>
                <w:color w:val="auto"/>
                <w:sz w:val="21"/>
                <w:szCs w:val="21"/>
                <w:lang w:val="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147" w:type="dxa"/>
            <w:gridSpan w:val="2"/>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hint="eastAsia" w:cs="宋体"/>
                <w:b/>
                <w:bCs/>
                <w:color w:val="auto"/>
                <w:sz w:val="21"/>
                <w:szCs w:val="21"/>
                <w:lang w:val="zh-CN"/>
              </w:rPr>
              <w:t>重大危险源辨识结论</w:t>
            </w:r>
          </w:p>
        </w:tc>
        <w:tc>
          <w:tcPr>
            <w:tcW w:w="6949" w:type="dxa"/>
            <w:gridSpan w:val="6"/>
            <w:vAlign w:val="center"/>
          </w:tcPr>
          <w:p>
            <w:pPr>
              <w:wordWrap w:val="0"/>
              <w:adjustRightInd w:val="0"/>
              <w:snapToGrid w:val="0"/>
              <w:spacing w:line="240" w:lineRule="exact"/>
              <w:jc w:val="center"/>
              <w:textAlignment w:val="center"/>
              <w:rPr>
                <w:rFonts w:cs="Times New Roman"/>
                <w:b/>
                <w:bCs/>
                <w:color w:val="auto"/>
                <w:sz w:val="21"/>
                <w:szCs w:val="21"/>
                <w:lang w:val="zh-CN"/>
              </w:rPr>
            </w:pPr>
            <w:r>
              <w:rPr>
                <w:rFonts w:cs="Times New Roman"/>
                <w:b/>
                <w:bCs/>
                <w:color w:val="auto"/>
                <w:sz w:val="21"/>
                <w:szCs w:val="21"/>
                <w:lang w:val="zh-CN"/>
              </w:rPr>
              <w:t>∑q/Q</w:t>
            </w:r>
            <w:r>
              <w:rPr>
                <w:rFonts w:hint="eastAsia" w:cs="宋体"/>
                <w:b/>
                <w:bCs/>
                <w:color w:val="auto"/>
                <w:sz w:val="21"/>
                <w:szCs w:val="21"/>
                <w:lang w:val="zh-CN"/>
              </w:rPr>
              <w:t>＝</w:t>
            </w:r>
            <w:r>
              <w:rPr>
                <w:rFonts w:cs="Times New Roman"/>
                <w:b/>
                <w:bCs/>
                <w:color w:val="auto"/>
                <w:sz w:val="21"/>
                <w:szCs w:val="21"/>
                <w:lang w:val="zh-CN"/>
              </w:rPr>
              <w:fldChar w:fldCharType="begin"/>
            </w:r>
            <w:r>
              <w:rPr>
                <w:rFonts w:cs="Times New Roman"/>
                <w:b/>
                <w:bCs/>
                <w:color w:val="auto"/>
                <w:sz w:val="21"/>
                <w:szCs w:val="21"/>
                <w:lang w:val="zh-CN"/>
              </w:rPr>
              <w:instrText xml:space="preserve"> = sum(H2:H13) \* MERGEFORMAT </w:instrText>
            </w:r>
            <w:r>
              <w:rPr>
                <w:rFonts w:cs="Times New Roman"/>
                <w:b/>
                <w:bCs/>
                <w:color w:val="auto"/>
                <w:sz w:val="21"/>
                <w:szCs w:val="21"/>
                <w:lang w:val="zh-CN"/>
              </w:rPr>
              <w:fldChar w:fldCharType="separate"/>
            </w:r>
            <w:r>
              <w:rPr>
                <w:rFonts w:cs="Times New Roman"/>
                <w:b/>
                <w:bCs/>
                <w:color w:val="auto"/>
                <w:sz w:val="21"/>
                <w:szCs w:val="21"/>
                <w:lang w:val="zh-CN"/>
              </w:rPr>
              <w:t>0.025</w:t>
            </w:r>
            <w:r>
              <w:rPr>
                <w:rFonts w:cs="Times New Roman"/>
                <w:b/>
                <w:bCs/>
                <w:color w:val="auto"/>
                <w:sz w:val="21"/>
                <w:szCs w:val="21"/>
                <w:lang w:val="zh-CN"/>
              </w:rPr>
              <w:fldChar w:fldCharType="end"/>
            </w:r>
            <w:r>
              <w:rPr>
                <w:rFonts w:hint="eastAsia" w:cs="宋体"/>
                <w:b/>
                <w:bCs/>
                <w:color w:val="auto"/>
                <w:sz w:val="21"/>
                <w:szCs w:val="21"/>
                <w:lang w:val="zh-CN"/>
              </w:rPr>
              <w:t>＜</w:t>
            </w:r>
            <w:r>
              <w:rPr>
                <w:rFonts w:cs="Times New Roman"/>
                <w:b/>
                <w:bCs/>
                <w:color w:val="auto"/>
                <w:sz w:val="21"/>
                <w:szCs w:val="21"/>
                <w:lang w:val="zh-CN"/>
              </w:rPr>
              <w:t>1</w:t>
            </w:r>
            <w:r>
              <w:rPr>
                <w:rFonts w:hint="eastAsia" w:cs="宋体"/>
                <w:b/>
                <w:bCs/>
                <w:color w:val="auto"/>
                <w:sz w:val="21"/>
                <w:szCs w:val="21"/>
                <w:lang w:val="zh-CN"/>
              </w:rPr>
              <w:t>，不构成重大危险源</w:t>
            </w:r>
          </w:p>
        </w:tc>
      </w:tr>
    </w:tbl>
    <w:p>
      <w:pPr>
        <w:wordWrap w:val="0"/>
        <w:adjustRightInd w:val="0"/>
        <w:snapToGrid w:val="0"/>
        <w:textAlignment w:val="center"/>
        <w:outlineLvl w:val="2"/>
        <w:rPr>
          <w:rFonts w:cs="Times New Roman"/>
          <w:b/>
          <w:bCs/>
          <w:color w:val="auto"/>
          <w:szCs w:val="28"/>
        </w:rPr>
      </w:pPr>
      <w:bookmarkStart w:id="167" w:name="_Toc8025"/>
      <w:bookmarkStart w:id="168" w:name="_Toc16519"/>
      <w:bookmarkStart w:id="169" w:name="_Toc3536"/>
      <w:r>
        <w:rPr>
          <w:rFonts w:hint="eastAsia" w:cs="Times New Roman"/>
          <w:b/>
          <w:bCs/>
          <w:color w:val="auto"/>
          <w:szCs w:val="28"/>
        </w:rPr>
        <w:t xml:space="preserve">3.7.3 </w:t>
      </w:r>
      <w:r>
        <w:rPr>
          <w:rFonts w:cs="Times New Roman"/>
          <w:b/>
          <w:bCs/>
          <w:color w:val="auto"/>
          <w:szCs w:val="28"/>
        </w:rPr>
        <w:t>危险化学品重大危险源辨识结果</w:t>
      </w:r>
      <w:bookmarkEnd w:id="167"/>
      <w:bookmarkEnd w:id="168"/>
      <w:bookmarkEnd w:id="169"/>
    </w:p>
    <w:p>
      <w:pPr>
        <w:wordWrap w:val="0"/>
        <w:adjustRightInd w:val="0"/>
        <w:snapToGrid w:val="0"/>
        <w:jc w:val="center"/>
        <w:textAlignment w:val="center"/>
        <w:rPr>
          <w:rFonts w:cs="Times New Roman"/>
          <w:color w:val="auto"/>
          <w:szCs w:val="28"/>
        </w:rPr>
      </w:pPr>
      <w:r>
        <w:rPr>
          <w:rFonts w:cs="Times New Roman"/>
          <w:color w:val="auto"/>
          <w:szCs w:val="28"/>
        </w:rPr>
        <w:t>表3.</w:t>
      </w:r>
      <w:r>
        <w:rPr>
          <w:rFonts w:hint="eastAsia" w:cs="Times New Roman"/>
          <w:color w:val="auto"/>
          <w:szCs w:val="28"/>
        </w:rPr>
        <w:t>7</w:t>
      </w:r>
      <w:r>
        <w:rPr>
          <w:rFonts w:cs="Times New Roman"/>
          <w:color w:val="auto"/>
          <w:szCs w:val="28"/>
        </w:rPr>
        <w:t>-</w:t>
      </w:r>
      <w:r>
        <w:rPr>
          <w:rFonts w:hint="eastAsia" w:cs="Times New Roman"/>
          <w:color w:val="auto"/>
          <w:szCs w:val="28"/>
        </w:rPr>
        <w:t>4</w:t>
      </w:r>
      <w:r>
        <w:rPr>
          <w:rFonts w:cs="Times New Roman"/>
          <w:color w:val="auto"/>
          <w:szCs w:val="28"/>
        </w:rPr>
        <w:t xml:space="preserve"> </w:t>
      </w:r>
      <w:r>
        <w:rPr>
          <w:rFonts w:hint="eastAsia" w:cs="Times New Roman"/>
          <w:color w:val="auto"/>
          <w:szCs w:val="28"/>
        </w:rPr>
        <w:t xml:space="preserve"> </w:t>
      </w:r>
      <w:r>
        <w:rPr>
          <w:rFonts w:cs="Times New Roman"/>
          <w:color w:val="auto"/>
          <w:szCs w:val="28"/>
        </w:rPr>
        <w:t>单元重大危险源辨识结果汇总</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4325"/>
        <w:gridCol w:w="3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9" w:type="dxa"/>
            <w:tcBorders>
              <w:top w:val="single" w:color="000000" w:sz="4" w:space="0"/>
              <w:left w:val="single" w:color="000000" w:sz="4" w:space="0"/>
              <w:bottom w:val="single" w:color="000000" w:sz="4" w:space="0"/>
              <w:right w:val="single" w:color="000000" w:sz="4" w:space="0"/>
            </w:tcBorders>
            <w:vAlign w:val="center"/>
          </w:tcPr>
          <w:p>
            <w:pPr>
              <w:wordWrap w:val="0"/>
              <w:adjustRightInd w:val="0"/>
              <w:snapToGrid w:val="0"/>
              <w:spacing w:line="280" w:lineRule="exact"/>
              <w:jc w:val="center"/>
              <w:textAlignment w:val="center"/>
              <w:rPr>
                <w:rFonts w:cs="Times New Roman"/>
                <w:b/>
                <w:bCs/>
                <w:color w:val="auto"/>
                <w:sz w:val="21"/>
              </w:rPr>
            </w:pPr>
            <w:r>
              <w:rPr>
                <w:rFonts w:cs="Times New Roman"/>
                <w:b/>
                <w:bCs/>
                <w:color w:val="auto"/>
                <w:sz w:val="21"/>
              </w:rPr>
              <w:t>序号</w:t>
            </w:r>
          </w:p>
        </w:tc>
        <w:tc>
          <w:tcPr>
            <w:tcW w:w="4325" w:type="dxa"/>
            <w:tcBorders>
              <w:top w:val="single" w:color="000000" w:sz="4" w:space="0"/>
              <w:left w:val="single" w:color="000000" w:sz="4" w:space="0"/>
              <w:bottom w:val="single" w:color="000000" w:sz="4" w:space="0"/>
              <w:right w:val="single" w:color="000000" w:sz="4" w:space="0"/>
            </w:tcBorders>
            <w:vAlign w:val="center"/>
          </w:tcPr>
          <w:p>
            <w:pPr>
              <w:wordWrap w:val="0"/>
              <w:adjustRightInd w:val="0"/>
              <w:snapToGrid w:val="0"/>
              <w:spacing w:line="280" w:lineRule="exact"/>
              <w:jc w:val="center"/>
              <w:textAlignment w:val="center"/>
              <w:rPr>
                <w:rFonts w:cs="Times New Roman"/>
                <w:b/>
                <w:bCs/>
                <w:color w:val="auto"/>
                <w:sz w:val="21"/>
              </w:rPr>
            </w:pPr>
            <w:r>
              <w:rPr>
                <w:rFonts w:cs="Times New Roman"/>
                <w:b/>
                <w:bCs/>
                <w:color w:val="auto"/>
                <w:sz w:val="21"/>
              </w:rPr>
              <w:t>单元名称</w:t>
            </w:r>
          </w:p>
        </w:tc>
        <w:tc>
          <w:tcPr>
            <w:tcW w:w="3537" w:type="dxa"/>
            <w:tcBorders>
              <w:top w:val="single" w:color="000000" w:sz="4" w:space="0"/>
              <w:left w:val="nil"/>
              <w:bottom w:val="single" w:color="000000" w:sz="4" w:space="0"/>
              <w:right w:val="single" w:color="000000" w:sz="4" w:space="0"/>
            </w:tcBorders>
            <w:vAlign w:val="center"/>
          </w:tcPr>
          <w:p>
            <w:pPr>
              <w:wordWrap w:val="0"/>
              <w:adjustRightInd w:val="0"/>
              <w:snapToGrid w:val="0"/>
              <w:spacing w:line="280" w:lineRule="exact"/>
              <w:jc w:val="center"/>
              <w:textAlignment w:val="center"/>
              <w:rPr>
                <w:rFonts w:cs="Times New Roman"/>
                <w:b/>
                <w:bCs/>
                <w:color w:val="auto"/>
                <w:sz w:val="21"/>
              </w:rPr>
            </w:pPr>
            <w:r>
              <w:rPr>
                <w:rFonts w:cs="Times New Roman"/>
                <w:b/>
                <w:bCs/>
                <w:color w:val="auto"/>
                <w:sz w:val="21"/>
              </w:rPr>
              <w:t>危险化学品重大危险源级别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9" w:type="dxa"/>
            <w:tcBorders>
              <w:top w:val="single" w:color="000000" w:sz="4" w:space="0"/>
              <w:left w:val="single" w:color="000000" w:sz="4" w:space="0"/>
              <w:bottom w:val="single" w:color="000000" w:sz="4" w:space="0"/>
              <w:right w:val="single" w:color="000000" w:sz="4" w:space="0"/>
            </w:tcBorders>
            <w:vAlign w:val="center"/>
          </w:tcPr>
          <w:p>
            <w:pPr>
              <w:wordWrap w:val="0"/>
              <w:adjustRightInd w:val="0"/>
              <w:snapToGrid w:val="0"/>
              <w:spacing w:line="280" w:lineRule="exact"/>
              <w:jc w:val="center"/>
              <w:textAlignment w:val="center"/>
              <w:rPr>
                <w:rFonts w:cs="Times New Roman"/>
                <w:color w:val="auto"/>
                <w:sz w:val="21"/>
              </w:rPr>
            </w:pPr>
            <w:r>
              <w:rPr>
                <w:rFonts w:cs="Times New Roman"/>
                <w:color w:val="auto"/>
                <w:sz w:val="21"/>
              </w:rPr>
              <w:t>1</w:t>
            </w:r>
          </w:p>
        </w:tc>
        <w:tc>
          <w:tcPr>
            <w:tcW w:w="4325" w:type="dxa"/>
            <w:tcBorders>
              <w:top w:val="single" w:color="000000" w:sz="4" w:space="0"/>
              <w:left w:val="single" w:color="000000" w:sz="4" w:space="0"/>
              <w:bottom w:val="single" w:color="000000" w:sz="4" w:space="0"/>
              <w:right w:val="single" w:color="000000" w:sz="4" w:space="0"/>
            </w:tcBorders>
            <w:vAlign w:val="center"/>
          </w:tcPr>
          <w:p>
            <w:pPr>
              <w:wordWrap w:val="0"/>
              <w:adjustRightInd w:val="0"/>
              <w:snapToGrid w:val="0"/>
              <w:spacing w:line="240" w:lineRule="auto"/>
              <w:jc w:val="center"/>
              <w:textAlignment w:val="center"/>
              <w:rPr>
                <w:rFonts w:cs="Times New Roman"/>
                <w:color w:val="auto"/>
                <w:sz w:val="21"/>
                <w:lang w:eastAsia="en-US"/>
              </w:rPr>
            </w:pPr>
            <w:r>
              <w:rPr>
                <w:rFonts w:hint="eastAsia" w:cs="Times New Roman"/>
                <w:color w:val="auto"/>
                <w:sz w:val="21"/>
              </w:rPr>
              <w:t>106</w:t>
            </w:r>
            <w:r>
              <w:rPr>
                <w:rFonts w:cs="Times New Roman"/>
                <w:color w:val="auto"/>
                <w:sz w:val="21"/>
              </w:rPr>
              <w:t>甲类仓库</w:t>
            </w:r>
          </w:p>
        </w:tc>
        <w:tc>
          <w:tcPr>
            <w:tcW w:w="3537" w:type="dxa"/>
            <w:tcBorders>
              <w:top w:val="single" w:color="000000" w:sz="4" w:space="0"/>
              <w:left w:val="nil"/>
              <w:bottom w:val="single" w:color="000000" w:sz="4" w:space="0"/>
              <w:right w:val="single" w:color="000000" w:sz="4" w:space="0"/>
            </w:tcBorders>
            <w:vAlign w:val="center"/>
          </w:tcPr>
          <w:p>
            <w:pPr>
              <w:wordWrap w:val="0"/>
              <w:adjustRightInd w:val="0"/>
              <w:snapToGrid w:val="0"/>
              <w:spacing w:line="280" w:lineRule="exact"/>
              <w:jc w:val="center"/>
              <w:textAlignment w:val="center"/>
              <w:rPr>
                <w:rFonts w:cs="Times New Roman"/>
                <w:color w:val="auto"/>
                <w:sz w:val="21"/>
              </w:rPr>
            </w:pPr>
            <w:r>
              <w:rPr>
                <w:rFonts w:cs="Times New Roman"/>
                <w:color w:val="auto"/>
                <w:sz w:val="21"/>
              </w:rPr>
              <w:t>不构成</w:t>
            </w:r>
          </w:p>
        </w:tc>
      </w:tr>
    </w:tbl>
    <w:p>
      <w:pPr>
        <w:wordWrap w:val="0"/>
        <w:adjustRightInd w:val="0"/>
        <w:snapToGrid w:val="0"/>
        <w:ind w:firstLine="560" w:firstLineChars="200"/>
        <w:textAlignment w:val="center"/>
        <w:rPr>
          <w:rFonts w:cs="Times New Roman"/>
          <w:color w:val="auto"/>
          <w:szCs w:val="28"/>
        </w:rPr>
      </w:pPr>
      <w:r>
        <w:rPr>
          <w:rFonts w:cs="Times New Roman"/>
          <w:color w:val="auto"/>
          <w:szCs w:val="28"/>
        </w:rPr>
        <w:t>根据《危险化学品重大危险源辩识》GB18218-2018辩识结果，</w:t>
      </w:r>
      <w:r>
        <w:rPr>
          <w:rFonts w:hint="eastAsia" w:cs="Times New Roman"/>
          <w:color w:val="auto"/>
          <w:szCs w:val="28"/>
        </w:rPr>
        <w:t>本项目106甲类仓库储存</w:t>
      </w:r>
      <w:r>
        <w:rPr>
          <w:rFonts w:cs="Times New Roman"/>
          <w:color w:val="auto"/>
          <w:szCs w:val="28"/>
        </w:rPr>
        <w:t>单元不构成危险化学品重大危险</w:t>
      </w:r>
      <w:r>
        <w:rPr>
          <w:rFonts w:hint="eastAsia" w:cs="Times New Roman"/>
          <w:color w:val="auto"/>
          <w:szCs w:val="28"/>
        </w:rPr>
        <w:t>源</w:t>
      </w:r>
      <w:r>
        <w:rPr>
          <w:rFonts w:cs="Times New Roman"/>
          <w:color w:val="auto"/>
          <w:szCs w:val="28"/>
        </w:rPr>
        <w:t>。</w:t>
      </w:r>
    </w:p>
    <w:p>
      <w:pPr>
        <w:pStyle w:val="5"/>
        <w:keepNext w:val="0"/>
        <w:keepLines w:val="0"/>
        <w:wordWrap w:val="0"/>
        <w:adjustRightInd w:val="0"/>
        <w:snapToGrid w:val="0"/>
        <w:textAlignment w:val="center"/>
        <w:rPr>
          <w:rFonts w:cs="Times New Roman"/>
          <w:color w:val="auto"/>
          <w:kern w:val="0"/>
          <w:szCs w:val="28"/>
        </w:rPr>
      </w:pPr>
      <w:bookmarkStart w:id="170" w:name="_Toc23893"/>
      <w:bookmarkStart w:id="171" w:name="_Toc29308895"/>
      <w:bookmarkStart w:id="172" w:name="_Toc30655"/>
      <w:bookmarkStart w:id="173" w:name="_Toc419926652"/>
      <w:r>
        <w:rPr>
          <w:rFonts w:cs="Times New Roman"/>
          <w:color w:val="auto"/>
          <w:kern w:val="0"/>
          <w:szCs w:val="28"/>
        </w:rPr>
        <w:t>3.</w:t>
      </w:r>
      <w:r>
        <w:rPr>
          <w:rFonts w:hint="eastAsia" w:cs="Times New Roman"/>
          <w:color w:val="auto"/>
          <w:kern w:val="0"/>
          <w:szCs w:val="28"/>
        </w:rPr>
        <w:t>7</w:t>
      </w:r>
      <w:r>
        <w:rPr>
          <w:rFonts w:cs="Times New Roman"/>
          <w:color w:val="auto"/>
          <w:kern w:val="0"/>
          <w:szCs w:val="28"/>
        </w:rPr>
        <w:t>.</w:t>
      </w:r>
      <w:r>
        <w:rPr>
          <w:rFonts w:hint="eastAsia" w:cs="Times New Roman"/>
          <w:color w:val="auto"/>
          <w:kern w:val="0"/>
          <w:szCs w:val="28"/>
        </w:rPr>
        <w:t>4</w:t>
      </w:r>
      <w:r>
        <w:rPr>
          <w:rFonts w:cs="Times New Roman"/>
          <w:color w:val="auto"/>
          <w:kern w:val="0"/>
          <w:szCs w:val="28"/>
        </w:rPr>
        <w:t xml:space="preserve"> 重大危险源辨识结果</w:t>
      </w:r>
      <w:bookmarkEnd w:id="170"/>
      <w:bookmarkEnd w:id="171"/>
      <w:bookmarkEnd w:id="172"/>
    </w:p>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根据《危险化学品重大危险源辨识》（GB18218-2018）的定义和《危险化学品重大危险源监督管理暂行规定》（2011）（40号令）得出结论如下：本项目</w:t>
      </w:r>
      <w:r>
        <w:rPr>
          <w:rFonts w:hint="eastAsia" w:cs="Times New Roman"/>
          <w:color w:val="auto"/>
          <w:szCs w:val="28"/>
        </w:rPr>
        <w:t>106甲类仓库</w:t>
      </w:r>
      <w:r>
        <w:rPr>
          <w:rFonts w:cs="Times New Roman"/>
          <w:color w:val="auto"/>
          <w:kern w:val="0"/>
          <w:szCs w:val="28"/>
        </w:rPr>
        <w:t>储存单元</w:t>
      </w:r>
      <w:r>
        <w:rPr>
          <w:rFonts w:hint="eastAsia" w:cs="Times New Roman"/>
          <w:color w:val="auto"/>
          <w:kern w:val="0"/>
          <w:szCs w:val="28"/>
        </w:rPr>
        <w:t>不</w:t>
      </w:r>
      <w:r>
        <w:rPr>
          <w:rFonts w:cs="Times New Roman"/>
          <w:color w:val="auto"/>
          <w:kern w:val="0"/>
          <w:szCs w:val="28"/>
        </w:rPr>
        <w:t>构成</w:t>
      </w:r>
      <w:bookmarkStart w:id="174" w:name="OLE_LINK45"/>
      <w:r>
        <w:rPr>
          <w:rFonts w:cs="Times New Roman"/>
          <w:color w:val="auto"/>
          <w:kern w:val="0"/>
          <w:szCs w:val="28"/>
        </w:rPr>
        <w:t>危险化学品重大危险源</w:t>
      </w:r>
      <w:bookmarkEnd w:id="174"/>
      <w:r>
        <w:rPr>
          <w:rFonts w:cs="Times New Roman"/>
          <w:color w:val="auto"/>
          <w:kern w:val="0"/>
          <w:szCs w:val="28"/>
        </w:rPr>
        <w:t>。</w:t>
      </w:r>
    </w:p>
    <w:bookmarkEnd w:id="173"/>
    <w:p>
      <w:pPr>
        <w:wordWrap w:val="0"/>
        <w:adjustRightInd w:val="0"/>
        <w:snapToGrid w:val="0"/>
        <w:jc w:val="center"/>
        <w:textAlignment w:val="center"/>
        <w:outlineLvl w:val="1"/>
        <w:rPr>
          <w:b/>
          <w:bCs/>
          <w:color w:val="auto"/>
          <w:szCs w:val="28"/>
        </w:rPr>
      </w:pPr>
      <w:bookmarkStart w:id="175" w:name="_Toc9737"/>
      <w:bookmarkStart w:id="176" w:name="_Toc19761"/>
      <w:bookmarkStart w:id="177" w:name="_Toc22853"/>
      <w:bookmarkStart w:id="178" w:name="_Toc18323"/>
      <w:bookmarkStart w:id="179" w:name="_Toc31495"/>
      <w:r>
        <w:rPr>
          <w:rFonts w:hint="eastAsia"/>
          <w:b/>
          <w:bCs/>
          <w:color w:val="auto"/>
          <w:szCs w:val="28"/>
        </w:rPr>
        <w:t>3.8 外部安全防护距离</w:t>
      </w:r>
      <w:bookmarkEnd w:id="175"/>
      <w:bookmarkEnd w:id="176"/>
      <w:bookmarkEnd w:id="177"/>
      <w:bookmarkEnd w:id="178"/>
    </w:p>
    <w:p>
      <w:pPr>
        <w:wordWrap w:val="0"/>
        <w:adjustRightInd w:val="0"/>
        <w:snapToGrid w:val="0"/>
        <w:ind w:firstLine="536" w:firstLineChars="200"/>
        <w:textAlignment w:val="center"/>
        <w:rPr>
          <w:color w:val="auto"/>
          <w:szCs w:val="28"/>
        </w:rPr>
      </w:pPr>
      <w:r>
        <w:rPr>
          <w:rFonts w:hint="eastAsia"/>
          <w:color w:val="auto"/>
          <w:spacing w:val="-6"/>
          <w:szCs w:val="28"/>
        </w:rPr>
        <w:t>根据《危险化学品生产装置和储存设施外部安全防护距离确定方法》GB/T37243-2019内第4.1至4.3条：涉及爆炸物的危险化学品生产装置和储存设施应采用事故后果法确定外部安全防护距离；涉及有毒气体或易燃气体，且其设计最大量与GB18218中规定的临界量比值之和大于或等于1的危险化学品生产装置和储存设施应采用定量风险评价方法确定外部安全防护距离。当企业存在上述装置和设施时，应将企业内所有的危险化学品生产装置和储存设施作为一个整体进行定量风险评估，确定外部安全防护距离。</w:t>
      </w:r>
    </w:p>
    <w:p>
      <w:pPr>
        <w:wordWrap w:val="0"/>
        <w:adjustRightInd w:val="0"/>
        <w:snapToGrid w:val="0"/>
        <w:ind w:firstLine="560" w:firstLineChars="200"/>
        <w:textAlignment w:val="center"/>
        <w:rPr>
          <w:color w:val="auto"/>
          <w:szCs w:val="28"/>
        </w:rPr>
      </w:pPr>
      <w:r>
        <w:rPr>
          <w:rFonts w:hint="eastAsia"/>
          <w:color w:val="auto"/>
          <w:szCs w:val="28"/>
        </w:rPr>
        <w:t>本项目不涉及爆炸物以及有毒气体和易燃气体。因此本项目外部安全防护距离执行《精细化工企业工程设计防火标准》（GB51283-2020）以及《建筑设计防火规范》GB50016-2014（2018年版）等相关标准规范的距离要求。</w:t>
      </w:r>
    </w:p>
    <w:p>
      <w:pPr>
        <w:tabs>
          <w:tab w:val="left" w:pos="510"/>
        </w:tabs>
        <w:wordWrap w:val="0"/>
        <w:adjustRightInd w:val="0"/>
        <w:snapToGrid w:val="0"/>
        <w:ind w:firstLine="560" w:firstLineChars="200"/>
        <w:textAlignment w:val="center"/>
        <w:rPr>
          <w:color w:val="auto"/>
          <w:szCs w:val="28"/>
        </w:rPr>
      </w:pPr>
      <w:r>
        <w:rPr>
          <w:rFonts w:hint="eastAsia"/>
          <w:color w:val="auto"/>
          <w:szCs w:val="28"/>
        </w:rPr>
        <w:t>依据《危险化学品生产装置和储存设施外部安全防护距离确定方法》、《精细化工企业工程设计防火标准》（GB51283-2020）以及《建筑设计防火规范》GB50016-2014（2018年版）等相关规范要求，本项目的危险化学品储存设施外部安全防护距离最大为50m。</w:t>
      </w:r>
    </w:p>
    <w:p>
      <w:pPr>
        <w:wordWrap w:val="0"/>
        <w:adjustRightInd w:val="0"/>
        <w:snapToGrid w:val="0"/>
        <w:ind w:firstLine="560" w:firstLineChars="200"/>
        <w:textAlignment w:val="center"/>
        <w:rPr>
          <w:color w:val="auto"/>
          <w:szCs w:val="28"/>
        </w:rPr>
      </w:pPr>
      <w:r>
        <w:rPr>
          <w:rFonts w:hint="eastAsia"/>
          <w:color w:val="auto"/>
          <w:szCs w:val="28"/>
        </w:rPr>
        <w:t>因此，本项目外部安全防护距离为50m。</w:t>
      </w:r>
    </w:p>
    <w:p>
      <w:pPr>
        <w:wordWrap w:val="0"/>
        <w:adjustRightInd w:val="0"/>
        <w:snapToGrid w:val="0"/>
        <w:jc w:val="center"/>
        <w:textAlignment w:val="center"/>
        <w:outlineLvl w:val="1"/>
        <w:rPr>
          <w:color w:val="auto"/>
          <w:kern w:val="0"/>
        </w:rPr>
      </w:pPr>
      <w:bookmarkStart w:id="180" w:name="_Toc22759"/>
      <w:bookmarkStart w:id="181" w:name="_Toc31670"/>
      <w:r>
        <w:rPr>
          <w:rFonts w:hint="eastAsia"/>
          <w:b/>
          <w:bCs/>
          <w:color w:val="auto"/>
          <w:kern w:val="0"/>
        </w:rPr>
        <w:t>3.9 爆炸危险区域</w:t>
      </w:r>
      <w:bookmarkEnd w:id="180"/>
      <w:bookmarkEnd w:id="181"/>
    </w:p>
    <w:p>
      <w:pPr>
        <w:wordWrap w:val="0"/>
        <w:topLinePunct/>
        <w:adjustRightInd w:val="0"/>
        <w:snapToGrid w:val="0"/>
        <w:ind w:firstLine="548" w:firstLineChars="196"/>
        <w:textAlignment w:val="center"/>
        <w:rPr>
          <w:color w:val="auto"/>
          <w:szCs w:val="28"/>
        </w:rPr>
      </w:pPr>
      <w:r>
        <w:rPr>
          <w:color w:val="auto"/>
          <w:szCs w:val="28"/>
        </w:rPr>
        <w:t>1</w:t>
      </w:r>
      <w:r>
        <w:rPr>
          <w:rFonts w:hint="eastAsia"/>
          <w:color w:val="auto"/>
          <w:szCs w:val="28"/>
        </w:rPr>
        <w:t>、</w:t>
      </w:r>
      <w:r>
        <w:rPr>
          <w:rFonts w:hint="eastAsia" w:cs="宋体"/>
          <w:color w:val="auto"/>
          <w:szCs w:val="28"/>
        </w:rPr>
        <w:t>爆炸区域划分：</w:t>
      </w:r>
    </w:p>
    <w:p>
      <w:pPr>
        <w:wordWrap w:val="0"/>
        <w:topLinePunct/>
        <w:adjustRightInd w:val="0"/>
        <w:snapToGrid w:val="0"/>
        <w:ind w:firstLine="548" w:firstLineChars="196"/>
        <w:textAlignment w:val="center"/>
        <w:rPr>
          <w:color w:val="auto"/>
          <w:szCs w:val="28"/>
        </w:rPr>
      </w:pPr>
      <w:r>
        <w:rPr>
          <w:rFonts w:hint="eastAsia" w:cs="宋体"/>
          <w:color w:val="auto"/>
          <w:szCs w:val="28"/>
        </w:rPr>
        <w:t>依据《爆炸危险环境电力装置设计规范》和企业提供的资料，对项目火灾、爆炸危险区域的划分如下：</w:t>
      </w:r>
    </w:p>
    <w:p>
      <w:pPr>
        <w:wordWrap w:val="0"/>
        <w:topLinePunct/>
        <w:adjustRightInd w:val="0"/>
        <w:snapToGrid w:val="0"/>
        <w:ind w:firstLine="548" w:firstLineChars="196"/>
        <w:textAlignment w:val="center"/>
        <w:rPr>
          <w:color w:val="auto"/>
          <w:szCs w:val="28"/>
        </w:rPr>
      </w:pPr>
      <w:r>
        <w:rPr>
          <w:color w:val="auto"/>
          <w:szCs w:val="28"/>
        </w:rPr>
        <w:t>1</w:t>
      </w:r>
      <w:r>
        <w:rPr>
          <w:rFonts w:hint="eastAsia" w:cs="宋体"/>
          <w:color w:val="auto"/>
          <w:szCs w:val="28"/>
        </w:rPr>
        <w:t>）爆炸性气体环境危险区域划分</w:t>
      </w:r>
    </w:p>
    <w:p>
      <w:pPr>
        <w:wordWrap w:val="0"/>
        <w:topLinePunct/>
        <w:adjustRightInd w:val="0"/>
        <w:snapToGrid w:val="0"/>
        <w:ind w:firstLine="548" w:firstLineChars="196"/>
        <w:textAlignment w:val="center"/>
        <w:rPr>
          <w:color w:val="auto"/>
          <w:szCs w:val="28"/>
        </w:rPr>
      </w:pPr>
      <w:r>
        <w:rPr>
          <w:rFonts w:hint="eastAsia" w:cs="宋体"/>
          <w:color w:val="auto"/>
          <w:szCs w:val="28"/>
        </w:rPr>
        <w:t>危险物质：本项目可能会形成爆炸性气体环境的物料为环氧树脂、环氧树脂固化剂、溶剂型丙烯酸树脂、聚氨酯树脂、氟碳树脂、二甲苯、醋酸丁酯、正丁醇、丙烯酸树脂涂料、聚氨酯树脂涂料、环氧树脂涂料、氟碳树脂涂料以及尾气等。</w:t>
      </w:r>
    </w:p>
    <w:p>
      <w:pPr>
        <w:wordWrap w:val="0"/>
        <w:topLinePunct/>
        <w:adjustRightInd w:val="0"/>
        <w:snapToGrid w:val="0"/>
        <w:ind w:firstLine="548" w:firstLineChars="196"/>
        <w:textAlignment w:val="center"/>
        <w:rPr>
          <w:color w:val="auto"/>
          <w:szCs w:val="28"/>
        </w:rPr>
      </w:pPr>
      <w:r>
        <w:rPr>
          <w:rFonts w:hint="eastAsia" w:cs="宋体"/>
          <w:color w:val="auto"/>
          <w:szCs w:val="28"/>
        </w:rPr>
        <w:t>释放源级别：爆炸性气体预计原料储存区和生产区区域的释放源，在正常运行下不会释放，即使释放也仅是偶尔短时的释放，所以确定原料储存区和生产区均为二级释放源。</w:t>
      </w:r>
    </w:p>
    <w:p>
      <w:pPr>
        <w:wordWrap w:val="0"/>
        <w:topLinePunct/>
        <w:adjustRightInd w:val="0"/>
        <w:snapToGrid w:val="0"/>
        <w:ind w:firstLine="548" w:firstLineChars="196"/>
        <w:textAlignment w:val="center"/>
        <w:rPr>
          <w:color w:val="auto"/>
          <w:szCs w:val="28"/>
        </w:rPr>
      </w:pPr>
      <w:r>
        <w:rPr>
          <w:rFonts w:hint="eastAsia" w:cs="宋体"/>
          <w:color w:val="auto"/>
          <w:szCs w:val="28"/>
        </w:rPr>
        <w:t>区域划分：</w:t>
      </w:r>
    </w:p>
    <w:p>
      <w:pPr>
        <w:wordWrap w:val="0"/>
        <w:topLinePunct/>
        <w:adjustRightInd w:val="0"/>
        <w:snapToGrid w:val="0"/>
        <w:ind w:firstLine="548" w:firstLineChars="196"/>
        <w:textAlignment w:val="center"/>
        <w:rPr>
          <w:color w:val="auto"/>
          <w:szCs w:val="28"/>
        </w:rPr>
      </w:pPr>
      <w:r>
        <w:rPr>
          <w:color w:val="auto"/>
          <w:szCs w:val="28"/>
        </w:rPr>
        <w:t>0</w:t>
      </w:r>
      <w:r>
        <w:rPr>
          <w:rFonts w:hint="eastAsia" w:cs="宋体"/>
          <w:color w:val="auto"/>
          <w:szCs w:val="28"/>
        </w:rPr>
        <w:t>区：连续出现或长期出现爆炸混合气体混合物的环境。</w:t>
      </w:r>
    </w:p>
    <w:p>
      <w:pPr>
        <w:wordWrap w:val="0"/>
        <w:topLinePunct/>
        <w:adjustRightInd w:val="0"/>
        <w:snapToGrid w:val="0"/>
        <w:ind w:firstLine="548" w:firstLineChars="196"/>
        <w:textAlignment w:val="center"/>
        <w:rPr>
          <w:color w:val="auto"/>
          <w:szCs w:val="28"/>
        </w:rPr>
      </w:pPr>
      <w:r>
        <w:rPr>
          <w:color w:val="auto"/>
          <w:szCs w:val="28"/>
        </w:rPr>
        <w:t>1</w:t>
      </w:r>
      <w:r>
        <w:rPr>
          <w:rFonts w:hint="eastAsia" w:cs="宋体"/>
          <w:color w:val="auto"/>
          <w:szCs w:val="28"/>
        </w:rPr>
        <w:t>区：在正常运行时可能出现爆炸性气体混合物的环境。</w:t>
      </w:r>
    </w:p>
    <w:p>
      <w:pPr>
        <w:wordWrap w:val="0"/>
        <w:topLinePunct/>
        <w:adjustRightInd w:val="0"/>
        <w:snapToGrid w:val="0"/>
        <w:ind w:firstLine="548" w:firstLineChars="196"/>
        <w:textAlignment w:val="center"/>
        <w:rPr>
          <w:color w:val="auto"/>
          <w:szCs w:val="28"/>
        </w:rPr>
      </w:pPr>
      <w:r>
        <w:rPr>
          <w:color w:val="auto"/>
          <w:szCs w:val="28"/>
        </w:rPr>
        <w:t>2</w:t>
      </w:r>
      <w:r>
        <w:rPr>
          <w:rFonts w:hint="eastAsia" w:cs="宋体"/>
          <w:color w:val="auto"/>
          <w:szCs w:val="28"/>
        </w:rPr>
        <w:t>区：在正常运行时不可能出现爆炸性混合气体的环境，即使出现也仅是短时存在爆炸性混合物气体的环境。</w:t>
      </w:r>
    </w:p>
    <w:p>
      <w:pPr>
        <w:wordWrap w:val="0"/>
        <w:topLinePunct/>
        <w:adjustRightInd w:val="0"/>
        <w:snapToGrid w:val="0"/>
        <w:ind w:firstLine="548" w:firstLineChars="196"/>
        <w:textAlignment w:val="center"/>
        <w:rPr>
          <w:color w:val="auto"/>
          <w:szCs w:val="28"/>
        </w:rPr>
      </w:pPr>
      <w:r>
        <w:rPr>
          <w:rFonts w:hint="eastAsia" w:cs="宋体"/>
          <w:color w:val="auto"/>
          <w:szCs w:val="28"/>
        </w:rPr>
        <w:t>根据《爆炸危险环境电力装置设计规范》对爆炸性气体环境危险区域划分的规定，本项目的爆炸气体环境危险区域划分如下：</w:t>
      </w:r>
    </w:p>
    <w:p>
      <w:pPr>
        <w:adjustRightInd w:val="0"/>
        <w:snapToGrid w:val="0"/>
        <w:jc w:val="center"/>
        <w:textAlignment w:val="center"/>
        <w:rPr>
          <w:color w:val="auto"/>
          <w:szCs w:val="28"/>
        </w:rPr>
      </w:pPr>
      <w:r>
        <w:rPr>
          <w:rFonts w:hint="eastAsia" w:cs="宋体"/>
          <w:color w:val="auto"/>
          <w:szCs w:val="28"/>
        </w:rPr>
        <w:t>表</w:t>
      </w:r>
      <w:r>
        <w:rPr>
          <w:color w:val="auto"/>
          <w:szCs w:val="28"/>
        </w:rPr>
        <w:t>3</w:t>
      </w:r>
      <w:r>
        <w:rPr>
          <w:rFonts w:hint="eastAsia"/>
          <w:color w:val="auto"/>
          <w:szCs w:val="28"/>
        </w:rPr>
        <w:t>.9</w:t>
      </w:r>
      <w:r>
        <w:rPr>
          <w:color w:val="auto"/>
          <w:szCs w:val="28"/>
        </w:rPr>
        <w:t>-1</w:t>
      </w:r>
      <w:r>
        <w:rPr>
          <w:rFonts w:hint="eastAsia"/>
          <w:color w:val="auto"/>
          <w:szCs w:val="28"/>
        </w:rPr>
        <w:t xml:space="preserve">  </w:t>
      </w:r>
      <w:r>
        <w:rPr>
          <w:rFonts w:hint="eastAsia" w:cs="宋体"/>
          <w:color w:val="auto"/>
          <w:szCs w:val="28"/>
        </w:rPr>
        <w:t>爆炸危险区域的划分</w:t>
      </w:r>
    </w:p>
    <w:tbl>
      <w:tblPr>
        <w:tblStyle w:val="24"/>
        <w:tblW w:w="9071"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28" w:type="dxa"/>
          <w:bottom w:w="0" w:type="dxa"/>
          <w:right w:w="28" w:type="dxa"/>
        </w:tblCellMar>
      </w:tblPr>
      <w:tblGrid>
        <w:gridCol w:w="1492"/>
        <w:gridCol w:w="4088"/>
        <w:gridCol w:w="687"/>
        <w:gridCol w:w="2804"/>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trHeight w:val="454" w:hRule="atLeast"/>
          <w:jc w:val="center"/>
        </w:trPr>
        <w:tc>
          <w:tcPr>
            <w:tcW w:w="1492" w:type="dxa"/>
            <w:tcBorders>
              <w:top w:val="single" w:color="auto" w:sz="4" w:space="0"/>
            </w:tcBorders>
            <w:vAlign w:val="center"/>
          </w:tcPr>
          <w:p>
            <w:pPr>
              <w:pStyle w:val="46"/>
              <w:keepNext w:val="0"/>
              <w:keepLines w:val="0"/>
              <w:tabs>
                <w:tab w:val="center" w:pos="6804"/>
              </w:tabs>
              <w:snapToGrid w:val="0"/>
              <w:spacing w:before="0"/>
              <w:rPr>
                <w:rFonts w:cs="Times New Roman"/>
                <w:b/>
                <w:bCs/>
                <w:color w:val="auto"/>
                <w:sz w:val="21"/>
                <w:szCs w:val="21"/>
              </w:rPr>
            </w:pPr>
            <w:r>
              <w:rPr>
                <w:rFonts w:cs="Times New Roman"/>
                <w:b/>
                <w:bCs/>
                <w:color w:val="auto"/>
                <w:sz w:val="21"/>
                <w:szCs w:val="21"/>
              </w:rPr>
              <w:t>装置或单元</w:t>
            </w:r>
          </w:p>
        </w:tc>
        <w:tc>
          <w:tcPr>
            <w:tcW w:w="4088" w:type="dxa"/>
            <w:tcBorders>
              <w:top w:val="single" w:color="auto" w:sz="4" w:space="0"/>
            </w:tcBorders>
            <w:vAlign w:val="center"/>
          </w:tcPr>
          <w:p>
            <w:pPr>
              <w:pStyle w:val="46"/>
              <w:keepNext w:val="0"/>
              <w:keepLines w:val="0"/>
              <w:tabs>
                <w:tab w:val="center" w:pos="6804"/>
              </w:tabs>
              <w:snapToGrid w:val="0"/>
              <w:spacing w:before="0"/>
              <w:rPr>
                <w:rFonts w:cs="Times New Roman"/>
                <w:b/>
                <w:bCs/>
                <w:color w:val="auto"/>
                <w:sz w:val="21"/>
                <w:szCs w:val="21"/>
              </w:rPr>
            </w:pPr>
            <w:r>
              <w:rPr>
                <w:rFonts w:cs="Times New Roman"/>
                <w:b/>
                <w:bCs/>
                <w:color w:val="auto"/>
                <w:sz w:val="21"/>
                <w:szCs w:val="21"/>
              </w:rPr>
              <w:t>区域</w:t>
            </w:r>
          </w:p>
        </w:tc>
        <w:tc>
          <w:tcPr>
            <w:tcW w:w="687" w:type="dxa"/>
            <w:tcBorders>
              <w:top w:val="single" w:color="auto" w:sz="4" w:space="0"/>
            </w:tcBorders>
            <w:vAlign w:val="center"/>
          </w:tcPr>
          <w:p>
            <w:pPr>
              <w:pStyle w:val="46"/>
              <w:keepNext w:val="0"/>
              <w:keepLines w:val="0"/>
              <w:tabs>
                <w:tab w:val="center" w:pos="6804"/>
              </w:tabs>
              <w:snapToGrid w:val="0"/>
              <w:spacing w:before="0"/>
              <w:rPr>
                <w:rFonts w:cs="Times New Roman"/>
                <w:b/>
                <w:bCs/>
                <w:color w:val="auto"/>
                <w:sz w:val="21"/>
                <w:szCs w:val="21"/>
              </w:rPr>
            </w:pPr>
            <w:r>
              <w:rPr>
                <w:rFonts w:cs="Times New Roman"/>
                <w:b/>
                <w:bCs/>
                <w:color w:val="auto"/>
                <w:sz w:val="21"/>
                <w:szCs w:val="21"/>
              </w:rPr>
              <w:t>类别</w:t>
            </w:r>
          </w:p>
        </w:tc>
        <w:tc>
          <w:tcPr>
            <w:tcW w:w="2804" w:type="dxa"/>
            <w:tcBorders>
              <w:top w:val="single" w:color="auto" w:sz="4" w:space="0"/>
            </w:tcBorders>
            <w:vAlign w:val="center"/>
          </w:tcPr>
          <w:p>
            <w:pPr>
              <w:pStyle w:val="46"/>
              <w:keepNext w:val="0"/>
              <w:keepLines w:val="0"/>
              <w:tabs>
                <w:tab w:val="center" w:pos="6804"/>
              </w:tabs>
              <w:snapToGrid w:val="0"/>
              <w:spacing w:before="0"/>
              <w:rPr>
                <w:rFonts w:cs="Times New Roman"/>
                <w:b/>
                <w:bCs/>
                <w:color w:val="auto"/>
                <w:sz w:val="21"/>
                <w:szCs w:val="21"/>
              </w:rPr>
            </w:pPr>
            <w:r>
              <w:rPr>
                <w:rFonts w:cs="Times New Roman"/>
                <w:b/>
                <w:bCs/>
                <w:color w:val="auto"/>
                <w:sz w:val="21"/>
                <w:szCs w:val="21"/>
              </w:rPr>
              <w:t>危险介质</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trHeight w:val="454" w:hRule="atLeast"/>
          <w:jc w:val="center"/>
        </w:trPr>
        <w:tc>
          <w:tcPr>
            <w:tcW w:w="1492" w:type="dxa"/>
            <w:vMerge w:val="restart"/>
            <w:vAlign w:val="center"/>
          </w:tcPr>
          <w:p>
            <w:pPr>
              <w:pStyle w:val="46"/>
              <w:keepNext w:val="0"/>
              <w:keepLines w:val="0"/>
              <w:tabs>
                <w:tab w:val="center" w:pos="6804"/>
              </w:tabs>
              <w:snapToGrid w:val="0"/>
              <w:spacing w:before="0"/>
              <w:rPr>
                <w:rFonts w:cs="Times New Roman"/>
                <w:color w:val="auto"/>
                <w:sz w:val="21"/>
                <w:szCs w:val="21"/>
              </w:rPr>
            </w:pPr>
            <w:r>
              <w:rPr>
                <w:rFonts w:hint="eastAsia" w:cs="Times New Roman"/>
                <w:color w:val="auto"/>
                <w:sz w:val="21"/>
                <w:szCs w:val="21"/>
              </w:rPr>
              <w:t>106</w:t>
            </w:r>
            <w:r>
              <w:rPr>
                <w:rFonts w:cs="Times New Roman"/>
                <w:color w:val="auto"/>
                <w:sz w:val="21"/>
                <w:szCs w:val="21"/>
              </w:rPr>
              <w:t>甲类仓库</w:t>
            </w:r>
          </w:p>
        </w:tc>
        <w:tc>
          <w:tcPr>
            <w:tcW w:w="4088" w:type="dxa"/>
            <w:vAlign w:val="center"/>
          </w:tcPr>
          <w:p>
            <w:pPr>
              <w:pStyle w:val="46"/>
              <w:keepNext w:val="0"/>
              <w:keepLines w:val="0"/>
              <w:tabs>
                <w:tab w:val="center" w:pos="6804"/>
              </w:tabs>
              <w:snapToGrid w:val="0"/>
              <w:spacing w:before="0"/>
              <w:rPr>
                <w:rFonts w:cs="Times New Roman"/>
                <w:color w:val="auto"/>
                <w:sz w:val="21"/>
                <w:szCs w:val="21"/>
              </w:rPr>
            </w:pPr>
            <w:r>
              <w:rPr>
                <w:rFonts w:cs="Times New Roman"/>
                <w:color w:val="auto"/>
                <w:sz w:val="21"/>
                <w:szCs w:val="21"/>
              </w:rPr>
              <w:t>地坪下的坑、沟。</w:t>
            </w:r>
          </w:p>
        </w:tc>
        <w:tc>
          <w:tcPr>
            <w:tcW w:w="687" w:type="dxa"/>
            <w:vAlign w:val="center"/>
          </w:tcPr>
          <w:p>
            <w:pPr>
              <w:pStyle w:val="46"/>
              <w:keepNext w:val="0"/>
              <w:keepLines w:val="0"/>
              <w:tabs>
                <w:tab w:val="center" w:pos="6804"/>
              </w:tabs>
              <w:snapToGrid w:val="0"/>
              <w:spacing w:before="0"/>
              <w:rPr>
                <w:rFonts w:cs="Times New Roman"/>
                <w:color w:val="auto"/>
                <w:sz w:val="21"/>
                <w:szCs w:val="21"/>
              </w:rPr>
            </w:pPr>
            <w:r>
              <w:rPr>
                <w:rFonts w:cs="Times New Roman"/>
                <w:color w:val="auto"/>
                <w:sz w:val="21"/>
                <w:szCs w:val="21"/>
              </w:rPr>
              <w:t>1区</w:t>
            </w:r>
          </w:p>
        </w:tc>
        <w:tc>
          <w:tcPr>
            <w:tcW w:w="2804" w:type="dxa"/>
            <w:vMerge w:val="restart"/>
            <w:vAlign w:val="center"/>
          </w:tcPr>
          <w:p>
            <w:pPr>
              <w:pStyle w:val="46"/>
              <w:keepNext w:val="0"/>
              <w:keepLines w:val="0"/>
              <w:tabs>
                <w:tab w:val="center" w:pos="6804"/>
              </w:tabs>
              <w:snapToGrid w:val="0"/>
              <w:spacing w:before="0"/>
              <w:jc w:val="left"/>
              <w:rPr>
                <w:rFonts w:cs="Times New Roman"/>
                <w:color w:val="auto"/>
                <w:sz w:val="21"/>
                <w:szCs w:val="21"/>
              </w:rPr>
            </w:pPr>
            <w:r>
              <w:rPr>
                <w:rFonts w:cs="Times New Roman"/>
                <w:color w:val="auto"/>
                <w:sz w:val="21"/>
                <w:szCs w:val="21"/>
              </w:rPr>
              <w:t>环氧树脂、环氧树脂固化剂、溶剂型丙烯酸树脂、聚氨酯树脂、氟碳树脂、二甲苯、醋酸丁酯、正丁醇、丙烯酸树脂涂料、聚氨酯树脂涂料、环氧树脂涂料、氟碳树脂涂料</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trHeight w:val="454" w:hRule="atLeast"/>
          <w:jc w:val="center"/>
        </w:trPr>
        <w:tc>
          <w:tcPr>
            <w:tcW w:w="1492" w:type="dxa"/>
            <w:vMerge w:val="continue"/>
            <w:tcBorders>
              <w:bottom w:val="single" w:color="auto" w:sz="4" w:space="0"/>
            </w:tcBorders>
            <w:vAlign w:val="center"/>
          </w:tcPr>
          <w:p>
            <w:pPr>
              <w:pStyle w:val="46"/>
              <w:keepNext w:val="0"/>
              <w:keepLines w:val="0"/>
              <w:tabs>
                <w:tab w:val="center" w:pos="6804"/>
              </w:tabs>
              <w:snapToGrid w:val="0"/>
              <w:spacing w:before="0"/>
              <w:rPr>
                <w:rFonts w:cs="Times New Roman"/>
                <w:color w:val="auto"/>
                <w:sz w:val="21"/>
                <w:szCs w:val="21"/>
              </w:rPr>
            </w:pPr>
          </w:p>
        </w:tc>
        <w:tc>
          <w:tcPr>
            <w:tcW w:w="4088" w:type="dxa"/>
            <w:tcBorders>
              <w:bottom w:val="single" w:color="auto" w:sz="4" w:space="0"/>
            </w:tcBorders>
            <w:vAlign w:val="center"/>
          </w:tcPr>
          <w:p>
            <w:pPr>
              <w:pStyle w:val="46"/>
              <w:keepNext w:val="0"/>
              <w:keepLines w:val="0"/>
              <w:tabs>
                <w:tab w:val="center" w:pos="6804"/>
              </w:tabs>
              <w:snapToGrid w:val="0"/>
              <w:spacing w:before="0"/>
              <w:jc w:val="left"/>
              <w:rPr>
                <w:rFonts w:cs="Times New Roman"/>
                <w:color w:val="auto"/>
                <w:sz w:val="21"/>
                <w:szCs w:val="21"/>
              </w:rPr>
            </w:pPr>
            <w:r>
              <w:rPr>
                <w:rFonts w:cs="Times New Roman"/>
                <w:color w:val="auto"/>
                <w:sz w:val="21"/>
                <w:szCs w:val="21"/>
              </w:rPr>
              <w:t>以盛装易燃液体的桶体释放源为中心，半径15m，高度为7.5m的范围。</w:t>
            </w:r>
          </w:p>
        </w:tc>
        <w:tc>
          <w:tcPr>
            <w:tcW w:w="687" w:type="dxa"/>
            <w:tcBorders>
              <w:bottom w:val="single" w:color="auto" w:sz="4" w:space="0"/>
            </w:tcBorders>
            <w:vAlign w:val="center"/>
          </w:tcPr>
          <w:p>
            <w:pPr>
              <w:pStyle w:val="46"/>
              <w:keepNext w:val="0"/>
              <w:keepLines w:val="0"/>
              <w:tabs>
                <w:tab w:val="center" w:pos="6804"/>
              </w:tabs>
              <w:snapToGrid w:val="0"/>
              <w:spacing w:before="0"/>
              <w:rPr>
                <w:rFonts w:cs="Times New Roman"/>
                <w:color w:val="auto"/>
                <w:sz w:val="21"/>
                <w:szCs w:val="21"/>
              </w:rPr>
            </w:pPr>
            <w:r>
              <w:rPr>
                <w:rFonts w:cs="Times New Roman"/>
                <w:color w:val="auto"/>
                <w:sz w:val="21"/>
                <w:szCs w:val="21"/>
              </w:rPr>
              <w:t>2区</w:t>
            </w:r>
          </w:p>
        </w:tc>
        <w:tc>
          <w:tcPr>
            <w:tcW w:w="2804" w:type="dxa"/>
            <w:vMerge w:val="continue"/>
            <w:tcBorders>
              <w:bottom w:val="single" w:color="auto" w:sz="4" w:space="0"/>
            </w:tcBorders>
            <w:vAlign w:val="center"/>
          </w:tcPr>
          <w:p>
            <w:pPr>
              <w:widowControl/>
              <w:jc w:val="center"/>
              <w:textAlignment w:val="center"/>
              <w:rPr>
                <w:rFonts w:cs="Times New Roman"/>
                <w:color w:val="auto"/>
                <w:sz w:val="21"/>
                <w:szCs w:val="21"/>
              </w:rPr>
            </w:pPr>
          </w:p>
        </w:tc>
      </w:tr>
    </w:tbl>
    <w:p>
      <w:pPr>
        <w:wordWrap w:val="0"/>
        <w:adjustRightInd w:val="0"/>
        <w:snapToGrid w:val="0"/>
        <w:ind w:firstLine="560" w:firstLineChars="200"/>
        <w:jc w:val="left"/>
        <w:textAlignment w:val="center"/>
        <w:rPr>
          <w:color w:val="auto"/>
          <w:szCs w:val="28"/>
        </w:rPr>
      </w:pPr>
      <w:r>
        <w:rPr>
          <w:color w:val="auto"/>
          <w:szCs w:val="28"/>
        </w:rPr>
        <w:t>2</w:t>
      </w:r>
      <w:r>
        <w:rPr>
          <w:rFonts w:hint="eastAsia"/>
          <w:color w:val="auto"/>
          <w:szCs w:val="28"/>
        </w:rPr>
        <w:t>、</w:t>
      </w:r>
      <w:r>
        <w:rPr>
          <w:rFonts w:hint="eastAsia" w:cs="宋体"/>
          <w:color w:val="auto"/>
          <w:szCs w:val="28"/>
        </w:rPr>
        <w:t>爆炸危险区域电气设备选型：</w:t>
      </w:r>
    </w:p>
    <w:p>
      <w:pPr>
        <w:wordWrap w:val="0"/>
        <w:adjustRightInd w:val="0"/>
        <w:snapToGrid w:val="0"/>
        <w:ind w:firstLine="560" w:firstLineChars="200"/>
        <w:jc w:val="left"/>
        <w:textAlignment w:val="center"/>
        <w:rPr>
          <w:color w:val="auto"/>
          <w:szCs w:val="28"/>
        </w:rPr>
      </w:pPr>
      <w:r>
        <w:rPr>
          <w:rFonts w:hint="eastAsia" w:cs="宋体"/>
          <w:color w:val="auto"/>
          <w:szCs w:val="28"/>
        </w:rPr>
        <w:t>根据爆炸危险区域的分区，电气设备的种类和防爆结构的要求，选择相应的电气设备。选用的防爆电气设备的级别和组别，不低于该爆炸性气体环境内爆炸性气体混合物的级别和组别（当有两种以上危险释放源形的爆炸性气体混合物时，按危险程度较高的级别和组别选用防爆电器和材料）。爆炸危险区域内的电气设备，符合周围环境内化学、机械、温度、霉菌及风沙等不同环境条件对气设备的要求。</w:t>
      </w:r>
    </w:p>
    <w:p>
      <w:pPr>
        <w:wordWrap w:val="0"/>
        <w:adjustRightInd w:val="0"/>
        <w:snapToGrid w:val="0"/>
        <w:ind w:firstLine="560" w:firstLineChars="200"/>
        <w:jc w:val="left"/>
        <w:textAlignment w:val="center"/>
        <w:rPr>
          <w:color w:val="auto"/>
          <w:szCs w:val="28"/>
        </w:rPr>
      </w:pPr>
      <w:r>
        <w:rPr>
          <w:rFonts w:hint="eastAsia" w:cs="宋体"/>
          <w:color w:val="auto"/>
          <w:szCs w:val="28"/>
        </w:rPr>
        <w:t>根据《爆炸危险环境电力装置设计规范》</w:t>
      </w:r>
      <w:r>
        <w:rPr>
          <w:color w:val="auto"/>
          <w:szCs w:val="28"/>
        </w:rPr>
        <w:t>GB50058-2014</w:t>
      </w:r>
      <w:r>
        <w:rPr>
          <w:rFonts w:hint="eastAsia" w:cs="宋体"/>
          <w:color w:val="auto"/>
          <w:szCs w:val="28"/>
        </w:rPr>
        <w:t>内的要求，本项目爆炸性气体环境危险区域存在</w:t>
      </w:r>
      <w:r>
        <w:rPr>
          <w:color w:val="auto"/>
          <w:szCs w:val="28"/>
        </w:rPr>
        <w:t>1</w:t>
      </w:r>
      <w:r>
        <w:rPr>
          <w:rFonts w:hint="eastAsia" w:cs="宋体"/>
          <w:color w:val="auto"/>
          <w:szCs w:val="28"/>
        </w:rPr>
        <w:t>区和</w:t>
      </w:r>
      <w:r>
        <w:rPr>
          <w:color w:val="auto"/>
          <w:szCs w:val="28"/>
        </w:rPr>
        <w:t>2</w:t>
      </w:r>
      <w:r>
        <w:rPr>
          <w:rFonts w:hint="eastAsia" w:cs="宋体"/>
          <w:color w:val="auto"/>
          <w:szCs w:val="28"/>
        </w:rPr>
        <w:t>区，</w:t>
      </w:r>
      <w:r>
        <w:rPr>
          <w:color w:val="auto"/>
          <w:szCs w:val="28"/>
        </w:rPr>
        <w:t>1</w:t>
      </w:r>
      <w:r>
        <w:rPr>
          <w:rFonts w:hint="eastAsia" w:cs="宋体"/>
          <w:color w:val="auto"/>
          <w:szCs w:val="28"/>
        </w:rPr>
        <w:t>区的爆炸性环境内电气设备保护级别应不小于</w:t>
      </w:r>
      <w:r>
        <w:rPr>
          <w:color w:val="auto"/>
          <w:szCs w:val="28"/>
        </w:rPr>
        <w:t>Gb</w:t>
      </w:r>
      <w:r>
        <w:rPr>
          <w:rFonts w:hint="eastAsia" w:cs="宋体"/>
          <w:color w:val="auto"/>
          <w:szCs w:val="28"/>
        </w:rPr>
        <w:t>级别，</w:t>
      </w:r>
      <w:r>
        <w:rPr>
          <w:color w:val="auto"/>
          <w:szCs w:val="28"/>
        </w:rPr>
        <w:t>2</w:t>
      </w:r>
      <w:r>
        <w:rPr>
          <w:rFonts w:hint="eastAsia" w:cs="宋体"/>
          <w:color w:val="auto"/>
          <w:szCs w:val="28"/>
        </w:rPr>
        <w:t>区的爆炸性环境内电气设备保护级别应不小于</w:t>
      </w:r>
      <w:r>
        <w:rPr>
          <w:color w:val="auto"/>
          <w:szCs w:val="28"/>
        </w:rPr>
        <w:t>Gc</w:t>
      </w:r>
      <w:r>
        <w:rPr>
          <w:rFonts w:hint="eastAsia" w:cs="宋体"/>
          <w:color w:val="auto"/>
          <w:szCs w:val="28"/>
        </w:rPr>
        <w:t>级别。</w:t>
      </w:r>
    </w:p>
    <w:p>
      <w:pPr>
        <w:wordWrap w:val="0"/>
        <w:adjustRightInd w:val="0"/>
        <w:snapToGrid w:val="0"/>
        <w:ind w:firstLine="560" w:firstLineChars="200"/>
        <w:jc w:val="left"/>
        <w:textAlignment w:val="center"/>
        <w:rPr>
          <w:color w:val="auto"/>
          <w:szCs w:val="28"/>
        </w:rPr>
      </w:pPr>
      <w:r>
        <w:rPr>
          <w:rFonts w:hint="eastAsia" w:cs="宋体"/>
          <w:color w:val="auto"/>
          <w:szCs w:val="28"/>
        </w:rPr>
        <w:t>本项目主要涉及环氧树脂、环氧树脂固化剂、溶剂型丙烯酸树脂、聚氨酯树脂、氟碳树脂、二甲苯、醋酸丁酯、正丁醇、丙烯酸树脂涂料、聚氨酯树脂涂料、环氧树脂涂料、氟碳树脂涂料等易燃液体的蒸气，本项目现场选用的防爆电气设备等级均不低于</w:t>
      </w:r>
      <w:r>
        <w:rPr>
          <w:color w:val="auto"/>
          <w:szCs w:val="28"/>
        </w:rPr>
        <w:t>ExdII</w:t>
      </w:r>
      <w:r>
        <w:rPr>
          <w:rFonts w:hint="eastAsia"/>
          <w:color w:val="auto"/>
          <w:szCs w:val="28"/>
        </w:rPr>
        <w:t>B</w:t>
      </w:r>
      <w:r>
        <w:rPr>
          <w:color w:val="auto"/>
          <w:szCs w:val="28"/>
        </w:rPr>
        <w:t>T</w:t>
      </w:r>
      <w:r>
        <w:rPr>
          <w:rFonts w:hint="eastAsia"/>
          <w:color w:val="auto"/>
          <w:szCs w:val="28"/>
        </w:rPr>
        <w:t>4</w:t>
      </w:r>
      <w:r>
        <w:rPr>
          <w:rFonts w:hint="eastAsia" w:cs="宋体"/>
          <w:color w:val="auto"/>
          <w:szCs w:val="28"/>
        </w:rPr>
        <w:t>级别。</w:t>
      </w:r>
    </w:p>
    <w:p>
      <w:pPr>
        <w:pStyle w:val="4"/>
        <w:keepNext w:val="0"/>
        <w:keepLines w:val="0"/>
        <w:wordWrap w:val="0"/>
        <w:adjustRightInd w:val="0"/>
        <w:snapToGrid w:val="0"/>
        <w:jc w:val="center"/>
        <w:textAlignment w:val="center"/>
        <w:rPr>
          <w:color w:val="auto"/>
          <w:kern w:val="0"/>
        </w:rPr>
      </w:pPr>
      <w:bookmarkStart w:id="182" w:name="_Toc10343"/>
      <w:bookmarkStart w:id="183" w:name="_Toc27699"/>
      <w:r>
        <w:rPr>
          <w:rFonts w:hint="eastAsia"/>
          <w:color w:val="auto"/>
          <w:kern w:val="0"/>
        </w:rPr>
        <w:t>3.10 安全生产管理对危险、有害因素的影响</w:t>
      </w:r>
      <w:bookmarkEnd w:id="179"/>
      <w:bookmarkEnd w:id="182"/>
      <w:bookmarkEnd w:id="183"/>
    </w:p>
    <w:p>
      <w:pPr>
        <w:wordWrap w:val="0"/>
        <w:adjustRightInd w:val="0"/>
        <w:snapToGrid w:val="0"/>
        <w:ind w:firstLine="560" w:firstLineChars="200"/>
        <w:textAlignment w:val="center"/>
        <w:rPr>
          <w:color w:val="auto"/>
          <w:kern w:val="0"/>
        </w:rPr>
      </w:pPr>
      <w:r>
        <w:rPr>
          <w:rFonts w:hint="eastAsia"/>
          <w:color w:val="auto"/>
          <w:kern w:val="0"/>
        </w:rPr>
        <w:t>安全生产管理的缺陷往往导致物（物料、设施、设备）的不安全状态和人的不安全行为，虽不是导致事故的直接原因，但却是本质原因。</w:t>
      </w:r>
    </w:p>
    <w:p>
      <w:pPr>
        <w:wordWrap w:val="0"/>
        <w:adjustRightInd w:val="0"/>
        <w:snapToGrid w:val="0"/>
        <w:ind w:firstLine="560" w:firstLineChars="200"/>
        <w:textAlignment w:val="center"/>
        <w:rPr>
          <w:color w:val="auto"/>
          <w:kern w:val="0"/>
        </w:rPr>
      </w:pPr>
      <w:r>
        <w:rPr>
          <w:rFonts w:hint="eastAsia"/>
          <w:color w:val="auto"/>
          <w:kern w:val="0"/>
        </w:rPr>
        <w:t>安全生产管理和监督上的缺陷主要体现在</w:t>
      </w:r>
    </w:p>
    <w:p>
      <w:pPr>
        <w:wordWrap w:val="0"/>
        <w:adjustRightInd w:val="0"/>
        <w:snapToGrid w:val="0"/>
        <w:ind w:firstLine="560" w:firstLineChars="200"/>
        <w:textAlignment w:val="center"/>
        <w:rPr>
          <w:color w:val="auto"/>
          <w:kern w:val="0"/>
        </w:rPr>
      </w:pPr>
      <w:r>
        <w:rPr>
          <w:rFonts w:hint="eastAsia"/>
          <w:color w:val="auto"/>
          <w:kern w:val="0"/>
        </w:rPr>
        <w:t>1、工程设计有缺陷，使用的材料有问题，零部件制造未达到质量要求等，造成物（物料、设施、设备）的不安全因素；</w:t>
      </w:r>
    </w:p>
    <w:p>
      <w:pPr>
        <w:wordWrap w:val="0"/>
        <w:adjustRightInd w:val="0"/>
        <w:snapToGrid w:val="0"/>
        <w:ind w:firstLine="560" w:firstLineChars="200"/>
        <w:textAlignment w:val="center"/>
        <w:rPr>
          <w:color w:val="auto"/>
          <w:kern w:val="0"/>
        </w:rPr>
      </w:pPr>
      <w:r>
        <w:rPr>
          <w:rFonts w:hint="eastAsia"/>
          <w:color w:val="auto"/>
          <w:kern w:val="0"/>
        </w:rPr>
        <w:t>2、安全管理不科学，机构不健全，安全责任不明确，安全管理规章制度不健全或执行不力；</w:t>
      </w:r>
    </w:p>
    <w:p>
      <w:pPr>
        <w:wordWrap w:val="0"/>
        <w:adjustRightInd w:val="0"/>
        <w:snapToGrid w:val="0"/>
        <w:ind w:firstLine="560" w:firstLineChars="200"/>
        <w:textAlignment w:val="center"/>
        <w:rPr>
          <w:color w:val="auto"/>
          <w:kern w:val="0"/>
        </w:rPr>
      </w:pPr>
      <w:r>
        <w:rPr>
          <w:rFonts w:hint="eastAsia"/>
          <w:color w:val="auto"/>
          <w:kern w:val="0"/>
        </w:rPr>
        <w:t>3、安全工作流于形式，出事抓，无事放；</w:t>
      </w:r>
    </w:p>
    <w:p>
      <w:pPr>
        <w:wordWrap w:val="0"/>
        <w:adjustRightInd w:val="0"/>
        <w:snapToGrid w:val="0"/>
        <w:ind w:firstLine="560" w:firstLineChars="200"/>
        <w:textAlignment w:val="center"/>
        <w:rPr>
          <w:color w:val="auto"/>
          <w:kern w:val="0"/>
        </w:rPr>
      </w:pPr>
      <w:r>
        <w:rPr>
          <w:rFonts w:hint="eastAsia"/>
          <w:color w:val="auto"/>
          <w:kern w:val="0"/>
        </w:rPr>
        <w:t>4、安全教育和技术培训不足或流于形式，对职工教育不严格，劳动纪律松驰，对新工人的安全教育培训不落实；</w:t>
      </w:r>
    </w:p>
    <w:p>
      <w:pPr>
        <w:wordWrap w:val="0"/>
        <w:adjustRightInd w:val="0"/>
        <w:snapToGrid w:val="0"/>
        <w:ind w:firstLine="560" w:firstLineChars="200"/>
        <w:textAlignment w:val="center"/>
        <w:rPr>
          <w:color w:val="auto"/>
          <w:kern w:val="0"/>
        </w:rPr>
      </w:pPr>
      <w:r>
        <w:rPr>
          <w:rFonts w:hint="eastAsia"/>
          <w:color w:val="auto"/>
          <w:kern w:val="0"/>
        </w:rPr>
        <w:t>5、忽视防护设施，设备无防护装置，安全信号失灵。通风照明不合要求，安全工具不齐备，存在隐患未及时消除；</w:t>
      </w:r>
    </w:p>
    <w:p>
      <w:pPr>
        <w:wordWrap w:val="0"/>
        <w:adjustRightInd w:val="0"/>
        <w:snapToGrid w:val="0"/>
        <w:ind w:firstLine="560" w:firstLineChars="200"/>
        <w:textAlignment w:val="center"/>
        <w:rPr>
          <w:color w:val="auto"/>
          <w:kern w:val="0"/>
        </w:rPr>
      </w:pPr>
      <w:r>
        <w:rPr>
          <w:rFonts w:hint="eastAsia"/>
          <w:color w:val="auto"/>
          <w:kern w:val="0"/>
        </w:rPr>
        <w:t>6、工艺过程、作业程序的缺陷，如工艺、技术错误或不当，无作业程序或作业程序有错误；</w:t>
      </w:r>
    </w:p>
    <w:p>
      <w:pPr>
        <w:wordWrap w:val="0"/>
        <w:adjustRightInd w:val="0"/>
        <w:snapToGrid w:val="0"/>
        <w:ind w:firstLine="560" w:firstLineChars="200"/>
        <w:textAlignment w:val="center"/>
        <w:rPr>
          <w:color w:val="auto"/>
          <w:kern w:val="0"/>
        </w:rPr>
      </w:pPr>
      <w:r>
        <w:rPr>
          <w:rFonts w:hint="eastAsia"/>
          <w:color w:val="auto"/>
          <w:kern w:val="0"/>
        </w:rPr>
        <w:t>7、用人单位的缺陷，如人事安排不合理、负荷超限、无必要的监督和联络、禁忌作业等。</w:t>
      </w:r>
    </w:p>
    <w:p>
      <w:pPr>
        <w:wordWrap w:val="0"/>
        <w:adjustRightInd w:val="0"/>
        <w:snapToGrid w:val="0"/>
        <w:ind w:firstLine="560" w:firstLineChars="200"/>
        <w:textAlignment w:val="center"/>
        <w:rPr>
          <w:color w:val="auto"/>
          <w:kern w:val="0"/>
        </w:rPr>
      </w:pPr>
      <w:r>
        <w:rPr>
          <w:rFonts w:hint="eastAsia"/>
          <w:color w:val="auto"/>
          <w:kern w:val="0"/>
        </w:rPr>
        <w:t>8、对来自相关方（供应商、承包商等）风险管理的缺陷，如合同签订、购等活动中忽略了安全健康方面的要求；</w:t>
      </w:r>
    </w:p>
    <w:p>
      <w:pPr>
        <w:wordWrap w:val="0"/>
        <w:adjustRightInd w:val="0"/>
        <w:snapToGrid w:val="0"/>
        <w:ind w:firstLine="560" w:firstLineChars="200"/>
        <w:textAlignment w:val="center"/>
        <w:rPr>
          <w:color w:val="auto"/>
          <w:kern w:val="0"/>
        </w:rPr>
      </w:pPr>
      <w:r>
        <w:rPr>
          <w:rFonts w:hint="eastAsia"/>
          <w:color w:val="auto"/>
          <w:kern w:val="0"/>
        </w:rPr>
        <w:t>9、违反人机工程原理，如使用的机器不适合人生理或心理特点，此外，一些客观因素，如温度、湿度、风雨雪、照明、视野、噪声、振动、通风气、色彩等也会引起设备故障或人员失误，是导致危险、有害、物质和量失控的间接因素；</w:t>
      </w:r>
    </w:p>
    <w:p>
      <w:pPr>
        <w:wordWrap w:val="0"/>
        <w:adjustRightInd w:val="0"/>
        <w:snapToGrid w:val="0"/>
        <w:ind w:firstLine="560" w:firstLineChars="200"/>
        <w:textAlignment w:val="center"/>
        <w:rPr>
          <w:color w:val="auto"/>
          <w:kern w:val="0"/>
        </w:rPr>
      </w:pPr>
      <w:r>
        <w:rPr>
          <w:rFonts w:hint="eastAsia"/>
          <w:color w:val="auto"/>
          <w:kern w:val="0"/>
        </w:rPr>
        <w:t>10、事故报告不及时，调查、处理不当等；</w:t>
      </w:r>
    </w:p>
    <w:p>
      <w:pPr>
        <w:wordWrap w:val="0"/>
        <w:adjustRightInd w:val="0"/>
        <w:snapToGrid w:val="0"/>
        <w:ind w:firstLine="560" w:firstLineChars="200"/>
        <w:textAlignment w:val="center"/>
        <w:rPr>
          <w:color w:val="auto"/>
          <w:kern w:val="0"/>
        </w:rPr>
      </w:pPr>
      <w:r>
        <w:rPr>
          <w:rFonts w:hint="eastAsia"/>
          <w:color w:val="auto"/>
          <w:kern w:val="0"/>
        </w:rPr>
        <w:t>11、事故应急救援预案不落实。</w:t>
      </w:r>
    </w:p>
    <w:p>
      <w:pPr>
        <w:wordWrap w:val="0"/>
        <w:adjustRightInd w:val="0"/>
        <w:snapToGrid w:val="0"/>
        <w:ind w:firstLine="560" w:firstLineChars="200"/>
        <w:textAlignment w:val="center"/>
        <w:rPr>
          <w:color w:val="auto"/>
          <w:kern w:val="0"/>
        </w:rPr>
      </w:pPr>
      <w:r>
        <w:rPr>
          <w:rFonts w:hint="eastAsia"/>
          <w:color w:val="auto"/>
          <w:kern w:val="0"/>
        </w:rPr>
        <w:t>安全生产管理主要体现在安全生产管理机构或专（兼）职安全生产管人员的配置，安全生产责任制和安全生产管理规章制度的制定和执行，职工安全生产教育及培训的程度，安全设施的配置及维护，劳动防护用品发放及使用，安全投入的保障等方面。管理缺陷可能造成设备故障（缺陷）不能及时发现处理，设备长期得不到维护、检修或检修质量不能保证，安全设施、防护用品（用具）不能正常发挥作用而引发事故，或因管理松懈使人员失误增多等。管理缺陷通常表现为违章指挥、违章作业、违反劳动纪律以及物的不安全状态不能及时得到消除，隐患得不到及时整改等，从而使危险因素转化为事故。</w:t>
      </w:r>
    </w:p>
    <w:p>
      <w:pPr>
        <w:wordWrap w:val="0"/>
        <w:adjustRightInd w:val="0"/>
        <w:snapToGrid w:val="0"/>
        <w:ind w:firstLine="560" w:firstLineChars="200"/>
        <w:textAlignment w:val="center"/>
        <w:rPr>
          <w:color w:val="auto"/>
          <w:kern w:val="0"/>
        </w:rPr>
      </w:pPr>
      <w:r>
        <w:rPr>
          <w:rFonts w:hint="eastAsia"/>
          <w:color w:val="auto"/>
          <w:kern w:val="0"/>
        </w:rPr>
        <w:t>安全生产管理缺陷主要依靠健全安全管理机构、完善安全管理规章制度并严格执行，加强员工职业技能培训和安全知识教育培训，提高员工的整体素质来消除。</w:t>
      </w:r>
    </w:p>
    <w:p>
      <w:pPr>
        <w:wordWrap w:val="0"/>
        <w:adjustRightInd w:val="0"/>
        <w:snapToGrid w:val="0"/>
        <w:textAlignment w:val="center"/>
        <w:rPr>
          <w:color w:val="auto"/>
          <w:kern w:val="0"/>
        </w:rPr>
      </w:pPr>
      <w:r>
        <w:rPr>
          <w:rFonts w:hint="eastAsia"/>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184" w:name="_Toc8695"/>
      <w:bookmarkStart w:id="185" w:name="_Toc21496"/>
      <w:bookmarkStart w:id="186" w:name="_Toc16263"/>
      <w:r>
        <w:rPr>
          <w:rFonts w:hint="eastAsia"/>
          <w:color w:val="auto"/>
          <w:kern w:val="0"/>
          <w:sz w:val="32"/>
          <w:szCs w:val="32"/>
        </w:rPr>
        <w:t>4 安全评价单元的划分结果及理由说明</w:t>
      </w:r>
      <w:bookmarkEnd w:id="184"/>
      <w:bookmarkEnd w:id="185"/>
      <w:bookmarkEnd w:id="186"/>
    </w:p>
    <w:p>
      <w:pPr>
        <w:pStyle w:val="4"/>
        <w:keepNext w:val="0"/>
        <w:keepLines w:val="0"/>
        <w:wordWrap w:val="0"/>
        <w:adjustRightInd w:val="0"/>
        <w:snapToGrid w:val="0"/>
        <w:jc w:val="center"/>
        <w:textAlignment w:val="center"/>
        <w:rPr>
          <w:color w:val="auto"/>
          <w:kern w:val="0"/>
        </w:rPr>
      </w:pPr>
      <w:bookmarkStart w:id="187" w:name="_Toc17962"/>
      <w:bookmarkStart w:id="188" w:name="_Toc10457"/>
      <w:bookmarkStart w:id="189" w:name="_Toc26000"/>
      <w:r>
        <w:rPr>
          <w:rFonts w:hint="eastAsia"/>
          <w:color w:val="auto"/>
          <w:kern w:val="0"/>
        </w:rPr>
        <w:t>4.1 评价单元划分依据</w:t>
      </w:r>
      <w:bookmarkEnd w:id="187"/>
      <w:bookmarkEnd w:id="188"/>
      <w:bookmarkEnd w:id="189"/>
    </w:p>
    <w:p>
      <w:pPr>
        <w:wordWrap w:val="0"/>
        <w:adjustRightInd w:val="0"/>
        <w:snapToGrid w:val="0"/>
        <w:ind w:firstLine="560" w:firstLineChars="200"/>
        <w:textAlignment w:val="center"/>
        <w:rPr>
          <w:color w:val="auto"/>
          <w:kern w:val="0"/>
        </w:rPr>
      </w:pPr>
      <w:r>
        <w:rPr>
          <w:color w:val="auto"/>
          <w:kern w:val="0"/>
        </w:rPr>
        <w:t>划分评价单元是为评价目标和评价方法服务的，便于评价工作的进行，有利于提高评价工作的准确性。评价单元一般以生产工艺、工艺装置、物料的特点和特征，有机结合危险、有害因素的类别、分布进行划分，还可以按评价的需要，将一个评价单元再划分为若干子评价单元或更细致的单元。</w:t>
      </w:r>
    </w:p>
    <w:p>
      <w:pPr>
        <w:wordWrap w:val="0"/>
        <w:adjustRightInd w:val="0"/>
        <w:snapToGrid w:val="0"/>
        <w:ind w:firstLine="560" w:firstLineChars="200"/>
        <w:textAlignment w:val="center"/>
        <w:rPr>
          <w:color w:val="auto"/>
          <w:kern w:val="0"/>
        </w:rPr>
      </w:pPr>
      <w:r>
        <w:rPr>
          <w:color w:val="auto"/>
          <w:kern w:val="0"/>
        </w:rPr>
        <w:t>评价单元划分原则和方法为：</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以危险、有害因素的类别为主划分</w:t>
      </w:r>
    </w:p>
    <w:p>
      <w:pPr>
        <w:wordWrap w:val="0"/>
        <w:adjustRightInd w:val="0"/>
        <w:snapToGrid w:val="0"/>
        <w:ind w:firstLine="560" w:firstLineChars="200"/>
        <w:textAlignment w:val="center"/>
        <w:rPr>
          <w:color w:val="auto"/>
          <w:kern w:val="0"/>
        </w:rPr>
      </w:pPr>
      <w:r>
        <w:rPr>
          <w:color w:val="auto"/>
          <w:kern w:val="0"/>
        </w:rPr>
        <w:t>1）按工艺方案、总体布置和自然条件、社会环境对企业的影响等综合方面的危险、有害因素分析和评价，宜将整个企业作为一个评价单元。</w:t>
      </w:r>
    </w:p>
    <w:p>
      <w:pPr>
        <w:wordWrap w:val="0"/>
        <w:adjustRightInd w:val="0"/>
        <w:snapToGrid w:val="0"/>
        <w:ind w:firstLine="560" w:firstLineChars="200"/>
        <w:textAlignment w:val="center"/>
        <w:rPr>
          <w:color w:val="auto"/>
          <w:kern w:val="0"/>
        </w:rPr>
      </w:pPr>
      <w:r>
        <w:rPr>
          <w:color w:val="auto"/>
          <w:kern w:val="0"/>
        </w:rPr>
        <w:t>2）将具有共性危险因素、有害因素的场所和装置划为一个单元。</w:t>
      </w:r>
    </w:p>
    <w:p>
      <w:pPr>
        <w:wordWrap w:val="0"/>
        <w:adjustRightInd w:val="0"/>
        <w:snapToGrid w:val="0"/>
        <w:ind w:firstLine="560" w:firstLineChars="200"/>
        <w:textAlignment w:val="center"/>
        <w:rPr>
          <w:color w:val="auto"/>
          <w:kern w:val="0"/>
        </w:rPr>
      </w:pPr>
      <w:r>
        <w:rPr>
          <w:color w:val="auto"/>
          <w:kern w:val="0"/>
        </w:rPr>
        <w:t>（1）按危险因素类别各划归一个单元，再按工艺、物料、作业特点（即其潜在危险因素不同）划分成子单元分别评价。</w:t>
      </w:r>
    </w:p>
    <w:p>
      <w:pPr>
        <w:wordWrap w:val="0"/>
        <w:adjustRightInd w:val="0"/>
        <w:snapToGrid w:val="0"/>
        <w:ind w:firstLine="560" w:firstLineChars="200"/>
        <w:textAlignment w:val="center"/>
        <w:rPr>
          <w:color w:val="auto"/>
          <w:kern w:val="0"/>
        </w:rPr>
      </w:pPr>
      <w:r>
        <w:rPr>
          <w:color w:val="auto"/>
          <w:kern w:val="0"/>
        </w:rPr>
        <w:t>（2）进行有害因素评价时，宜按有害因素（有害作业）的类别划分评价单元。例如，将噪声、毒物、高温、低温危害的场所各划归一个评价单元。</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按装置和物质特征划分</w:t>
      </w:r>
    </w:p>
    <w:p>
      <w:pPr>
        <w:wordWrap w:val="0"/>
        <w:adjustRightInd w:val="0"/>
        <w:snapToGrid w:val="0"/>
        <w:ind w:firstLine="560" w:firstLineChars="200"/>
        <w:textAlignment w:val="center"/>
        <w:rPr>
          <w:color w:val="auto"/>
          <w:kern w:val="0"/>
        </w:rPr>
      </w:pPr>
      <w:r>
        <w:rPr>
          <w:color w:val="auto"/>
          <w:kern w:val="0"/>
        </w:rPr>
        <w:t>1）按装置工艺功能划分；</w:t>
      </w:r>
    </w:p>
    <w:p>
      <w:pPr>
        <w:wordWrap w:val="0"/>
        <w:adjustRightInd w:val="0"/>
        <w:snapToGrid w:val="0"/>
        <w:ind w:firstLine="560" w:firstLineChars="200"/>
        <w:textAlignment w:val="center"/>
        <w:rPr>
          <w:color w:val="auto"/>
          <w:kern w:val="0"/>
        </w:rPr>
      </w:pPr>
      <w:r>
        <w:rPr>
          <w:color w:val="auto"/>
          <w:kern w:val="0"/>
        </w:rPr>
        <w:t>2）按布置的相对独立性划分；</w:t>
      </w:r>
    </w:p>
    <w:p>
      <w:pPr>
        <w:wordWrap w:val="0"/>
        <w:adjustRightInd w:val="0"/>
        <w:snapToGrid w:val="0"/>
        <w:ind w:firstLine="560" w:firstLineChars="200"/>
        <w:textAlignment w:val="center"/>
        <w:rPr>
          <w:color w:val="auto"/>
          <w:kern w:val="0"/>
        </w:rPr>
      </w:pPr>
      <w:r>
        <w:rPr>
          <w:color w:val="auto"/>
          <w:kern w:val="0"/>
        </w:rPr>
        <w:t>3）按工艺条件划分；</w:t>
      </w:r>
    </w:p>
    <w:p>
      <w:pPr>
        <w:wordWrap w:val="0"/>
        <w:adjustRightInd w:val="0"/>
        <w:snapToGrid w:val="0"/>
        <w:ind w:firstLine="560" w:firstLineChars="200"/>
        <w:textAlignment w:val="center"/>
        <w:rPr>
          <w:color w:val="auto"/>
          <w:kern w:val="0"/>
        </w:rPr>
      </w:pPr>
      <w:r>
        <w:rPr>
          <w:color w:val="auto"/>
          <w:kern w:val="0"/>
        </w:rPr>
        <w:t>4）按贮存、处理危险物质的潜在化学能、毒性和危险物质的数量划分；</w:t>
      </w:r>
    </w:p>
    <w:p>
      <w:pPr>
        <w:wordWrap w:val="0"/>
        <w:adjustRightInd w:val="0"/>
        <w:snapToGrid w:val="0"/>
        <w:ind w:firstLine="560" w:firstLineChars="200"/>
        <w:textAlignment w:val="center"/>
        <w:rPr>
          <w:color w:val="auto"/>
          <w:kern w:val="0"/>
        </w:rPr>
      </w:pPr>
      <w:r>
        <w:rPr>
          <w:color w:val="auto"/>
          <w:kern w:val="0"/>
        </w:rPr>
        <w:t>5）按事故损失程度或危险性划分。</w:t>
      </w:r>
    </w:p>
    <w:p>
      <w:pPr>
        <w:pStyle w:val="4"/>
        <w:keepNext w:val="0"/>
        <w:keepLines w:val="0"/>
        <w:wordWrap w:val="0"/>
        <w:adjustRightInd w:val="0"/>
        <w:snapToGrid w:val="0"/>
        <w:jc w:val="center"/>
        <w:textAlignment w:val="center"/>
        <w:rPr>
          <w:color w:val="auto"/>
          <w:kern w:val="0"/>
        </w:rPr>
      </w:pPr>
      <w:bookmarkStart w:id="190" w:name="_Toc29206"/>
      <w:bookmarkStart w:id="191" w:name="_Toc15449"/>
      <w:bookmarkStart w:id="192" w:name="_Toc459"/>
      <w:r>
        <w:rPr>
          <w:rFonts w:hint="eastAsia"/>
          <w:color w:val="auto"/>
          <w:kern w:val="0"/>
        </w:rPr>
        <w:t>4.2 评价单元的划分结果</w:t>
      </w:r>
      <w:bookmarkEnd w:id="190"/>
      <w:bookmarkEnd w:id="191"/>
      <w:bookmarkEnd w:id="192"/>
    </w:p>
    <w:p>
      <w:pPr>
        <w:wordWrap w:val="0"/>
        <w:adjustRightInd w:val="0"/>
        <w:snapToGrid w:val="0"/>
        <w:ind w:firstLine="560" w:firstLineChars="200"/>
        <w:textAlignment w:val="center"/>
        <w:rPr>
          <w:color w:val="auto"/>
          <w:kern w:val="0"/>
        </w:rPr>
      </w:pPr>
      <w:r>
        <w:rPr>
          <w:color w:val="auto"/>
          <w:kern w:val="0"/>
        </w:rPr>
        <w:t>评价单元划分基于突出重点、兼顾全面的要求，对重点危险、有害因素分层次进行单元划分，以提高评价的准确性。</w:t>
      </w:r>
    </w:p>
    <w:p>
      <w:pPr>
        <w:wordWrap w:val="0"/>
        <w:adjustRightInd w:val="0"/>
        <w:snapToGrid w:val="0"/>
        <w:ind w:firstLine="560" w:firstLineChars="200"/>
        <w:textAlignment w:val="center"/>
        <w:rPr>
          <w:color w:val="auto"/>
          <w:kern w:val="0"/>
        </w:rPr>
      </w:pPr>
      <w:r>
        <w:rPr>
          <w:color w:val="auto"/>
          <w:kern w:val="0"/>
        </w:rPr>
        <w:t>《安全验收评价导则》AQ8003-2007提出评价单元可以按以下内容划分：法律、法规的符合性；设备、设施装置及工艺方面的安全性；物料、产品安全性能；重点监管的危险化学品安全措施；公用工程、辅助设施配套性；周边环境适应性和应急救援有效性；人员管理和安全培训方面充分性。</w:t>
      </w:r>
    </w:p>
    <w:p>
      <w:pPr>
        <w:wordWrap w:val="0"/>
        <w:adjustRightInd w:val="0"/>
        <w:snapToGrid w:val="0"/>
        <w:ind w:firstLine="560" w:firstLineChars="200"/>
        <w:textAlignment w:val="center"/>
        <w:rPr>
          <w:color w:val="auto"/>
          <w:kern w:val="0"/>
        </w:rPr>
      </w:pPr>
      <w:r>
        <w:rPr>
          <w:color w:val="auto"/>
          <w:kern w:val="0"/>
        </w:rPr>
        <w:t>具体评价单元的划分和采用的评价方法</w:t>
      </w:r>
      <w:r>
        <w:rPr>
          <w:rFonts w:hint="eastAsia"/>
          <w:color w:val="auto"/>
          <w:kern w:val="0"/>
        </w:rPr>
        <w:t>详见</w:t>
      </w:r>
      <w:r>
        <w:rPr>
          <w:color w:val="auto"/>
          <w:kern w:val="0"/>
        </w:rPr>
        <w:t>表</w:t>
      </w:r>
      <w:r>
        <w:rPr>
          <w:rFonts w:hint="eastAsia"/>
          <w:color w:val="auto"/>
          <w:kern w:val="0"/>
        </w:rPr>
        <w:t>4.2-1。</w:t>
      </w:r>
    </w:p>
    <w:p>
      <w:pPr>
        <w:wordWrap w:val="0"/>
        <w:adjustRightInd w:val="0"/>
        <w:snapToGrid w:val="0"/>
        <w:jc w:val="center"/>
        <w:textAlignment w:val="center"/>
        <w:rPr>
          <w:color w:val="auto"/>
          <w:kern w:val="0"/>
        </w:rPr>
      </w:pPr>
      <w:r>
        <w:rPr>
          <w:rFonts w:hint="eastAsia"/>
          <w:color w:val="auto"/>
          <w:kern w:val="0"/>
        </w:rPr>
        <w:t>表4.2-1  评价单元划分表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55"/>
        <w:gridCol w:w="4120"/>
        <w:gridCol w:w="41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55"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序号</w:t>
            </w:r>
          </w:p>
        </w:tc>
        <w:tc>
          <w:tcPr>
            <w:tcW w:w="4120"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评价单元</w:t>
            </w:r>
          </w:p>
        </w:tc>
        <w:tc>
          <w:tcPr>
            <w:tcW w:w="4196"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采用的评价方法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55"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4120"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选</w:t>
            </w:r>
            <w:r>
              <w:rPr>
                <w:rFonts w:cs="Times New Roman"/>
                <w:color w:val="auto"/>
                <w:sz w:val="21"/>
                <w:szCs w:val="21"/>
              </w:rPr>
              <w:t>址、</w:t>
            </w:r>
            <w:r>
              <w:rPr>
                <w:rFonts w:hint="eastAsia" w:cs="Times New Roman"/>
                <w:color w:val="auto"/>
                <w:sz w:val="21"/>
                <w:szCs w:val="21"/>
              </w:rPr>
              <w:t>周边环境、</w:t>
            </w:r>
            <w:r>
              <w:rPr>
                <w:rFonts w:cs="Times New Roman"/>
                <w:color w:val="auto"/>
                <w:sz w:val="21"/>
                <w:szCs w:val="21"/>
              </w:rPr>
              <w:t>平面布置、建（构）筑物</w:t>
            </w:r>
          </w:p>
        </w:tc>
        <w:tc>
          <w:tcPr>
            <w:tcW w:w="4196"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安全检查表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55"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2</w:t>
            </w:r>
          </w:p>
        </w:tc>
        <w:tc>
          <w:tcPr>
            <w:tcW w:w="4120"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储存单元</w:t>
            </w:r>
          </w:p>
        </w:tc>
        <w:tc>
          <w:tcPr>
            <w:tcW w:w="4196"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安全检查表</w:t>
            </w:r>
            <w:r>
              <w:rPr>
                <w:rFonts w:hint="eastAsia" w:cs="Times New Roman"/>
                <w:color w:val="auto"/>
                <w:sz w:val="21"/>
                <w:szCs w:val="21"/>
              </w:rPr>
              <w:t>、作业条件危险性</w:t>
            </w:r>
            <w:r>
              <w:rPr>
                <w:rFonts w:cs="Times New Roman"/>
                <w:color w:val="auto"/>
                <w:sz w:val="21"/>
                <w:szCs w:val="21"/>
              </w:rPr>
              <w:t>分析</w:t>
            </w:r>
            <w:r>
              <w:rPr>
                <w:rFonts w:hint="eastAsia" w:cs="Times New Roman"/>
                <w:color w:val="auto"/>
                <w:sz w:val="21"/>
                <w:szCs w:val="21"/>
              </w:rPr>
              <w:t>、危险度</w:t>
            </w:r>
            <w:r>
              <w:rPr>
                <w:rFonts w:cs="Times New Roman"/>
                <w:color w:val="auto"/>
                <w:sz w:val="21"/>
                <w:szCs w:val="21"/>
              </w:rPr>
              <w:t>分析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55"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3</w:t>
            </w:r>
          </w:p>
        </w:tc>
        <w:tc>
          <w:tcPr>
            <w:tcW w:w="4120"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安全生产设施技术改造相关</w:t>
            </w:r>
            <w:r>
              <w:rPr>
                <w:rFonts w:cs="Times New Roman"/>
                <w:color w:val="auto"/>
                <w:sz w:val="21"/>
                <w:szCs w:val="21"/>
              </w:rPr>
              <w:t>公用工程及辅助设施</w:t>
            </w:r>
          </w:p>
        </w:tc>
        <w:tc>
          <w:tcPr>
            <w:tcW w:w="4196"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安全检查表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55"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4</w:t>
            </w:r>
          </w:p>
        </w:tc>
        <w:tc>
          <w:tcPr>
            <w:tcW w:w="4120"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安全生产设施技术改造相关消防单元、管理单元</w:t>
            </w:r>
          </w:p>
        </w:tc>
        <w:tc>
          <w:tcPr>
            <w:tcW w:w="4196"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安全检查表</w:t>
            </w:r>
            <w:r>
              <w:rPr>
                <w:rFonts w:hint="eastAsia" w:cs="Times New Roman"/>
                <w:color w:val="auto"/>
                <w:sz w:val="21"/>
                <w:szCs w:val="21"/>
              </w:rPr>
              <w:t>、</w:t>
            </w:r>
            <w:r>
              <w:rPr>
                <w:rFonts w:cs="Times New Roman"/>
                <w:color w:val="auto"/>
                <w:sz w:val="21"/>
                <w:szCs w:val="21"/>
              </w:rPr>
              <w:t>预先危险性分析</w:t>
            </w:r>
          </w:p>
        </w:tc>
      </w:tr>
    </w:tbl>
    <w:p>
      <w:pPr>
        <w:pStyle w:val="4"/>
        <w:keepNext w:val="0"/>
        <w:keepLines w:val="0"/>
        <w:wordWrap w:val="0"/>
        <w:adjustRightInd w:val="0"/>
        <w:snapToGrid w:val="0"/>
        <w:jc w:val="center"/>
        <w:textAlignment w:val="center"/>
        <w:rPr>
          <w:color w:val="auto"/>
          <w:kern w:val="0"/>
        </w:rPr>
      </w:pPr>
      <w:bookmarkStart w:id="193" w:name="_Toc15485"/>
      <w:bookmarkStart w:id="194" w:name="_Toc31735"/>
      <w:bookmarkStart w:id="195" w:name="_Toc14707"/>
      <w:r>
        <w:rPr>
          <w:rFonts w:hint="eastAsia"/>
          <w:color w:val="auto"/>
          <w:kern w:val="0"/>
        </w:rPr>
        <w:t>4.3 评价方法的选择和简介</w:t>
      </w:r>
      <w:bookmarkEnd w:id="193"/>
      <w:bookmarkEnd w:id="194"/>
      <w:bookmarkEnd w:id="195"/>
    </w:p>
    <w:p>
      <w:pPr>
        <w:pStyle w:val="5"/>
        <w:keepNext w:val="0"/>
        <w:keepLines w:val="0"/>
        <w:wordWrap w:val="0"/>
        <w:adjustRightInd w:val="0"/>
        <w:snapToGrid w:val="0"/>
        <w:textAlignment w:val="center"/>
        <w:rPr>
          <w:color w:val="auto"/>
          <w:kern w:val="0"/>
        </w:rPr>
      </w:pPr>
      <w:bookmarkStart w:id="196" w:name="_Toc14114"/>
      <w:r>
        <w:rPr>
          <w:rFonts w:hint="eastAsia"/>
          <w:color w:val="auto"/>
          <w:kern w:val="0"/>
        </w:rPr>
        <w:t>4.3.1 安全检查表法</w:t>
      </w:r>
      <w:bookmarkEnd w:id="196"/>
    </w:p>
    <w:p>
      <w:pPr>
        <w:wordWrap w:val="0"/>
        <w:adjustRightInd w:val="0"/>
        <w:snapToGrid w:val="0"/>
        <w:ind w:firstLine="560" w:firstLineChars="200"/>
        <w:textAlignment w:val="center"/>
        <w:rPr>
          <w:color w:val="auto"/>
          <w:kern w:val="0"/>
        </w:rPr>
      </w:pPr>
      <w:r>
        <w:rPr>
          <w:color w:val="auto"/>
          <w:kern w:val="0"/>
        </w:rPr>
        <w:t>安全检查表法又称安全评价表法。</w:t>
      </w:r>
    </w:p>
    <w:p>
      <w:pPr>
        <w:wordWrap w:val="0"/>
        <w:adjustRightInd w:val="0"/>
        <w:snapToGrid w:val="0"/>
        <w:ind w:firstLine="560" w:firstLineChars="200"/>
        <w:textAlignment w:val="center"/>
        <w:rPr>
          <w:color w:val="auto"/>
          <w:kern w:val="0"/>
        </w:rPr>
      </w:pPr>
      <w:r>
        <w:rPr>
          <w:color w:val="auto"/>
          <w:kern w:val="0"/>
        </w:rPr>
        <w:t>安全检查表是评价人员在对评价对象充分讨论、分析基础上，列出检查单元、部位和检查项目、检查要求，然后对照可行性研究报告的有关内容，逐项进行检查。</w:t>
      </w:r>
    </w:p>
    <w:p>
      <w:pPr>
        <w:wordWrap w:val="0"/>
        <w:adjustRightInd w:val="0"/>
        <w:snapToGrid w:val="0"/>
        <w:ind w:firstLine="560" w:firstLineChars="200"/>
        <w:textAlignment w:val="center"/>
        <w:rPr>
          <w:color w:val="auto"/>
          <w:kern w:val="0"/>
        </w:rPr>
      </w:pPr>
      <w:r>
        <w:rPr>
          <w:color w:val="auto"/>
          <w:kern w:val="0"/>
        </w:rPr>
        <w:t>编制安全检查表的主要依据是：</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有关的安全法规、标准、规程。</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国内外相关的事故案例。</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其他分析方法的结果。</w:t>
      </w:r>
    </w:p>
    <w:p>
      <w:pPr>
        <w:wordWrap w:val="0"/>
        <w:adjustRightInd w:val="0"/>
        <w:snapToGrid w:val="0"/>
        <w:ind w:firstLine="560" w:firstLineChars="200"/>
        <w:textAlignment w:val="center"/>
        <w:rPr>
          <w:color w:val="auto"/>
          <w:kern w:val="0"/>
        </w:rPr>
      </w:pPr>
      <w:r>
        <w:rPr>
          <w:color w:val="auto"/>
          <w:kern w:val="0"/>
        </w:rPr>
        <w:t>安全检查表的编制步骤如下：</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熟悉系统。包括评价对象的结构、功能、工艺流程、操作条件、总图布置、已有的安全卫生设置等。</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收集资料。收集与评价对象有关的安全法规、标准、制度、过去发生过的事故案例，作为评价依据。</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划分单元。按功能或结构：将系统划分为若干子系统或单元，逐个分析潜在的危险因素。</w:t>
      </w:r>
    </w:p>
    <w:p>
      <w:pPr>
        <w:wordWrap w:val="0"/>
        <w:adjustRightInd w:val="0"/>
        <w:snapToGrid w:val="0"/>
        <w:ind w:firstLine="560" w:firstLineChars="200"/>
        <w:jc w:val="left"/>
        <w:textAlignment w:val="center"/>
        <w:rPr>
          <w:color w:val="auto"/>
          <w:kern w:val="0"/>
        </w:rPr>
      </w:pPr>
      <w:r>
        <w:rPr>
          <w:color w:val="auto"/>
          <w:kern w:val="0"/>
        </w:rPr>
        <w:t>安全检查表一般分为5项，如表</w:t>
      </w:r>
      <w:r>
        <w:rPr>
          <w:rFonts w:hint="eastAsia"/>
          <w:color w:val="auto"/>
          <w:kern w:val="0"/>
        </w:rPr>
        <w:t>4</w:t>
      </w:r>
      <w:r>
        <w:rPr>
          <w:color w:val="auto"/>
          <w:kern w:val="0"/>
        </w:rPr>
        <w:t>.</w:t>
      </w:r>
      <w:r>
        <w:rPr>
          <w:rFonts w:hint="eastAsia"/>
          <w:color w:val="auto"/>
          <w:kern w:val="0"/>
        </w:rPr>
        <w:t>3</w:t>
      </w:r>
      <w:r>
        <w:rPr>
          <w:color w:val="auto"/>
          <w:kern w:val="0"/>
        </w:rPr>
        <w:t>-1所示。</w:t>
      </w:r>
    </w:p>
    <w:p>
      <w:pPr>
        <w:wordWrap w:val="0"/>
        <w:adjustRightInd w:val="0"/>
        <w:snapToGrid w:val="0"/>
        <w:jc w:val="center"/>
        <w:textAlignment w:val="center"/>
        <w:rPr>
          <w:bCs/>
          <w:color w:val="auto"/>
          <w:kern w:val="0"/>
        </w:rPr>
      </w:pPr>
      <w:r>
        <w:rPr>
          <w:bCs/>
          <w:color w:val="auto"/>
          <w:kern w:val="0"/>
        </w:rPr>
        <w:t>表</w:t>
      </w:r>
      <w:r>
        <w:rPr>
          <w:rFonts w:hint="eastAsia"/>
          <w:bCs/>
          <w:color w:val="auto"/>
          <w:kern w:val="0"/>
        </w:rPr>
        <w:t>4</w:t>
      </w:r>
      <w:r>
        <w:rPr>
          <w:bCs/>
          <w:color w:val="auto"/>
          <w:kern w:val="0"/>
        </w:rPr>
        <w:t>.</w:t>
      </w:r>
      <w:r>
        <w:rPr>
          <w:rFonts w:hint="eastAsia"/>
          <w:bCs/>
          <w:color w:val="auto"/>
          <w:kern w:val="0"/>
        </w:rPr>
        <w:t>3</w:t>
      </w:r>
      <w:r>
        <w:rPr>
          <w:bCs/>
          <w:color w:val="auto"/>
          <w:kern w:val="0"/>
        </w:rPr>
        <w:t xml:space="preserve">-1 </w:t>
      </w:r>
      <w:r>
        <w:rPr>
          <w:rFonts w:hint="eastAsia"/>
          <w:bCs/>
          <w:color w:val="auto"/>
          <w:kern w:val="0"/>
        </w:rPr>
        <w:t xml:space="preserve"> </w:t>
      </w:r>
      <w:r>
        <w:rPr>
          <w:bCs/>
          <w:color w:val="auto"/>
          <w:kern w:val="0"/>
        </w:rPr>
        <w:t>安全检查表</w:t>
      </w:r>
    </w:p>
    <w:tbl>
      <w:tblPr>
        <w:tblStyle w:val="24"/>
        <w:tblW w:w="9071" w:type="dxa"/>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1317"/>
        <w:gridCol w:w="2233"/>
        <w:gridCol w:w="1474"/>
        <w:gridCol w:w="2102"/>
        <w:gridCol w:w="1945"/>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60"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序号</w:t>
            </w:r>
          </w:p>
        </w:tc>
        <w:tc>
          <w:tcPr>
            <w:tcW w:w="2136"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检查项目</w:t>
            </w:r>
          </w:p>
        </w:tc>
        <w:tc>
          <w:tcPr>
            <w:tcW w:w="1410"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依据</w:t>
            </w:r>
          </w:p>
        </w:tc>
        <w:tc>
          <w:tcPr>
            <w:tcW w:w="2011"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实际情况</w:t>
            </w:r>
          </w:p>
        </w:tc>
        <w:tc>
          <w:tcPr>
            <w:tcW w:w="1861"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结果</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60" w:type="dxa"/>
            <w:vAlign w:val="center"/>
          </w:tcPr>
          <w:p>
            <w:pPr>
              <w:wordWrap w:val="0"/>
              <w:adjustRightInd w:val="0"/>
              <w:snapToGrid w:val="0"/>
              <w:spacing w:line="240" w:lineRule="auto"/>
              <w:jc w:val="center"/>
              <w:textAlignment w:val="center"/>
              <w:rPr>
                <w:color w:val="auto"/>
                <w:kern w:val="0"/>
                <w:sz w:val="21"/>
                <w:szCs w:val="21"/>
              </w:rPr>
            </w:pPr>
          </w:p>
        </w:tc>
        <w:tc>
          <w:tcPr>
            <w:tcW w:w="2136" w:type="dxa"/>
            <w:vAlign w:val="center"/>
          </w:tcPr>
          <w:p>
            <w:pPr>
              <w:wordWrap w:val="0"/>
              <w:adjustRightInd w:val="0"/>
              <w:snapToGrid w:val="0"/>
              <w:spacing w:line="240" w:lineRule="auto"/>
              <w:jc w:val="center"/>
              <w:textAlignment w:val="center"/>
              <w:rPr>
                <w:color w:val="auto"/>
                <w:kern w:val="0"/>
                <w:sz w:val="21"/>
                <w:szCs w:val="21"/>
              </w:rPr>
            </w:pPr>
          </w:p>
        </w:tc>
        <w:tc>
          <w:tcPr>
            <w:tcW w:w="1410" w:type="dxa"/>
            <w:vAlign w:val="center"/>
          </w:tcPr>
          <w:p>
            <w:pPr>
              <w:wordWrap w:val="0"/>
              <w:adjustRightInd w:val="0"/>
              <w:snapToGrid w:val="0"/>
              <w:spacing w:line="240" w:lineRule="auto"/>
              <w:jc w:val="center"/>
              <w:textAlignment w:val="center"/>
              <w:rPr>
                <w:color w:val="auto"/>
                <w:kern w:val="0"/>
                <w:sz w:val="21"/>
                <w:szCs w:val="21"/>
              </w:rPr>
            </w:pPr>
          </w:p>
        </w:tc>
        <w:tc>
          <w:tcPr>
            <w:tcW w:w="2011" w:type="dxa"/>
            <w:vAlign w:val="center"/>
          </w:tcPr>
          <w:p>
            <w:pPr>
              <w:wordWrap w:val="0"/>
              <w:adjustRightInd w:val="0"/>
              <w:snapToGrid w:val="0"/>
              <w:spacing w:line="240" w:lineRule="auto"/>
              <w:jc w:val="center"/>
              <w:textAlignment w:val="center"/>
              <w:rPr>
                <w:color w:val="auto"/>
                <w:kern w:val="0"/>
                <w:sz w:val="21"/>
                <w:szCs w:val="21"/>
              </w:rPr>
            </w:pPr>
          </w:p>
        </w:tc>
        <w:tc>
          <w:tcPr>
            <w:tcW w:w="1861" w:type="dxa"/>
            <w:vAlign w:val="center"/>
          </w:tcPr>
          <w:p>
            <w:pPr>
              <w:wordWrap w:val="0"/>
              <w:adjustRightInd w:val="0"/>
              <w:snapToGrid w:val="0"/>
              <w:spacing w:line="240" w:lineRule="auto"/>
              <w:jc w:val="center"/>
              <w:textAlignment w:val="center"/>
              <w:rPr>
                <w:color w:val="auto"/>
                <w:kern w:val="0"/>
                <w:sz w:val="21"/>
                <w:szCs w:val="21"/>
              </w:rPr>
            </w:pPr>
          </w:p>
        </w:tc>
      </w:tr>
    </w:tbl>
    <w:p>
      <w:pPr>
        <w:pStyle w:val="5"/>
        <w:keepNext w:val="0"/>
        <w:keepLines w:val="0"/>
        <w:wordWrap w:val="0"/>
        <w:adjustRightInd w:val="0"/>
        <w:snapToGrid w:val="0"/>
        <w:textAlignment w:val="center"/>
        <w:rPr>
          <w:color w:val="auto"/>
          <w:kern w:val="0"/>
        </w:rPr>
      </w:pPr>
      <w:bookmarkStart w:id="197" w:name="_Toc1472"/>
      <w:r>
        <w:rPr>
          <w:rFonts w:hint="eastAsia"/>
          <w:color w:val="auto"/>
          <w:kern w:val="0"/>
        </w:rPr>
        <w:t>4.3.2 作业条件危险性评价法</w:t>
      </w:r>
      <w:bookmarkEnd w:id="197"/>
    </w:p>
    <w:p>
      <w:pPr>
        <w:tabs>
          <w:tab w:val="left" w:pos="4208"/>
          <w:tab w:val="left" w:pos="6458"/>
        </w:tabs>
        <w:wordWrap w:val="0"/>
        <w:adjustRightInd w:val="0"/>
        <w:snapToGrid w:val="0"/>
        <w:ind w:firstLine="570"/>
        <w:textAlignment w:val="center"/>
        <w:rPr>
          <w:color w:val="auto"/>
          <w:kern w:val="0"/>
        </w:rPr>
      </w:pPr>
      <w:r>
        <w:rPr>
          <w:color w:val="auto"/>
          <w:kern w:val="0"/>
        </w:rPr>
        <w:t>作业条件危险性评价是把某种场所的作业危险性（D）看成是该场所发生危险事故可能性（L）和暴露于这种危险场所的频繁程度（E）以及发生事故危险程度（C）三个变量的函数，即：</w:t>
      </w:r>
    </w:p>
    <w:p>
      <w:pPr>
        <w:tabs>
          <w:tab w:val="left" w:pos="4208"/>
          <w:tab w:val="left" w:pos="6458"/>
        </w:tabs>
        <w:wordWrap w:val="0"/>
        <w:adjustRightInd w:val="0"/>
        <w:snapToGrid w:val="0"/>
        <w:ind w:firstLine="570"/>
        <w:textAlignment w:val="center"/>
        <w:rPr>
          <w:color w:val="auto"/>
          <w:kern w:val="0"/>
        </w:rPr>
      </w:pPr>
      <w:r>
        <w:rPr>
          <w:color w:val="auto"/>
          <w:kern w:val="0"/>
        </w:rPr>
        <w:t>D=L·E·C</w:t>
      </w:r>
    </w:p>
    <w:p>
      <w:pPr>
        <w:tabs>
          <w:tab w:val="left" w:pos="4208"/>
          <w:tab w:val="left" w:pos="6458"/>
        </w:tabs>
        <w:wordWrap w:val="0"/>
        <w:adjustRightInd w:val="0"/>
        <w:snapToGrid w:val="0"/>
        <w:ind w:firstLine="570"/>
        <w:textAlignment w:val="center"/>
        <w:rPr>
          <w:color w:val="auto"/>
          <w:kern w:val="0"/>
        </w:rPr>
      </w:pPr>
      <w:r>
        <w:rPr>
          <w:color w:val="auto"/>
          <w:kern w:val="0"/>
        </w:rPr>
        <w:t>其中：D表示作业条件的危险性</w:t>
      </w:r>
    </w:p>
    <w:p>
      <w:pPr>
        <w:tabs>
          <w:tab w:val="left" w:pos="4208"/>
          <w:tab w:val="left" w:pos="6458"/>
        </w:tabs>
        <w:wordWrap w:val="0"/>
        <w:adjustRightInd w:val="0"/>
        <w:snapToGrid w:val="0"/>
        <w:ind w:firstLine="570"/>
        <w:textAlignment w:val="center"/>
        <w:rPr>
          <w:color w:val="auto"/>
          <w:kern w:val="0"/>
        </w:rPr>
      </w:pPr>
      <w:r>
        <w:rPr>
          <w:color w:val="auto"/>
          <w:kern w:val="0"/>
        </w:rPr>
        <w:t xml:space="preserve">      L表示事故或危险事件发生的可能性</w:t>
      </w:r>
    </w:p>
    <w:p>
      <w:pPr>
        <w:tabs>
          <w:tab w:val="left" w:pos="4208"/>
          <w:tab w:val="left" w:pos="6458"/>
        </w:tabs>
        <w:wordWrap w:val="0"/>
        <w:adjustRightInd w:val="0"/>
        <w:snapToGrid w:val="0"/>
        <w:ind w:firstLine="570"/>
        <w:textAlignment w:val="center"/>
        <w:rPr>
          <w:color w:val="auto"/>
          <w:kern w:val="0"/>
        </w:rPr>
      </w:pPr>
      <w:r>
        <w:rPr>
          <w:color w:val="auto"/>
          <w:kern w:val="0"/>
        </w:rPr>
        <w:t xml:space="preserve">      E表示人员暴露于危险环境的频率</w:t>
      </w:r>
    </w:p>
    <w:p>
      <w:pPr>
        <w:tabs>
          <w:tab w:val="left" w:pos="4208"/>
          <w:tab w:val="left" w:pos="6458"/>
        </w:tabs>
        <w:wordWrap w:val="0"/>
        <w:adjustRightInd w:val="0"/>
        <w:snapToGrid w:val="0"/>
        <w:ind w:firstLine="570"/>
        <w:textAlignment w:val="center"/>
        <w:rPr>
          <w:color w:val="auto"/>
          <w:kern w:val="0"/>
        </w:rPr>
      </w:pPr>
      <w:r>
        <w:rPr>
          <w:color w:val="auto"/>
          <w:kern w:val="0"/>
        </w:rPr>
        <w:t xml:space="preserve">      C表示事故或危险事件可能出现的后果</w:t>
      </w:r>
    </w:p>
    <w:p>
      <w:pPr>
        <w:wordWrap w:val="0"/>
        <w:adjustRightInd w:val="0"/>
        <w:snapToGrid w:val="0"/>
        <w:ind w:firstLine="560" w:firstLineChars="200"/>
        <w:textAlignment w:val="center"/>
        <w:rPr>
          <w:bCs/>
          <w:color w:val="auto"/>
          <w:kern w:val="0"/>
        </w:rPr>
      </w:pPr>
      <w:r>
        <w:rPr>
          <w:bCs/>
          <w:color w:val="auto"/>
          <w:kern w:val="0"/>
        </w:rPr>
        <w:t>1</w:t>
      </w:r>
      <w:r>
        <w:rPr>
          <w:rFonts w:hint="eastAsia"/>
          <w:bCs/>
          <w:color w:val="auto"/>
          <w:kern w:val="0"/>
        </w:rPr>
        <w:t>、</w:t>
      </w:r>
      <w:r>
        <w:rPr>
          <w:bCs/>
          <w:color w:val="auto"/>
          <w:kern w:val="0"/>
        </w:rPr>
        <w:t>作业条件危险性的判定</w:t>
      </w:r>
    </w:p>
    <w:p>
      <w:pPr>
        <w:wordWrap w:val="0"/>
        <w:adjustRightInd w:val="0"/>
        <w:snapToGrid w:val="0"/>
        <w:ind w:firstLine="560" w:firstLineChars="200"/>
        <w:textAlignment w:val="center"/>
        <w:rPr>
          <w:color w:val="auto"/>
          <w:kern w:val="0"/>
        </w:rPr>
      </w:pPr>
      <w:r>
        <w:rPr>
          <w:color w:val="auto"/>
          <w:kern w:val="0"/>
        </w:rPr>
        <w:t>根据上述函数式经过计算我们可以得出不同作业条件下的不同D值，</w:t>
      </w:r>
      <w:r>
        <w:rPr>
          <w:color w:val="auto"/>
          <w:spacing w:val="-6"/>
          <w:kern w:val="0"/>
        </w:rPr>
        <w:t>根据统计规律和经验，格雷厄姆和G·F·金尼给出了一个判定标准，如表</w:t>
      </w:r>
      <w:r>
        <w:rPr>
          <w:rFonts w:hint="eastAsia"/>
          <w:color w:val="auto"/>
          <w:spacing w:val="-6"/>
          <w:kern w:val="0"/>
        </w:rPr>
        <w:t>4.3-2</w:t>
      </w:r>
      <w:r>
        <w:rPr>
          <w:rFonts w:hint="eastAsia"/>
          <w:color w:val="auto"/>
          <w:kern w:val="0"/>
        </w:rPr>
        <w:t>。</w:t>
      </w:r>
    </w:p>
    <w:p>
      <w:pPr>
        <w:tabs>
          <w:tab w:val="left" w:pos="4208"/>
          <w:tab w:val="left" w:pos="6458"/>
        </w:tabs>
        <w:wordWrap w:val="0"/>
        <w:adjustRightInd w:val="0"/>
        <w:snapToGrid w:val="0"/>
        <w:jc w:val="center"/>
        <w:textAlignment w:val="center"/>
        <w:rPr>
          <w:bCs/>
          <w:color w:val="auto"/>
          <w:kern w:val="0"/>
        </w:rPr>
      </w:pPr>
      <w:r>
        <w:rPr>
          <w:color w:val="auto"/>
          <w:kern w:val="0"/>
        </w:rPr>
        <w:t>表</w:t>
      </w:r>
      <w:r>
        <w:rPr>
          <w:rFonts w:hint="eastAsia"/>
          <w:color w:val="auto"/>
          <w:kern w:val="0"/>
        </w:rPr>
        <w:t>4</w:t>
      </w:r>
      <w:r>
        <w:rPr>
          <w:color w:val="auto"/>
          <w:kern w:val="0"/>
        </w:rPr>
        <w:t>.</w:t>
      </w:r>
      <w:r>
        <w:rPr>
          <w:rFonts w:hint="eastAsia"/>
          <w:color w:val="auto"/>
          <w:kern w:val="0"/>
        </w:rPr>
        <w:t>3</w:t>
      </w:r>
      <w:r>
        <w:rPr>
          <w:color w:val="auto"/>
          <w:kern w:val="0"/>
        </w:rPr>
        <w:t>-2</w:t>
      </w:r>
      <w:r>
        <w:rPr>
          <w:bCs/>
          <w:color w:val="auto"/>
          <w:kern w:val="0"/>
        </w:rPr>
        <w:t xml:space="preserve"> </w:t>
      </w:r>
      <w:r>
        <w:rPr>
          <w:rFonts w:hint="eastAsia"/>
          <w:bCs/>
          <w:color w:val="auto"/>
          <w:kern w:val="0"/>
        </w:rPr>
        <w:t xml:space="preserve"> </w:t>
      </w:r>
      <w:r>
        <w:rPr>
          <w:bCs/>
          <w:color w:val="auto"/>
          <w:kern w:val="0"/>
        </w:rPr>
        <w:t>作业条件危险性分级表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291"/>
        <w:gridCol w:w="1773"/>
        <w:gridCol w:w="3676"/>
        <w:gridCol w:w="13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危险性分值（D）</w:t>
            </w:r>
          </w:p>
        </w:tc>
        <w:tc>
          <w:tcPr>
            <w:tcW w:w="977"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风险等级</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危险程度</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&gt;320</w:t>
            </w:r>
          </w:p>
        </w:tc>
        <w:tc>
          <w:tcPr>
            <w:tcW w:w="977" w:type="pct"/>
            <w:vAlign w:val="center"/>
          </w:tcPr>
          <w:p>
            <w:pPr>
              <w:tabs>
                <w:tab w:val="left" w:pos="4208"/>
                <w:tab w:val="left" w:pos="6458"/>
              </w:tabs>
              <w:wordWrap w:val="0"/>
              <w:adjustRightInd w:val="0"/>
              <w:snapToGrid w:val="0"/>
              <w:spacing w:line="240" w:lineRule="auto"/>
              <w:jc w:val="center"/>
              <w:textAlignment w:val="center"/>
              <w:rPr>
                <w:bCs/>
                <w:color w:val="auto"/>
                <w:kern w:val="0"/>
                <w:sz w:val="21"/>
                <w:szCs w:val="21"/>
              </w:rPr>
            </w:pPr>
            <w:r>
              <w:rPr>
                <w:rFonts w:hint="eastAsia"/>
                <w:bCs/>
                <w:color w:val="auto"/>
                <w:kern w:val="0"/>
                <w:sz w:val="21"/>
                <w:szCs w:val="21"/>
              </w:rPr>
              <w:t>V</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极其危险，不能继续作业</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160-320</w:t>
            </w:r>
          </w:p>
        </w:tc>
        <w:tc>
          <w:tcPr>
            <w:tcW w:w="977" w:type="pct"/>
            <w:vAlign w:val="center"/>
          </w:tcPr>
          <w:p>
            <w:pPr>
              <w:tabs>
                <w:tab w:val="left" w:pos="4208"/>
                <w:tab w:val="left" w:pos="6458"/>
              </w:tabs>
              <w:wordWrap w:val="0"/>
              <w:adjustRightInd w:val="0"/>
              <w:snapToGrid w:val="0"/>
              <w:spacing w:line="240" w:lineRule="auto"/>
              <w:jc w:val="center"/>
              <w:textAlignment w:val="center"/>
              <w:rPr>
                <w:bCs/>
                <w:color w:val="auto"/>
                <w:kern w:val="0"/>
                <w:sz w:val="21"/>
                <w:szCs w:val="21"/>
              </w:rPr>
            </w:pPr>
            <w:r>
              <w:rPr>
                <w:rFonts w:hint="eastAsia"/>
                <w:bCs/>
                <w:color w:val="auto"/>
                <w:kern w:val="0"/>
                <w:sz w:val="21"/>
                <w:szCs w:val="21"/>
              </w:rPr>
              <w:t>IV</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高度危险，需要立即整改</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70-160</w:t>
            </w:r>
          </w:p>
        </w:tc>
        <w:tc>
          <w:tcPr>
            <w:tcW w:w="977" w:type="pct"/>
            <w:vAlign w:val="center"/>
          </w:tcPr>
          <w:p>
            <w:pPr>
              <w:tabs>
                <w:tab w:val="left" w:pos="4208"/>
                <w:tab w:val="left" w:pos="6458"/>
              </w:tabs>
              <w:wordWrap w:val="0"/>
              <w:adjustRightInd w:val="0"/>
              <w:snapToGrid w:val="0"/>
              <w:spacing w:line="240" w:lineRule="auto"/>
              <w:jc w:val="center"/>
              <w:textAlignment w:val="center"/>
              <w:rPr>
                <w:bCs/>
                <w:color w:val="auto"/>
                <w:kern w:val="0"/>
                <w:sz w:val="21"/>
                <w:szCs w:val="21"/>
              </w:rPr>
            </w:pPr>
            <w:r>
              <w:rPr>
                <w:rFonts w:hint="eastAsia"/>
                <w:bCs/>
                <w:color w:val="auto"/>
                <w:kern w:val="0"/>
                <w:sz w:val="21"/>
                <w:szCs w:val="21"/>
              </w:rPr>
              <w:t>III</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显著危险，需要整改</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20-70</w:t>
            </w:r>
          </w:p>
        </w:tc>
        <w:tc>
          <w:tcPr>
            <w:tcW w:w="977" w:type="pct"/>
            <w:vAlign w:val="center"/>
          </w:tcPr>
          <w:p>
            <w:pPr>
              <w:tabs>
                <w:tab w:val="left" w:pos="4208"/>
                <w:tab w:val="left" w:pos="6458"/>
              </w:tabs>
              <w:wordWrap w:val="0"/>
              <w:adjustRightInd w:val="0"/>
              <w:snapToGrid w:val="0"/>
              <w:spacing w:line="240" w:lineRule="auto"/>
              <w:jc w:val="center"/>
              <w:textAlignment w:val="center"/>
              <w:rPr>
                <w:bCs/>
                <w:color w:val="auto"/>
                <w:kern w:val="0"/>
                <w:sz w:val="21"/>
                <w:szCs w:val="21"/>
              </w:rPr>
            </w:pPr>
            <w:r>
              <w:rPr>
                <w:rFonts w:hint="eastAsia"/>
                <w:bCs/>
                <w:color w:val="auto"/>
                <w:kern w:val="0"/>
                <w:sz w:val="21"/>
                <w:szCs w:val="21"/>
              </w:rPr>
              <w:t>II</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轻度危险，需要注意</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26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&lt;20</w:t>
            </w:r>
          </w:p>
        </w:tc>
        <w:tc>
          <w:tcPr>
            <w:tcW w:w="977" w:type="pct"/>
            <w:vAlign w:val="center"/>
          </w:tcPr>
          <w:p>
            <w:pPr>
              <w:tabs>
                <w:tab w:val="left" w:pos="4208"/>
                <w:tab w:val="left" w:pos="6458"/>
              </w:tabs>
              <w:wordWrap w:val="0"/>
              <w:adjustRightInd w:val="0"/>
              <w:snapToGrid w:val="0"/>
              <w:spacing w:line="240" w:lineRule="auto"/>
              <w:jc w:val="center"/>
              <w:textAlignment w:val="center"/>
              <w:rPr>
                <w:bCs/>
                <w:color w:val="auto"/>
                <w:kern w:val="0"/>
                <w:sz w:val="21"/>
                <w:szCs w:val="21"/>
              </w:rPr>
            </w:pPr>
            <w:r>
              <w:rPr>
                <w:rFonts w:hint="eastAsia"/>
                <w:bCs/>
                <w:color w:val="auto"/>
                <w:kern w:val="0"/>
                <w:sz w:val="21"/>
                <w:szCs w:val="21"/>
              </w:rPr>
              <w:t>I</w:t>
            </w:r>
          </w:p>
        </w:tc>
        <w:tc>
          <w:tcPr>
            <w:tcW w:w="2025"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稍有危险、可以接受</w:t>
            </w:r>
          </w:p>
        </w:tc>
        <w:tc>
          <w:tcPr>
            <w:tcW w:w="733"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bl>
    <w:p>
      <w:pPr>
        <w:wordWrap w:val="0"/>
        <w:adjustRightInd w:val="0"/>
        <w:snapToGrid w:val="0"/>
        <w:ind w:firstLine="560" w:firstLineChars="200"/>
        <w:textAlignment w:val="center"/>
        <w:rPr>
          <w:bCs/>
          <w:color w:val="auto"/>
          <w:kern w:val="0"/>
        </w:rPr>
      </w:pPr>
      <w:r>
        <w:rPr>
          <w:bCs/>
          <w:color w:val="auto"/>
          <w:kern w:val="0"/>
        </w:rPr>
        <w:t>2</w:t>
      </w:r>
      <w:r>
        <w:rPr>
          <w:rFonts w:hint="eastAsia"/>
          <w:bCs/>
          <w:color w:val="auto"/>
          <w:kern w:val="0"/>
        </w:rPr>
        <w:t>、</w:t>
      </w:r>
      <w:r>
        <w:rPr>
          <w:bCs/>
          <w:color w:val="auto"/>
          <w:kern w:val="0"/>
        </w:rPr>
        <w:t>发生事故或危险事件可能性的取值</w:t>
      </w:r>
    </w:p>
    <w:p>
      <w:pPr>
        <w:tabs>
          <w:tab w:val="left" w:pos="4208"/>
          <w:tab w:val="left" w:pos="6458"/>
        </w:tabs>
        <w:wordWrap w:val="0"/>
        <w:adjustRightInd w:val="0"/>
        <w:snapToGrid w:val="0"/>
        <w:ind w:firstLine="560" w:firstLineChars="200"/>
        <w:textAlignment w:val="center"/>
        <w:rPr>
          <w:color w:val="auto"/>
          <w:kern w:val="0"/>
        </w:rPr>
      </w:pPr>
      <w:r>
        <w:rPr>
          <w:color w:val="auto"/>
          <w:kern w:val="0"/>
        </w:rPr>
        <w:t>该方法把发生危险的可能性划为7种状态，分别给出了分数值，详见表</w:t>
      </w:r>
      <w:r>
        <w:rPr>
          <w:rFonts w:hint="eastAsia"/>
          <w:color w:val="auto"/>
          <w:kern w:val="0"/>
        </w:rPr>
        <w:t>4</w:t>
      </w:r>
      <w:r>
        <w:rPr>
          <w:color w:val="auto"/>
          <w:kern w:val="0"/>
        </w:rPr>
        <w:t>.</w:t>
      </w:r>
      <w:r>
        <w:rPr>
          <w:rFonts w:hint="eastAsia"/>
          <w:color w:val="auto"/>
          <w:kern w:val="0"/>
        </w:rPr>
        <w:t>3</w:t>
      </w:r>
      <w:r>
        <w:rPr>
          <w:color w:val="auto"/>
          <w:kern w:val="0"/>
        </w:rPr>
        <w:t>-3。</w:t>
      </w:r>
    </w:p>
    <w:p>
      <w:pPr>
        <w:tabs>
          <w:tab w:val="left" w:pos="4208"/>
          <w:tab w:val="left" w:pos="6458"/>
        </w:tabs>
        <w:wordWrap w:val="0"/>
        <w:adjustRightInd w:val="0"/>
        <w:snapToGrid w:val="0"/>
        <w:jc w:val="center"/>
        <w:textAlignment w:val="center"/>
        <w:rPr>
          <w:bCs/>
          <w:color w:val="auto"/>
          <w:kern w:val="0"/>
        </w:rPr>
      </w:pPr>
      <w:r>
        <w:rPr>
          <w:color w:val="auto"/>
          <w:kern w:val="0"/>
        </w:rPr>
        <w:t>表</w:t>
      </w:r>
      <w:r>
        <w:rPr>
          <w:rFonts w:hint="eastAsia"/>
          <w:color w:val="auto"/>
          <w:kern w:val="0"/>
        </w:rPr>
        <w:t>4</w:t>
      </w:r>
      <w:r>
        <w:rPr>
          <w:color w:val="auto"/>
          <w:kern w:val="0"/>
        </w:rPr>
        <w:t>.</w:t>
      </w:r>
      <w:r>
        <w:rPr>
          <w:rFonts w:hint="eastAsia"/>
          <w:color w:val="auto"/>
          <w:kern w:val="0"/>
        </w:rPr>
        <w:t>3</w:t>
      </w:r>
      <w:r>
        <w:rPr>
          <w:color w:val="auto"/>
          <w:kern w:val="0"/>
        </w:rPr>
        <w:t>-3</w:t>
      </w:r>
      <w:r>
        <w:rPr>
          <w:bCs/>
          <w:color w:val="auto"/>
          <w:kern w:val="0"/>
        </w:rPr>
        <w:t xml:space="preserve"> </w:t>
      </w:r>
      <w:r>
        <w:rPr>
          <w:rFonts w:hint="eastAsia"/>
          <w:bCs/>
          <w:color w:val="auto"/>
          <w:kern w:val="0"/>
        </w:rPr>
        <w:t xml:space="preserve"> </w:t>
      </w:r>
      <w:r>
        <w:rPr>
          <w:bCs/>
          <w:color w:val="auto"/>
          <w:kern w:val="0"/>
        </w:rPr>
        <w:t>发生危险可能性分值表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226"/>
        <w:gridCol w:w="3113"/>
        <w:gridCol w:w="1226"/>
        <w:gridCol w:w="350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分值</w:t>
            </w:r>
          </w:p>
        </w:tc>
        <w:tc>
          <w:tcPr>
            <w:tcW w:w="171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发生危险的可能性</w:t>
            </w:r>
          </w:p>
        </w:tc>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分值</w:t>
            </w:r>
          </w:p>
        </w:tc>
        <w:tc>
          <w:tcPr>
            <w:tcW w:w="193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发生危险的可能性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10</w:t>
            </w:r>
          </w:p>
        </w:tc>
        <w:tc>
          <w:tcPr>
            <w:tcW w:w="171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完全会被预料到</w:t>
            </w:r>
          </w:p>
        </w:tc>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0.5</w:t>
            </w:r>
          </w:p>
        </w:tc>
        <w:tc>
          <w:tcPr>
            <w:tcW w:w="193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可以设想</w:t>
            </w:r>
            <w:r>
              <w:rPr>
                <w:rFonts w:hint="eastAsia"/>
                <w:color w:val="auto"/>
                <w:kern w:val="0"/>
                <w:sz w:val="21"/>
                <w:szCs w:val="21"/>
              </w:rPr>
              <w:t>，</w:t>
            </w:r>
            <w:r>
              <w:rPr>
                <w:color w:val="auto"/>
                <w:kern w:val="0"/>
                <w:sz w:val="21"/>
                <w:szCs w:val="21"/>
              </w:rPr>
              <w:t>但高度不可能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6</w:t>
            </w:r>
          </w:p>
        </w:tc>
        <w:tc>
          <w:tcPr>
            <w:tcW w:w="171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相当可能</w:t>
            </w:r>
          </w:p>
        </w:tc>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0.2</w:t>
            </w:r>
          </w:p>
        </w:tc>
        <w:tc>
          <w:tcPr>
            <w:tcW w:w="193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极不可能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3</w:t>
            </w:r>
          </w:p>
        </w:tc>
        <w:tc>
          <w:tcPr>
            <w:tcW w:w="171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不经常，但可能</w:t>
            </w:r>
          </w:p>
        </w:tc>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0.1</w:t>
            </w:r>
          </w:p>
        </w:tc>
        <w:tc>
          <w:tcPr>
            <w:tcW w:w="193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实际上不可能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1</w:t>
            </w:r>
          </w:p>
        </w:tc>
        <w:tc>
          <w:tcPr>
            <w:tcW w:w="171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完全意外，极少可能</w:t>
            </w:r>
          </w:p>
        </w:tc>
        <w:tc>
          <w:tcPr>
            <w:tcW w:w="676"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c>
          <w:tcPr>
            <w:tcW w:w="1932"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p>
        </w:tc>
      </w:tr>
    </w:tbl>
    <w:p>
      <w:pPr>
        <w:wordWrap w:val="0"/>
        <w:adjustRightInd w:val="0"/>
        <w:snapToGrid w:val="0"/>
        <w:ind w:firstLine="560" w:firstLineChars="200"/>
        <w:textAlignment w:val="center"/>
        <w:rPr>
          <w:bCs/>
          <w:color w:val="auto"/>
          <w:kern w:val="0"/>
        </w:rPr>
      </w:pPr>
      <w:r>
        <w:rPr>
          <w:bCs/>
          <w:color w:val="auto"/>
          <w:kern w:val="0"/>
        </w:rPr>
        <w:t>3</w:t>
      </w:r>
      <w:r>
        <w:rPr>
          <w:rFonts w:hint="eastAsia"/>
          <w:bCs/>
          <w:color w:val="auto"/>
          <w:kern w:val="0"/>
        </w:rPr>
        <w:t>、</w:t>
      </w:r>
      <w:r>
        <w:rPr>
          <w:bCs/>
          <w:color w:val="auto"/>
          <w:kern w:val="0"/>
        </w:rPr>
        <w:t>暴露于危险环境的频率</w:t>
      </w:r>
    </w:p>
    <w:p>
      <w:pPr>
        <w:tabs>
          <w:tab w:val="left" w:pos="4208"/>
        </w:tabs>
        <w:wordWrap w:val="0"/>
        <w:adjustRightInd w:val="0"/>
        <w:snapToGrid w:val="0"/>
        <w:ind w:firstLine="570"/>
        <w:textAlignment w:val="center"/>
        <w:rPr>
          <w:color w:val="auto"/>
          <w:kern w:val="0"/>
        </w:rPr>
      </w:pPr>
      <w:r>
        <w:rPr>
          <w:color w:val="auto"/>
          <w:kern w:val="0"/>
        </w:rPr>
        <w:t>毫无疑问，作业人员出现在危险环境中次数越多，时间越长，则受到危险侵害的概率就会越高。该方法把暴露频率分为6种情况，分别给予一定的分值，详见表</w:t>
      </w:r>
      <w:r>
        <w:rPr>
          <w:rFonts w:hint="eastAsia"/>
          <w:color w:val="auto"/>
          <w:kern w:val="0"/>
        </w:rPr>
        <w:t>4</w:t>
      </w:r>
      <w:r>
        <w:rPr>
          <w:color w:val="auto"/>
          <w:kern w:val="0"/>
        </w:rPr>
        <w:t>.</w:t>
      </w:r>
      <w:r>
        <w:rPr>
          <w:rFonts w:hint="eastAsia"/>
          <w:color w:val="auto"/>
          <w:kern w:val="0"/>
        </w:rPr>
        <w:t>3</w:t>
      </w:r>
      <w:r>
        <w:rPr>
          <w:color w:val="auto"/>
          <w:kern w:val="0"/>
        </w:rPr>
        <w:t>-4。</w:t>
      </w:r>
    </w:p>
    <w:p>
      <w:pPr>
        <w:tabs>
          <w:tab w:val="left" w:pos="4208"/>
        </w:tabs>
        <w:wordWrap w:val="0"/>
        <w:adjustRightInd w:val="0"/>
        <w:snapToGrid w:val="0"/>
        <w:jc w:val="center"/>
        <w:textAlignment w:val="center"/>
        <w:rPr>
          <w:color w:val="auto"/>
          <w:kern w:val="0"/>
        </w:rPr>
      </w:pPr>
      <w:r>
        <w:rPr>
          <w:color w:val="auto"/>
          <w:kern w:val="0"/>
        </w:rPr>
        <w:t>表</w:t>
      </w:r>
      <w:r>
        <w:rPr>
          <w:rFonts w:hint="eastAsia"/>
          <w:color w:val="auto"/>
          <w:kern w:val="0"/>
        </w:rPr>
        <w:t>4</w:t>
      </w:r>
      <w:r>
        <w:rPr>
          <w:color w:val="auto"/>
          <w:kern w:val="0"/>
        </w:rPr>
        <w:t>.</w:t>
      </w:r>
      <w:r>
        <w:rPr>
          <w:rFonts w:hint="eastAsia"/>
          <w:color w:val="auto"/>
          <w:kern w:val="0"/>
        </w:rPr>
        <w:t>3</w:t>
      </w:r>
      <w:r>
        <w:rPr>
          <w:color w:val="auto"/>
          <w:kern w:val="0"/>
        </w:rPr>
        <w:t>-4</w:t>
      </w:r>
      <w:r>
        <w:rPr>
          <w:bCs/>
          <w:color w:val="auto"/>
          <w:kern w:val="0"/>
        </w:rPr>
        <w:t xml:space="preserve"> </w:t>
      </w:r>
      <w:r>
        <w:rPr>
          <w:rFonts w:hint="eastAsia"/>
          <w:bCs/>
          <w:color w:val="auto"/>
          <w:kern w:val="0"/>
        </w:rPr>
        <w:t xml:space="preserve"> </w:t>
      </w:r>
      <w:r>
        <w:rPr>
          <w:bCs/>
          <w:color w:val="auto"/>
          <w:kern w:val="0"/>
        </w:rPr>
        <w:t>暴露于潜在危险环境分值表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54"/>
        <w:gridCol w:w="3213"/>
        <w:gridCol w:w="1052"/>
        <w:gridCol w:w="375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58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分值</w:t>
            </w:r>
          </w:p>
        </w:tc>
        <w:tc>
          <w:tcPr>
            <w:tcW w:w="177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出现于危险环境的情况</w:t>
            </w:r>
          </w:p>
        </w:tc>
        <w:tc>
          <w:tcPr>
            <w:tcW w:w="580"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分值</w:t>
            </w:r>
          </w:p>
        </w:tc>
        <w:tc>
          <w:tcPr>
            <w:tcW w:w="2068"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出现于危险环境的情况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58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10</w:t>
            </w:r>
          </w:p>
        </w:tc>
        <w:tc>
          <w:tcPr>
            <w:tcW w:w="177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连续出现于潜在危险环境</w:t>
            </w:r>
          </w:p>
        </w:tc>
        <w:tc>
          <w:tcPr>
            <w:tcW w:w="580"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2</w:t>
            </w:r>
          </w:p>
        </w:tc>
        <w:tc>
          <w:tcPr>
            <w:tcW w:w="2068"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每月出现一次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58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6</w:t>
            </w:r>
          </w:p>
        </w:tc>
        <w:tc>
          <w:tcPr>
            <w:tcW w:w="177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每日在作业时间出现</w:t>
            </w:r>
          </w:p>
        </w:tc>
        <w:tc>
          <w:tcPr>
            <w:tcW w:w="580"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1</w:t>
            </w:r>
          </w:p>
        </w:tc>
        <w:tc>
          <w:tcPr>
            <w:tcW w:w="2068"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每年几次出现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58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3</w:t>
            </w:r>
          </w:p>
        </w:tc>
        <w:tc>
          <w:tcPr>
            <w:tcW w:w="1771"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每周一次或偶然地出现</w:t>
            </w:r>
          </w:p>
        </w:tc>
        <w:tc>
          <w:tcPr>
            <w:tcW w:w="580"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0.5</w:t>
            </w:r>
          </w:p>
        </w:tc>
        <w:tc>
          <w:tcPr>
            <w:tcW w:w="2068" w:type="pct"/>
            <w:vAlign w:val="center"/>
          </w:tcPr>
          <w:p>
            <w:pPr>
              <w:tabs>
                <w:tab w:val="left" w:pos="4208"/>
                <w:tab w:val="left" w:pos="6458"/>
              </w:tabs>
              <w:wordWrap w:val="0"/>
              <w:adjustRightInd w:val="0"/>
              <w:snapToGrid w:val="0"/>
              <w:spacing w:line="240" w:lineRule="auto"/>
              <w:jc w:val="center"/>
              <w:textAlignment w:val="center"/>
              <w:rPr>
                <w:color w:val="auto"/>
                <w:kern w:val="0"/>
                <w:sz w:val="21"/>
                <w:szCs w:val="21"/>
              </w:rPr>
            </w:pPr>
            <w:r>
              <w:rPr>
                <w:color w:val="auto"/>
                <w:kern w:val="0"/>
                <w:sz w:val="21"/>
                <w:szCs w:val="21"/>
              </w:rPr>
              <w:t>非常罕见地出现</w:t>
            </w:r>
          </w:p>
        </w:tc>
      </w:tr>
    </w:tbl>
    <w:p>
      <w:pPr>
        <w:wordWrap w:val="0"/>
        <w:adjustRightInd w:val="0"/>
        <w:snapToGrid w:val="0"/>
        <w:ind w:firstLine="560" w:firstLineChars="200"/>
        <w:textAlignment w:val="center"/>
        <w:rPr>
          <w:bCs/>
          <w:color w:val="auto"/>
          <w:kern w:val="0"/>
        </w:rPr>
      </w:pPr>
      <w:r>
        <w:rPr>
          <w:rFonts w:hint="eastAsia"/>
          <w:bCs/>
          <w:color w:val="auto"/>
          <w:kern w:val="0"/>
        </w:rPr>
        <w:t>4、</w:t>
      </w:r>
      <w:r>
        <w:rPr>
          <w:bCs/>
          <w:color w:val="auto"/>
          <w:kern w:val="0"/>
        </w:rPr>
        <w:t>发生危险的可能后果</w:t>
      </w:r>
    </w:p>
    <w:p>
      <w:pPr>
        <w:wordWrap w:val="0"/>
        <w:adjustRightInd w:val="0"/>
        <w:snapToGrid w:val="0"/>
        <w:ind w:firstLine="570"/>
        <w:textAlignment w:val="center"/>
        <w:rPr>
          <w:color w:val="auto"/>
          <w:kern w:val="0"/>
        </w:rPr>
      </w:pPr>
      <w:r>
        <w:rPr>
          <w:color w:val="auto"/>
          <w:kern w:val="0"/>
        </w:rPr>
        <w:t>评价方法把事故可能后果按伤亡严重程度划为6个等级，在1-100之间分别赋值，详见表</w:t>
      </w:r>
      <w:r>
        <w:rPr>
          <w:rFonts w:hint="eastAsia"/>
          <w:color w:val="auto"/>
          <w:kern w:val="0"/>
        </w:rPr>
        <w:t>4</w:t>
      </w:r>
      <w:r>
        <w:rPr>
          <w:color w:val="auto"/>
          <w:kern w:val="0"/>
        </w:rPr>
        <w:t>.</w:t>
      </w:r>
      <w:r>
        <w:rPr>
          <w:rFonts w:hint="eastAsia"/>
          <w:color w:val="auto"/>
          <w:kern w:val="0"/>
        </w:rPr>
        <w:t>3</w:t>
      </w:r>
      <w:r>
        <w:rPr>
          <w:color w:val="auto"/>
          <w:kern w:val="0"/>
        </w:rPr>
        <w:t>-5。</w:t>
      </w:r>
    </w:p>
    <w:p>
      <w:pPr>
        <w:wordWrap w:val="0"/>
        <w:adjustRightInd w:val="0"/>
        <w:snapToGrid w:val="0"/>
        <w:jc w:val="center"/>
        <w:textAlignment w:val="center"/>
        <w:rPr>
          <w:color w:val="auto"/>
          <w:kern w:val="0"/>
        </w:rPr>
      </w:pPr>
      <w:r>
        <w:rPr>
          <w:color w:val="auto"/>
          <w:kern w:val="0"/>
        </w:rPr>
        <w:t>表</w:t>
      </w:r>
      <w:r>
        <w:rPr>
          <w:rFonts w:hint="eastAsia"/>
          <w:color w:val="auto"/>
          <w:kern w:val="0"/>
        </w:rPr>
        <w:t>4</w:t>
      </w:r>
      <w:r>
        <w:rPr>
          <w:color w:val="auto"/>
          <w:kern w:val="0"/>
        </w:rPr>
        <w:t>.</w:t>
      </w:r>
      <w:r>
        <w:rPr>
          <w:rFonts w:hint="eastAsia"/>
          <w:color w:val="auto"/>
          <w:kern w:val="0"/>
        </w:rPr>
        <w:t>3</w:t>
      </w:r>
      <w:r>
        <w:rPr>
          <w:color w:val="auto"/>
          <w:kern w:val="0"/>
        </w:rPr>
        <w:t xml:space="preserve">-5 </w:t>
      </w:r>
      <w:r>
        <w:rPr>
          <w:rFonts w:hint="eastAsia"/>
          <w:color w:val="auto"/>
          <w:kern w:val="0"/>
        </w:rPr>
        <w:t xml:space="preserve"> </w:t>
      </w:r>
      <w:r>
        <w:rPr>
          <w:color w:val="auto"/>
          <w:kern w:val="0"/>
        </w:rPr>
        <w:t>事故后果严重程度分值表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237"/>
        <w:gridCol w:w="3458"/>
        <w:gridCol w:w="1237"/>
        <w:gridCol w:w="313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分  值</w:t>
            </w:r>
          </w:p>
        </w:tc>
        <w:tc>
          <w:tcPr>
            <w:tcW w:w="1906"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事故后果严重程度</w:t>
            </w:r>
          </w:p>
        </w:tc>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分  值</w:t>
            </w:r>
          </w:p>
        </w:tc>
        <w:tc>
          <w:tcPr>
            <w:tcW w:w="1730"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事故后果严重程度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100</w:t>
            </w:r>
          </w:p>
        </w:tc>
        <w:tc>
          <w:tcPr>
            <w:tcW w:w="1906"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重大灾难，许多人死亡</w:t>
            </w:r>
          </w:p>
        </w:tc>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7</w:t>
            </w:r>
          </w:p>
        </w:tc>
        <w:tc>
          <w:tcPr>
            <w:tcW w:w="1730"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严重，严重伤害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40</w:t>
            </w:r>
          </w:p>
        </w:tc>
        <w:tc>
          <w:tcPr>
            <w:tcW w:w="1906"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灾难性的，数人死亡</w:t>
            </w:r>
          </w:p>
        </w:tc>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3</w:t>
            </w:r>
          </w:p>
        </w:tc>
        <w:tc>
          <w:tcPr>
            <w:tcW w:w="1730"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重大，致残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15</w:t>
            </w:r>
          </w:p>
        </w:tc>
        <w:tc>
          <w:tcPr>
            <w:tcW w:w="1906"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非常严重，一人死亡</w:t>
            </w:r>
          </w:p>
        </w:tc>
        <w:tc>
          <w:tcPr>
            <w:tcW w:w="682"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w:t>
            </w:r>
          </w:p>
        </w:tc>
        <w:tc>
          <w:tcPr>
            <w:tcW w:w="1730" w:type="pct"/>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引人注目，需要救护</w:t>
            </w:r>
          </w:p>
        </w:tc>
      </w:tr>
    </w:tbl>
    <w:p>
      <w:pPr>
        <w:wordWrap w:val="0"/>
        <w:adjustRightInd w:val="0"/>
        <w:snapToGrid w:val="0"/>
        <w:spacing w:line="560" w:lineRule="exact"/>
        <w:ind w:firstLine="560" w:firstLineChars="200"/>
        <w:textAlignment w:val="center"/>
        <w:rPr>
          <w:color w:val="auto"/>
          <w:kern w:val="0"/>
        </w:rPr>
      </w:pPr>
      <w:r>
        <w:rPr>
          <w:color w:val="auto"/>
          <w:kern w:val="0"/>
        </w:rPr>
        <w:t>评价根据评价人员的知识、经验分别给有关作业环境按表格赋值打分，最终求出D值，并根据D值所处的数值段，判定该作业条件属何种危险等级。</w:t>
      </w:r>
    </w:p>
    <w:p>
      <w:pPr>
        <w:pStyle w:val="5"/>
        <w:keepNext w:val="0"/>
        <w:keepLines w:val="0"/>
        <w:wordWrap w:val="0"/>
        <w:adjustRightInd w:val="0"/>
        <w:snapToGrid w:val="0"/>
        <w:textAlignment w:val="center"/>
        <w:rPr>
          <w:color w:val="auto"/>
          <w:kern w:val="0"/>
        </w:rPr>
      </w:pPr>
      <w:bookmarkStart w:id="198" w:name="_Toc3834"/>
      <w:r>
        <w:rPr>
          <w:rFonts w:hint="eastAsia"/>
          <w:color w:val="auto"/>
          <w:kern w:val="0"/>
        </w:rPr>
        <w:t>4.3.3 危险度评价法</w:t>
      </w:r>
      <w:bookmarkEnd w:id="198"/>
    </w:p>
    <w:p>
      <w:pPr>
        <w:wordWrap w:val="0"/>
        <w:adjustRightInd w:val="0"/>
        <w:snapToGrid w:val="0"/>
        <w:ind w:firstLine="560" w:firstLineChars="200"/>
        <w:textAlignment w:val="center"/>
        <w:rPr>
          <w:color w:val="auto"/>
          <w:kern w:val="0"/>
        </w:rPr>
      </w:pPr>
      <w:r>
        <w:rPr>
          <w:rFonts w:hint="eastAsia"/>
          <w:color w:val="auto"/>
          <w:kern w:val="0"/>
        </w:rPr>
        <w:t>危险度评价法是根据日本劳动省“六阶段法”的定量评价表，危险度评价法是借鉴日本劳动省“六阶段”的定量评价表，结合我国国家标准《石油化工企业设计防火标准》、《压力容器中化学介质毒性危害和爆炸危险度评价分类》等技术规范标准，编制了“危险度评价取值”，规定了危险度由物质、容量、温度、压力和操作等5个项目共同确定，其危险度分别按A=10分，B=5分，C=2分，D=0分赋值计分，由累计分值确定单元危险度。见表4.3-6：</w:t>
      </w:r>
    </w:p>
    <w:p>
      <w:pPr>
        <w:wordWrap w:val="0"/>
        <w:adjustRightInd w:val="0"/>
        <w:snapToGrid w:val="0"/>
        <w:jc w:val="center"/>
        <w:textAlignment w:val="center"/>
        <w:rPr>
          <w:color w:val="auto"/>
          <w:kern w:val="0"/>
        </w:rPr>
      </w:pPr>
      <w:r>
        <w:rPr>
          <w:rFonts w:hint="eastAsia" w:cs="宋体"/>
          <w:color w:val="auto"/>
          <w:kern w:val="0"/>
        </w:rPr>
        <w:t>表</w:t>
      </w:r>
      <w:r>
        <w:rPr>
          <w:rFonts w:hint="eastAsia"/>
          <w:color w:val="auto"/>
          <w:kern w:val="0"/>
        </w:rPr>
        <w:t xml:space="preserve">4.3-6 </w:t>
      </w:r>
      <w:r>
        <w:rPr>
          <w:color w:val="auto"/>
          <w:kern w:val="0"/>
        </w:rPr>
        <w:t xml:space="preserve"> </w:t>
      </w:r>
      <w:r>
        <w:rPr>
          <w:rFonts w:hint="eastAsia" w:cs="宋体"/>
          <w:color w:val="auto"/>
          <w:kern w:val="0"/>
        </w:rPr>
        <w:t>危险度评价取值表</w:t>
      </w:r>
    </w:p>
    <w:tbl>
      <w:tblPr>
        <w:tblStyle w:val="24"/>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2041"/>
        <w:gridCol w:w="2385"/>
        <w:gridCol w:w="2227"/>
        <w:gridCol w:w="12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086" w:type="dxa"/>
            <w:vMerge w:val="restar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w:t>
            </w:r>
          </w:p>
        </w:tc>
        <w:tc>
          <w:tcPr>
            <w:tcW w:w="7714" w:type="dxa"/>
            <w:gridSpan w:val="4"/>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086" w:type="dxa"/>
            <w:vMerge w:val="continue"/>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A（10分）</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B（5分）</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C（2分）</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D（0分）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物质（系指单元中危险、有害程度最大之物质）</w:t>
            </w: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1．甲类可燃气体</w:t>
            </w:r>
            <w:r>
              <w:rPr>
                <w:rFonts w:cs="Times New Roman"/>
                <w:color w:val="auto"/>
                <w:kern w:val="0"/>
                <w:sz w:val="21"/>
                <w:szCs w:val="21"/>
                <w:vertAlign w:val="superscript"/>
              </w:rPr>
              <w:t>*</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2．甲</w:t>
            </w:r>
            <w:r>
              <w:rPr>
                <w:rFonts w:cs="Times New Roman"/>
                <w:color w:val="auto"/>
                <w:kern w:val="0"/>
                <w:sz w:val="21"/>
                <w:szCs w:val="21"/>
                <w:vertAlign w:val="subscript"/>
              </w:rPr>
              <w:t>A</w:t>
            </w:r>
            <w:r>
              <w:rPr>
                <w:rFonts w:cs="Times New Roman"/>
                <w:color w:val="auto"/>
                <w:kern w:val="0"/>
                <w:sz w:val="21"/>
                <w:szCs w:val="21"/>
              </w:rPr>
              <w:t>类物质及液态烃类</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3.甲类固体</w:t>
            </w:r>
          </w:p>
          <w:p>
            <w:pPr>
              <w:wordWrap w:val="0"/>
              <w:adjustRightInd w:val="0"/>
              <w:snapToGrid w:val="0"/>
              <w:spacing w:line="240" w:lineRule="auto"/>
              <w:jc w:val="left"/>
              <w:textAlignment w:val="center"/>
              <w:rPr>
                <w:rFonts w:cs="Times New Roman"/>
                <w:color w:val="auto"/>
                <w:kern w:val="0"/>
                <w:sz w:val="21"/>
                <w:szCs w:val="21"/>
                <w:vertAlign w:val="superscript"/>
              </w:rPr>
            </w:pPr>
            <w:r>
              <w:rPr>
                <w:rFonts w:cs="Times New Roman"/>
                <w:color w:val="auto"/>
                <w:kern w:val="0"/>
                <w:sz w:val="21"/>
                <w:szCs w:val="21"/>
              </w:rPr>
              <w:t>4.极度危害介质</w:t>
            </w:r>
            <w:r>
              <w:rPr>
                <w:rFonts w:cs="Times New Roman"/>
                <w:color w:val="auto"/>
                <w:kern w:val="0"/>
                <w:sz w:val="21"/>
                <w:szCs w:val="21"/>
                <w:vertAlign w:val="superscript"/>
              </w:rPr>
              <w:t>**</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1.乙类可燃气体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2.甲</w:t>
            </w:r>
            <w:r>
              <w:rPr>
                <w:rFonts w:cs="Times New Roman"/>
                <w:color w:val="auto"/>
                <w:kern w:val="0"/>
                <w:sz w:val="21"/>
                <w:szCs w:val="21"/>
                <w:vertAlign w:val="subscript"/>
              </w:rPr>
              <w:t>B</w:t>
            </w:r>
            <w:r>
              <w:rPr>
                <w:rFonts w:cs="Times New Roman"/>
                <w:color w:val="auto"/>
                <w:kern w:val="0"/>
                <w:sz w:val="21"/>
                <w:szCs w:val="21"/>
              </w:rPr>
              <w:t>、乙</w:t>
            </w:r>
            <w:r>
              <w:rPr>
                <w:rFonts w:cs="Times New Roman"/>
                <w:color w:val="auto"/>
                <w:kern w:val="0"/>
                <w:sz w:val="21"/>
                <w:szCs w:val="21"/>
                <w:vertAlign w:val="subscript"/>
              </w:rPr>
              <w:t>A</w:t>
            </w:r>
            <w:r>
              <w:rPr>
                <w:rFonts w:cs="Times New Roman"/>
                <w:color w:val="auto"/>
                <w:kern w:val="0"/>
                <w:sz w:val="21"/>
                <w:szCs w:val="21"/>
              </w:rPr>
              <w:t>类可燃液体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3.乙类固体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4.高度危害介质</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1.乙</w:t>
            </w:r>
            <w:r>
              <w:rPr>
                <w:rFonts w:cs="Times New Roman"/>
                <w:color w:val="auto"/>
                <w:kern w:val="0"/>
                <w:sz w:val="21"/>
                <w:szCs w:val="21"/>
                <w:vertAlign w:val="subscript"/>
              </w:rPr>
              <w:t>B</w:t>
            </w:r>
            <w:r>
              <w:rPr>
                <w:rFonts w:cs="Times New Roman"/>
                <w:color w:val="auto"/>
                <w:kern w:val="0"/>
                <w:sz w:val="21"/>
                <w:szCs w:val="21"/>
              </w:rPr>
              <w:t>、丙</w:t>
            </w:r>
            <w:r>
              <w:rPr>
                <w:rFonts w:cs="Times New Roman"/>
                <w:color w:val="auto"/>
                <w:kern w:val="0"/>
                <w:sz w:val="21"/>
                <w:szCs w:val="21"/>
                <w:vertAlign w:val="subscript"/>
              </w:rPr>
              <w:t>B</w:t>
            </w:r>
            <w:r>
              <w:rPr>
                <w:rFonts w:cs="Times New Roman"/>
                <w:color w:val="auto"/>
                <w:kern w:val="0"/>
                <w:sz w:val="21"/>
                <w:szCs w:val="21"/>
              </w:rPr>
              <w:t>、丙</w:t>
            </w:r>
            <w:r>
              <w:rPr>
                <w:rFonts w:cs="Times New Roman"/>
                <w:color w:val="auto"/>
                <w:kern w:val="0"/>
                <w:sz w:val="21"/>
                <w:szCs w:val="21"/>
                <w:vertAlign w:val="subscript"/>
              </w:rPr>
              <w:t>B</w:t>
            </w:r>
            <w:r>
              <w:rPr>
                <w:rFonts w:cs="Times New Roman"/>
                <w:color w:val="auto"/>
                <w:kern w:val="0"/>
                <w:sz w:val="21"/>
                <w:szCs w:val="21"/>
              </w:rPr>
              <w:t>类可燃液体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2.丙类固体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3.中、轻度危害介质</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不属左述之A，B，C项之物质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容量</w:t>
            </w: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1.气体1000</w:t>
            </w:r>
            <w:r>
              <w:rPr>
                <w:rFonts w:hint="eastAsia" w:cs="Times New Roman"/>
                <w:color w:val="auto"/>
                <w:kern w:val="0"/>
                <w:sz w:val="21"/>
                <w:szCs w:val="21"/>
              </w:rPr>
              <w:t>m³</w:t>
            </w:r>
            <w:r>
              <w:rPr>
                <w:rFonts w:cs="Times New Roman"/>
                <w:color w:val="auto"/>
                <w:kern w:val="0"/>
                <w:sz w:val="21"/>
                <w:szCs w:val="21"/>
              </w:rPr>
              <w:t>以上</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2.液体100</w:t>
            </w:r>
            <w:r>
              <w:rPr>
                <w:rFonts w:hint="eastAsia" w:cs="Times New Roman"/>
                <w:color w:val="auto"/>
                <w:kern w:val="0"/>
                <w:sz w:val="21"/>
                <w:szCs w:val="21"/>
              </w:rPr>
              <w:t>m³</w:t>
            </w:r>
            <w:r>
              <w:rPr>
                <w:rFonts w:cs="Times New Roman"/>
                <w:color w:val="auto"/>
                <w:kern w:val="0"/>
                <w:sz w:val="21"/>
                <w:szCs w:val="21"/>
              </w:rPr>
              <w:t>以上</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1.气体500～1000</w:t>
            </w:r>
            <w:r>
              <w:rPr>
                <w:rFonts w:hint="eastAsia" w:cs="Times New Roman"/>
                <w:color w:val="auto"/>
                <w:kern w:val="0"/>
                <w:sz w:val="21"/>
                <w:szCs w:val="21"/>
              </w:rPr>
              <w:t>m³</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2.液体50～100</w:t>
            </w:r>
            <w:r>
              <w:rPr>
                <w:rFonts w:hint="eastAsia" w:cs="Times New Roman"/>
                <w:color w:val="auto"/>
                <w:kern w:val="0"/>
                <w:sz w:val="21"/>
                <w:szCs w:val="21"/>
              </w:rPr>
              <w:t>m³</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1.气体100～500</w:t>
            </w:r>
            <w:r>
              <w:rPr>
                <w:rFonts w:hint="eastAsia" w:cs="Times New Roman"/>
                <w:color w:val="auto"/>
                <w:kern w:val="0"/>
                <w:sz w:val="21"/>
                <w:szCs w:val="21"/>
              </w:rPr>
              <w:t>m³</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2.液体10～50</w:t>
            </w:r>
            <w:r>
              <w:rPr>
                <w:rFonts w:hint="eastAsia" w:cs="Times New Roman"/>
                <w:color w:val="auto"/>
                <w:kern w:val="0"/>
                <w:sz w:val="21"/>
                <w:szCs w:val="21"/>
              </w:rPr>
              <w:t>m³</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vertAlign w:val="superscript"/>
              </w:rPr>
            </w:pPr>
            <w:r>
              <w:rPr>
                <w:rFonts w:cs="Times New Roman"/>
                <w:color w:val="auto"/>
                <w:kern w:val="0"/>
                <w:sz w:val="21"/>
                <w:szCs w:val="21"/>
              </w:rPr>
              <w:t>1.气体＜100</w:t>
            </w:r>
            <w:r>
              <w:rPr>
                <w:rFonts w:hint="eastAsia" w:cs="Times New Roman"/>
                <w:color w:val="auto"/>
                <w:kern w:val="0"/>
                <w:sz w:val="21"/>
                <w:szCs w:val="21"/>
              </w:rPr>
              <w:t>m³</w:t>
            </w:r>
          </w:p>
          <w:p>
            <w:pPr>
              <w:wordWrap w:val="0"/>
              <w:adjustRightInd w:val="0"/>
              <w:snapToGrid w:val="0"/>
              <w:spacing w:line="240" w:lineRule="auto"/>
              <w:jc w:val="left"/>
              <w:textAlignment w:val="center"/>
              <w:rPr>
                <w:rFonts w:cs="Times New Roman"/>
                <w:color w:val="auto"/>
                <w:kern w:val="0"/>
                <w:sz w:val="21"/>
                <w:szCs w:val="21"/>
                <w:vertAlign w:val="superscript"/>
              </w:rPr>
            </w:pPr>
            <w:r>
              <w:rPr>
                <w:rFonts w:cs="Times New Roman"/>
                <w:color w:val="auto"/>
                <w:kern w:val="0"/>
                <w:sz w:val="21"/>
                <w:szCs w:val="21"/>
              </w:rPr>
              <w:t>2.液体＜10</w:t>
            </w:r>
            <w:r>
              <w:rPr>
                <w:rFonts w:hint="eastAsia" w:cs="Times New Roman"/>
                <w:color w:val="auto"/>
                <w:kern w:val="0"/>
                <w:sz w:val="21"/>
                <w:szCs w:val="21"/>
              </w:rPr>
              <w:t>m³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温度</w:t>
            </w: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1000℃以上使用，其操作温度在燃点以上</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1.1000℃以上使用，但操作温度在燃点以下</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2.在250～1000℃使用，其操作温度在燃点以上</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1.在250～1000℃使用，但操作温度在燃点以下</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2.在低于250℃时使用，操作温度在燃点以上</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在低于250℃时使用，操作温度在燃点以下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压力</w:t>
            </w: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100MPa</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20～100MPa</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1～20MPa</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1MPa以下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操作</w:t>
            </w:r>
          </w:p>
        </w:tc>
        <w:tc>
          <w:tcPr>
            <w:tcW w:w="198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1.临界放热和特别剧烈的放热反应操作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2.在爆炸极限范围内或其附近的操作</w:t>
            </w:r>
          </w:p>
        </w:tc>
        <w:tc>
          <w:tcPr>
            <w:tcW w:w="23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1.中等放热反应操作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2.系统进入空气或不纯物质，可能发生危险的操作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3.使用粉状或雾状物质，有可能发生粉尘爆炸的操作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4.单批式操作</w:t>
            </w:r>
          </w:p>
        </w:tc>
        <w:tc>
          <w:tcPr>
            <w:tcW w:w="21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1.轻微放热反应操作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2.在精制过程中伴有化学反应</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3.单批式操作，但开始使用机械等手段进行程序操作</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4.有一定危险的操作</w:t>
            </w:r>
          </w:p>
        </w:tc>
        <w:tc>
          <w:tcPr>
            <w:tcW w:w="126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无危险的操作</w:t>
            </w:r>
          </w:p>
        </w:tc>
      </w:tr>
    </w:tbl>
    <w:p>
      <w:pPr>
        <w:wordWrap w:val="0"/>
        <w:adjustRightInd w:val="0"/>
        <w:snapToGrid w:val="0"/>
        <w:spacing w:line="560" w:lineRule="exact"/>
        <w:ind w:firstLine="560" w:firstLineChars="200"/>
        <w:textAlignment w:val="center"/>
        <w:rPr>
          <w:color w:val="auto"/>
          <w:kern w:val="0"/>
        </w:rPr>
      </w:pPr>
      <w:r>
        <w:rPr>
          <w:rFonts w:hint="eastAsia" w:cs="宋体"/>
          <w:color w:val="auto"/>
          <w:kern w:val="0"/>
        </w:rPr>
        <w:t>危险度分级。见表</w:t>
      </w:r>
      <w:r>
        <w:rPr>
          <w:color w:val="auto"/>
          <w:kern w:val="0"/>
        </w:rPr>
        <w:t>4.</w:t>
      </w:r>
      <w:r>
        <w:rPr>
          <w:rFonts w:hint="eastAsia"/>
          <w:color w:val="auto"/>
          <w:kern w:val="0"/>
        </w:rPr>
        <w:t>3</w:t>
      </w:r>
      <w:r>
        <w:rPr>
          <w:color w:val="auto"/>
          <w:kern w:val="0"/>
        </w:rPr>
        <w:t>-</w:t>
      </w:r>
      <w:r>
        <w:rPr>
          <w:rFonts w:hint="eastAsia"/>
          <w:color w:val="auto"/>
          <w:kern w:val="0"/>
        </w:rPr>
        <w:t>7</w:t>
      </w:r>
      <w:r>
        <w:rPr>
          <w:rFonts w:hint="eastAsia" w:cs="宋体"/>
          <w:color w:val="auto"/>
          <w:kern w:val="0"/>
        </w:rPr>
        <w:t>：</w:t>
      </w:r>
    </w:p>
    <w:p>
      <w:pPr>
        <w:wordWrap w:val="0"/>
        <w:adjustRightInd w:val="0"/>
        <w:snapToGrid w:val="0"/>
        <w:jc w:val="center"/>
        <w:textAlignment w:val="center"/>
        <w:rPr>
          <w:color w:val="auto"/>
          <w:kern w:val="0"/>
        </w:rPr>
      </w:pPr>
      <w:r>
        <w:rPr>
          <w:rFonts w:hint="eastAsia" w:cs="宋体"/>
          <w:color w:val="auto"/>
          <w:kern w:val="0"/>
        </w:rPr>
        <w:t>表</w:t>
      </w:r>
      <w:r>
        <w:rPr>
          <w:color w:val="auto"/>
          <w:kern w:val="0"/>
        </w:rPr>
        <w:t>4.</w:t>
      </w:r>
      <w:r>
        <w:rPr>
          <w:rFonts w:hint="eastAsia"/>
          <w:color w:val="auto"/>
          <w:kern w:val="0"/>
        </w:rPr>
        <w:t>3</w:t>
      </w:r>
      <w:r>
        <w:rPr>
          <w:color w:val="auto"/>
          <w:kern w:val="0"/>
        </w:rPr>
        <w:t>-</w:t>
      </w:r>
      <w:r>
        <w:rPr>
          <w:rFonts w:hint="eastAsia"/>
          <w:color w:val="auto"/>
          <w:kern w:val="0"/>
        </w:rPr>
        <w:t xml:space="preserve">7 </w:t>
      </w:r>
      <w:r>
        <w:rPr>
          <w:color w:val="auto"/>
          <w:kern w:val="0"/>
        </w:rPr>
        <w:t xml:space="preserve"> </w:t>
      </w:r>
      <w:r>
        <w:rPr>
          <w:rFonts w:hint="eastAsia" w:cs="宋体"/>
          <w:color w:val="auto"/>
          <w:kern w:val="0"/>
        </w:rPr>
        <w:t>危险度分级表</w:t>
      </w:r>
    </w:p>
    <w:tbl>
      <w:tblPr>
        <w:tblStyle w:val="24"/>
        <w:tblW w:w="907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68"/>
        <w:gridCol w:w="2267"/>
        <w:gridCol w:w="2268"/>
        <w:gridCol w:w="226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总分值</w:t>
            </w:r>
          </w:p>
        </w:tc>
        <w:tc>
          <w:tcPr>
            <w:tcW w:w="22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≥16分</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11~15分</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等级</w:t>
            </w:r>
          </w:p>
        </w:tc>
        <w:tc>
          <w:tcPr>
            <w:tcW w:w="22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Ⅰ</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Ⅱ</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危险程度</w:t>
            </w:r>
          </w:p>
        </w:tc>
        <w:tc>
          <w:tcPr>
            <w:tcW w:w="22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高度危险</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中度危险</w:t>
            </w:r>
          </w:p>
        </w:tc>
        <w:tc>
          <w:tcPr>
            <w:tcW w:w="22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低度危险</w:t>
            </w:r>
          </w:p>
        </w:tc>
      </w:tr>
    </w:tbl>
    <w:p>
      <w:pPr>
        <w:wordWrap w:val="0"/>
        <w:adjustRightInd w:val="0"/>
        <w:snapToGrid w:val="0"/>
        <w:ind w:firstLine="560" w:firstLineChars="200"/>
        <w:textAlignment w:val="center"/>
        <w:rPr>
          <w:color w:val="auto"/>
          <w:kern w:val="0"/>
        </w:rPr>
      </w:pPr>
      <w:r>
        <w:rPr>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199" w:name="_Toc28443"/>
      <w:bookmarkStart w:id="200" w:name="_Toc29631"/>
      <w:bookmarkStart w:id="201" w:name="_Toc18963"/>
      <w:r>
        <w:rPr>
          <w:rFonts w:hint="eastAsia"/>
          <w:color w:val="auto"/>
          <w:kern w:val="0"/>
          <w:sz w:val="32"/>
          <w:szCs w:val="32"/>
        </w:rPr>
        <w:t>5 定性、定量分析</w:t>
      </w:r>
      <w:bookmarkEnd w:id="199"/>
      <w:bookmarkEnd w:id="200"/>
      <w:bookmarkEnd w:id="201"/>
    </w:p>
    <w:p>
      <w:pPr>
        <w:pStyle w:val="4"/>
        <w:keepNext w:val="0"/>
        <w:keepLines w:val="0"/>
        <w:wordWrap w:val="0"/>
        <w:adjustRightInd w:val="0"/>
        <w:snapToGrid w:val="0"/>
        <w:jc w:val="center"/>
        <w:textAlignment w:val="center"/>
        <w:rPr>
          <w:color w:val="auto"/>
          <w:kern w:val="0"/>
        </w:rPr>
      </w:pPr>
      <w:bookmarkStart w:id="202" w:name="_Toc13376"/>
      <w:bookmarkStart w:id="203" w:name="_Toc25862"/>
      <w:bookmarkStart w:id="204" w:name="_Toc27862"/>
      <w:r>
        <w:rPr>
          <w:rFonts w:hint="eastAsia"/>
          <w:color w:val="auto"/>
          <w:kern w:val="0"/>
        </w:rPr>
        <w:t>5.1 项目厂址及周边环境单元</w:t>
      </w:r>
      <w:bookmarkEnd w:id="202"/>
      <w:bookmarkEnd w:id="203"/>
      <w:bookmarkEnd w:id="204"/>
    </w:p>
    <w:p>
      <w:pPr>
        <w:wordWrap w:val="0"/>
        <w:adjustRightInd w:val="0"/>
        <w:snapToGrid w:val="0"/>
        <w:spacing w:line="580" w:lineRule="exact"/>
        <w:ind w:firstLine="618" w:firstLineChars="221"/>
        <w:textAlignment w:val="center"/>
        <w:rPr>
          <w:bCs/>
          <w:color w:val="auto"/>
          <w:szCs w:val="28"/>
        </w:rPr>
      </w:pPr>
      <w:r>
        <w:rPr>
          <w:rFonts w:hint="eastAsia"/>
          <w:bCs/>
          <w:color w:val="auto"/>
          <w:szCs w:val="28"/>
        </w:rPr>
        <w:t>本项目位于江西省丰城市高新技术产业园区内，交通运输方便快捷。项目所在企业总占地面积为34235㎡（约51.35亩），其中本项目占地749.52㎡，总建筑面积749.52㎡。</w:t>
      </w:r>
    </w:p>
    <w:p>
      <w:pPr>
        <w:wordWrap w:val="0"/>
        <w:adjustRightInd w:val="0"/>
        <w:snapToGrid w:val="0"/>
        <w:spacing w:line="580" w:lineRule="exact"/>
        <w:ind w:firstLine="618" w:firstLineChars="221"/>
        <w:textAlignment w:val="center"/>
        <w:rPr>
          <w:bCs/>
          <w:color w:val="auto"/>
          <w:szCs w:val="28"/>
        </w:rPr>
      </w:pPr>
      <w:r>
        <w:rPr>
          <w:rFonts w:hint="eastAsia"/>
          <w:bCs/>
          <w:color w:val="auto"/>
          <w:szCs w:val="28"/>
        </w:rPr>
        <w:t>江西景新漆业股份有限公司</w:t>
      </w:r>
      <w:r>
        <w:rPr>
          <w:bCs/>
          <w:color w:val="auto"/>
          <w:szCs w:val="28"/>
        </w:rPr>
        <w:t>位于</w:t>
      </w:r>
      <w:r>
        <w:rPr>
          <w:rFonts w:cs="Times New Roman"/>
          <w:snapToGrid w:val="0"/>
          <w:color w:val="auto"/>
          <w:kern w:val="0"/>
          <w:szCs w:val="28"/>
        </w:rPr>
        <w:t>江西省丰城市高新技术产业园区</w:t>
      </w:r>
      <w:r>
        <w:rPr>
          <w:rFonts w:hint="eastAsia"/>
          <w:bCs/>
          <w:color w:val="auto"/>
          <w:szCs w:val="28"/>
        </w:rPr>
        <w:t>内</w:t>
      </w:r>
      <w:r>
        <w:rPr>
          <w:bCs/>
          <w:color w:val="auto"/>
          <w:szCs w:val="28"/>
        </w:rPr>
        <w:t>。</w:t>
      </w:r>
      <w:r>
        <w:rPr>
          <w:rFonts w:hint="eastAsia"/>
          <w:bCs/>
          <w:color w:val="auto"/>
          <w:szCs w:val="28"/>
        </w:rPr>
        <w:t>厂区坐北朝南布置，厂区总体呈长方形。本项目新建的106甲类仓库位于厂区现有西北角的预留地处。厂区东面为剑丰门业有限公司；东北面距离厂区720m处为丰家小区；东南面距离厂区720m处为丰城中等专业学校；南面为园区道路、道路对面为丰城市水泥制品厂、泰山石膏江西有限公司，距离厂区300m处为邬家村庄，距离厂区1100m处为宏岗社区，距离厂区1300m处为丰城工业园小学，距离厂区2700m处为赣江；西面为江西酷客新型建材有限公司厂房（丁类），距离厂区615m处为北坑社区；西南面为江西添峰新型建材公司民建；北面为丰城巨龙管业有限公司、江西铭远传动设备有限公司，距离厂区295m处为渔梓洲村庄，距离厂区710m处为邹家村，距离厂区760m处为杨溪小学及杨溪社区。厂区中部现存的一条500kV架空高压线塔（塔高40m）。</w:t>
      </w:r>
    </w:p>
    <w:p>
      <w:pPr>
        <w:wordWrap w:val="0"/>
        <w:adjustRightInd w:val="0"/>
        <w:snapToGrid w:val="0"/>
        <w:spacing w:line="580" w:lineRule="exact"/>
        <w:ind w:firstLine="573"/>
        <w:textAlignment w:val="center"/>
        <w:rPr>
          <w:bCs/>
          <w:color w:val="auto"/>
          <w:szCs w:val="28"/>
        </w:rPr>
      </w:pPr>
      <w:r>
        <w:rPr>
          <w:rFonts w:hint="eastAsia"/>
          <w:bCs/>
          <w:color w:val="auto"/>
          <w:szCs w:val="28"/>
        </w:rPr>
        <w:t>项目周边内无其他重要公共建筑、供水水源地、水厂及水源保护区、车站码头、湖泊、风景名胜区和自然保护区等《危险化学品安全管理条例》规定8类区域或重要环境敏感点。</w:t>
      </w:r>
    </w:p>
    <w:p>
      <w:pPr>
        <w:wordWrap w:val="0"/>
        <w:adjustRightInd w:val="0"/>
        <w:snapToGrid w:val="0"/>
        <w:jc w:val="center"/>
        <w:textAlignment w:val="center"/>
        <w:rPr>
          <w:b/>
          <w:bCs/>
          <w:color w:val="auto"/>
          <w:szCs w:val="28"/>
        </w:rPr>
      </w:pPr>
      <w:r>
        <w:rPr>
          <w:color w:val="auto"/>
          <w:szCs w:val="28"/>
        </w:rPr>
        <w:t>表5</w:t>
      </w:r>
      <w:r>
        <w:rPr>
          <w:rFonts w:hint="eastAsia"/>
          <w:color w:val="auto"/>
          <w:szCs w:val="28"/>
        </w:rPr>
        <w:t>.1</w:t>
      </w:r>
      <w:r>
        <w:rPr>
          <w:color w:val="auto"/>
          <w:szCs w:val="28"/>
        </w:rPr>
        <w:t>-</w:t>
      </w:r>
      <w:r>
        <w:rPr>
          <w:rFonts w:hint="eastAsia"/>
          <w:color w:val="auto"/>
          <w:szCs w:val="28"/>
        </w:rPr>
        <w:t>1</w:t>
      </w:r>
      <w:r>
        <w:rPr>
          <w:b/>
          <w:bCs/>
          <w:color w:val="auto"/>
          <w:szCs w:val="28"/>
        </w:rPr>
        <w:t xml:space="preserve">  </w:t>
      </w:r>
      <w:r>
        <w:rPr>
          <w:rFonts w:ascii="STSongStd-Light-Acro" w:hAnsi="STSongStd-Light-Acro" w:eastAsia="STSongStd-Light-Acro" w:cs="STSongStd-Light-Acro"/>
          <w:color w:val="auto"/>
          <w:kern w:val="0"/>
          <w:szCs w:val="28"/>
          <w:lang w:bidi="ar"/>
        </w:rPr>
        <w:t>与</w:t>
      </w:r>
      <w:r>
        <w:rPr>
          <w:rFonts w:hint="eastAsia" w:ascii="STSongStd-Light-Acro" w:hAnsi="STSongStd-Light-Acro" w:eastAsia="STSongStd-Light-Acro" w:cs="STSongStd-Light-Acro"/>
          <w:color w:val="auto"/>
          <w:kern w:val="0"/>
          <w:szCs w:val="28"/>
          <w:lang w:bidi="ar"/>
        </w:rPr>
        <w:t>敏感场所区域的安全间距</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3933"/>
        <w:gridCol w:w="4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b/>
                <w:color w:val="auto"/>
                <w:sz w:val="21"/>
                <w:szCs w:val="21"/>
              </w:rPr>
            </w:pPr>
            <w:r>
              <w:rPr>
                <w:rFonts w:cs="Times New Roman"/>
                <w:b/>
                <w:color w:val="auto"/>
                <w:sz w:val="21"/>
                <w:szCs w:val="21"/>
              </w:rPr>
              <w:t>序号</w:t>
            </w:r>
          </w:p>
        </w:tc>
        <w:tc>
          <w:tcPr>
            <w:tcW w:w="3972" w:type="dxa"/>
            <w:vAlign w:val="center"/>
          </w:tcPr>
          <w:p>
            <w:pPr>
              <w:wordWrap w:val="0"/>
              <w:adjustRightInd w:val="0"/>
              <w:snapToGrid w:val="0"/>
              <w:spacing w:line="320" w:lineRule="exact"/>
              <w:jc w:val="center"/>
              <w:textAlignment w:val="center"/>
              <w:rPr>
                <w:rFonts w:cs="Times New Roman"/>
                <w:b/>
                <w:color w:val="auto"/>
                <w:sz w:val="21"/>
                <w:szCs w:val="21"/>
              </w:rPr>
            </w:pPr>
            <w:r>
              <w:rPr>
                <w:rFonts w:cs="Times New Roman"/>
                <w:b/>
                <w:color w:val="auto"/>
                <w:sz w:val="21"/>
                <w:szCs w:val="21"/>
              </w:rPr>
              <w:t>敏感场所及区域</w:t>
            </w:r>
          </w:p>
        </w:tc>
        <w:tc>
          <w:tcPr>
            <w:tcW w:w="4491" w:type="dxa"/>
            <w:vAlign w:val="center"/>
          </w:tcPr>
          <w:p>
            <w:pPr>
              <w:wordWrap w:val="0"/>
              <w:adjustRightInd w:val="0"/>
              <w:snapToGrid w:val="0"/>
              <w:spacing w:line="320" w:lineRule="exact"/>
              <w:jc w:val="center"/>
              <w:textAlignment w:val="center"/>
              <w:rPr>
                <w:rFonts w:cs="Times New Roman"/>
                <w:b/>
                <w:color w:val="auto"/>
                <w:sz w:val="21"/>
                <w:szCs w:val="21"/>
              </w:rPr>
            </w:pPr>
            <w:r>
              <w:rPr>
                <w:rFonts w:cs="Times New Roman"/>
                <w:b/>
                <w:color w:val="auto"/>
                <w:sz w:val="21"/>
                <w:szCs w:val="21"/>
              </w:rPr>
              <w:t>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1</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居民区、商业中心、公园等人员密集区域</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2</w:t>
            </w:r>
          </w:p>
        </w:tc>
        <w:tc>
          <w:tcPr>
            <w:tcW w:w="3972" w:type="dxa"/>
            <w:vAlign w:val="center"/>
          </w:tcPr>
          <w:p>
            <w:pPr>
              <w:wordWrap w:val="0"/>
              <w:adjustRightInd w:val="0"/>
              <w:snapToGrid w:val="0"/>
              <w:spacing w:line="320" w:lineRule="exact"/>
              <w:jc w:val="left"/>
              <w:textAlignment w:val="center"/>
              <w:rPr>
                <w:rFonts w:cs="Times New Roman"/>
                <w:color w:val="auto"/>
                <w:spacing w:val="-8"/>
                <w:sz w:val="21"/>
                <w:szCs w:val="21"/>
              </w:rPr>
            </w:pPr>
            <w:r>
              <w:rPr>
                <w:rFonts w:cs="Times New Roman"/>
                <w:color w:val="auto"/>
                <w:spacing w:val="-8"/>
                <w:sz w:val="21"/>
                <w:szCs w:val="21"/>
              </w:rPr>
              <w:t>学校、医院、影剧院、体育场（馆）等公共设施</w:t>
            </w:r>
          </w:p>
        </w:tc>
        <w:tc>
          <w:tcPr>
            <w:tcW w:w="4491" w:type="dxa"/>
            <w:vAlign w:val="center"/>
          </w:tcPr>
          <w:p>
            <w:pPr>
              <w:wordWrap w:val="0"/>
              <w:adjustRightInd w:val="0"/>
              <w:snapToGrid w:val="0"/>
              <w:spacing w:line="320" w:lineRule="exact"/>
              <w:jc w:val="left"/>
              <w:textAlignment w:val="center"/>
              <w:rPr>
                <w:rFonts w:cs="Times New Roman"/>
                <w:color w:val="auto"/>
                <w:spacing w:val="-8"/>
                <w:sz w:val="21"/>
                <w:szCs w:val="21"/>
              </w:rPr>
            </w:pPr>
            <w:r>
              <w:rPr>
                <w:rFonts w:cs="Times New Roman"/>
                <w:color w:val="auto"/>
                <w:spacing w:val="-8"/>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3</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供应水源、水厂及水源保护区</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4</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车站、码头、机场以及公路、铁路、水路交通干线、地铁风亭及出入口</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5</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基本农田保护区、畜牧区、渔业水域和种子、种畜、水产苗种生产基地</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6</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河流、湖泊、风景名胜区和自然保护区</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w:t>
            </w:r>
            <w:r>
              <w:rPr>
                <w:rFonts w:hint="eastAsia" w:cs="Times New Roman"/>
                <w:color w:val="auto"/>
                <w:sz w:val="21"/>
                <w:szCs w:val="21"/>
              </w:rPr>
              <w:t>所在厂区1000m</w:t>
            </w:r>
            <w:r>
              <w:rPr>
                <w:rFonts w:cs="Times New Roman"/>
                <w:color w:val="auto"/>
                <w:sz w:val="21"/>
                <w:szCs w:val="21"/>
              </w:rPr>
              <w:t>范围内</w:t>
            </w:r>
            <w:r>
              <w:rPr>
                <w:rFonts w:hint="eastAsia" w:cs="Times New Roman"/>
                <w:color w:val="auto"/>
                <w:sz w:val="21"/>
                <w:szCs w:val="21"/>
              </w:rPr>
              <w:t>无</w:t>
            </w:r>
            <w:r>
              <w:rPr>
                <w:rFonts w:cs="Times New Roman"/>
                <w:color w:val="auto"/>
                <w:sz w:val="21"/>
                <w:szCs w:val="21"/>
              </w:rPr>
              <w:t>河流、湖泊、风景名胜区和自然保护区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7</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军事禁区、军事管理区</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7" w:type="dxa"/>
            <w:vAlign w:val="center"/>
          </w:tcPr>
          <w:p>
            <w:pPr>
              <w:wordWrap w:val="0"/>
              <w:adjustRightInd w:val="0"/>
              <w:snapToGrid w:val="0"/>
              <w:spacing w:line="320" w:lineRule="exact"/>
              <w:jc w:val="center"/>
              <w:textAlignment w:val="center"/>
              <w:rPr>
                <w:rFonts w:cs="Times New Roman"/>
                <w:color w:val="auto"/>
                <w:sz w:val="21"/>
                <w:szCs w:val="21"/>
              </w:rPr>
            </w:pPr>
            <w:r>
              <w:rPr>
                <w:rFonts w:cs="Times New Roman"/>
                <w:color w:val="auto"/>
                <w:sz w:val="21"/>
                <w:szCs w:val="21"/>
              </w:rPr>
              <w:t>8</w:t>
            </w:r>
          </w:p>
        </w:tc>
        <w:tc>
          <w:tcPr>
            <w:tcW w:w="3972"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法律、行政法规规定予以保护的其他区域</w:t>
            </w:r>
          </w:p>
        </w:tc>
        <w:tc>
          <w:tcPr>
            <w:tcW w:w="4491" w:type="dxa"/>
            <w:vAlign w:val="center"/>
          </w:tcPr>
          <w:p>
            <w:pPr>
              <w:wordWrap w:val="0"/>
              <w:adjustRightInd w:val="0"/>
              <w:snapToGrid w:val="0"/>
              <w:spacing w:line="320" w:lineRule="exact"/>
              <w:jc w:val="left"/>
              <w:textAlignment w:val="center"/>
              <w:rPr>
                <w:rFonts w:cs="Times New Roman"/>
                <w:color w:val="auto"/>
                <w:sz w:val="21"/>
                <w:szCs w:val="21"/>
              </w:rPr>
            </w:pPr>
            <w:r>
              <w:rPr>
                <w:rFonts w:cs="Times New Roman"/>
                <w:color w:val="auto"/>
                <w:sz w:val="21"/>
                <w:szCs w:val="21"/>
              </w:rPr>
              <w:t>本项目外部安全防护距离范围内无此类域</w:t>
            </w:r>
          </w:p>
        </w:tc>
      </w:tr>
    </w:tbl>
    <w:p>
      <w:pPr>
        <w:wordWrap w:val="0"/>
        <w:adjustRightInd w:val="0"/>
        <w:snapToGrid w:val="0"/>
        <w:jc w:val="center"/>
        <w:textAlignment w:val="center"/>
        <w:rPr>
          <w:color w:val="auto"/>
          <w:kern w:val="0"/>
        </w:rPr>
      </w:pPr>
      <w:r>
        <w:rPr>
          <w:color w:val="auto"/>
          <w:kern w:val="0"/>
        </w:rPr>
        <w:t>表</w:t>
      </w:r>
      <w:r>
        <w:rPr>
          <w:rFonts w:hint="eastAsia"/>
          <w:color w:val="auto"/>
          <w:kern w:val="0"/>
        </w:rPr>
        <w:t>5</w:t>
      </w:r>
      <w:r>
        <w:rPr>
          <w:color w:val="auto"/>
          <w:kern w:val="0"/>
        </w:rPr>
        <w:t>.</w:t>
      </w:r>
      <w:r>
        <w:rPr>
          <w:rFonts w:hint="eastAsia"/>
          <w:color w:val="auto"/>
          <w:kern w:val="0"/>
        </w:rPr>
        <w:t>1</w:t>
      </w:r>
      <w:r>
        <w:rPr>
          <w:color w:val="auto"/>
          <w:kern w:val="0"/>
        </w:rPr>
        <w:t>-</w:t>
      </w:r>
      <w:r>
        <w:rPr>
          <w:rFonts w:hint="eastAsia"/>
          <w:color w:val="auto"/>
          <w:kern w:val="0"/>
        </w:rPr>
        <w:t xml:space="preserve">2  </w:t>
      </w:r>
      <w:r>
        <w:rPr>
          <w:color w:val="auto"/>
          <w:kern w:val="0"/>
        </w:rPr>
        <w:t>建设项目周边</w:t>
      </w:r>
      <w:r>
        <w:rPr>
          <w:rFonts w:hint="eastAsia"/>
          <w:color w:val="auto"/>
          <w:kern w:val="0"/>
        </w:rPr>
        <w:t>环境</w:t>
      </w:r>
      <w:r>
        <w:rPr>
          <w:color w:val="auto"/>
          <w:kern w:val="0"/>
        </w:rPr>
        <w:t>表</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3"/>
        <w:gridCol w:w="525"/>
        <w:gridCol w:w="3250"/>
        <w:gridCol w:w="1037"/>
        <w:gridCol w:w="1025"/>
        <w:gridCol w:w="1875"/>
        <w:gridCol w:w="6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建构筑物</w:t>
            </w:r>
          </w:p>
        </w:tc>
        <w:tc>
          <w:tcPr>
            <w:tcW w:w="525"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方位</w:t>
            </w:r>
          </w:p>
        </w:tc>
        <w:tc>
          <w:tcPr>
            <w:tcW w:w="3250"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厂外建构筑物</w:t>
            </w:r>
          </w:p>
        </w:tc>
        <w:tc>
          <w:tcPr>
            <w:tcW w:w="1037"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现场距离m</w:t>
            </w:r>
          </w:p>
        </w:tc>
        <w:tc>
          <w:tcPr>
            <w:tcW w:w="1025" w:type="dxa"/>
            <w:vAlign w:val="center"/>
          </w:tcPr>
          <w:p>
            <w:pPr>
              <w:tabs>
                <w:tab w:val="left" w:pos="2655"/>
              </w:tabs>
              <w:wordWrap w:val="0"/>
              <w:adjustRightInd w:val="0"/>
              <w:snapToGrid w:val="0"/>
              <w:spacing w:line="240" w:lineRule="auto"/>
              <w:jc w:val="center"/>
              <w:textAlignment w:val="center"/>
              <w:rPr>
                <w:b/>
                <w:bCs/>
                <w:color w:val="auto"/>
                <w:kern w:val="0"/>
                <w:sz w:val="21"/>
                <w:szCs w:val="21"/>
              </w:rPr>
            </w:pPr>
            <w:r>
              <w:rPr>
                <w:rFonts w:hint="eastAsia"/>
                <w:b/>
                <w:bCs/>
                <w:color w:val="auto"/>
                <w:kern w:val="0"/>
                <w:sz w:val="21"/>
                <w:szCs w:val="21"/>
              </w:rPr>
              <w:t>标准距离m</w:t>
            </w:r>
          </w:p>
        </w:tc>
        <w:tc>
          <w:tcPr>
            <w:tcW w:w="1875"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检查依据</w:t>
            </w:r>
          </w:p>
        </w:tc>
        <w:tc>
          <w:tcPr>
            <w:tcW w:w="616"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106甲类仓库</w:t>
            </w:r>
          </w:p>
        </w:tc>
        <w:tc>
          <w:tcPr>
            <w:tcW w:w="525"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东</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剑丰门业有限公司仓库（丁类）</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193</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高压线塔（塔高为40m）</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60.1</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60（1.5倍杆高）</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《建规》表10.2.1</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东南</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丰城市水泥制品厂民建</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145</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南</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泰山石膏江西有限公司民建</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165</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西</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江西酷客新型建材有限公司厂房（丁类）</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17.5</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西南</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江西添峰新型建材公司民建</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122</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30</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Merge w:val="restart"/>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北</w:t>
            </w: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丰城巨龙管业有限公司厂房（丁类）</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70</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43"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525" w:type="dxa"/>
            <w:vMerge w:val="continue"/>
            <w:vAlign w:val="center"/>
          </w:tcPr>
          <w:p>
            <w:pPr>
              <w:tabs>
                <w:tab w:val="left" w:pos="2655"/>
              </w:tabs>
              <w:wordWrap w:val="0"/>
              <w:adjustRightInd w:val="0"/>
              <w:snapToGrid w:val="0"/>
              <w:spacing w:line="240" w:lineRule="auto"/>
              <w:jc w:val="center"/>
              <w:textAlignment w:val="center"/>
              <w:rPr>
                <w:color w:val="auto"/>
                <w:kern w:val="0"/>
                <w:sz w:val="21"/>
                <w:szCs w:val="21"/>
              </w:rPr>
            </w:pPr>
          </w:p>
        </w:tc>
        <w:tc>
          <w:tcPr>
            <w:tcW w:w="3250"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江西铭远传动设备有限公司生产车间（丁类）</w:t>
            </w:r>
          </w:p>
        </w:tc>
        <w:tc>
          <w:tcPr>
            <w:tcW w:w="1037"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34</w:t>
            </w:r>
          </w:p>
        </w:tc>
        <w:tc>
          <w:tcPr>
            <w:tcW w:w="102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15</w:t>
            </w:r>
          </w:p>
        </w:tc>
        <w:tc>
          <w:tcPr>
            <w:tcW w:w="187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《精规》表4.2.9</w:t>
            </w:r>
          </w:p>
        </w:tc>
        <w:tc>
          <w:tcPr>
            <w:tcW w:w="616" w:type="dxa"/>
            <w:vAlign w:val="center"/>
          </w:tcPr>
          <w:p>
            <w:pPr>
              <w:wordWrap w:val="0"/>
              <w:adjustRightInd w:val="0"/>
              <w:snapToGrid w:val="0"/>
              <w:spacing w:line="240" w:lineRule="auto"/>
              <w:jc w:val="center"/>
              <w:textAlignment w:val="center"/>
              <w:rPr>
                <w:color w:val="auto"/>
                <w:kern w:val="0"/>
                <w:sz w:val="21"/>
                <w:szCs w:val="21"/>
              </w:rPr>
            </w:pPr>
            <w:r>
              <w:rPr>
                <w:rFonts w:cs="Times New Roman"/>
                <w:color w:val="auto"/>
                <w:kern w:val="0"/>
                <w:sz w:val="21"/>
                <w:szCs w:val="21"/>
              </w:rPr>
              <w:t>符合要求</w:t>
            </w:r>
          </w:p>
        </w:tc>
      </w:tr>
    </w:tbl>
    <w:p>
      <w:pPr>
        <w:adjustRightInd w:val="0"/>
        <w:snapToGrid w:val="0"/>
        <w:spacing w:line="240" w:lineRule="exact"/>
        <w:jc w:val="left"/>
        <w:textAlignment w:val="center"/>
        <w:rPr>
          <w:rFonts w:cs="Times New Roman"/>
          <w:snapToGrid w:val="0"/>
          <w:color w:val="auto"/>
          <w:kern w:val="0"/>
          <w:szCs w:val="28"/>
        </w:rPr>
      </w:pPr>
      <w:r>
        <w:rPr>
          <w:rFonts w:hint="eastAsia"/>
          <w:color w:val="auto"/>
          <w:kern w:val="0"/>
          <w:sz w:val="18"/>
          <w:szCs w:val="18"/>
        </w:rPr>
        <w:t>注：表中所列《建规》、《精标》分别指《建筑设计防火规范（2</w:t>
      </w:r>
      <w:r>
        <w:rPr>
          <w:color w:val="auto"/>
          <w:kern w:val="0"/>
          <w:sz w:val="18"/>
          <w:szCs w:val="18"/>
        </w:rPr>
        <w:t>018</w:t>
      </w:r>
      <w:r>
        <w:rPr>
          <w:rFonts w:hint="eastAsia"/>
          <w:color w:val="auto"/>
          <w:kern w:val="0"/>
          <w:sz w:val="18"/>
          <w:szCs w:val="18"/>
        </w:rPr>
        <w:t>版）》GB</w:t>
      </w:r>
      <w:r>
        <w:rPr>
          <w:color w:val="auto"/>
          <w:kern w:val="0"/>
          <w:sz w:val="18"/>
          <w:szCs w:val="18"/>
        </w:rPr>
        <w:t>50016-2014</w:t>
      </w:r>
      <w:r>
        <w:rPr>
          <w:rFonts w:hint="eastAsia"/>
          <w:color w:val="auto"/>
          <w:kern w:val="0"/>
          <w:sz w:val="18"/>
          <w:szCs w:val="18"/>
        </w:rPr>
        <w:t>、《精细化工企业工程设计防火标准》GB</w:t>
      </w:r>
      <w:r>
        <w:rPr>
          <w:color w:val="auto"/>
          <w:kern w:val="0"/>
          <w:sz w:val="18"/>
          <w:szCs w:val="18"/>
        </w:rPr>
        <w:t>51283-2020</w:t>
      </w:r>
      <w:r>
        <w:rPr>
          <w:rFonts w:hint="eastAsia"/>
          <w:color w:val="auto"/>
          <w:kern w:val="0"/>
          <w:sz w:val="18"/>
          <w:szCs w:val="18"/>
        </w:rPr>
        <w:t>。</w:t>
      </w:r>
    </w:p>
    <w:p>
      <w:pPr>
        <w:wordWrap w:val="0"/>
        <w:adjustRightInd w:val="0"/>
        <w:snapToGrid w:val="0"/>
        <w:jc w:val="center"/>
        <w:textAlignment w:val="center"/>
        <w:rPr>
          <w:rFonts w:cs="Times New Roman"/>
          <w:color w:val="auto"/>
          <w:szCs w:val="28"/>
        </w:rPr>
      </w:pPr>
      <w:r>
        <w:rPr>
          <w:rFonts w:cs="Times New Roman"/>
          <w:snapToGrid w:val="0"/>
          <w:color w:val="auto"/>
          <w:kern w:val="0"/>
          <w:szCs w:val="28"/>
        </w:rPr>
        <w:t>表5.1-</w:t>
      </w:r>
      <w:r>
        <w:rPr>
          <w:rFonts w:hint="eastAsia" w:cs="Times New Roman"/>
          <w:snapToGrid w:val="0"/>
          <w:color w:val="auto"/>
          <w:kern w:val="0"/>
          <w:szCs w:val="28"/>
        </w:rPr>
        <w:t>3</w:t>
      </w:r>
      <w:r>
        <w:rPr>
          <w:rFonts w:hint="eastAsia" w:cs="Times New Roman"/>
          <w:color w:val="auto"/>
          <w:szCs w:val="28"/>
        </w:rPr>
        <w:t xml:space="preserve">  项目周围敏感点一览表</w:t>
      </w:r>
    </w:p>
    <w:tbl>
      <w:tblPr>
        <w:tblStyle w:val="24"/>
        <w:tblW w:w="907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154"/>
        <w:gridCol w:w="687"/>
        <w:gridCol w:w="1775"/>
        <w:gridCol w:w="1638"/>
        <w:gridCol w:w="1400"/>
        <w:gridCol w:w="14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cs="Times New Roman"/>
                <w:b/>
                <w:bCs/>
                <w:color w:val="auto"/>
                <w:sz w:val="21"/>
                <w:szCs w:val="21"/>
              </w:rPr>
              <w:t>项目周围敏感点</w:t>
            </w:r>
          </w:p>
        </w:tc>
        <w:tc>
          <w:tcPr>
            <w:tcW w:w="690"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cs="Times New Roman"/>
                <w:b/>
                <w:bCs/>
                <w:color w:val="auto"/>
                <w:sz w:val="21"/>
                <w:szCs w:val="21"/>
              </w:rPr>
              <w:t>方位</w:t>
            </w:r>
          </w:p>
        </w:tc>
        <w:tc>
          <w:tcPr>
            <w:tcW w:w="1785"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hint="eastAsia" w:cs="Times New Roman"/>
                <w:b/>
                <w:bCs/>
                <w:color w:val="auto"/>
                <w:sz w:val="21"/>
                <w:szCs w:val="21"/>
              </w:rPr>
              <w:t>距离厂区红线实际</w:t>
            </w:r>
            <w:r>
              <w:rPr>
                <w:rFonts w:cs="Times New Roman"/>
                <w:b/>
                <w:bCs/>
                <w:color w:val="auto"/>
                <w:sz w:val="21"/>
                <w:szCs w:val="21"/>
              </w:rPr>
              <w:t>距离（m）</w:t>
            </w:r>
          </w:p>
        </w:tc>
        <w:tc>
          <w:tcPr>
            <w:tcW w:w="1647"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hint="eastAsia" w:cs="Times New Roman"/>
                <w:b/>
                <w:bCs/>
                <w:color w:val="auto"/>
                <w:sz w:val="21"/>
                <w:szCs w:val="21"/>
              </w:rPr>
              <w:t>标准距离</w:t>
            </w:r>
            <w:r>
              <w:rPr>
                <w:rFonts w:cs="Times New Roman"/>
                <w:b/>
                <w:bCs/>
                <w:color w:val="auto"/>
                <w:sz w:val="21"/>
                <w:szCs w:val="21"/>
              </w:rPr>
              <w:t>（m）</w:t>
            </w:r>
          </w:p>
        </w:tc>
        <w:tc>
          <w:tcPr>
            <w:tcW w:w="1407"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cs="Times New Roman"/>
                <w:b/>
                <w:bCs/>
                <w:color w:val="auto"/>
                <w:sz w:val="21"/>
                <w:szCs w:val="21"/>
              </w:rPr>
              <w:t>规模</w:t>
            </w:r>
          </w:p>
        </w:tc>
        <w:tc>
          <w:tcPr>
            <w:tcW w:w="1425" w:type="dxa"/>
            <w:vAlign w:val="center"/>
          </w:tcPr>
          <w:p>
            <w:pPr>
              <w:wordWrap w:val="0"/>
              <w:adjustRightInd w:val="0"/>
              <w:snapToGrid w:val="0"/>
              <w:spacing w:line="280" w:lineRule="exact"/>
              <w:jc w:val="center"/>
              <w:textAlignment w:val="center"/>
              <w:rPr>
                <w:rFonts w:cs="Times New Roman"/>
                <w:b/>
                <w:bCs/>
                <w:color w:val="auto"/>
                <w:sz w:val="21"/>
                <w:szCs w:val="21"/>
              </w:rPr>
            </w:pPr>
            <w:r>
              <w:rPr>
                <w:rFonts w:hint="eastAsia" w:cs="Times New Roman"/>
                <w:b/>
                <w:bCs/>
                <w:color w:val="auto"/>
                <w:sz w:val="21"/>
                <w:szCs w:val="21"/>
              </w:rPr>
              <w:t>检查结果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渔梓洲</w:t>
            </w:r>
            <w:r>
              <w:rPr>
                <w:rFonts w:hint="eastAsia" w:cs="Times New Roman"/>
                <w:color w:val="auto"/>
                <w:sz w:val="21"/>
                <w:szCs w:val="21"/>
              </w:rPr>
              <w:t>村</w:t>
            </w:r>
          </w:p>
        </w:tc>
        <w:tc>
          <w:tcPr>
            <w:tcW w:w="690" w:type="dxa"/>
            <w:vMerge w:val="restart"/>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北</w:t>
            </w: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295</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约200人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邹家村</w:t>
            </w:r>
          </w:p>
        </w:tc>
        <w:tc>
          <w:tcPr>
            <w:tcW w:w="690" w:type="dxa"/>
            <w:vMerge w:val="continue"/>
            <w:vAlign w:val="center"/>
          </w:tcPr>
          <w:p>
            <w:pPr>
              <w:wordWrap w:val="0"/>
              <w:adjustRightInd w:val="0"/>
              <w:snapToGrid w:val="0"/>
              <w:spacing w:line="280" w:lineRule="exact"/>
              <w:jc w:val="center"/>
              <w:textAlignment w:val="center"/>
              <w:rPr>
                <w:rFonts w:cs="Times New Roman"/>
                <w:color w:val="auto"/>
                <w:sz w:val="21"/>
                <w:szCs w:val="21"/>
              </w:rPr>
            </w:pP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710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约200人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杨溪小学及杨溪社区</w:t>
            </w:r>
          </w:p>
        </w:tc>
        <w:tc>
          <w:tcPr>
            <w:tcW w:w="690" w:type="dxa"/>
            <w:vMerge w:val="continue"/>
            <w:vAlign w:val="center"/>
          </w:tcPr>
          <w:p>
            <w:pPr>
              <w:wordWrap w:val="0"/>
              <w:adjustRightInd w:val="0"/>
              <w:snapToGrid w:val="0"/>
              <w:spacing w:line="280" w:lineRule="exact"/>
              <w:jc w:val="center"/>
              <w:textAlignment w:val="center"/>
              <w:rPr>
                <w:rFonts w:cs="Times New Roman"/>
                <w:color w:val="auto"/>
                <w:sz w:val="21"/>
                <w:szCs w:val="21"/>
              </w:rPr>
            </w:pP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760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1500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丰家小区</w:t>
            </w:r>
          </w:p>
        </w:tc>
        <w:tc>
          <w:tcPr>
            <w:tcW w:w="690"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东北</w:t>
            </w: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720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8</w:t>
            </w:r>
            <w:r>
              <w:rPr>
                <w:rFonts w:cs="Times New Roman"/>
                <w:color w:val="auto"/>
                <w:sz w:val="21"/>
                <w:szCs w:val="21"/>
              </w:rPr>
              <w:t>0</w:t>
            </w:r>
            <w:r>
              <w:rPr>
                <w:rFonts w:hint="eastAsia" w:cs="Times New Roman"/>
                <w:color w:val="auto"/>
                <w:sz w:val="21"/>
                <w:szCs w:val="21"/>
              </w:rPr>
              <w:t>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丰城中等专业学校</w:t>
            </w:r>
          </w:p>
        </w:tc>
        <w:tc>
          <w:tcPr>
            <w:tcW w:w="690"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东南</w:t>
            </w: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720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5</w:t>
            </w:r>
            <w:r>
              <w:rPr>
                <w:rFonts w:cs="Times New Roman"/>
                <w:color w:val="auto"/>
                <w:sz w:val="21"/>
                <w:szCs w:val="21"/>
              </w:rPr>
              <w:t>00</w:t>
            </w:r>
            <w:r>
              <w:rPr>
                <w:rFonts w:hint="eastAsia" w:cs="Times New Roman"/>
                <w:color w:val="auto"/>
                <w:sz w:val="21"/>
                <w:szCs w:val="21"/>
              </w:rPr>
              <w:t>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邬家村</w:t>
            </w:r>
          </w:p>
        </w:tc>
        <w:tc>
          <w:tcPr>
            <w:tcW w:w="690" w:type="dxa"/>
            <w:vMerge w:val="restart"/>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南</w:t>
            </w: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300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1</w:t>
            </w:r>
            <w:r>
              <w:rPr>
                <w:rFonts w:cs="Times New Roman"/>
                <w:color w:val="auto"/>
                <w:sz w:val="21"/>
                <w:szCs w:val="21"/>
              </w:rPr>
              <w:t>00人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宏岗社区</w:t>
            </w:r>
          </w:p>
        </w:tc>
        <w:tc>
          <w:tcPr>
            <w:tcW w:w="690" w:type="dxa"/>
            <w:vMerge w:val="continue"/>
            <w:vAlign w:val="center"/>
          </w:tcPr>
          <w:p>
            <w:pPr>
              <w:wordWrap w:val="0"/>
              <w:adjustRightInd w:val="0"/>
              <w:snapToGrid w:val="0"/>
              <w:spacing w:line="280" w:lineRule="exact"/>
              <w:jc w:val="center"/>
              <w:textAlignment w:val="center"/>
              <w:rPr>
                <w:rFonts w:cs="Times New Roman"/>
                <w:color w:val="auto"/>
                <w:sz w:val="21"/>
                <w:szCs w:val="21"/>
              </w:rPr>
            </w:pP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1100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12</w:t>
            </w:r>
            <w:r>
              <w:rPr>
                <w:rFonts w:cs="Times New Roman"/>
                <w:color w:val="auto"/>
                <w:sz w:val="21"/>
                <w:szCs w:val="21"/>
              </w:rPr>
              <w:t>0</w:t>
            </w:r>
            <w:r>
              <w:rPr>
                <w:rFonts w:hint="eastAsia" w:cs="Times New Roman"/>
                <w:color w:val="auto"/>
                <w:sz w:val="21"/>
                <w:szCs w:val="21"/>
              </w:rPr>
              <w:t>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丰城工业园小学</w:t>
            </w:r>
          </w:p>
        </w:tc>
        <w:tc>
          <w:tcPr>
            <w:tcW w:w="690" w:type="dxa"/>
            <w:vMerge w:val="continue"/>
            <w:vAlign w:val="center"/>
          </w:tcPr>
          <w:p>
            <w:pPr>
              <w:wordWrap w:val="0"/>
              <w:adjustRightInd w:val="0"/>
              <w:snapToGrid w:val="0"/>
              <w:spacing w:line="280" w:lineRule="exact"/>
              <w:jc w:val="center"/>
              <w:textAlignment w:val="center"/>
              <w:rPr>
                <w:rFonts w:cs="Times New Roman"/>
                <w:color w:val="auto"/>
                <w:sz w:val="21"/>
                <w:szCs w:val="21"/>
              </w:rPr>
            </w:pP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1300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5</w:t>
            </w:r>
            <w:r>
              <w:rPr>
                <w:rFonts w:cs="Times New Roman"/>
                <w:color w:val="auto"/>
                <w:sz w:val="21"/>
                <w:szCs w:val="21"/>
              </w:rPr>
              <w:t>0</w:t>
            </w:r>
            <w:r>
              <w:rPr>
                <w:rFonts w:hint="eastAsia" w:cs="Times New Roman"/>
                <w:color w:val="auto"/>
                <w:sz w:val="21"/>
                <w:szCs w:val="21"/>
              </w:rPr>
              <w:t>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赣江</w:t>
            </w:r>
          </w:p>
        </w:tc>
        <w:tc>
          <w:tcPr>
            <w:tcW w:w="690" w:type="dxa"/>
            <w:vMerge w:val="continue"/>
            <w:vAlign w:val="center"/>
          </w:tcPr>
          <w:p>
            <w:pPr>
              <w:wordWrap w:val="0"/>
              <w:adjustRightInd w:val="0"/>
              <w:snapToGrid w:val="0"/>
              <w:spacing w:line="280" w:lineRule="exact"/>
              <w:jc w:val="center"/>
              <w:textAlignment w:val="center"/>
              <w:rPr>
                <w:rFonts w:cs="Times New Roman"/>
                <w:color w:val="auto"/>
                <w:sz w:val="21"/>
                <w:szCs w:val="21"/>
              </w:rPr>
            </w:pP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2700</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1000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大型江河</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166"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北坑社区</w:t>
            </w:r>
          </w:p>
        </w:tc>
        <w:tc>
          <w:tcPr>
            <w:tcW w:w="690"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西</w:t>
            </w:r>
          </w:p>
        </w:tc>
        <w:tc>
          <w:tcPr>
            <w:tcW w:w="178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615</w:t>
            </w:r>
          </w:p>
        </w:tc>
        <w:tc>
          <w:tcPr>
            <w:tcW w:w="1647"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50</w:t>
            </w:r>
          </w:p>
        </w:tc>
        <w:tc>
          <w:tcPr>
            <w:tcW w:w="1407" w:type="dxa"/>
            <w:vAlign w:val="center"/>
          </w:tcPr>
          <w:p>
            <w:pPr>
              <w:wordWrap w:val="0"/>
              <w:adjustRightInd w:val="0"/>
              <w:snapToGrid w:val="0"/>
              <w:spacing w:line="280" w:lineRule="exact"/>
              <w:jc w:val="center"/>
              <w:textAlignment w:val="center"/>
              <w:rPr>
                <w:rFonts w:cs="Times New Roman"/>
                <w:color w:val="auto"/>
                <w:sz w:val="21"/>
                <w:szCs w:val="21"/>
              </w:rPr>
            </w:pPr>
            <w:r>
              <w:rPr>
                <w:rFonts w:cs="Times New Roman"/>
                <w:color w:val="auto"/>
                <w:sz w:val="21"/>
                <w:szCs w:val="21"/>
              </w:rPr>
              <w:t>约</w:t>
            </w:r>
            <w:r>
              <w:rPr>
                <w:rFonts w:hint="eastAsia" w:cs="Times New Roman"/>
                <w:color w:val="auto"/>
                <w:sz w:val="21"/>
                <w:szCs w:val="21"/>
              </w:rPr>
              <w:t>3000</w:t>
            </w:r>
            <w:r>
              <w:rPr>
                <w:rFonts w:cs="Times New Roman"/>
                <w:color w:val="auto"/>
                <w:sz w:val="21"/>
                <w:szCs w:val="21"/>
              </w:rPr>
              <w:t>人</w:t>
            </w:r>
          </w:p>
        </w:tc>
        <w:tc>
          <w:tcPr>
            <w:tcW w:w="1425" w:type="dxa"/>
            <w:vAlign w:val="center"/>
          </w:tcPr>
          <w:p>
            <w:pPr>
              <w:wordWrap w:val="0"/>
              <w:adjustRightInd w:val="0"/>
              <w:snapToGrid w:val="0"/>
              <w:spacing w:line="280" w:lineRule="exact"/>
              <w:jc w:val="center"/>
              <w:textAlignment w:val="center"/>
              <w:rPr>
                <w:rFonts w:cs="Times New Roman"/>
                <w:color w:val="auto"/>
                <w:sz w:val="21"/>
                <w:szCs w:val="21"/>
              </w:rPr>
            </w:pPr>
            <w:r>
              <w:rPr>
                <w:rFonts w:hint="eastAsia" w:cs="Times New Roman"/>
                <w:color w:val="auto"/>
                <w:sz w:val="21"/>
                <w:szCs w:val="21"/>
              </w:rPr>
              <w:t>符合要求</w:t>
            </w:r>
          </w:p>
        </w:tc>
      </w:tr>
    </w:tbl>
    <w:p>
      <w:pPr>
        <w:wordWrap w:val="0"/>
        <w:adjustRightInd w:val="0"/>
        <w:snapToGrid w:val="0"/>
        <w:ind w:firstLine="560" w:firstLineChars="200"/>
        <w:textAlignment w:val="center"/>
        <w:rPr>
          <w:color w:val="auto"/>
          <w:kern w:val="0"/>
        </w:rPr>
      </w:pPr>
      <w:r>
        <w:rPr>
          <w:rFonts w:hint="eastAsia"/>
          <w:color w:val="auto"/>
          <w:kern w:val="0"/>
        </w:rPr>
        <w:t>综上所述，本项目厂址及与周边企业、环境敏感点等场所、设施间距符合要求。</w:t>
      </w:r>
    </w:p>
    <w:p>
      <w:pPr>
        <w:wordWrap w:val="0"/>
        <w:adjustRightInd w:val="0"/>
        <w:snapToGrid w:val="0"/>
        <w:ind w:firstLine="560" w:firstLineChars="200"/>
        <w:jc w:val="left"/>
        <w:textAlignment w:val="center"/>
        <w:rPr>
          <w:rFonts w:cs="Times New Roman"/>
          <w:snapToGrid w:val="0"/>
          <w:color w:val="auto"/>
          <w:kern w:val="0"/>
          <w:szCs w:val="28"/>
        </w:rPr>
      </w:pPr>
      <w:r>
        <w:rPr>
          <w:rFonts w:cs="Times New Roman"/>
          <w:snapToGrid w:val="0"/>
          <w:color w:val="auto"/>
          <w:kern w:val="0"/>
          <w:szCs w:val="28"/>
        </w:rPr>
        <w:t>采用安全检查表法评价根据《危险化学品安全管理条例》、《化工企业总图运输设计规范》、</w:t>
      </w:r>
      <w:r>
        <w:rPr>
          <w:rFonts w:hint="eastAsia"/>
          <w:color w:val="auto"/>
          <w:szCs w:val="28"/>
        </w:rPr>
        <w:t>《精细化工企业工程设计防火标准》以及</w:t>
      </w:r>
      <w:r>
        <w:rPr>
          <w:rFonts w:cs="Times New Roman"/>
          <w:snapToGrid w:val="0"/>
          <w:color w:val="auto"/>
          <w:kern w:val="0"/>
          <w:szCs w:val="28"/>
        </w:rPr>
        <w:t>《建筑设计防火规范》等要求，编制选址安全检查表。见表5.1-</w:t>
      </w:r>
      <w:r>
        <w:rPr>
          <w:rFonts w:hint="eastAsia" w:cs="Times New Roman"/>
          <w:snapToGrid w:val="0"/>
          <w:color w:val="auto"/>
          <w:kern w:val="0"/>
          <w:szCs w:val="28"/>
        </w:rPr>
        <w:t>4</w:t>
      </w:r>
      <w:r>
        <w:rPr>
          <w:rFonts w:cs="Times New Roman"/>
          <w:snapToGrid w:val="0"/>
          <w:color w:val="auto"/>
          <w:kern w:val="0"/>
          <w:szCs w:val="28"/>
        </w:rPr>
        <w:t>。</w:t>
      </w:r>
    </w:p>
    <w:p>
      <w:pPr>
        <w:wordWrap w:val="0"/>
        <w:adjustRightInd w:val="0"/>
        <w:snapToGrid w:val="0"/>
        <w:jc w:val="center"/>
        <w:textAlignment w:val="center"/>
        <w:rPr>
          <w:rFonts w:cs="Times New Roman"/>
          <w:snapToGrid w:val="0"/>
          <w:color w:val="auto"/>
          <w:kern w:val="0"/>
          <w:szCs w:val="28"/>
        </w:rPr>
      </w:pPr>
      <w:r>
        <w:rPr>
          <w:rFonts w:cs="Times New Roman"/>
          <w:snapToGrid w:val="0"/>
          <w:color w:val="auto"/>
          <w:kern w:val="0"/>
          <w:szCs w:val="28"/>
        </w:rPr>
        <w:t>表5.1-</w:t>
      </w:r>
      <w:r>
        <w:rPr>
          <w:rFonts w:hint="eastAsia" w:cs="Times New Roman"/>
          <w:snapToGrid w:val="0"/>
          <w:color w:val="auto"/>
          <w:kern w:val="0"/>
          <w:szCs w:val="28"/>
        </w:rPr>
        <w:t xml:space="preserve">4 </w:t>
      </w:r>
      <w:r>
        <w:rPr>
          <w:rFonts w:cs="Times New Roman"/>
          <w:snapToGrid w:val="0"/>
          <w:color w:val="auto"/>
          <w:kern w:val="0"/>
          <w:szCs w:val="28"/>
        </w:rPr>
        <w:t xml:space="preserve"> 厂址及周边环境安全检查表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4023"/>
        <w:gridCol w:w="670"/>
        <w:gridCol w:w="1610"/>
        <w:gridCol w:w="2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23"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序号</w:t>
            </w:r>
          </w:p>
        </w:tc>
        <w:tc>
          <w:tcPr>
            <w:tcW w:w="4023"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检查项目和内容</w:t>
            </w:r>
          </w:p>
        </w:tc>
        <w:tc>
          <w:tcPr>
            <w:tcW w:w="670"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检查结果</w:t>
            </w:r>
          </w:p>
        </w:tc>
        <w:tc>
          <w:tcPr>
            <w:tcW w:w="1610"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检查依据</w:t>
            </w:r>
          </w:p>
        </w:tc>
        <w:tc>
          <w:tcPr>
            <w:tcW w:w="2243"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厂址选择应符合当地城乡总体规划要求。</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第4.1.1条</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kern w:val="0"/>
                <w:sz w:val="21"/>
                <w:szCs w:val="21"/>
              </w:rPr>
              <w:t>符合当地城乡总体规划要求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2</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厂址应根据企业、相邻企业或设施的特点和火灾危险类别，结合风向与地形等自然条件合理确定。</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第4.1.2条</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kern w:val="0"/>
                <w:sz w:val="21"/>
                <w:szCs w:val="21"/>
              </w:rPr>
              <w:t>合理确定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3</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散发有害物质的企业厂址宜位于邻近居民区或城镇全年最小频率风向的上风侧，且不应位于窝风地段。有较高洁净度要求的企业，当不能远离有严重空气污染区时，则应位于其最大频率风向的上风侧，或全年最小频率风向的下风侧。</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第4.1.3条</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hint="eastAsia" w:cs="Times New Roman"/>
                <w:color w:val="auto"/>
                <w:sz w:val="21"/>
                <w:szCs w:val="21"/>
              </w:rPr>
              <w:t>正常状态下不会散发有害物质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4</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地区排洪沟不应通过工厂生产区。</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第4.1.4条</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kern w:val="0"/>
                <w:sz w:val="21"/>
                <w:szCs w:val="21"/>
              </w:rPr>
              <w:t>不通过工厂生产区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5</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精细化工企业与相邻工厂或设施的防火间距不应小于表4.1.5的规定。</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第4.1.5条</w:t>
            </w:r>
          </w:p>
        </w:tc>
        <w:tc>
          <w:tcPr>
            <w:tcW w:w="2243" w:type="dxa"/>
            <w:vAlign w:val="center"/>
          </w:tcPr>
          <w:p>
            <w:pPr>
              <w:wordWrap w:val="0"/>
              <w:adjustRightInd w:val="0"/>
              <w:snapToGrid w:val="0"/>
              <w:spacing w:line="290" w:lineRule="exact"/>
              <w:jc w:val="left"/>
              <w:textAlignment w:val="center"/>
              <w:rPr>
                <w:rFonts w:cs="Times New Roman"/>
                <w:color w:val="auto"/>
                <w:sz w:val="21"/>
                <w:szCs w:val="21"/>
              </w:rPr>
            </w:pPr>
            <w:r>
              <w:rPr>
                <w:rFonts w:cs="Times New Roman"/>
                <w:color w:val="auto"/>
                <w:sz w:val="21"/>
                <w:szCs w:val="21"/>
              </w:rPr>
              <w:t>与周边</w:t>
            </w:r>
            <w:r>
              <w:rPr>
                <w:rFonts w:cs="Times New Roman"/>
                <w:color w:val="auto"/>
                <w:kern w:val="0"/>
                <w:sz w:val="21"/>
                <w:szCs w:val="21"/>
              </w:rPr>
              <w:t>设施的防火间距符合规范要求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6</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相邻精细化工企业的防火间距不应小于表4.1.6的规定。</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符合要求</w:t>
            </w:r>
          </w:p>
        </w:tc>
        <w:tc>
          <w:tcPr>
            <w:tcW w:w="1610"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GB51283-2020</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第4.1.6条</w:t>
            </w:r>
          </w:p>
        </w:tc>
        <w:tc>
          <w:tcPr>
            <w:tcW w:w="224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sz w:val="21"/>
                <w:szCs w:val="21"/>
              </w:rPr>
              <w:t>与周边</w:t>
            </w:r>
            <w:r>
              <w:rPr>
                <w:rFonts w:cs="Times New Roman"/>
                <w:color w:val="auto"/>
                <w:kern w:val="0"/>
                <w:sz w:val="21"/>
                <w:szCs w:val="21"/>
              </w:rPr>
              <w:t>设施的防火间距符合规范要求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7</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kern w:val="0"/>
                <w:sz w:val="21"/>
                <w:szCs w:val="21"/>
              </w:rPr>
              <w:t>厂址选择应符合国家的工业布局、城镇（乡）总体规划及土地利用总体规划的要求。</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90" w:lineRule="exact"/>
              <w:jc w:val="center"/>
              <w:textAlignment w:val="center"/>
              <w:rPr>
                <w:rFonts w:cs="Times New Roman"/>
                <w:color w:val="auto"/>
                <w:sz w:val="21"/>
                <w:szCs w:val="21"/>
              </w:rPr>
            </w:pPr>
            <w:r>
              <w:rPr>
                <w:rFonts w:cs="Times New Roman"/>
                <w:color w:val="auto"/>
                <w:kern w:val="0"/>
                <w:sz w:val="21"/>
                <w:szCs w:val="21"/>
              </w:rPr>
              <w:t>3.0.1</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kern w:val="0"/>
                <w:sz w:val="21"/>
                <w:szCs w:val="21"/>
              </w:rPr>
              <w:t>符合国家的工业布局、城镇（乡）总体规划及土地利用总体规划的要求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8</w:t>
            </w:r>
          </w:p>
        </w:tc>
        <w:tc>
          <w:tcPr>
            <w:tcW w:w="4023" w:type="dxa"/>
            <w:vAlign w:val="center"/>
          </w:tcPr>
          <w:p>
            <w:pPr>
              <w:wordWrap w:val="0"/>
              <w:adjustRightInd w:val="0"/>
              <w:snapToGrid w:val="0"/>
              <w:spacing w:line="290" w:lineRule="exact"/>
              <w:jc w:val="left"/>
              <w:textAlignment w:val="center"/>
              <w:rPr>
                <w:rFonts w:cs="Times New Roman"/>
                <w:color w:val="auto"/>
                <w:kern w:val="0"/>
                <w:sz w:val="21"/>
                <w:szCs w:val="21"/>
              </w:rPr>
            </w:pPr>
            <w:r>
              <w:rPr>
                <w:rFonts w:cs="Times New Roman"/>
                <w:color w:val="auto"/>
                <w:sz w:val="21"/>
                <w:szCs w:val="21"/>
              </w:rPr>
              <w:t>居住区、交通运输、动力公用设施、废料堆场及环境保护工程等用地，应与厂区用地同时选择。</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3.0.2</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hint="eastAsia" w:cs="Times New Roman"/>
                <w:color w:val="auto"/>
                <w:sz w:val="21"/>
                <w:szCs w:val="21"/>
              </w:rPr>
              <w:t>依托公司现有资源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9</w:t>
            </w:r>
          </w:p>
        </w:tc>
        <w:tc>
          <w:tcPr>
            <w:tcW w:w="4023" w:type="dxa"/>
            <w:vAlign w:val="center"/>
          </w:tcPr>
          <w:p>
            <w:pPr>
              <w:wordWrap w:val="0"/>
              <w:adjustRightInd w:val="0"/>
              <w:snapToGrid w:val="0"/>
              <w:spacing w:line="290" w:lineRule="exact"/>
              <w:jc w:val="left"/>
              <w:textAlignment w:val="center"/>
              <w:rPr>
                <w:rFonts w:cs="Times New Roman"/>
                <w:color w:val="auto"/>
                <w:sz w:val="21"/>
                <w:szCs w:val="21"/>
              </w:rPr>
            </w:pPr>
            <w:r>
              <w:rPr>
                <w:rFonts w:cs="Times New Roman"/>
                <w:color w:val="auto"/>
                <w:sz w:val="21"/>
                <w:szCs w:val="21"/>
              </w:rPr>
              <w:t>厂址选择应对原料和燃料及辅助材料的来源、产品流向、建设条件、经济、社会、人文、环境保护等各种因素进行深入的调查研究。</w:t>
            </w:r>
          </w:p>
        </w:tc>
        <w:tc>
          <w:tcPr>
            <w:tcW w:w="67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90" w:lineRule="exact"/>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3.0.3</w:t>
            </w:r>
          </w:p>
        </w:tc>
        <w:tc>
          <w:tcPr>
            <w:tcW w:w="2243" w:type="dxa"/>
            <w:vAlign w:val="center"/>
          </w:tcPr>
          <w:p>
            <w:pPr>
              <w:wordWrap w:val="0"/>
              <w:adjustRightInd w:val="0"/>
              <w:snapToGrid w:val="0"/>
              <w:spacing w:line="290" w:lineRule="exact"/>
              <w:jc w:val="center"/>
              <w:textAlignment w:val="center"/>
              <w:rPr>
                <w:rFonts w:cs="Times New Roman"/>
                <w:color w:val="auto"/>
                <w:sz w:val="21"/>
                <w:szCs w:val="21"/>
              </w:rPr>
            </w:pPr>
            <w:r>
              <w:rPr>
                <w:rFonts w:hint="eastAsia" w:cs="Times New Roman"/>
                <w:color w:val="auto"/>
                <w:sz w:val="21"/>
                <w:szCs w:val="21"/>
              </w:rPr>
              <w:t>经过综合分析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10</w:t>
            </w:r>
          </w:p>
        </w:tc>
        <w:tc>
          <w:tcPr>
            <w:tcW w:w="4023" w:type="dxa"/>
            <w:vAlign w:val="center"/>
          </w:tcPr>
          <w:p>
            <w:pPr>
              <w:wordWrap w:val="0"/>
              <w:adjustRightInd w:val="0"/>
              <w:snapToGrid w:val="0"/>
              <w:spacing w:line="240" w:lineRule="auto"/>
              <w:jc w:val="left"/>
              <w:textAlignment w:val="center"/>
              <w:rPr>
                <w:rFonts w:cs="Times New Roman"/>
                <w:color w:val="auto"/>
                <w:sz w:val="21"/>
                <w:szCs w:val="21"/>
              </w:rPr>
            </w:pPr>
            <w:r>
              <w:rPr>
                <w:rFonts w:cs="Times New Roman"/>
                <w:color w:val="auto"/>
                <w:sz w:val="21"/>
                <w:szCs w:val="21"/>
              </w:rPr>
              <w:t>厂址宜靠近原料、燃料基地或产品主要销售地。并应有方便、经济的交通运输条件，与厂外铁路、公路、港口的连接，应短捷，且工程量小。</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3.0.4</w:t>
            </w:r>
          </w:p>
        </w:tc>
        <w:tc>
          <w:tcPr>
            <w:tcW w:w="224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有方便、经济的交通运输条件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11</w:t>
            </w:r>
          </w:p>
        </w:tc>
        <w:tc>
          <w:tcPr>
            <w:tcW w:w="4023" w:type="dxa"/>
            <w:vAlign w:val="center"/>
          </w:tcPr>
          <w:p>
            <w:pPr>
              <w:wordWrap w:val="0"/>
              <w:adjustRightInd w:val="0"/>
              <w:snapToGrid w:val="0"/>
              <w:spacing w:line="240" w:lineRule="auto"/>
              <w:jc w:val="left"/>
              <w:textAlignment w:val="center"/>
              <w:rPr>
                <w:rFonts w:cs="Times New Roman"/>
                <w:color w:val="auto"/>
                <w:sz w:val="21"/>
                <w:szCs w:val="21"/>
              </w:rPr>
            </w:pPr>
            <w:r>
              <w:rPr>
                <w:rFonts w:cs="Times New Roman"/>
                <w:color w:val="auto"/>
                <w:sz w:val="21"/>
                <w:szCs w:val="21"/>
              </w:rPr>
              <w:t>厂址应有便利和经济的交通运输条件，与厂外铁路、公路的连接应便捷、工程量小。临近江、河、湖、海的厂址，通航条件满足企业运输要求时，应利用水运，且厂址宜靠近适合建设码头的地段</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3.0.5</w:t>
            </w:r>
          </w:p>
        </w:tc>
        <w:tc>
          <w:tcPr>
            <w:tcW w:w="224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交通运输条件便利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12</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厂址应具有满足生产、生活及发展所必需的水源和电源。水源和电源与厂址之间的管线连接应尽量短捷，且用水、用电量（特别）大的工业企业宜靠近水源及电源地。</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kern w:val="0"/>
                <w:sz w:val="21"/>
                <w:szCs w:val="21"/>
              </w:rPr>
              <w:t>3.0.6</w:t>
            </w:r>
          </w:p>
        </w:tc>
        <w:tc>
          <w:tcPr>
            <w:tcW w:w="224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kern w:val="0"/>
                <w:sz w:val="21"/>
                <w:szCs w:val="21"/>
              </w:rPr>
              <w:t>具有满足生产、生活及发展所必需的水源和电源。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13</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散发有害物质的工业企业厂址应位于城镇、相邻工业企业和居住区全年最小频率风向的上风侧，不应位于窝风地段，并应满足有关防护距离的要求</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3.0.7</w:t>
            </w:r>
          </w:p>
        </w:tc>
        <w:tc>
          <w:tcPr>
            <w:tcW w:w="2243" w:type="dxa"/>
            <w:vAlign w:val="center"/>
          </w:tcPr>
          <w:p>
            <w:pPr>
              <w:wordWrap w:val="0"/>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仅涉及危险化学品仓库，正常状态下不会</w:t>
            </w:r>
            <w:r>
              <w:rPr>
                <w:rFonts w:cs="Times New Roman"/>
                <w:color w:val="auto"/>
                <w:kern w:val="0"/>
                <w:sz w:val="21"/>
                <w:szCs w:val="21"/>
              </w:rPr>
              <w:t>散发有害物质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14</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宋体"/>
                <w:color w:val="auto"/>
                <w:kern w:val="0"/>
                <w:sz w:val="21"/>
              </w:rPr>
              <w:t>厂址应具有满足建设工程需要的工程地质条件和水文地质条件。</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w:t>
            </w:r>
            <w:r>
              <w:rPr>
                <w:rFonts w:hint="eastAsia" w:cs="Times New Roman"/>
                <w:color w:val="auto"/>
                <w:kern w:val="0"/>
                <w:sz w:val="21"/>
                <w:szCs w:val="21"/>
              </w:rPr>
              <w:t>8</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具有满足建设需要的工程地质条件和水文地质条件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15</w:t>
            </w:r>
          </w:p>
        </w:tc>
        <w:tc>
          <w:tcPr>
            <w:tcW w:w="4023" w:type="dxa"/>
            <w:vAlign w:val="center"/>
          </w:tcPr>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厂址应位于不受洪水、潮水或内涝威胁的地带，并应符合下列规定：</w:t>
            </w:r>
          </w:p>
          <w:p>
            <w:pPr>
              <w:wordWrap w:val="0"/>
              <w:adjustRightInd w:val="0"/>
              <w:snapToGrid w:val="0"/>
              <w:spacing w:line="240" w:lineRule="auto"/>
              <w:jc w:val="left"/>
              <w:textAlignment w:val="center"/>
              <w:rPr>
                <w:rFonts w:cs="Times New Roman"/>
                <w:color w:val="auto"/>
                <w:kern w:val="0"/>
                <w:sz w:val="21"/>
              </w:rPr>
            </w:pPr>
            <w:r>
              <w:rPr>
                <w:rFonts w:cs="Times New Roman"/>
                <w:color w:val="auto"/>
                <w:kern w:val="0"/>
                <w:sz w:val="21"/>
              </w:rPr>
              <w:t xml:space="preserve">1 </w:t>
            </w:r>
            <w:r>
              <w:rPr>
                <w:rFonts w:hint="eastAsia" w:cs="宋体"/>
                <w:color w:val="auto"/>
                <w:kern w:val="0"/>
                <w:sz w:val="21"/>
              </w:rPr>
              <w:t>当厂址不可避免不受洪水、潮水、或内涝威胁的地带时，必须采取防洪、排涝措施；</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rPr>
              <w:t xml:space="preserve">2 </w:t>
            </w:r>
            <w:r>
              <w:rPr>
                <w:rFonts w:hint="eastAsia" w:cs="宋体"/>
                <w:color w:val="auto"/>
                <w:kern w:val="0"/>
                <w:sz w:val="21"/>
              </w:rPr>
              <w:t>凡受江、河、潮、海洪水、潮水或山洪威胁的工业企业，防洪标准应符合现行国家标准《防洪标准》</w:t>
            </w:r>
            <w:r>
              <w:rPr>
                <w:rFonts w:cs="Times New Roman"/>
                <w:color w:val="auto"/>
                <w:kern w:val="0"/>
                <w:sz w:val="21"/>
              </w:rPr>
              <w:t xml:space="preserve">GB 50201 </w:t>
            </w:r>
            <w:r>
              <w:rPr>
                <w:rFonts w:hint="eastAsia" w:cs="宋体"/>
                <w:color w:val="auto"/>
                <w:kern w:val="0"/>
                <w:sz w:val="21"/>
              </w:rPr>
              <w:t>的有关规定</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w:t>
            </w:r>
            <w:r>
              <w:rPr>
                <w:rFonts w:hint="eastAsia" w:cs="Times New Roman"/>
                <w:color w:val="auto"/>
                <w:kern w:val="0"/>
                <w:sz w:val="21"/>
                <w:szCs w:val="21"/>
              </w:rPr>
              <w:t>12</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不受洪水、潮水或内涝威胁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16</w:t>
            </w:r>
          </w:p>
        </w:tc>
        <w:tc>
          <w:tcPr>
            <w:tcW w:w="4023" w:type="dxa"/>
            <w:vAlign w:val="center"/>
          </w:tcPr>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下列地段和地区不得选为厂址：</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一、发震断层和设防烈度高于九度的地震区；</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二、有泥石流、滑坡、流沙、溶洞等直接危害的地段；</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三、采矿陷落（错动）区界限内；</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四、爆破危险范围内；</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五、坝或堤决溃后可能淹没的地区；</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六、重要的供水水源卫生保护区；</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七、国家规定的风景区及森林和自然保护区；</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八、历史文物古迹保护区；</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九、对飞机起落、电台通讯、电视转播、雷达导航和重要的天文、气象、地震观察以及军事设施等规定有影响的范围内；</w:t>
            </w:r>
          </w:p>
          <w:p>
            <w:pPr>
              <w:wordWrap w:val="0"/>
              <w:adjustRightInd w:val="0"/>
              <w:snapToGrid w:val="0"/>
              <w:spacing w:line="240" w:lineRule="auto"/>
              <w:jc w:val="left"/>
              <w:textAlignment w:val="center"/>
              <w:rPr>
                <w:rFonts w:cs="Times New Roman"/>
                <w:color w:val="auto"/>
                <w:kern w:val="0"/>
                <w:sz w:val="21"/>
              </w:rPr>
            </w:pPr>
            <w:r>
              <w:rPr>
                <w:rFonts w:hint="eastAsia" w:cs="宋体"/>
                <w:color w:val="auto"/>
                <w:kern w:val="0"/>
                <w:sz w:val="21"/>
              </w:rPr>
              <w:t>十、</w:t>
            </w:r>
            <w:r>
              <w:rPr>
                <w:rFonts w:hint="eastAsia" w:ascii="宋体" w:hAnsi="宋体" w:cs="宋体"/>
                <w:color w:val="auto"/>
                <w:kern w:val="0"/>
                <w:sz w:val="21"/>
              </w:rPr>
              <w:t>Ⅳ</w:t>
            </w:r>
            <w:r>
              <w:rPr>
                <w:rFonts w:hint="eastAsia" w:cs="宋体"/>
                <w:color w:val="auto"/>
                <w:kern w:val="0"/>
                <w:sz w:val="21"/>
              </w:rPr>
              <w:t>级自重湿陷性黄土、厚度大的新近堆积黄土、高压缩性的饱和黄土和</w:t>
            </w:r>
            <w:r>
              <w:rPr>
                <w:rFonts w:hint="eastAsia" w:ascii="宋体" w:hAnsi="宋体" w:cs="宋体"/>
                <w:color w:val="auto"/>
                <w:kern w:val="0"/>
                <w:sz w:val="21"/>
              </w:rPr>
              <w:t>III</w:t>
            </w:r>
            <w:r>
              <w:rPr>
                <w:rFonts w:hint="eastAsia" w:cs="宋体"/>
                <w:color w:val="auto"/>
                <w:kern w:val="0"/>
                <w:sz w:val="21"/>
              </w:rPr>
              <w:t>级膨胀土等工程地质恶劣地区；</w:t>
            </w:r>
          </w:p>
          <w:p>
            <w:pPr>
              <w:wordWrap w:val="0"/>
              <w:adjustRightInd w:val="0"/>
              <w:snapToGrid w:val="0"/>
              <w:spacing w:line="240" w:lineRule="auto"/>
              <w:jc w:val="left"/>
              <w:textAlignment w:val="center"/>
              <w:rPr>
                <w:rFonts w:cs="Times New Roman"/>
                <w:color w:val="auto"/>
                <w:kern w:val="0"/>
                <w:sz w:val="21"/>
                <w:szCs w:val="21"/>
              </w:rPr>
            </w:pPr>
            <w:r>
              <w:rPr>
                <w:rFonts w:hint="eastAsia" w:cs="宋体"/>
                <w:color w:val="auto"/>
                <w:kern w:val="0"/>
                <w:sz w:val="21"/>
              </w:rPr>
              <w:t>十一、具有开采价值的矿藏区。</w:t>
            </w:r>
          </w:p>
        </w:tc>
        <w:tc>
          <w:tcPr>
            <w:tcW w:w="67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sz w:val="21"/>
                <w:szCs w:val="21"/>
              </w:rPr>
              <w:t>要求</w:t>
            </w:r>
          </w:p>
        </w:tc>
        <w:tc>
          <w:tcPr>
            <w:tcW w:w="161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3.0.</w:t>
            </w:r>
            <w:r>
              <w:rPr>
                <w:rFonts w:hint="eastAsia" w:cs="Times New Roman"/>
                <w:color w:val="auto"/>
                <w:kern w:val="0"/>
                <w:sz w:val="21"/>
                <w:szCs w:val="21"/>
              </w:rPr>
              <w:t>14</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本项目所在地地震设防烈度为</w:t>
            </w:r>
            <w:r>
              <w:rPr>
                <w:rFonts w:cs="Times New Roman"/>
                <w:color w:val="auto"/>
                <w:kern w:val="0"/>
                <w:sz w:val="21"/>
              </w:rPr>
              <w:t>6</w:t>
            </w:r>
            <w:r>
              <w:rPr>
                <w:rFonts w:hint="eastAsia" w:cs="宋体"/>
                <w:color w:val="auto"/>
                <w:kern w:val="0"/>
                <w:sz w:val="21"/>
              </w:rPr>
              <w:t>度，无不良地质地段。周边无重要的供水水源卫生保护区、国家规定的风景区及森林和自然保护区历史文物古迹保护区等；基地地下无具有开采价值的矿藏。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jc w:val="center"/>
              <w:textAlignment w:val="center"/>
              <w:rPr>
                <w:rFonts w:cs="Times New Roman"/>
                <w:color w:val="auto"/>
                <w:kern w:val="0"/>
                <w:sz w:val="21"/>
                <w:szCs w:val="21"/>
              </w:rPr>
            </w:pPr>
            <w:r>
              <w:rPr>
                <w:rFonts w:hint="eastAsia" w:cs="Times New Roman"/>
                <w:color w:val="auto"/>
                <w:kern w:val="0"/>
                <w:sz w:val="21"/>
                <w:szCs w:val="21"/>
              </w:rPr>
              <w:t>17</w:t>
            </w:r>
          </w:p>
        </w:tc>
        <w:tc>
          <w:tcPr>
            <w:tcW w:w="4023" w:type="dxa"/>
            <w:vAlign w:val="center"/>
          </w:tcPr>
          <w:p>
            <w:pPr>
              <w:wordWrap w:val="0"/>
              <w:adjustRightInd w:val="0"/>
              <w:snapToGrid w:val="0"/>
              <w:spacing w:line="300" w:lineRule="exact"/>
              <w:jc w:val="left"/>
              <w:textAlignment w:val="center"/>
              <w:rPr>
                <w:rFonts w:cs="宋体"/>
                <w:color w:val="auto"/>
                <w:kern w:val="0"/>
                <w:sz w:val="21"/>
              </w:rPr>
            </w:pPr>
            <w:r>
              <w:rPr>
                <w:rFonts w:hint="eastAsia" w:cs="宋体"/>
                <w:color w:val="auto"/>
                <w:kern w:val="0"/>
                <w:sz w:val="21"/>
              </w:rPr>
              <w:t>工业企业厂外道路的规划，应符合城镇规划或当地交通运输规划。并应合理地利用现有的国家公路及城镇道路。厂外道路与国家公路或城镇道路连接时，应使路线短捷，项目量小。</w:t>
            </w:r>
          </w:p>
        </w:tc>
        <w:tc>
          <w:tcPr>
            <w:tcW w:w="670" w:type="dxa"/>
            <w:vAlign w:val="center"/>
          </w:tcPr>
          <w:p>
            <w:pPr>
              <w:wordWrap w:val="0"/>
              <w:adjustRightInd w:val="0"/>
              <w:snapToGrid w:val="0"/>
              <w:spacing w:line="300" w:lineRule="exact"/>
              <w:jc w:val="center"/>
              <w:textAlignment w:val="center"/>
              <w:rPr>
                <w:rFonts w:cs="Times New Roman"/>
                <w:color w:val="auto"/>
                <w:sz w:val="21"/>
                <w:szCs w:val="21"/>
              </w:rPr>
            </w:pPr>
            <w:r>
              <w:rPr>
                <w:rFonts w:hint="eastAsia" w:cs="Times New Roman"/>
                <w:color w:val="auto"/>
                <w:sz w:val="21"/>
                <w:szCs w:val="21"/>
              </w:rPr>
              <w:t>符合要求</w:t>
            </w:r>
          </w:p>
        </w:tc>
        <w:tc>
          <w:tcPr>
            <w:tcW w:w="1610" w:type="dxa"/>
            <w:vAlign w:val="center"/>
          </w:tcPr>
          <w:p>
            <w:pPr>
              <w:wordWrap w:val="0"/>
              <w:adjustRightInd w:val="0"/>
              <w:snapToGrid w:val="0"/>
              <w:spacing w:line="300" w:lineRule="exact"/>
              <w:jc w:val="center"/>
              <w:textAlignment w:val="center"/>
              <w:rPr>
                <w:rFonts w:cs="Times New Roman"/>
                <w:color w:val="auto"/>
                <w:sz w:val="21"/>
                <w:szCs w:val="21"/>
              </w:rPr>
            </w:pPr>
            <w:r>
              <w:rPr>
                <w:rFonts w:cs="Times New Roman"/>
                <w:color w:val="auto"/>
                <w:sz w:val="21"/>
                <w:szCs w:val="21"/>
              </w:rPr>
              <w:t>GB50187-2012</w:t>
            </w:r>
          </w:p>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4</w:t>
            </w:r>
            <w:r>
              <w:rPr>
                <w:rFonts w:cs="Times New Roman"/>
                <w:color w:val="auto"/>
                <w:kern w:val="0"/>
                <w:sz w:val="21"/>
                <w:szCs w:val="21"/>
              </w:rPr>
              <w:t>.</w:t>
            </w:r>
            <w:r>
              <w:rPr>
                <w:rFonts w:hint="eastAsia" w:cs="Times New Roman"/>
                <w:color w:val="auto"/>
                <w:kern w:val="0"/>
                <w:sz w:val="21"/>
                <w:szCs w:val="21"/>
              </w:rPr>
              <w:t>3</w:t>
            </w:r>
            <w:r>
              <w:rPr>
                <w:rFonts w:cs="Times New Roman"/>
                <w:color w:val="auto"/>
                <w:kern w:val="0"/>
                <w:sz w:val="21"/>
                <w:szCs w:val="21"/>
              </w:rPr>
              <w:t>.</w:t>
            </w:r>
            <w:r>
              <w:rPr>
                <w:rFonts w:hint="eastAsia" w:cs="Times New Roman"/>
                <w:color w:val="auto"/>
                <w:kern w:val="0"/>
                <w:sz w:val="21"/>
                <w:szCs w:val="21"/>
              </w:rPr>
              <w:t>5</w:t>
            </w:r>
          </w:p>
        </w:tc>
        <w:tc>
          <w:tcPr>
            <w:tcW w:w="2243" w:type="dxa"/>
            <w:vAlign w:val="center"/>
          </w:tcPr>
          <w:p>
            <w:pPr>
              <w:wordWrap w:val="0"/>
              <w:adjustRightInd w:val="0"/>
              <w:snapToGrid w:val="0"/>
              <w:spacing w:line="300" w:lineRule="exact"/>
              <w:jc w:val="center"/>
              <w:textAlignment w:val="center"/>
              <w:rPr>
                <w:rFonts w:cs="宋体"/>
                <w:color w:val="auto"/>
                <w:kern w:val="0"/>
                <w:sz w:val="21"/>
              </w:rPr>
            </w:pPr>
            <w:r>
              <w:rPr>
                <w:rFonts w:hint="eastAsia" w:cs="宋体"/>
                <w:color w:val="auto"/>
                <w:kern w:val="0"/>
                <w:sz w:val="21"/>
              </w:rPr>
              <w:t>符合交通运输规划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18</w:t>
            </w:r>
          </w:p>
        </w:tc>
        <w:tc>
          <w:tcPr>
            <w:tcW w:w="4023" w:type="dxa"/>
            <w:vAlign w:val="center"/>
          </w:tcPr>
          <w:p>
            <w:pPr>
              <w:tabs>
                <w:tab w:val="left" w:pos="720"/>
              </w:tabs>
              <w:wordWrap w:val="0"/>
              <w:adjustRightInd w:val="0"/>
              <w:snapToGrid w:val="0"/>
              <w:spacing w:line="300" w:lineRule="exact"/>
              <w:jc w:val="left"/>
              <w:textAlignment w:val="center"/>
              <w:rPr>
                <w:rFonts w:cs="Times New Roman"/>
                <w:color w:val="auto"/>
                <w:kern w:val="0"/>
                <w:sz w:val="21"/>
                <w:szCs w:val="21"/>
              </w:rPr>
            </w:pPr>
            <w:r>
              <w:rPr>
                <w:rFonts w:cs="Times New Roman"/>
                <w:color w:val="auto"/>
                <w:kern w:val="0"/>
                <w:sz w:val="21"/>
                <w:szCs w:val="21"/>
              </w:rPr>
              <w:t>建设生态河滨（湖滨）带，在主要河道、湖泊内和距岸线或堤防50米范围内，不得建设除桥梁、码头和必要设施外的建筑物；距岸线或堤防50～200米范围内列为控制建设带，严禁建设化工、冶炼、造纸、制革、电镀、印染等企业。</w:t>
            </w:r>
          </w:p>
        </w:tc>
        <w:tc>
          <w:tcPr>
            <w:tcW w:w="670" w:type="dxa"/>
            <w:vAlign w:val="center"/>
          </w:tcPr>
          <w:p>
            <w:pPr>
              <w:tabs>
                <w:tab w:val="left" w:pos="720"/>
              </w:tabs>
              <w:wordWrap w:val="0"/>
              <w:adjustRightInd w:val="0"/>
              <w:snapToGrid w:val="0"/>
              <w:spacing w:line="300" w:lineRule="exact"/>
              <w:jc w:val="center"/>
              <w:textAlignment w:val="center"/>
              <w:rPr>
                <w:rFonts w:cs="Times New Roman"/>
                <w:color w:val="auto"/>
                <w:kern w:val="0"/>
                <w:sz w:val="21"/>
                <w:szCs w:val="21"/>
              </w:rPr>
            </w:pPr>
            <w:r>
              <w:rPr>
                <w:rFonts w:cs="Times New Roman"/>
                <w:bCs/>
                <w:color w:val="auto"/>
                <w:kern w:val="0"/>
                <w:sz w:val="21"/>
                <w:szCs w:val="21"/>
              </w:rPr>
              <w:t>符合要求</w:t>
            </w:r>
          </w:p>
        </w:tc>
        <w:tc>
          <w:tcPr>
            <w:tcW w:w="1610" w:type="dxa"/>
            <w:vAlign w:val="center"/>
          </w:tcPr>
          <w:p>
            <w:pPr>
              <w:tabs>
                <w:tab w:val="left" w:pos="720"/>
              </w:tabs>
              <w:wordWrap w:val="0"/>
              <w:adjustRightInd w:val="0"/>
              <w:snapToGrid w:val="0"/>
              <w:spacing w:line="300" w:lineRule="exact"/>
              <w:jc w:val="center"/>
              <w:textAlignment w:val="center"/>
              <w:rPr>
                <w:rFonts w:cs="Times New Roman"/>
                <w:bCs/>
                <w:color w:val="auto"/>
                <w:kern w:val="0"/>
                <w:sz w:val="21"/>
                <w:szCs w:val="21"/>
              </w:rPr>
            </w:pPr>
            <w:r>
              <w:rPr>
                <w:rFonts w:cs="Times New Roman"/>
                <w:bCs/>
                <w:color w:val="auto"/>
                <w:kern w:val="0"/>
                <w:sz w:val="21"/>
                <w:szCs w:val="21"/>
              </w:rPr>
              <w:t>《江西省人民政府关于继续实施山江湖工程推进绿色生态江西建设的若干实施意见》</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距离最近的河道赣江2.7km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19</w:t>
            </w:r>
          </w:p>
        </w:tc>
        <w:tc>
          <w:tcPr>
            <w:tcW w:w="4023" w:type="dxa"/>
            <w:vAlign w:val="center"/>
          </w:tcPr>
          <w:p>
            <w:pPr>
              <w:tabs>
                <w:tab w:val="left" w:pos="720"/>
              </w:tabs>
              <w:wordWrap w:val="0"/>
              <w:adjustRightInd w:val="0"/>
              <w:snapToGrid w:val="0"/>
              <w:spacing w:line="300" w:lineRule="exact"/>
              <w:jc w:val="left"/>
              <w:textAlignment w:val="center"/>
              <w:rPr>
                <w:rFonts w:hint="eastAsia" w:eastAsia="宋体" w:cs="Times New Roman"/>
                <w:color w:val="auto"/>
                <w:kern w:val="0"/>
                <w:sz w:val="21"/>
                <w:szCs w:val="21"/>
                <w:lang w:eastAsia="zh-CN"/>
              </w:rPr>
            </w:pPr>
            <w:r>
              <w:rPr>
                <w:rFonts w:cs="Times New Roman"/>
                <w:color w:val="auto"/>
                <w:kern w:val="0"/>
                <w:sz w:val="21"/>
                <w:szCs w:val="21"/>
              </w:rPr>
              <w:t>除按照国家有关规定设立的为车辆补充燃料的场所、设施外，禁止在下列范围内设立生产、储存、销售易燃、易爆、剧毒、放射性等危险物品的场所、设施：</w:t>
            </w:r>
          </w:p>
          <w:p>
            <w:pPr>
              <w:tabs>
                <w:tab w:val="left" w:pos="720"/>
              </w:tabs>
              <w:wordWrap w:val="0"/>
              <w:adjustRightInd w:val="0"/>
              <w:snapToGrid w:val="0"/>
              <w:spacing w:line="300" w:lineRule="exact"/>
              <w:jc w:val="left"/>
              <w:textAlignment w:val="center"/>
              <w:rPr>
                <w:rFonts w:hint="eastAsia" w:eastAsia="宋体" w:cs="Times New Roman"/>
                <w:color w:val="auto"/>
                <w:kern w:val="0"/>
                <w:sz w:val="21"/>
                <w:szCs w:val="21"/>
                <w:lang w:eastAsia="zh-CN"/>
              </w:rPr>
            </w:pPr>
            <w:r>
              <w:rPr>
                <w:rFonts w:cs="Times New Roman"/>
                <w:color w:val="auto"/>
                <w:kern w:val="0"/>
                <w:sz w:val="21"/>
                <w:szCs w:val="21"/>
              </w:rPr>
              <w:t>（一）公路用地外缘起向外100米；</w:t>
            </w:r>
          </w:p>
          <w:p>
            <w:pPr>
              <w:tabs>
                <w:tab w:val="left" w:pos="720"/>
              </w:tabs>
              <w:wordWrap w:val="0"/>
              <w:adjustRightInd w:val="0"/>
              <w:snapToGrid w:val="0"/>
              <w:spacing w:line="300" w:lineRule="exact"/>
              <w:jc w:val="left"/>
              <w:textAlignment w:val="center"/>
              <w:rPr>
                <w:rFonts w:hint="eastAsia" w:eastAsia="宋体" w:cs="Times New Roman"/>
                <w:color w:val="auto"/>
                <w:kern w:val="0"/>
                <w:sz w:val="21"/>
                <w:szCs w:val="21"/>
                <w:lang w:eastAsia="zh-CN"/>
              </w:rPr>
            </w:pPr>
            <w:r>
              <w:rPr>
                <w:rFonts w:cs="Times New Roman"/>
                <w:color w:val="auto"/>
                <w:kern w:val="0"/>
                <w:sz w:val="21"/>
                <w:szCs w:val="21"/>
              </w:rPr>
              <w:t>（二）公路渡口和中型以上公路桥梁周围200米；</w:t>
            </w:r>
          </w:p>
          <w:p>
            <w:pPr>
              <w:tabs>
                <w:tab w:val="left" w:pos="720"/>
              </w:tabs>
              <w:wordWrap w:val="0"/>
              <w:adjustRightInd w:val="0"/>
              <w:snapToGrid w:val="0"/>
              <w:spacing w:line="300" w:lineRule="exact"/>
              <w:jc w:val="left"/>
              <w:textAlignment w:val="center"/>
              <w:rPr>
                <w:rFonts w:cs="Times New Roman"/>
                <w:color w:val="auto"/>
                <w:kern w:val="0"/>
                <w:sz w:val="21"/>
                <w:szCs w:val="21"/>
              </w:rPr>
            </w:pPr>
            <w:r>
              <w:rPr>
                <w:rFonts w:cs="Times New Roman"/>
                <w:color w:val="auto"/>
                <w:kern w:val="0"/>
                <w:sz w:val="21"/>
                <w:szCs w:val="21"/>
              </w:rPr>
              <w:t>（三）公路隧道上方和洞口外100米。</w:t>
            </w:r>
          </w:p>
        </w:tc>
        <w:tc>
          <w:tcPr>
            <w:tcW w:w="670" w:type="dxa"/>
            <w:vAlign w:val="center"/>
          </w:tcPr>
          <w:p>
            <w:pPr>
              <w:tabs>
                <w:tab w:val="left" w:pos="720"/>
              </w:tabs>
              <w:wordWrap w:val="0"/>
              <w:adjustRightInd w:val="0"/>
              <w:snapToGrid w:val="0"/>
              <w:spacing w:line="300" w:lineRule="exact"/>
              <w:jc w:val="center"/>
              <w:textAlignment w:val="center"/>
              <w:rPr>
                <w:rFonts w:cs="Times New Roman"/>
                <w:color w:val="auto"/>
                <w:kern w:val="0"/>
                <w:sz w:val="21"/>
                <w:szCs w:val="21"/>
              </w:rPr>
            </w:pPr>
            <w:r>
              <w:rPr>
                <w:rFonts w:cs="Times New Roman"/>
                <w:bCs/>
                <w:color w:val="auto"/>
                <w:kern w:val="0"/>
                <w:sz w:val="21"/>
                <w:szCs w:val="21"/>
              </w:rPr>
              <w:t>符合要求</w:t>
            </w:r>
          </w:p>
        </w:tc>
        <w:tc>
          <w:tcPr>
            <w:tcW w:w="1610" w:type="dxa"/>
            <w:vAlign w:val="center"/>
          </w:tcPr>
          <w:p>
            <w:pPr>
              <w:tabs>
                <w:tab w:val="left" w:pos="720"/>
              </w:tabs>
              <w:wordWrap w:val="0"/>
              <w:adjustRightInd w:val="0"/>
              <w:snapToGrid w:val="0"/>
              <w:spacing w:line="300" w:lineRule="exact"/>
              <w:jc w:val="center"/>
              <w:textAlignment w:val="center"/>
              <w:rPr>
                <w:rFonts w:cs="Times New Roman"/>
                <w:color w:val="auto"/>
                <w:kern w:val="0"/>
                <w:sz w:val="21"/>
                <w:szCs w:val="21"/>
              </w:rPr>
            </w:pPr>
            <w:r>
              <w:rPr>
                <w:rFonts w:cs="Times New Roman"/>
                <w:color w:val="auto"/>
                <w:kern w:val="0"/>
                <w:sz w:val="21"/>
                <w:szCs w:val="21"/>
              </w:rPr>
              <w:t>《公路安全保护条例》号第十八条</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cs="Times New Roman"/>
                <w:color w:val="auto"/>
                <w:kern w:val="0"/>
                <w:sz w:val="21"/>
                <w:szCs w:val="21"/>
              </w:rPr>
              <w:t>距离最近的交通干线</w:t>
            </w:r>
            <w:r>
              <w:rPr>
                <w:rFonts w:hint="eastAsia" w:cs="Times New Roman"/>
                <w:color w:val="auto"/>
                <w:kern w:val="0"/>
                <w:sz w:val="21"/>
                <w:szCs w:val="21"/>
              </w:rPr>
              <w:t>大于100</w:t>
            </w:r>
            <w:r>
              <w:rPr>
                <w:rFonts w:cs="Times New Roman"/>
                <w:color w:val="auto"/>
                <w:kern w:val="0"/>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p>
        </w:tc>
        <w:tc>
          <w:tcPr>
            <w:tcW w:w="4023" w:type="dxa"/>
            <w:vAlign w:val="center"/>
          </w:tcPr>
          <w:p>
            <w:pPr>
              <w:wordWrap w:val="0"/>
              <w:adjustRightInd w:val="0"/>
              <w:snapToGrid w:val="0"/>
              <w:spacing w:line="300" w:lineRule="exact"/>
              <w:jc w:val="left"/>
              <w:textAlignment w:val="center"/>
              <w:rPr>
                <w:rFonts w:cs="Times New Roman"/>
                <w:color w:val="auto"/>
                <w:kern w:val="0"/>
                <w:sz w:val="21"/>
                <w:szCs w:val="21"/>
              </w:rPr>
            </w:pPr>
            <w:r>
              <w:rPr>
                <w:rFonts w:cs="Times New Roman"/>
                <w:color w:val="auto"/>
                <w:kern w:val="0"/>
                <w:sz w:val="21"/>
                <w:szCs w:val="21"/>
              </w:rPr>
              <w:t>在铁路线路两侧建造、设立生产、加工、储存或者销售易燃、易爆或者放射性物品等危险物品的场所、仓库，应当符合国家标准、行业标准规定的安全防护距离。</w:t>
            </w:r>
          </w:p>
        </w:tc>
        <w:tc>
          <w:tcPr>
            <w:tcW w:w="670"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cs="Times New Roman"/>
                <w:bCs/>
                <w:color w:val="auto"/>
                <w:kern w:val="0"/>
                <w:sz w:val="21"/>
                <w:szCs w:val="21"/>
              </w:rPr>
              <w:t>符合要求</w:t>
            </w:r>
          </w:p>
        </w:tc>
        <w:tc>
          <w:tcPr>
            <w:tcW w:w="1610" w:type="dxa"/>
            <w:vAlign w:val="center"/>
          </w:tcPr>
          <w:p>
            <w:pPr>
              <w:tabs>
                <w:tab w:val="left" w:pos="720"/>
              </w:tabs>
              <w:wordWrap w:val="0"/>
              <w:adjustRightInd w:val="0"/>
              <w:snapToGrid w:val="0"/>
              <w:spacing w:line="300" w:lineRule="exact"/>
              <w:jc w:val="center"/>
              <w:textAlignment w:val="center"/>
              <w:rPr>
                <w:rFonts w:cs="Times New Roman"/>
                <w:color w:val="auto"/>
                <w:kern w:val="0"/>
                <w:sz w:val="21"/>
                <w:szCs w:val="21"/>
              </w:rPr>
            </w:pPr>
            <w:r>
              <w:rPr>
                <w:rFonts w:cs="Times New Roman"/>
                <w:color w:val="auto"/>
                <w:kern w:val="0"/>
                <w:sz w:val="21"/>
                <w:szCs w:val="21"/>
              </w:rPr>
              <w:t>《铁路安全管理条例》第三十三条</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cs="Times New Roman"/>
                <w:color w:val="auto"/>
                <w:kern w:val="0"/>
                <w:sz w:val="21"/>
                <w:szCs w:val="21"/>
              </w:rPr>
              <w:t>距离最近铁路线大于</w:t>
            </w:r>
            <w:r>
              <w:rPr>
                <w:rFonts w:hint="eastAsia" w:cs="Times New Roman"/>
                <w:color w:val="auto"/>
                <w:kern w:val="0"/>
                <w:sz w:val="21"/>
                <w:szCs w:val="21"/>
              </w:rPr>
              <w:t>500</w:t>
            </w:r>
            <w:r>
              <w:rPr>
                <w:rFonts w:cs="Times New Roman"/>
                <w:color w:val="auto"/>
                <w:kern w:val="0"/>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320" w:lineRule="exact"/>
              <w:jc w:val="center"/>
              <w:textAlignment w:val="center"/>
              <w:rPr>
                <w:rFonts w:cs="Times New Roman"/>
                <w:color w:val="auto"/>
                <w:kern w:val="0"/>
                <w:sz w:val="21"/>
                <w:szCs w:val="21"/>
              </w:rPr>
            </w:pPr>
            <w:r>
              <w:rPr>
                <w:rFonts w:hint="eastAsia" w:cs="Times New Roman"/>
                <w:color w:val="auto"/>
                <w:kern w:val="0"/>
                <w:sz w:val="21"/>
                <w:szCs w:val="21"/>
              </w:rPr>
              <w:t>21</w:t>
            </w:r>
          </w:p>
        </w:tc>
        <w:tc>
          <w:tcPr>
            <w:tcW w:w="4023" w:type="dxa"/>
            <w:vAlign w:val="center"/>
          </w:tcPr>
          <w:p>
            <w:pPr>
              <w:wordWrap w:val="0"/>
              <w:adjustRightInd w:val="0"/>
              <w:snapToGrid w:val="0"/>
              <w:spacing w:line="300" w:lineRule="exact"/>
              <w:jc w:val="left"/>
              <w:textAlignment w:val="center"/>
              <w:rPr>
                <w:rFonts w:cs="Times New Roman"/>
                <w:color w:val="auto"/>
                <w:kern w:val="0"/>
                <w:sz w:val="21"/>
                <w:szCs w:val="21"/>
              </w:rPr>
            </w:pPr>
            <w:r>
              <w:rPr>
                <w:rFonts w:hint="eastAsia" w:cs="宋体"/>
                <w:color w:val="auto"/>
                <w:kern w:val="0"/>
                <w:sz w:val="21"/>
                <w:szCs w:val="21"/>
              </w:rPr>
              <w:t>选择厂址应根据地震、软地基、湿陷性黄土、膨胀土等地质因素以及飓风、雷暴、沙暴等气象危害因素，采取可靠技术方案.避开断层、滑波、泥石流、地下溶洞等发育地区。</w:t>
            </w:r>
          </w:p>
        </w:tc>
        <w:tc>
          <w:tcPr>
            <w:tcW w:w="670" w:type="dxa"/>
            <w:vAlign w:val="center"/>
          </w:tcPr>
          <w:p>
            <w:pPr>
              <w:wordWrap w:val="0"/>
              <w:adjustRightInd w:val="0"/>
              <w:snapToGrid w:val="0"/>
              <w:spacing w:line="300" w:lineRule="exact"/>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宋体"/>
                <w:color w:val="auto"/>
                <w:kern w:val="0"/>
                <w:sz w:val="21"/>
              </w:rPr>
              <w:t>《化工企业总图运输设计规范》</w:t>
            </w:r>
            <w:r>
              <w:rPr>
                <w:rFonts w:cs="Times New Roman"/>
                <w:color w:val="auto"/>
                <w:kern w:val="0"/>
                <w:sz w:val="21"/>
              </w:rPr>
              <w:t>3.1.4</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宋体"/>
                <w:color w:val="auto"/>
                <w:kern w:val="0"/>
                <w:sz w:val="21"/>
                <w:szCs w:val="21"/>
              </w:rPr>
              <w:t>避开断层、滑波、泥石流、地下溶洞等发育地区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320" w:lineRule="exact"/>
              <w:jc w:val="center"/>
              <w:textAlignment w:val="center"/>
              <w:rPr>
                <w:rFonts w:cs="Times New Roman"/>
                <w:color w:val="auto"/>
                <w:kern w:val="0"/>
                <w:sz w:val="21"/>
                <w:szCs w:val="21"/>
              </w:rPr>
            </w:pPr>
            <w:r>
              <w:rPr>
                <w:rFonts w:hint="eastAsia" w:cs="Times New Roman"/>
                <w:color w:val="auto"/>
                <w:kern w:val="0"/>
                <w:sz w:val="21"/>
                <w:szCs w:val="21"/>
              </w:rPr>
              <w:t>22</w:t>
            </w:r>
          </w:p>
        </w:tc>
        <w:tc>
          <w:tcPr>
            <w:tcW w:w="4023" w:type="dxa"/>
            <w:vAlign w:val="center"/>
          </w:tcPr>
          <w:p>
            <w:pPr>
              <w:wordWrap w:val="0"/>
              <w:adjustRightInd w:val="0"/>
              <w:snapToGrid w:val="0"/>
              <w:spacing w:line="300" w:lineRule="exact"/>
              <w:jc w:val="left"/>
              <w:textAlignment w:val="center"/>
              <w:rPr>
                <w:rFonts w:cs="Times New Roman"/>
                <w:color w:val="auto"/>
                <w:kern w:val="0"/>
                <w:sz w:val="21"/>
                <w:szCs w:val="21"/>
              </w:rPr>
            </w:pPr>
            <w:r>
              <w:rPr>
                <w:rFonts w:cs="Times New Roman"/>
                <w:color w:val="auto"/>
                <w:kern w:val="0"/>
                <w:sz w:val="21"/>
                <w:szCs w:val="21"/>
              </w:rPr>
              <w:t>厂址应避开新旧矿产采掘区、水坝（或大堤）溃决后可能淹没地区、地方病严重流行区、国家及省市级文物保护区.并与危险化学品安全管理条例》规定的敏感</w:t>
            </w:r>
            <w:r>
              <w:rPr>
                <w:rFonts w:hint="eastAsia" w:cs="Times New Roman"/>
                <w:color w:val="auto"/>
                <w:kern w:val="0"/>
                <w:sz w:val="21"/>
                <w:szCs w:val="21"/>
              </w:rPr>
              <w:t>目</w:t>
            </w:r>
            <w:r>
              <w:rPr>
                <w:rFonts w:cs="Times New Roman"/>
                <w:color w:val="auto"/>
                <w:kern w:val="0"/>
                <w:sz w:val="21"/>
                <w:szCs w:val="21"/>
              </w:rPr>
              <w:t>标保持安全距离。</w:t>
            </w:r>
          </w:p>
        </w:tc>
        <w:tc>
          <w:tcPr>
            <w:tcW w:w="670" w:type="dxa"/>
            <w:vAlign w:val="center"/>
          </w:tcPr>
          <w:p>
            <w:pPr>
              <w:wordWrap w:val="0"/>
              <w:adjustRightInd w:val="0"/>
              <w:snapToGrid w:val="0"/>
              <w:spacing w:line="300" w:lineRule="exact"/>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宋体"/>
                <w:color w:val="auto"/>
                <w:kern w:val="0"/>
                <w:sz w:val="21"/>
              </w:rPr>
              <w:t>化工企业总图运输设计规范》</w:t>
            </w:r>
            <w:r>
              <w:rPr>
                <w:rFonts w:cs="Times New Roman"/>
                <w:color w:val="auto"/>
                <w:kern w:val="0"/>
                <w:sz w:val="21"/>
              </w:rPr>
              <w:t>3.1.6</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不在上述区域，与敏感目标</w:t>
            </w:r>
            <w:r>
              <w:rPr>
                <w:rFonts w:cs="Times New Roman"/>
                <w:color w:val="auto"/>
                <w:kern w:val="0"/>
                <w:sz w:val="21"/>
                <w:szCs w:val="21"/>
              </w:rPr>
              <w:t>保持安全距离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320" w:lineRule="exact"/>
              <w:jc w:val="center"/>
              <w:textAlignment w:val="center"/>
              <w:rPr>
                <w:rFonts w:cs="Times New Roman"/>
                <w:color w:val="auto"/>
                <w:kern w:val="0"/>
                <w:sz w:val="21"/>
                <w:szCs w:val="21"/>
              </w:rPr>
            </w:pPr>
            <w:r>
              <w:rPr>
                <w:rFonts w:hint="eastAsia" w:cs="Times New Roman"/>
                <w:color w:val="auto"/>
                <w:kern w:val="0"/>
                <w:sz w:val="21"/>
                <w:szCs w:val="21"/>
              </w:rPr>
              <w:t>23</w:t>
            </w:r>
          </w:p>
        </w:tc>
        <w:tc>
          <w:tcPr>
            <w:tcW w:w="4023" w:type="dxa"/>
            <w:vAlign w:val="center"/>
          </w:tcPr>
          <w:p>
            <w:pPr>
              <w:wordWrap w:val="0"/>
              <w:adjustRightInd w:val="0"/>
              <w:snapToGrid w:val="0"/>
              <w:spacing w:line="300" w:lineRule="exact"/>
              <w:jc w:val="left"/>
              <w:textAlignment w:val="center"/>
              <w:rPr>
                <w:rFonts w:cs="Times New Roman"/>
                <w:color w:val="auto"/>
                <w:kern w:val="0"/>
                <w:sz w:val="21"/>
                <w:szCs w:val="21"/>
              </w:rPr>
            </w:pPr>
            <w:r>
              <w:rPr>
                <w:rFonts w:hint="eastAsia" w:cs="宋体"/>
                <w:color w:val="auto"/>
                <w:kern w:val="0"/>
                <w:sz w:val="21"/>
                <w:szCs w:val="21"/>
              </w:rPr>
              <w:t>化工企业之间、化工企业与其它工矿企业、交通线站、港埠之间的卫生防护距离应满足国家现行标准《工业企业设计卫生标准》</w:t>
            </w:r>
            <w:r>
              <w:rPr>
                <w:rFonts w:cs="Times New Roman"/>
                <w:color w:val="auto"/>
                <w:kern w:val="0"/>
                <w:sz w:val="21"/>
                <w:szCs w:val="21"/>
              </w:rPr>
              <w:t>GB Z1</w:t>
            </w:r>
            <w:r>
              <w:rPr>
                <w:rFonts w:hint="eastAsia" w:cs="宋体"/>
                <w:color w:val="auto"/>
                <w:kern w:val="0"/>
                <w:sz w:val="21"/>
                <w:szCs w:val="21"/>
              </w:rPr>
              <w:t>附录</w:t>
            </w:r>
            <w:r>
              <w:rPr>
                <w:rFonts w:cs="Times New Roman"/>
                <w:color w:val="auto"/>
                <w:kern w:val="0"/>
                <w:sz w:val="21"/>
                <w:szCs w:val="21"/>
              </w:rPr>
              <w:t>B</w:t>
            </w:r>
            <w:r>
              <w:rPr>
                <w:rFonts w:hint="eastAsia" w:cs="宋体"/>
                <w:color w:val="auto"/>
                <w:kern w:val="0"/>
                <w:sz w:val="21"/>
                <w:szCs w:val="21"/>
              </w:rPr>
              <w:t>和《石油化工企业卫生防护距离》</w:t>
            </w:r>
            <w:r>
              <w:rPr>
                <w:rFonts w:cs="Times New Roman"/>
                <w:color w:val="auto"/>
                <w:kern w:val="0"/>
                <w:sz w:val="21"/>
                <w:szCs w:val="21"/>
              </w:rPr>
              <w:t>SH 3093</w:t>
            </w:r>
            <w:r>
              <w:rPr>
                <w:rFonts w:hint="eastAsia" w:cs="宋体"/>
                <w:color w:val="auto"/>
                <w:kern w:val="0"/>
                <w:sz w:val="21"/>
                <w:szCs w:val="21"/>
              </w:rPr>
              <w:t>的要求，防火间距应满足现行国家标准《石油化工企业设计防火规范》</w:t>
            </w:r>
            <w:r>
              <w:rPr>
                <w:rFonts w:cs="Times New Roman"/>
                <w:color w:val="auto"/>
                <w:kern w:val="0"/>
                <w:sz w:val="21"/>
                <w:szCs w:val="21"/>
              </w:rPr>
              <w:t>GB 50160</w:t>
            </w:r>
            <w:r>
              <w:rPr>
                <w:rFonts w:hint="eastAsia" w:cs="宋体"/>
                <w:color w:val="auto"/>
                <w:kern w:val="0"/>
                <w:sz w:val="21"/>
                <w:szCs w:val="21"/>
              </w:rPr>
              <w:t>和《建筑设计防火规范》</w:t>
            </w:r>
            <w:r>
              <w:rPr>
                <w:rFonts w:cs="Times New Roman"/>
                <w:color w:val="auto"/>
                <w:kern w:val="0"/>
                <w:sz w:val="21"/>
                <w:szCs w:val="21"/>
              </w:rPr>
              <w:t>GB 50016</w:t>
            </w:r>
            <w:r>
              <w:rPr>
                <w:rFonts w:hint="eastAsia" w:cs="宋体"/>
                <w:color w:val="auto"/>
                <w:kern w:val="0"/>
                <w:sz w:val="21"/>
                <w:szCs w:val="21"/>
              </w:rPr>
              <w:t>等规范的要求。</w:t>
            </w:r>
          </w:p>
        </w:tc>
        <w:tc>
          <w:tcPr>
            <w:tcW w:w="670" w:type="dxa"/>
            <w:vAlign w:val="center"/>
          </w:tcPr>
          <w:p>
            <w:pPr>
              <w:wordWrap w:val="0"/>
              <w:adjustRightInd w:val="0"/>
              <w:snapToGrid w:val="0"/>
              <w:spacing w:line="300" w:lineRule="exact"/>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宋体"/>
                <w:color w:val="auto"/>
                <w:kern w:val="0"/>
                <w:sz w:val="21"/>
              </w:rPr>
              <w:t>《化工企业总图运输设计规范》</w:t>
            </w:r>
            <w:r>
              <w:rPr>
                <w:rFonts w:cs="Times New Roman"/>
                <w:color w:val="auto"/>
                <w:kern w:val="0"/>
                <w:sz w:val="21"/>
              </w:rPr>
              <w:t>3.1.7</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安全生产设施技术改造项目，已通过相关规划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24</w:t>
            </w:r>
          </w:p>
        </w:tc>
        <w:tc>
          <w:tcPr>
            <w:tcW w:w="4023" w:type="dxa"/>
            <w:vAlign w:val="center"/>
          </w:tcPr>
          <w:p>
            <w:pPr>
              <w:wordWrap w:val="0"/>
              <w:adjustRightInd w:val="0"/>
              <w:snapToGrid w:val="0"/>
              <w:spacing w:line="300" w:lineRule="exact"/>
              <w:jc w:val="left"/>
              <w:textAlignment w:val="center"/>
              <w:rPr>
                <w:rFonts w:cs="Times New Roman"/>
                <w:color w:val="auto"/>
                <w:kern w:val="0"/>
                <w:sz w:val="21"/>
                <w:szCs w:val="21"/>
              </w:rPr>
            </w:pPr>
            <w:r>
              <w:rPr>
                <w:rFonts w:cs="Times New Roman"/>
                <w:color w:val="auto"/>
                <w:kern w:val="0"/>
                <w:sz w:val="21"/>
                <w:szCs w:val="21"/>
              </w:rPr>
              <w:t>化工企业的厂址应符合当地规划，明确占用土地的类别及拆迁工程的情况。</w:t>
            </w:r>
          </w:p>
        </w:tc>
        <w:tc>
          <w:tcPr>
            <w:tcW w:w="670" w:type="dxa"/>
            <w:vAlign w:val="center"/>
          </w:tcPr>
          <w:p>
            <w:pPr>
              <w:wordWrap w:val="0"/>
              <w:adjustRightInd w:val="0"/>
              <w:snapToGrid w:val="0"/>
              <w:spacing w:line="300" w:lineRule="exact"/>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3.1.2</w:t>
            </w:r>
            <w:r>
              <w:rPr>
                <w:rFonts w:hint="eastAsia" w:cs="宋体"/>
                <w:color w:val="auto"/>
                <w:kern w:val="0"/>
                <w:sz w:val="21"/>
              </w:rPr>
              <w:t>条</w:t>
            </w:r>
          </w:p>
        </w:tc>
        <w:tc>
          <w:tcPr>
            <w:tcW w:w="2243" w:type="dxa"/>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安全生产设施技术改造项目，已通过相关规划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25</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厂区应与当地现有和规划的交通线路、车站、港口顺捷合理地联结。</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厂前区尽量临靠公路干道，铁路、索道和码头应在厂后、侧部位，避免不同方式的交通线路平面交叉。</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3.1.4</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交通便利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26</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化工企业厂址应依据当地风向因素，选择位于城镇、工厂居住区全年最小频率风向的上风侧。</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3.1.5</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安全生产设施技术改造项目，已通过相关规划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27</w:t>
            </w:r>
          </w:p>
        </w:tc>
        <w:tc>
          <w:tcPr>
            <w:tcW w:w="4023" w:type="dxa"/>
            <w:vAlign w:val="center"/>
          </w:tcPr>
          <w:p>
            <w:pPr>
              <w:wordWrap w:val="0"/>
              <w:adjustRightInd w:val="0"/>
              <w:snapToGrid w:val="0"/>
              <w:spacing w:line="240" w:lineRule="auto"/>
              <w:jc w:val="left"/>
              <w:textAlignment w:val="center"/>
              <w:rPr>
                <w:rFonts w:ascii="宋体" w:hAnsi="宋体" w:cs="宋体"/>
                <w:color w:val="auto"/>
                <w:kern w:val="0"/>
                <w:sz w:val="21"/>
                <w:szCs w:val="21"/>
              </w:rPr>
            </w:pPr>
            <w:r>
              <w:rPr>
                <w:rFonts w:cs="Times New Roman"/>
                <w:color w:val="auto"/>
                <w:kern w:val="0"/>
                <w:sz w:val="21"/>
              </w:rPr>
              <w:t>从2011年3月起，对没有划定危险化学品生产、储存专门区域的地区，城乡规划部门原则上不再受理危险化学品生产、储存建设项目“一书两证”（规划选址意见书、建设用地规划许可证、建设工程规划许可证）的申请许可，安全监管部门原则上不再受理危险化学品生产、储存建设项目的安全审查申请，投资主管部门原则上不再受理危险化</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w:t>
            </w:r>
            <w:r>
              <w:rPr>
                <w:rFonts w:hint="eastAsia" w:cs="Times New Roman"/>
                <w:color w:val="auto"/>
                <w:kern w:val="0"/>
                <w:sz w:val="21"/>
              </w:rPr>
              <w:t>6</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安全生产设施技术改造项目，已通过相关规划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28</w:t>
            </w:r>
          </w:p>
        </w:tc>
        <w:tc>
          <w:tcPr>
            <w:tcW w:w="4023" w:type="dxa"/>
            <w:vAlign w:val="center"/>
          </w:tcPr>
          <w:p>
            <w:pPr>
              <w:tabs>
                <w:tab w:val="left" w:pos="720"/>
              </w:tabs>
              <w:wordWrap w:val="0"/>
              <w:adjustRightInd w:val="0"/>
              <w:snapToGrid w:val="0"/>
              <w:spacing w:line="240" w:lineRule="auto"/>
              <w:jc w:val="left"/>
              <w:textAlignment w:val="center"/>
              <w:rPr>
                <w:rFonts w:hint="eastAsia" w:eastAsia="宋体" w:cs="宋体"/>
                <w:color w:val="auto"/>
                <w:kern w:val="0"/>
                <w:sz w:val="21"/>
                <w:lang w:eastAsia="zh-CN"/>
              </w:rPr>
            </w:pPr>
            <w:r>
              <w:rPr>
                <w:rFonts w:hint="eastAsia" w:cs="宋体"/>
                <w:color w:val="auto"/>
                <w:kern w:val="0"/>
                <w:sz w:val="21"/>
              </w:rPr>
              <w:t>除按照国家有关规定设立的为车辆补充燃料的场所、设施外，禁止在下列范围内设立生产、储存、销售易燃、易爆、剧毒、放射性等危险物品的场所、设施：</w:t>
            </w:r>
          </w:p>
          <w:p>
            <w:pPr>
              <w:tabs>
                <w:tab w:val="left" w:pos="720"/>
              </w:tabs>
              <w:wordWrap w:val="0"/>
              <w:adjustRightInd w:val="0"/>
              <w:snapToGrid w:val="0"/>
              <w:spacing w:line="240" w:lineRule="auto"/>
              <w:jc w:val="left"/>
              <w:textAlignment w:val="center"/>
              <w:rPr>
                <w:rFonts w:hint="eastAsia" w:eastAsia="宋体" w:cs="宋体"/>
                <w:color w:val="auto"/>
                <w:kern w:val="0"/>
                <w:sz w:val="21"/>
                <w:lang w:eastAsia="zh-CN"/>
              </w:rPr>
            </w:pPr>
            <w:r>
              <w:rPr>
                <w:rFonts w:hint="eastAsia" w:cs="宋体"/>
                <w:color w:val="auto"/>
                <w:kern w:val="0"/>
                <w:sz w:val="21"/>
              </w:rPr>
              <w:t>（一）公路用地外缘起向外</w:t>
            </w:r>
            <w:r>
              <w:rPr>
                <w:rFonts w:cs="Times New Roman"/>
                <w:color w:val="auto"/>
                <w:kern w:val="0"/>
                <w:sz w:val="21"/>
              </w:rPr>
              <w:t>100</w:t>
            </w:r>
            <w:r>
              <w:rPr>
                <w:rFonts w:hint="eastAsia" w:cs="宋体"/>
                <w:color w:val="auto"/>
                <w:kern w:val="0"/>
                <w:sz w:val="21"/>
              </w:rPr>
              <w:t>米；</w:t>
            </w:r>
          </w:p>
          <w:p>
            <w:pPr>
              <w:tabs>
                <w:tab w:val="left" w:pos="720"/>
              </w:tabs>
              <w:wordWrap w:val="0"/>
              <w:adjustRightInd w:val="0"/>
              <w:snapToGrid w:val="0"/>
              <w:spacing w:line="240" w:lineRule="auto"/>
              <w:jc w:val="left"/>
              <w:textAlignment w:val="center"/>
              <w:rPr>
                <w:rFonts w:hint="eastAsia" w:eastAsia="宋体" w:cs="宋体"/>
                <w:color w:val="auto"/>
                <w:kern w:val="0"/>
                <w:sz w:val="21"/>
                <w:lang w:eastAsia="zh-CN"/>
              </w:rPr>
            </w:pPr>
            <w:r>
              <w:rPr>
                <w:rFonts w:hint="eastAsia" w:cs="宋体"/>
                <w:color w:val="auto"/>
                <w:kern w:val="0"/>
                <w:sz w:val="21"/>
              </w:rPr>
              <w:t>（二）公路渡口和中型以上公路桥梁周围</w:t>
            </w:r>
            <w:r>
              <w:rPr>
                <w:rFonts w:cs="Times New Roman"/>
                <w:color w:val="auto"/>
                <w:kern w:val="0"/>
                <w:sz w:val="21"/>
              </w:rPr>
              <w:t>200</w:t>
            </w:r>
            <w:r>
              <w:rPr>
                <w:rFonts w:hint="eastAsia" w:cs="宋体"/>
                <w:color w:val="auto"/>
                <w:kern w:val="0"/>
                <w:sz w:val="21"/>
              </w:rPr>
              <w:t>米；</w:t>
            </w:r>
          </w:p>
          <w:p>
            <w:pPr>
              <w:tabs>
                <w:tab w:val="left" w:pos="720"/>
              </w:tabs>
              <w:wordWrap w:val="0"/>
              <w:adjustRightInd w:val="0"/>
              <w:snapToGrid w:val="0"/>
              <w:spacing w:line="240" w:lineRule="auto"/>
              <w:jc w:val="left"/>
              <w:textAlignment w:val="center"/>
              <w:rPr>
                <w:rFonts w:cs="Times New Roman"/>
                <w:color w:val="auto"/>
                <w:kern w:val="0"/>
                <w:sz w:val="21"/>
                <w:szCs w:val="21"/>
              </w:rPr>
            </w:pPr>
            <w:r>
              <w:rPr>
                <w:rFonts w:hint="eastAsia" w:cs="宋体"/>
                <w:color w:val="auto"/>
                <w:kern w:val="0"/>
                <w:sz w:val="21"/>
              </w:rPr>
              <w:t>（三）公路隧道上方和洞口外</w:t>
            </w:r>
            <w:r>
              <w:rPr>
                <w:rFonts w:cs="Times New Roman"/>
                <w:color w:val="auto"/>
                <w:kern w:val="0"/>
                <w:sz w:val="21"/>
              </w:rPr>
              <w:t>100</w:t>
            </w:r>
            <w:r>
              <w:rPr>
                <w:rFonts w:hint="eastAsia" w:cs="宋体"/>
                <w:color w:val="auto"/>
                <w:kern w:val="0"/>
                <w:sz w:val="21"/>
              </w:rPr>
              <w:t>米。</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w:t>
            </w:r>
            <w:r>
              <w:rPr>
                <w:rFonts w:hint="eastAsia" w:cs="Times New Roman"/>
                <w:color w:val="auto"/>
                <w:kern w:val="0"/>
                <w:sz w:val="21"/>
              </w:rPr>
              <w:t>7</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距离最近的公路大于100m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523"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29</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宋体"/>
                <w:color w:val="auto"/>
                <w:kern w:val="0"/>
                <w:sz w:val="21"/>
              </w:rPr>
              <w:t>工业企业选址宜避开自然疫源地；对于因建设工程需要等原因不能避开的，应设计具体的疫情综合预防控制措施。</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《化工企业安全卫生设计规范》第</w:t>
            </w:r>
            <w:r>
              <w:rPr>
                <w:rFonts w:cs="Times New Roman"/>
                <w:color w:val="auto"/>
                <w:kern w:val="0"/>
                <w:sz w:val="21"/>
              </w:rPr>
              <w:t>3.1.</w:t>
            </w:r>
            <w:r>
              <w:rPr>
                <w:rFonts w:hint="eastAsia" w:cs="Times New Roman"/>
                <w:color w:val="auto"/>
                <w:kern w:val="0"/>
                <w:sz w:val="21"/>
              </w:rPr>
              <w:t>9</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不在自然疫源地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ascii="宋体" w:hAnsi="宋体" w:cs="宋体"/>
                <w:color w:val="auto"/>
                <w:kern w:val="0"/>
                <w:sz w:val="21"/>
              </w:rPr>
              <w:t>合理规划化工产业布局。各设区市人民政府要按照《国务院安委会办公室关于进一步加强危险化学品安全生产工作的指导意见》（安委办〔2008〕26号）的要求，制定化工行业安全发展规划。在已有一定化工产业基础、有矿产资源优势和环境容量的县（市、区），按照“产业集聚”与“集约用地”的原则，确定化工集中区域或化工园区，明确产业定位，逐步完善水电气、污水处理等公用工程配套和安全保障设施。2010年底前，在城乡建设总体规划的基础上，完成化工行业安全发展规划编制工作，确定危险化学品生产、储存的专门区域。从2011年3月起，对没有划定危险化学品生产、储存专门区域的地区，城乡规划部门原则上不再受理危险化学品生产、储存建设项目“一书两证”（规划选址意见书、建设用地规划许可证、建设工程规划许可证）的申请许可，安全监管部门原则上不再受理危险化学品生产、储存建设项目的安全审查申请，投资主管部门原则上不再受理危险化学品生产、储存建设项目的立项申请，新建化工项目原则上必须进入产业集中区或化工园区。</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ascii="宋体" w:hAnsi="宋体" w:cs="宋体"/>
                <w:color w:val="auto"/>
                <w:kern w:val="0"/>
                <w:sz w:val="21"/>
                <w:szCs w:val="21"/>
              </w:rPr>
            </w:pPr>
            <w:r>
              <w:rPr>
                <w:rFonts w:hint="eastAsia" w:ascii="宋体" w:hAnsi="宋体" w:cs="宋体"/>
                <w:color w:val="auto"/>
                <w:kern w:val="0"/>
                <w:sz w:val="21"/>
              </w:rPr>
              <w:t>江西省人民政府办公厅赣府厅发</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安全生产设施技术改造项目，已通过相关规划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31</w:t>
            </w:r>
          </w:p>
        </w:tc>
        <w:tc>
          <w:tcPr>
            <w:tcW w:w="4023"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宋体"/>
                <w:color w:val="auto"/>
                <w:kern w:val="0"/>
                <w:sz w:val="21"/>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670" w:type="dxa"/>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《工业企业设计卫生标准》第</w:t>
            </w:r>
            <w:r>
              <w:rPr>
                <w:rFonts w:cs="Times New Roman"/>
                <w:color w:val="auto"/>
                <w:kern w:val="0"/>
                <w:sz w:val="21"/>
              </w:rPr>
              <w:t>5.1.3</w:t>
            </w:r>
            <w:r>
              <w:rPr>
                <w:rFonts w:hint="eastAsia" w:cs="宋体"/>
                <w:color w:val="auto"/>
                <w:kern w:val="0"/>
                <w:sz w:val="21"/>
              </w:rPr>
              <w:t>条</w:t>
            </w:r>
          </w:p>
        </w:tc>
        <w:tc>
          <w:tcPr>
            <w:tcW w:w="22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宋体"/>
                <w:color w:val="auto"/>
                <w:kern w:val="0"/>
                <w:sz w:val="21"/>
              </w:rPr>
              <w:t>不属于被原工业企业污染的土地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32</w:t>
            </w:r>
          </w:p>
        </w:tc>
        <w:tc>
          <w:tcPr>
            <w:tcW w:w="4023" w:type="dxa"/>
            <w:vAlign w:val="center"/>
          </w:tcPr>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危险化学品生产装置或者储存数量构成重大危险源的危险化学品储存设施（运输工具加油站、加气站除外），与下列场所、设施、区域的距离应当符合国家有关规定：</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（一）居住区以及商业中心、公园等人员密集场所；</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（二）学校、医院、影剧院、体育场（馆）等公共设施；</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（三）饮用水源、水厂以及水源保护区；</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（四）车站、码头（依法经许可从事危险化学品装卸作业的除外）、机场以及通信干线、通信枢纽、铁路线路、道路交通干线、水路交通干线、地铁风亭以及地铁站出入口；</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（五）基本农田保护区、基本草原、畜禽遗传资源保护区、畜禽规模化养殖场（养殖小区）、渔业水域以及种子、种畜禽、水产苗种生产基地；</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（六）河流、湖泊、风景名胜区、自然保护区；</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（七）军事禁区、军事管理区；</w:t>
            </w:r>
          </w:p>
          <w:p>
            <w:pPr>
              <w:wordWrap w:val="0"/>
              <w:adjustRightInd w:val="0"/>
              <w:snapToGrid w:val="0"/>
              <w:spacing w:line="240" w:lineRule="exact"/>
              <w:jc w:val="left"/>
              <w:textAlignment w:val="center"/>
              <w:rPr>
                <w:rFonts w:cs="Times New Roman"/>
                <w:bCs/>
                <w:color w:val="auto"/>
                <w:sz w:val="21"/>
                <w:szCs w:val="21"/>
                <w:u w:val="single"/>
              </w:rPr>
            </w:pPr>
            <w:r>
              <w:rPr>
                <w:rFonts w:cs="Times New Roman"/>
                <w:color w:val="auto"/>
                <w:sz w:val="21"/>
                <w:szCs w:val="21"/>
              </w:rPr>
              <w:t>（八）法律、行政法规规定的其他场所、设施、区域。</w:t>
            </w:r>
          </w:p>
        </w:tc>
        <w:tc>
          <w:tcPr>
            <w:tcW w:w="670"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bCs/>
                <w:color w:val="auto"/>
                <w:kern w:val="0"/>
                <w:sz w:val="21"/>
                <w:szCs w:val="21"/>
              </w:rPr>
              <w:t>符合要求</w:t>
            </w:r>
          </w:p>
        </w:tc>
        <w:tc>
          <w:tcPr>
            <w:tcW w:w="1610" w:type="dxa"/>
            <w:vAlign w:val="center"/>
          </w:tcPr>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国务院令第591号第十九条</w:t>
            </w:r>
          </w:p>
        </w:tc>
        <w:tc>
          <w:tcPr>
            <w:tcW w:w="2243" w:type="dxa"/>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不</w:t>
            </w:r>
            <w:r>
              <w:rPr>
                <w:rFonts w:cs="Times New Roman"/>
                <w:color w:val="auto"/>
                <w:sz w:val="21"/>
                <w:szCs w:val="21"/>
              </w:rPr>
              <w:t>构成重大危险源</w:t>
            </w:r>
          </w:p>
        </w:tc>
      </w:tr>
    </w:tbl>
    <w:p>
      <w:pPr>
        <w:wordWrap w:val="0"/>
        <w:adjustRightInd w:val="0"/>
        <w:snapToGrid w:val="0"/>
        <w:ind w:firstLine="560" w:firstLineChars="200"/>
        <w:jc w:val="left"/>
        <w:textAlignment w:val="center"/>
        <w:rPr>
          <w:rFonts w:cs="Times New Roman"/>
          <w:color w:val="auto"/>
          <w:kern w:val="0"/>
          <w:szCs w:val="28"/>
        </w:rPr>
      </w:pPr>
      <w:r>
        <w:rPr>
          <w:rFonts w:cs="Times New Roman"/>
          <w:color w:val="auto"/>
          <w:kern w:val="0"/>
          <w:szCs w:val="28"/>
        </w:rPr>
        <w:t>2</w:t>
      </w:r>
      <w:r>
        <w:rPr>
          <w:rFonts w:hint="eastAsia" w:cs="Times New Roman"/>
          <w:color w:val="auto"/>
          <w:kern w:val="0"/>
          <w:szCs w:val="28"/>
        </w:rPr>
        <w:t>、</w:t>
      </w:r>
      <w:r>
        <w:rPr>
          <w:rFonts w:cs="Times New Roman"/>
          <w:color w:val="auto"/>
          <w:kern w:val="0"/>
          <w:szCs w:val="28"/>
        </w:rPr>
        <w:t>评价小节：</w:t>
      </w:r>
    </w:p>
    <w:p>
      <w:pPr>
        <w:wordWrap w:val="0"/>
        <w:adjustRightInd w:val="0"/>
        <w:snapToGrid w:val="0"/>
        <w:ind w:firstLine="560" w:firstLineChars="200"/>
        <w:jc w:val="left"/>
        <w:textAlignment w:val="center"/>
        <w:rPr>
          <w:rFonts w:cs="Times New Roman"/>
          <w:color w:val="auto"/>
          <w:szCs w:val="28"/>
        </w:rPr>
      </w:pPr>
      <w:r>
        <w:rPr>
          <w:rFonts w:cs="Times New Roman"/>
          <w:color w:val="auto"/>
          <w:kern w:val="0"/>
          <w:szCs w:val="28"/>
        </w:rPr>
        <w:t>评价组</w:t>
      </w:r>
      <w:r>
        <w:rPr>
          <w:rFonts w:cs="Times New Roman"/>
          <w:color w:val="auto"/>
          <w:szCs w:val="28"/>
        </w:rPr>
        <w:t>根据</w:t>
      </w:r>
      <w:r>
        <w:rPr>
          <w:rFonts w:hint="eastAsia" w:cs="Times New Roman"/>
          <w:color w:val="auto"/>
          <w:szCs w:val="28"/>
        </w:rPr>
        <w:t>该公司</w:t>
      </w:r>
      <w:r>
        <w:rPr>
          <w:rFonts w:cs="Times New Roman"/>
          <w:color w:val="auto"/>
          <w:szCs w:val="28"/>
        </w:rPr>
        <w:t>所提供的资料和现场检查情况，</w:t>
      </w:r>
      <w:r>
        <w:rPr>
          <w:rFonts w:cs="Times New Roman"/>
          <w:color w:val="auto"/>
          <w:kern w:val="0"/>
          <w:szCs w:val="28"/>
        </w:rPr>
        <w:t>对本项目</w:t>
      </w:r>
      <w:r>
        <w:rPr>
          <w:rFonts w:cs="Times New Roman"/>
          <w:bCs/>
          <w:color w:val="auto"/>
          <w:kern w:val="0"/>
          <w:szCs w:val="28"/>
        </w:rPr>
        <w:t>的</w:t>
      </w:r>
      <w:r>
        <w:rPr>
          <w:rFonts w:cs="Times New Roman"/>
          <w:color w:val="auto"/>
          <w:kern w:val="0"/>
          <w:szCs w:val="28"/>
        </w:rPr>
        <w:t>选址及周边环境情况</w:t>
      </w:r>
      <w:r>
        <w:rPr>
          <w:rFonts w:cs="Times New Roman"/>
          <w:color w:val="auto"/>
          <w:szCs w:val="28"/>
        </w:rPr>
        <w:t>评价小结如下：</w:t>
      </w:r>
    </w:p>
    <w:p>
      <w:pPr>
        <w:wordWrap w:val="0"/>
        <w:adjustRightInd w:val="0"/>
        <w:snapToGrid w:val="0"/>
        <w:ind w:firstLine="560" w:firstLineChars="200"/>
        <w:textAlignment w:val="center"/>
        <w:rPr>
          <w:rFonts w:cs="Times New Roman"/>
          <w:color w:val="auto"/>
          <w:szCs w:val="28"/>
        </w:rPr>
      </w:pPr>
      <w:r>
        <w:rPr>
          <w:rFonts w:cs="Times New Roman"/>
          <w:color w:val="auto"/>
          <w:szCs w:val="28"/>
        </w:rPr>
        <w:t>1）本项目为安全生产设施技术改造项目，已通过相关规划</w:t>
      </w:r>
      <w:r>
        <w:rPr>
          <w:rFonts w:hint="eastAsia" w:cs="Times New Roman"/>
          <w:color w:val="auto"/>
          <w:szCs w:val="28"/>
        </w:rPr>
        <w:t>，</w:t>
      </w:r>
      <w:r>
        <w:rPr>
          <w:rFonts w:cs="Times New Roman"/>
          <w:color w:val="auto"/>
          <w:szCs w:val="28"/>
        </w:rPr>
        <w:t>符合当地规划要求。</w:t>
      </w:r>
    </w:p>
    <w:p>
      <w:pPr>
        <w:wordWrap w:val="0"/>
        <w:adjustRightInd w:val="0"/>
        <w:snapToGrid w:val="0"/>
        <w:ind w:firstLine="560" w:firstLineChars="200"/>
        <w:textAlignment w:val="center"/>
        <w:rPr>
          <w:rFonts w:cs="Times New Roman"/>
          <w:color w:val="auto"/>
          <w:szCs w:val="28"/>
        </w:rPr>
      </w:pPr>
      <w:r>
        <w:rPr>
          <w:rFonts w:cs="Times New Roman"/>
          <w:color w:val="auto"/>
          <w:szCs w:val="28"/>
        </w:rPr>
        <w:t>2）</w:t>
      </w:r>
      <w:r>
        <w:rPr>
          <w:rFonts w:hint="eastAsia" w:cs="Times New Roman"/>
          <w:color w:val="auto"/>
          <w:szCs w:val="28"/>
        </w:rPr>
        <w:t>本</w:t>
      </w:r>
      <w:r>
        <w:rPr>
          <w:rFonts w:cs="Times New Roman"/>
          <w:color w:val="auto"/>
          <w:szCs w:val="28"/>
        </w:rPr>
        <w:t>项目</w:t>
      </w:r>
      <w:r>
        <w:rPr>
          <w:rFonts w:hint="eastAsia" w:cs="Times New Roman"/>
          <w:color w:val="auto"/>
          <w:szCs w:val="28"/>
        </w:rPr>
        <w:t>新建106甲类仓库的</w:t>
      </w:r>
      <w:r>
        <w:rPr>
          <w:rFonts w:cs="Times New Roman"/>
          <w:color w:val="auto"/>
          <w:szCs w:val="28"/>
        </w:rPr>
        <w:t>选址无不良地质情况，周边无重要的供水水源卫生保护区、国家规定的风景区及森林和自然保护区历史文物古迹保护区等；基地地下无具有开采价值的矿藏。</w:t>
      </w:r>
    </w:p>
    <w:p>
      <w:pPr>
        <w:wordWrap w:val="0"/>
        <w:adjustRightInd w:val="0"/>
        <w:snapToGrid w:val="0"/>
        <w:ind w:firstLine="560" w:firstLineChars="200"/>
        <w:textAlignment w:val="center"/>
        <w:rPr>
          <w:rFonts w:cs="Times New Roman"/>
          <w:color w:val="auto"/>
          <w:szCs w:val="28"/>
        </w:rPr>
      </w:pPr>
      <w:r>
        <w:rPr>
          <w:rFonts w:cs="Times New Roman"/>
          <w:color w:val="auto"/>
          <w:szCs w:val="28"/>
        </w:rPr>
        <w:t>3）</w:t>
      </w:r>
      <w:r>
        <w:rPr>
          <w:rFonts w:hint="eastAsia" w:cs="Times New Roman"/>
          <w:color w:val="auto"/>
          <w:szCs w:val="28"/>
        </w:rPr>
        <w:t>本</w:t>
      </w:r>
      <w:r>
        <w:rPr>
          <w:rFonts w:cs="Times New Roman"/>
          <w:color w:val="auto"/>
          <w:szCs w:val="28"/>
        </w:rPr>
        <w:t>项目所在地地震设防烈度为6度，无不良地质地段。周边无重要的供水水源卫生保护区、国家规定的风景区及森林和自然保护区历史文物古迹保护区等；基地地下无具有开采价值的矿藏；</w:t>
      </w:r>
    </w:p>
    <w:p>
      <w:pPr>
        <w:wordWrap w:val="0"/>
        <w:adjustRightInd w:val="0"/>
        <w:snapToGrid w:val="0"/>
        <w:ind w:firstLine="560" w:firstLineChars="200"/>
        <w:textAlignment w:val="center"/>
        <w:rPr>
          <w:rFonts w:cs="Times New Roman"/>
          <w:color w:val="auto"/>
          <w:szCs w:val="28"/>
        </w:rPr>
      </w:pPr>
      <w:r>
        <w:rPr>
          <w:rFonts w:cs="Times New Roman"/>
          <w:color w:val="auto"/>
          <w:szCs w:val="28"/>
        </w:rPr>
        <w:t>4）</w:t>
      </w:r>
      <w:r>
        <w:rPr>
          <w:rFonts w:hint="eastAsia" w:cs="Times New Roman"/>
          <w:color w:val="auto"/>
          <w:szCs w:val="28"/>
        </w:rPr>
        <w:t>本</w:t>
      </w:r>
      <w:r>
        <w:rPr>
          <w:rFonts w:cs="Times New Roman"/>
          <w:color w:val="auto"/>
          <w:szCs w:val="28"/>
        </w:rPr>
        <w:t>项目</w:t>
      </w:r>
      <w:r>
        <w:rPr>
          <w:rFonts w:hint="eastAsia" w:cs="Times New Roman"/>
          <w:color w:val="auto"/>
          <w:szCs w:val="28"/>
        </w:rPr>
        <w:t>106甲类仓库</w:t>
      </w:r>
      <w:r>
        <w:rPr>
          <w:rFonts w:cs="Times New Roman"/>
          <w:color w:val="auto"/>
          <w:szCs w:val="28"/>
        </w:rPr>
        <w:t>与周边企业、最近居民区</w:t>
      </w:r>
      <w:r>
        <w:rPr>
          <w:rFonts w:hint="eastAsia" w:cs="Times New Roman"/>
          <w:color w:val="auto"/>
          <w:szCs w:val="28"/>
        </w:rPr>
        <w:t>的</w:t>
      </w:r>
      <w:r>
        <w:rPr>
          <w:rFonts w:cs="Times New Roman"/>
          <w:color w:val="auto"/>
          <w:szCs w:val="28"/>
        </w:rPr>
        <w:t>间距符合要求。</w:t>
      </w:r>
    </w:p>
    <w:p>
      <w:pPr>
        <w:wordWrap w:val="0"/>
        <w:adjustRightInd w:val="0"/>
        <w:snapToGrid w:val="0"/>
        <w:ind w:firstLine="560" w:firstLineChars="200"/>
        <w:textAlignment w:val="center"/>
        <w:rPr>
          <w:rFonts w:cs="Times New Roman"/>
          <w:color w:val="auto"/>
          <w:szCs w:val="28"/>
        </w:rPr>
      </w:pPr>
      <w:r>
        <w:rPr>
          <w:rFonts w:hint="eastAsia" w:cs="Times New Roman"/>
          <w:color w:val="auto"/>
          <w:szCs w:val="28"/>
        </w:rPr>
        <w:t>5</w:t>
      </w:r>
      <w:r>
        <w:rPr>
          <w:rFonts w:cs="Times New Roman"/>
          <w:color w:val="auto"/>
          <w:szCs w:val="28"/>
        </w:rPr>
        <w:t>）对该单元进行了</w:t>
      </w:r>
      <w:r>
        <w:rPr>
          <w:rFonts w:hint="eastAsia" w:cs="Times New Roman"/>
          <w:color w:val="auto"/>
          <w:szCs w:val="28"/>
        </w:rPr>
        <w:t>32</w:t>
      </w:r>
      <w:r>
        <w:rPr>
          <w:rFonts w:cs="Times New Roman"/>
          <w:color w:val="auto"/>
          <w:szCs w:val="28"/>
        </w:rPr>
        <w:t>项现场检查，</w:t>
      </w:r>
      <w:r>
        <w:rPr>
          <w:rFonts w:hint="eastAsia" w:cs="Times New Roman"/>
          <w:color w:val="auto"/>
          <w:szCs w:val="28"/>
        </w:rPr>
        <w:t>均</w:t>
      </w:r>
      <w:r>
        <w:rPr>
          <w:rFonts w:cs="Times New Roman"/>
          <w:color w:val="auto"/>
          <w:szCs w:val="28"/>
        </w:rPr>
        <w:t>符合要求。</w:t>
      </w:r>
    </w:p>
    <w:p>
      <w:pPr>
        <w:wordWrap w:val="0"/>
        <w:adjustRightInd w:val="0"/>
        <w:snapToGrid w:val="0"/>
        <w:jc w:val="center"/>
        <w:textAlignment w:val="center"/>
        <w:outlineLvl w:val="1"/>
        <w:rPr>
          <w:b/>
          <w:bCs/>
          <w:color w:val="auto"/>
          <w:kern w:val="0"/>
        </w:rPr>
      </w:pPr>
      <w:bookmarkStart w:id="205" w:name="_Toc14806"/>
      <w:bookmarkStart w:id="206" w:name="_Toc28929"/>
      <w:bookmarkStart w:id="207" w:name="_Toc4001"/>
      <w:r>
        <w:rPr>
          <w:rFonts w:hint="eastAsia"/>
          <w:b/>
          <w:bCs/>
          <w:color w:val="auto"/>
          <w:kern w:val="0"/>
        </w:rPr>
        <w:t>5.2 平面布置及建构筑物单元</w:t>
      </w:r>
      <w:bookmarkEnd w:id="205"/>
      <w:bookmarkEnd w:id="206"/>
      <w:bookmarkEnd w:id="207"/>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该公司厂址位于江西省</w:t>
      </w:r>
      <w:r>
        <w:rPr>
          <w:rFonts w:hint="eastAsia"/>
          <w:color w:val="auto"/>
          <w:sz w:val="28"/>
          <w:szCs w:val="28"/>
        </w:rPr>
        <w:t>丰城市高新技术产业园区内</w:t>
      </w:r>
      <w:r>
        <w:rPr>
          <w:rFonts w:hint="eastAsia" w:hAnsi="Times New Roman"/>
          <w:color w:val="auto"/>
          <w:sz w:val="28"/>
          <w:szCs w:val="28"/>
        </w:rPr>
        <w:t>。厂区总占地面积为34235㎡（约51.35亩），建筑物占地总面积为7127㎡。厂区现有建构筑物有：101水性车间、102油性车间、103原料仓库、104原料、成品仓库、105成品仓库、201污水池、202消防水池、203事故池、204配电室、301行政办公楼、302研发中心、303倒班楼、304食堂、305厕所，另有围墙、门卫等。</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中间有一条500KV的高压线从厂区区域中央分离带穿过，根据电力设施保护条例要求，高压线两边20m为电力线保护区域范围，本项目厂区内穿过的500KV高压线两边34m内的区域均为空地，满足电力设施保护条例的电力线保护区域范围要求。除去空地外，本工程厂区按功能分区大致分为四个区：办公区、绿化区、生产区。</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厂区设有两个出入口，在办公区与生产区之间设置了厂区主出入口，在厂区南侧围墙的东部设有生产区次出入口，在厂区南侧围墙的西部设主要出入口。厂区周边设实体围墙，可与周边有效隔开。</w:t>
      </w:r>
    </w:p>
    <w:p>
      <w:pPr>
        <w:pStyle w:val="64"/>
        <w:widowControl w:val="0"/>
        <w:wordWrap w:val="0"/>
        <w:spacing w:line="600" w:lineRule="exact"/>
        <w:ind w:firstLine="560"/>
        <w:textAlignment w:val="center"/>
        <w:rPr>
          <w:rFonts w:hAnsi="Times New Roman"/>
          <w:color w:val="auto"/>
          <w:sz w:val="28"/>
          <w:szCs w:val="28"/>
        </w:rPr>
      </w:pPr>
      <w:r>
        <w:rPr>
          <w:rFonts w:hint="eastAsia" w:hAnsi="Times New Roman"/>
          <w:color w:val="auto"/>
          <w:sz w:val="28"/>
          <w:szCs w:val="28"/>
        </w:rPr>
        <w:t>厂区内主要道路路宽6.0m（厂区南侧次要出入口区域存在一段主要道路路宽为4m），次道路路宽不小于4.0m，生产区、仓库等场所道路呈环形布置，满足运输、消防的安全要求。</w:t>
      </w:r>
    </w:p>
    <w:p>
      <w:pPr>
        <w:wordWrap w:val="0"/>
        <w:adjustRightInd w:val="0"/>
        <w:snapToGrid w:val="0"/>
        <w:ind w:firstLine="537" w:firstLineChars="192"/>
        <w:jc w:val="left"/>
        <w:textAlignment w:val="center"/>
        <w:rPr>
          <w:color w:val="auto"/>
          <w:szCs w:val="28"/>
        </w:rPr>
      </w:pPr>
      <w:r>
        <w:rPr>
          <w:rFonts w:hint="eastAsia"/>
          <w:color w:val="auto"/>
          <w:szCs w:val="28"/>
        </w:rPr>
        <w:t>本项目仅新增一座750m</w:t>
      </w:r>
      <w:r>
        <w:rPr>
          <w:rFonts w:hint="eastAsia"/>
          <w:color w:val="auto"/>
          <w:szCs w:val="28"/>
          <w:vertAlign w:val="superscript"/>
        </w:rPr>
        <w:t>2</w:t>
      </w:r>
      <w:r>
        <w:rPr>
          <w:rFonts w:hint="eastAsia"/>
          <w:color w:val="auto"/>
          <w:szCs w:val="28"/>
        </w:rPr>
        <w:t>甲类仓库，</w:t>
      </w:r>
      <w:r>
        <w:rPr>
          <w:color w:val="auto"/>
          <w:szCs w:val="28"/>
        </w:rPr>
        <w:t>平面布置</w:t>
      </w:r>
      <w:r>
        <w:rPr>
          <w:rFonts w:hint="eastAsia"/>
          <w:color w:val="auto"/>
          <w:szCs w:val="28"/>
        </w:rPr>
        <w:t>内容均不发生改动，本项目已建建构筑不在本次评价范围之内，总平面布置前期已验收，包括道路系统、出入口的设置、围墙，本次评价只评价新建建筑物及其周边道路。</w:t>
      </w:r>
    </w:p>
    <w:p>
      <w:pPr>
        <w:wordWrap w:val="0"/>
        <w:adjustRightInd w:val="0"/>
        <w:snapToGrid w:val="0"/>
        <w:ind w:firstLine="560" w:firstLineChars="200"/>
        <w:textAlignment w:val="center"/>
        <w:rPr>
          <w:color w:val="auto"/>
          <w:kern w:val="0"/>
        </w:rPr>
      </w:pPr>
      <w:r>
        <w:rPr>
          <w:rFonts w:hint="eastAsia"/>
          <w:color w:val="auto"/>
          <w:kern w:val="0"/>
        </w:rPr>
        <w:t>该公司各建构筑物之间的距离见下表5.2-1。</w:t>
      </w:r>
    </w:p>
    <w:p>
      <w:pPr>
        <w:wordWrap w:val="0"/>
        <w:adjustRightInd w:val="0"/>
        <w:snapToGrid w:val="0"/>
        <w:jc w:val="center"/>
        <w:textAlignment w:val="center"/>
        <w:rPr>
          <w:color w:val="auto"/>
          <w:kern w:val="0"/>
        </w:rPr>
      </w:pPr>
      <w:r>
        <w:rPr>
          <w:rFonts w:hint="eastAsia"/>
          <w:color w:val="auto"/>
          <w:kern w:val="0"/>
        </w:rPr>
        <w:t>表5.2-1  本项目建构筑物防火间距一览表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6"/>
        <w:gridCol w:w="1245"/>
        <w:gridCol w:w="831"/>
        <w:gridCol w:w="2065"/>
        <w:gridCol w:w="879"/>
        <w:gridCol w:w="847"/>
        <w:gridCol w:w="700"/>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66"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序号</w:t>
            </w:r>
          </w:p>
        </w:tc>
        <w:tc>
          <w:tcPr>
            <w:tcW w:w="1245"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建筑、装置、</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设施</w:t>
            </w:r>
          </w:p>
        </w:tc>
        <w:tc>
          <w:tcPr>
            <w:tcW w:w="831"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方位</w:t>
            </w:r>
          </w:p>
        </w:tc>
        <w:tc>
          <w:tcPr>
            <w:tcW w:w="2065"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建筑、装置、设施</w:t>
            </w:r>
          </w:p>
        </w:tc>
        <w:tc>
          <w:tcPr>
            <w:tcW w:w="879"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实际距</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离m</w:t>
            </w:r>
          </w:p>
        </w:tc>
        <w:tc>
          <w:tcPr>
            <w:tcW w:w="847"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规范距</w:t>
            </w:r>
          </w:p>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离 m</w:t>
            </w:r>
          </w:p>
        </w:tc>
        <w:tc>
          <w:tcPr>
            <w:tcW w:w="700"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结论</w:t>
            </w:r>
          </w:p>
        </w:tc>
        <w:tc>
          <w:tcPr>
            <w:tcW w:w="2038" w:type="dxa"/>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color w:val="auto"/>
                <w:sz w:val="21"/>
                <w:szCs w:val="21"/>
              </w:rPr>
            </w:pPr>
            <w:r>
              <w:rPr>
                <w:rFonts w:cs="Times New Roman"/>
                <w:b/>
                <w:color w:val="auto"/>
                <w:sz w:val="21"/>
                <w:szCs w:val="21"/>
              </w:rPr>
              <w:t>依据规范及条款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66" w:type="dxa"/>
            <w:vMerge w:val="restart"/>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w:t>
            </w:r>
          </w:p>
        </w:tc>
        <w:tc>
          <w:tcPr>
            <w:tcW w:w="1245" w:type="dxa"/>
            <w:vMerge w:val="restart"/>
            <w:tcBorders>
              <w:top w:val="single" w:color="auto" w:sz="4" w:space="0"/>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106甲类仓</w:t>
            </w:r>
          </w:p>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库（新建）</w:t>
            </w: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消防道路</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hint="eastAsia" w:cs="Times New Roman"/>
                <w:bCs/>
                <w:color w:val="auto"/>
                <w:sz w:val="21"/>
                <w:szCs w:val="21"/>
              </w:rPr>
              <w:t>5</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厂区围墙</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15.8</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西</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消防道路</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hint="eastAsia" w:cs="Times New Roman"/>
                <w:bCs/>
                <w:color w:val="auto"/>
                <w:sz w:val="21"/>
                <w:szCs w:val="21"/>
              </w:rPr>
              <w:t>5</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hint="eastAsia" w:cs="Times New Roman"/>
                <w:bCs/>
                <w:color w:val="auto"/>
                <w:sz w:val="21"/>
                <w:szCs w:val="21"/>
              </w:rPr>
              <w:t>5</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西</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厂区围墙</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主要道路</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15</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hint="eastAsia" w:cs="Times New Roman"/>
                <w:bCs/>
                <w:color w:val="auto"/>
                <w:sz w:val="21"/>
                <w:szCs w:val="21"/>
              </w:rPr>
              <w:t>10</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《精标》表4.3.2</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hint="eastAsia" w:eastAsia="宋体" w:cs="Times New Roman"/>
                <w:bCs/>
                <w:color w:val="auto"/>
                <w:sz w:val="21"/>
                <w:szCs w:val="21"/>
                <w:lang w:eastAsia="zh-CN"/>
              </w:rPr>
            </w:pPr>
            <w:r>
              <w:rPr>
                <w:rFonts w:cs="Times New Roman"/>
                <w:bCs/>
                <w:color w:val="auto"/>
                <w:sz w:val="21"/>
                <w:szCs w:val="21"/>
              </w:rPr>
              <w:t>303</w:t>
            </w:r>
            <w:r>
              <w:rPr>
                <w:rFonts w:hint="eastAsia" w:cs="Times New Roman"/>
                <w:bCs/>
                <w:color w:val="auto"/>
                <w:sz w:val="21"/>
                <w:szCs w:val="21"/>
                <w:lang w:val="en-US" w:eastAsia="zh-CN"/>
              </w:rPr>
              <w:t>倒班楼</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30.9</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《建规》表3.5.1</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302研发中心</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30</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《精标》表4.2.9</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4" w:hRule="atLeast"/>
          <w:jc w:val="center"/>
        </w:trPr>
        <w:tc>
          <w:tcPr>
            <w:tcW w:w="466" w:type="dxa"/>
            <w:vMerge w:val="continue"/>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1245" w:type="dxa"/>
            <w:vMerge w:val="continue"/>
            <w:tcBorders>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p>
        </w:tc>
        <w:tc>
          <w:tcPr>
            <w:tcW w:w="83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东北</w:t>
            </w:r>
          </w:p>
        </w:tc>
        <w:tc>
          <w:tcPr>
            <w:tcW w:w="2065"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500kv高压线</w:t>
            </w:r>
            <w:r>
              <w:rPr>
                <w:rFonts w:hint="eastAsia" w:cs="Times New Roman"/>
                <w:bCs/>
                <w:color w:val="auto"/>
                <w:sz w:val="21"/>
                <w:szCs w:val="21"/>
              </w:rPr>
              <w:t>（</w:t>
            </w:r>
            <w:r>
              <w:rPr>
                <w:rFonts w:cs="Times New Roman"/>
                <w:bCs/>
                <w:color w:val="auto"/>
                <w:sz w:val="21"/>
                <w:szCs w:val="21"/>
              </w:rPr>
              <w:t>40m</w:t>
            </w:r>
          </w:p>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高）</w:t>
            </w:r>
          </w:p>
        </w:tc>
        <w:tc>
          <w:tcPr>
            <w:tcW w:w="879"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60.2</w:t>
            </w:r>
          </w:p>
        </w:tc>
        <w:tc>
          <w:tcPr>
            <w:tcW w:w="847"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60</w:t>
            </w:r>
          </w:p>
        </w:tc>
        <w:tc>
          <w:tcPr>
            <w:tcW w:w="70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符合</w:t>
            </w:r>
          </w:p>
        </w:tc>
        <w:tc>
          <w:tcPr>
            <w:tcW w:w="2038"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《建规》表10.2.1</w:t>
            </w:r>
          </w:p>
        </w:tc>
      </w:tr>
    </w:tbl>
    <w:p>
      <w:pPr>
        <w:wordWrap w:val="0"/>
        <w:adjustRightInd w:val="0"/>
        <w:snapToGrid w:val="0"/>
        <w:spacing w:line="240" w:lineRule="exact"/>
        <w:textAlignment w:val="center"/>
        <w:rPr>
          <w:color w:val="auto"/>
          <w:kern w:val="0"/>
        </w:rPr>
      </w:pPr>
      <w:r>
        <w:rPr>
          <w:rFonts w:hint="eastAsia"/>
          <w:color w:val="auto"/>
          <w:kern w:val="0"/>
          <w:sz w:val="18"/>
          <w:szCs w:val="18"/>
        </w:rPr>
        <w:t>注：表中所列《建规》、《精标》分别指《建筑设计防火规范（2</w:t>
      </w:r>
      <w:r>
        <w:rPr>
          <w:color w:val="auto"/>
          <w:kern w:val="0"/>
          <w:sz w:val="18"/>
          <w:szCs w:val="18"/>
        </w:rPr>
        <w:t>018</w:t>
      </w:r>
      <w:r>
        <w:rPr>
          <w:rFonts w:hint="eastAsia"/>
          <w:color w:val="auto"/>
          <w:kern w:val="0"/>
          <w:sz w:val="18"/>
          <w:szCs w:val="18"/>
        </w:rPr>
        <w:t>版）》GB</w:t>
      </w:r>
      <w:r>
        <w:rPr>
          <w:color w:val="auto"/>
          <w:kern w:val="0"/>
          <w:sz w:val="18"/>
          <w:szCs w:val="18"/>
        </w:rPr>
        <w:t>50016-2014</w:t>
      </w:r>
      <w:r>
        <w:rPr>
          <w:rFonts w:hint="eastAsia"/>
          <w:color w:val="auto"/>
          <w:kern w:val="0"/>
          <w:sz w:val="18"/>
          <w:szCs w:val="18"/>
        </w:rPr>
        <w:t>、《精细化工企业工程设计防火标准》GB</w:t>
      </w:r>
      <w:r>
        <w:rPr>
          <w:color w:val="auto"/>
          <w:kern w:val="0"/>
          <w:sz w:val="18"/>
          <w:szCs w:val="18"/>
        </w:rPr>
        <w:t>51283-2020</w:t>
      </w:r>
      <w:r>
        <w:rPr>
          <w:rFonts w:hint="eastAsia"/>
          <w:color w:val="auto"/>
          <w:kern w:val="0"/>
          <w:sz w:val="18"/>
          <w:szCs w:val="18"/>
        </w:rPr>
        <w:t>。</w:t>
      </w:r>
    </w:p>
    <w:p>
      <w:pPr>
        <w:wordWrap w:val="0"/>
        <w:adjustRightInd w:val="0"/>
        <w:snapToGrid w:val="0"/>
        <w:ind w:firstLine="560" w:firstLineChars="200"/>
        <w:textAlignment w:val="center"/>
        <w:rPr>
          <w:color w:val="auto"/>
          <w:kern w:val="0"/>
        </w:rPr>
      </w:pPr>
      <w:r>
        <w:rPr>
          <w:rFonts w:hint="eastAsia"/>
          <w:color w:val="auto"/>
          <w:kern w:val="0"/>
        </w:rPr>
        <w:t>综上所述：本项目建构筑物之间的防火间距符合《建筑设计防火规范》以及《精细化工企业工程设计防火标准》等规范的要求。</w:t>
      </w:r>
    </w:p>
    <w:p>
      <w:pPr>
        <w:wordWrap w:val="0"/>
        <w:adjustRightInd w:val="0"/>
        <w:snapToGrid w:val="0"/>
        <w:spacing w:line="560" w:lineRule="exact"/>
        <w:ind w:firstLine="548" w:firstLineChars="196"/>
        <w:textAlignment w:val="center"/>
        <w:rPr>
          <w:color w:val="auto"/>
          <w:kern w:val="0"/>
        </w:rPr>
      </w:pPr>
      <w:r>
        <w:rPr>
          <w:rFonts w:hint="eastAsia"/>
          <w:color w:val="auto"/>
          <w:kern w:val="0"/>
        </w:rPr>
        <w:t>本项目</w:t>
      </w:r>
      <w:r>
        <w:rPr>
          <w:color w:val="auto"/>
          <w:kern w:val="0"/>
        </w:rPr>
        <w:t>厂房的耐火等级、层数和防火分区建筑面积的评价见</w:t>
      </w:r>
      <w:r>
        <w:rPr>
          <w:rFonts w:hint="eastAsia"/>
          <w:color w:val="auto"/>
          <w:kern w:val="0"/>
        </w:rPr>
        <w:t>下表</w:t>
      </w:r>
      <w:r>
        <w:rPr>
          <w:color w:val="auto"/>
          <w:kern w:val="0"/>
        </w:rPr>
        <w:t>。</w:t>
      </w:r>
    </w:p>
    <w:p>
      <w:pPr>
        <w:wordWrap w:val="0"/>
        <w:adjustRightInd w:val="0"/>
        <w:snapToGrid w:val="0"/>
        <w:jc w:val="center"/>
        <w:textAlignment w:val="center"/>
        <w:rPr>
          <w:color w:val="auto"/>
          <w:kern w:val="0"/>
        </w:rPr>
      </w:pPr>
      <w:r>
        <w:rPr>
          <w:color w:val="auto"/>
          <w:kern w:val="0"/>
        </w:rPr>
        <w:t>表</w:t>
      </w:r>
      <w:r>
        <w:rPr>
          <w:rFonts w:hint="eastAsia"/>
          <w:color w:val="auto"/>
          <w:kern w:val="0"/>
        </w:rPr>
        <w:t>5</w:t>
      </w:r>
      <w:r>
        <w:rPr>
          <w:color w:val="auto"/>
          <w:kern w:val="0"/>
        </w:rPr>
        <w:t>.2-</w:t>
      </w:r>
      <w:r>
        <w:rPr>
          <w:rFonts w:hint="eastAsia"/>
          <w:color w:val="auto"/>
          <w:kern w:val="0"/>
        </w:rPr>
        <w:t>2</w:t>
      </w:r>
      <w:r>
        <w:rPr>
          <w:color w:val="auto"/>
          <w:kern w:val="0"/>
        </w:rPr>
        <w:t xml:space="preserve">  厂房的耐火等级、层数、面积检查表</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108" w:type="dxa"/>
          <w:bottom w:w="28" w:type="dxa"/>
          <w:right w:w="108" w:type="dxa"/>
        </w:tblCellMar>
      </w:tblPr>
      <w:tblGrid>
        <w:gridCol w:w="914"/>
        <w:gridCol w:w="612"/>
        <w:gridCol w:w="699"/>
        <w:gridCol w:w="482"/>
        <w:gridCol w:w="843"/>
        <w:gridCol w:w="1048"/>
        <w:gridCol w:w="591"/>
        <w:gridCol w:w="587"/>
        <w:gridCol w:w="692"/>
        <w:gridCol w:w="1006"/>
        <w:gridCol w:w="944"/>
        <w:gridCol w:w="6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454" w:hRule="atLeast"/>
          <w:jc w:val="center"/>
        </w:trPr>
        <w:tc>
          <w:tcPr>
            <w:tcW w:w="914" w:type="dxa"/>
            <w:vMerge w:val="restart"/>
            <w:tcBorders>
              <w:top w:val="single" w:color="auto" w:sz="4" w:space="0"/>
              <w:left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建筑物名称</w:t>
            </w:r>
          </w:p>
        </w:tc>
        <w:tc>
          <w:tcPr>
            <w:tcW w:w="612" w:type="dxa"/>
            <w:vMerge w:val="restart"/>
            <w:tcBorders>
              <w:top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火险类别</w:t>
            </w:r>
          </w:p>
        </w:tc>
        <w:tc>
          <w:tcPr>
            <w:tcW w:w="3663" w:type="dxa"/>
            <w:gridSpan w:val="5"/>
            <w:tcBorders>
              <w:top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实际情况</w:t>
            </w:r>
          </w:p>
        </w:tc>
        <w:tc>
          <w:tcPr>
            <w:tcW w:w="3229" w:type="dxa"/>
            <w:gridSpan w:val="4"/>
            <w:tcBorders>
              <w:top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规范要求</w:t>
            </w:r>
          </w:p>
        </w:tc>
        <w:tc>
          <w:tcPr>
            <w:tcW w:w="653" w:type="dxa"/>
            <w:vMerge w:val="restart"/>
            <w:tcBorders>
              <w:top w:val="single" w:color="auto" w:sz="4" w:space="0"/>
              <w:right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454" w:hRule="atLeast"/>
          <w:jc w:val="center"/>
        </w:trPr>
        <w:tc>
          <w:tcPr>
            <w:tcW w:w="914" w:type="dxa"/>
            <w:vMerge w:val="continue"/>
            <w:tcBorders>
              <w:left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p>
        </w:tc>
        <w:tc>
          <w:tcPr>
            <w:tcW w:w="612" w:type="dxa"/>
            <w:vMerge w:val="continue"/>
            <w:vAlign w:val="center"/>
          </w:tcPr>
          <w:p>
            <w:pPr>
              <w:wordWrap w:val="0"/>
              <w:adjustRightInd w:val="0"/>
              <w:snapToGrid w:val="0"/>
              <w:spacing w:line="240" w:lineRule="exact"/>
              <w:jc w:val="center"/>
              <w:textAlignment w:val="center"/>
              <w:rPr>
                <w:rFonts w:cs="Times New Roman"/>
                <w:b/>
                <w:bCs/>
                <w:color w:val="auto"/>
                <w:sz w:val="21"/>
                <w:szCs w:val="21"/>
              </w:rPr>
            </w:pPr>
          </w:p>
        </w:tc>
        <w:tc>
          <w:tcPr>
            <w:tcW w:w="699"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结构</w:t>
            </w:r>
          </w:p>
        </w:tc>
        <w:tc>
          <w:tcPr>
            <w:tcW w:w="482"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层数</w:t>
            </w:r>
          </w:p>
        </w:tc>
        <w:tc>
          <w:tcPr>
            <w:tcW w:w="843"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占地面积m</w:t>
            </w:r>
            <w:r>
              <w:rPr>
                <w:rFonts w:cs="Times New Roman"/>
                <w:b/>
                <w:bCs/>
                <w:color w:val="auto"/>
                <w:sz w:val="21"/>
                <w:szCs w:val="21"/>
                <w:vertAlign w:val="superscript"/>
              </w:rPr>
              <w:t>2</w:t>
            </w:r>
          </w:p>
        </w:tc>
        <w:tc>
          <w:tcPr>
            <w:tcW w:w="1048"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最大防火分区建筑面积m</w:t>
            </w:r>
            <w:r>
              <w:rPr>
                <w:rFonts w:cs="Times New Roman"/>
                <w:b/>
                <w:bCs/>
                <w:color w:val="auto"/>
                <w:sz w:val="21"/>
                <w:szCs w:val="21"/>
                <w:vertAlign w:val="superscript"/>
              </w:rPr>
              <w:t>2</w:t>
            </w:r>
          </w:p>
        </w:tc>
        <w:tc>
          <w:tcPr>
            <w:tcW w:w="591"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耐火等级</w:t>
            </w:r>
          </w:p>
        </w:tc>
        <w:tc>
          <w:tcPr>
            <w:tcW w:w="587"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耐火等级</w:t>
            </w:r>
          </w:p>
        </w:tc>
        <w:tc>
          <w:tcPr>
            <w:tcW w:w="692" w:type="dxa"/>
            <w:vAlign w:val="center"/>
          </w:tcPr>
          <w:p>
            <w:pPr>
              <w:wordWrap w:val="0"/>
              <w:adjustRightInd w:val="0"/>
              <w:snapToGrid w:val="0"/>
              <w:spacing w:line="240" w:lineRule="exact"/>
              <w:jc w:val="center"/>
              <w:textAlignment w:val="center"/>
              <w:rPr>
                <w:rFonts w:cs="Times New Roman"/>
                <w:b/>
                <w:bCs/>
                <w:color w:val="auto"/>
                <w:sz w:val="21"/>
                <w:szCs w:val="21"/>
              </w:rPr>
            </w:pPr>
            <w:r>
              <w:rPr>
                <w:rFonts w:cs="Times New Roman"/>
                <w:b/>
                <w:bCs/>
                <w:color w:val="auto"/>
                <w:sz w:val="21"/>
                <w:szCs w:val="21"/>
              </w:rPr>
              <w:t>最多允许层数</w:t>
            </w:r>
          </w:p>
        </w:tc>
        <w:tc>
          <w:tcPr>
            <w:tcW w:w="1006" w:type="dxa"/>
            <w:vAlign w:val="center"/>
          </w:tcPr>
          <w:p>
            <w:pPr>
              <w:wordWrap w:val="0"/>
              <w:adjustRightInd w:val="0"/>
              <w:snapToGrid w:val="0"/>
              <w:spacing w:line="240" w:lineRule="exact"/>
              <w:jc w:val="center"/>
              <w:textAlignment w:val="center"/>
              <w:rPr>
                <w:rFonts w:cs="Times New Roman"/>
                <w:b/>
                <w:bCs/>
                <w:color w:val="auto"/>
                <w:sz w:val="21"/>
                <w:szCs w:val="21"/>
                <w:vertAlign w:val="superscript"/>
              </w:rPr>
            </w:pPr>
            <w:r>
              <w:rPr>
                <w:rFonts w:cs="Times New Roman"/>
                <w:b/>
                <w:bCs/>
                <w:color w:val="auto"/>
                <w:sz w:val="21"/>
                <w:szCs w:val="21"/>
              </w:rPr>
              <w:t>每座仓库占地面积m</w:t>
            </w:r>
            <w:r>
              <w:rPr>
                <w:rFonts w:cs="Times New Roman"/>
                <w:b/>
                <w:bCs/>
                <w:color w:val="auto"/>
                <w:sz w:val="21"/>
                <w:szCs w:val="21"/>
                <w:vertAlign w:val="superscript"/>
              </w:rPr>
              <w:t>2</w:t>
            </w:r>
          </w:p>
        </w:tc>
        <w:tc>
          <w:tcPr>
            <w:tcW w:w="944" w:type="dxa"/>
            <w:vAlign w:val="center"/>
          </w:tcPr>
          <w:p>
            <w:pPr>
              <w:wordWrap w:val="0"/>
              <w:adjustRightInd w:val="0"/>
              <w:snapToGrid w:val="0"/>
              <w:spacing w:line="240" w:lineRule="exact"/>
              <w:jc w:val="center"/>
              <w:textAlignment w:val="center"/>
              <w:rPr>
                <w:rFonts w:cs="Times New Roman"/>
                <w:b/>
                <w:bCs/>
                <w:color w:val="auto"/>
                <w:sz w:val="21"/>
                <w:szCs w:val="21"/>
                <w:vertAlign w:val="superscript"/>
              </w:rPr>
            </w:pPr>
            <w:r>
              <w:rPr>
                <w:rFonts w:cs="Times New Roman"/>
                <w:b/>
                <w:bCs/>
                <w:color w:val="auto"/>
                <w:sz w:val="21"/>
                <w:szCs w:val="21"/>
              </w:rPr>
              <w:t>防火分区建筑面积m</w:t>
            </w:r>
            <w:r>
              <w:rPr>
                <w:rFonts w:cs="Times New Roman"/>
                <w:b/>
                <w:bCs/>
                <w:color w:val="auto"/>
                <w:sz w:val="21"/>
                <w:szCs w:val="21"/>
                <w:vertAlign w:val="superscript"/>
              </w:rPr>
              <w:t>2</w:t>
            </w:r>
          </w:p>
        </w:tc>
        <w:tc>
          <w:tcPr>
            <w:tcW w:w="653" w:type="dxa"/>
            <w:vMerge w:val="continue"/>
            <w:tcBorders>
              <w:right w:val="single" w:color="auto" w:sz="4" w:space="0"/>
            </w:tcBorders>
            <w:vAlign w:val="center"/>
          </w:tcPr>
          <w:p>
            <w:pPr>
              <w:wordWrap w:val="0"/>
              <w:adjustRightInd w:val="0"/>
              <w:snapToGrid w:val="0"/>
              <w:spacing w:line="240" w:lineRule="exact"/>
              <w:jc w:val="center"/>
              <w:textAlignment w:val="center"/>
              <w:rPr>
                <w:rFonts w:cs="Times New Roman"/>
                <w:b/>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454" w:hRule="atLeast"/>
          <w:jc w:val="center"/>
        </w:trPr>
        <w:tc>
          <w:tcPr>
            <w:tcW w:w="914" w:type="dxa"/>
            <w:tcBorders>
              <w:left w:val="single" w:color="auto" w:sz="4" w:space="0"/>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106</w:t>
            </w:r>
            <w:r>
              <w:rPr>
                <w:rFonts w:cs="Times New Roman"/>
                <w:color w:val="auto"/>
                <w:sz w:val="21"/>
                <w:szCs w:val="21"/>
              </w:rPr>
              <w:t>甲类仓库</w:t>
            </w:r>
          </w:p>
        </w:tc>
        <w:tc>
          <w:tcPr>
            <w:tcW w:w="612"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甲</w:t>
            </w:r>
          </w:p>
        </w:tc>
        <w:tc>
          <w:tcPr>
            <w:tcW w:w="699"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混凝土</w:t>
            </w:r>
          </w:p>
        </w:tc>
        <w:tc>
          <w:tcPr>
            <w:tcW w:w="482"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843"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749.52</w:t>
            </w:r>
          </w:p>
        </w:tc>
        <w:tc>
          <w:tcPr>
            <w:tcW w:w="1048"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250</w:t>
            </w:r>
          </w:p>
        </w:tc>
        <w:tc>
          <w:tcPr>
            <w:tcW w:w="591"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hint="eastAsia" w:cs="Times New Roman"/>
                <w:color w:val="auto"/>
                <w:sz w:val="21"/>
                <w:szCs w:val="21"/>
              </w:rPr>
              <w:t>二</w:t>
            </w:r>
            <w:r>
              <w:rPr>
                <w:rFonts w:cs="Times New Roman"/>
                <w:color w:val="auto"/>
                <w:sz w:val="21"/>
                <w:szCs w:val="21"/>
              </w:rPr>
              <w:t>级</w:t>
            </w:r>
          </w:p>
        </w:tc>
        <w:tc>
          <w:tcPr>
            <w:tcW w:w="587"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二级</w:t>
            </w:r>
          </w:p>
        </w:tc>
        <w:tc>
          <w:tcPr>
            <w:tcW w:w="692"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1</w:t>
            </w:r>
          </w:p>
        </w:tc>
        <w:tc>
          <w:tcPr>
            <w:tcW w:w="1006"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750</w:t>
            </w:r>
          </w:p>
        </w:tc>
        <w:tc>
          <w:tcPr>
            <w:tcW w:w="944" w:type="dxa"/>
            <w:tcBorders>
              <w:bottom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250</w:t>
            </w:r>
          </w:p>
        </w:tc>
        <w:tc>
          <w:tcPr>
            <w:tcW w:w="653" w:type="dxa"/>
            <w:tcBorders>
              <w:bottom w:val="single" w:color="auto" w:sz="4" w:space="0"/>
              <w:right w:val="single" w:color="auto" w:sz="4" w:space="0"/>
            </w:tcBorders>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符合</w:t>
            </w:r>
            <w:r>
              <w:rPr>
                <w:rFonts w:hint="eastAsia" w:cs="Times New Roman"/>
                <w:color w:val="auto"/>
                <w:sz w:val="21"/>
                <w:szCs w:val="21"/>
              </w:rPr>
              <w:t>要求</w:t>
            </w:r>
          </w:p>
        </w:tc>
      </w:tr>
    </w:tbl>
    <w:p>
      <w:pPr>
        <w:wordWrap w:val="0"/>
        <w:adjustRightInd w:val="0"/>
        <w:snapToGrid w:val="0"/>
        <w:ind w:firstLine="560" w:firstLineChars="200"/>
        <w:textAlignment w:val="center"/>
        <w:rPr>
          <w:color w:val="auto"/>
          <w:kern w:val="0"/>
          <w:szCs w:val="28"/>
        </w:rPr>
      </w:pPr>
      <w:r>
        <w:rPr>
          <w:color w:val="auto"/>
          <w:kern w:val="0"/>
          <w:szCs w:val="28"/>
        </w:rPr>
        <w:t>评价结果：</w:t>
      </w:r>
      <w:r>
        <w:rPr>
          <w:rFonts w:hint="eastAsia"/>
          <w:color w:val="auto"/>
          <w:kern w:val="0"/>
          <w:szCs w:val="28"/>
        </w:rPr>
        <w:t>本项目</w:t>
      </w:r>
      <w:r>
        <w:rPr>
          <w:color w:val="auto"/>
          <w:kern w:val="0"/>
          <w:szCs w:val="28"/>
        </w:rPr>
        <w:t>主要建（构）筑的结构和耐火等级、防火分区、防火间距符合有关规范标准要求。</w:t>
      </w:r>
    </w:p>
    <w:p>
      <w:pPr>
        <w:wordWrap w:val="0"/>
        <w:adjustRightInd w:val="0"/>
        <w:snapToGrid w:val="0"/>
        <w:ind w:firstLine="560" w:firstLineChars="200"/>
        <w:textAlignment w:val="center"/>
        <w:rPr>
          <w:color w:val="auto"/>
          <w:kern w:val="0"/>
        </w:rPr>
      </w:pPr>
      <w:r>
        <w:rPr>
          <w:rFonts w:hint="eastAsia"/>
          <w:color w:val="auto"/>
          <w:kern w:val="0"/>
        </w:rPr>
        <w:t>根据《化工企业总图运输设计规范》、《工业企业总平面设计规范》、《建筑设计防火规范》及对该公司的厂区内主要设备、建构筑物的平面布置、功能分区、道路等是否符合规范、标准的要求进行检查，检查内容见表5.2-3。</w:t>
      </w:r>
    </w:p>
    <w:p>
      <w:pPr>
        <w:wordWrap w:val="0"/>
        <w:adjustRightInd w:val="0"/>
        <w:snapToGrid w:val="0"/>
        <w:jc w:val="center"/>
        <w:textAlignment w:val="center"/>
        <w:rPr>
          <w:color w:val="auto"/>
          <w:kern w:val="0"/>
        </w:rPr>
      </w:pPr>
      <w:r>
        <w:rPr>
          <w:rFonts w:hint="eastAsia"/>
          <w:color w:val="auto"/>
          <w:kern w:val="0"/>
        </w:rPr>
        <w:t>表5.2-3  平面布置及建构筑物单元安全检查表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3961"/>
        <w:gridCol w:w="1611"/>
        <w:gridCol w:w="2125"/>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b/>
                <w:bCs/>
                <w:color w:val="auto"/>
                <w:sz w:val="21"/>
                <w:szCs w:val="21"/>
              </w:rPr>
            </w:pPr>
            <w:r>
              <w:rPr>
                <w:rFonts w:cs="Times New Roman"/>
                <w:b/>
                <w:bCs/>
                <w:color w:val="auto"/>
                <w:sz w:val="21"/>
                <w:szCs w:val="21"/>
              </w:rPr>
              <w:t>序号</w:t>
            </w:r>
          </w:p>
        </w:tc>
        <w:tc>
          <w:tcPr>
            <w:tcW w:w="3961" w:type="dxa"/>
            <w:vAlign w:val="center"/>
          </w:tcPr>
          <w:p>
            <w:pPr>
              <w:wordWrap w:val="0"/>
              <w:adjustRightInd w:val="0"/>
              <w:snapToGrid w:val="0"/>
              <w:spacing w:line="240" w:lineRule="exact"/>
              <w:contextualSpacing/>
              <w:jc w:val="center"/>
              <w:textAlignment w:val="center"/>
              <w:rPr>
                <w:rFonts w:cs="Times New Roman"/>
                <w:b/>
                <w:bCs/>
                <w:color w:val="auto"/>
                <w:sz w:val="21"/>
                <w:szCs w:val="21"/>
              </w:rPr>
            </w:pPr>
            <w:r>
              <w:rPr>
                <w:rFonts w:cs="Times New Roman"/>
                <w:b/>
                <w:bCs/>
                <w:color w:val="auto"/>
                <w:sz w:val="21"/>
                <w:szCs w:val="21"/>
              </w:rPr>
              <w:t>检查内容</w:t>
            </w:r>
          </w:p>
        </w:tc>
        <w:tc>
          <w:tcPr>
            <w:tcW w:w="1611" w:type="dxa"/>
            <w:vAlign w:val="center"/>
          </w:tcPr>
          <w:p>
            <w:pPr>
              <w:wordWrap w:val="0"/>
              <w:adjustRightInd w:val="0"/>
              <w:snapToGrid w:val="0"/>
              <w:spacing w:line="240" w:lineRule="exact"/>
              <w:contextualSpacing/>
              <w:jc w:val="center"/>
              <w:textAlignment w:val="center"/>
              <w:rPr>
                <w:rFonts w:cs="Times New Roman"/>
                <w:b/>
                <w:bCs/>
                <w:color w:val="auto"/>
                <w:sz w:val="21"/>
                <w:szCs w:val="21"/>
              </w:rPr>
            </w:pPr>
            <w:r>
              <w:rPr>
                <w:rFonts w:cs="Times New Roman"/>
                <w:b/>
                <w:bCs/>
                <w:color w:val="auto"/>
                <w:sz w:val="21"/>
                <w:szCs w:val="21"/>
              </w:rPr>
              <w:t>检查依据</w:t>
            </w:r>
          </w:p>
        </w:tc>
        <w:tc>
          <w:tcPr>
            <w:tcW w:w="2125" w:type="dxa"/>
            <w:vAlign w:val="center"/>
          </w:tcPr>
          <w:p>
            <w:pPr>
              <w:wordWrap w:val="0"/>
              <w:adjustRightInd w:val="0"/>
              <w:snapToGrid w:val="0"/>
              <w:spacing w:line="240" w:lineRule="exact"/>
              <w:contextualSpacing/>
              <w:jc w:val="center"/>
              <w:textAlignment w:val="center"/>
              <w:rPr>
                <w:rFonts w:cs="Times New Roman"/>
                <w:b/>
                <w:bCs/>
                <w:color w:val="auto"/>
                <w:sz w:val="21"/>
                <w:szCs w:val="21"/>
              </w:rPr>
            </w:pPr>
            <w:r>
              <w:rPr>
                <w:rFonts w:cs="Times New Roman"/>
                <w:b/>
                <w:bCs/>
                <w:color w:val="auto"/>
                <w:sz w:val="21"/>
                <w:szCs w:val="21"/>
              </w:rPr>
              <w:t>检查情况</w:t>
            </w:r>
          </w:p>
        </w:tc>
        <w:tc>
          <w:tcPr>
            <w:tcW w:w="721" w:type="dxa"/>
            <w:vAlign w:val="center"/>
          </w:tcPr>
          <w:p>
            <w:pPr>
              <w:wordWrap w:val="0"/>
              <w:adjustRightInd w:val="0"/>
              <w:snapToGrid w:val="0"/>
              <w:spacing w:line="240" w:lineRule="exact"/>
              <w:contextualSpacing/>
              <w:jc w:val="center"/>
              <w:textAlignment w:val="center"/>
              <w:rPr>
                <w:rFonts w:cs="Times New Roman"/>
                <w:b/>
                <w:bCs/>
                <w:color w:val="auto"/>
                <w:sz w:val="21"/>
                <w:szCs w:val="21"/>
              </w:rPr>
            </w:pPr>
            <w:r>
              <w:rPr>
                <w:rFonts w:cs="Times New Roman"/>
                <w:b/>
                <w:bCs/>
                <w:color w:val="auto"/>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1</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工厂总平面，应在总体规划的的基础上，根据工业企业的性质、规模、生产流程、交通运输、环境保护，以及防火、安全、卫生、施工及检修等要求，结合场地自然条件，经技术经济比较后择优确定。</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《工业企业总平面设计规范》GB50187-2012</w:t>
            </w:r>
          </w:p>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第4.1.1条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平面布置总体规划，根据工艺流程、交通运输及防火要求等进行比较确定</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2</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总平面布置，应符合下列要求：</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在符合和生产流程操作要求和使用功能的前提下，建筑物、构筑物等设施，应联合多层布置；</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按功能分区，合理地确定通道宽度；</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厂区、功能区及建筑物、构筑物的外形宜规整；</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功能分区内各项设施的布置，应紧凑、合理。</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《工业企业总平面设计规范》GB50187-2012</w:t>
            </w:r>
          </w:p>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第4.1.2条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hint="eastAsia" w:cs="Times New Roman"/>
                <w:color w:val="auto"/>
                <w:sz w:val="21"/>
                <w:szCs w:val="21"/>
              </w:rPr>
              <w:t>厂区总体</w:t>
            </w:r>
            <w:r>
              <w:rPr>
                <w:rFonts w:cs="Times New Roman"/>
                <w:color w:val="auto"/>
                <w:sz w:val="21"/>
                <w:szCs w:val="21"/>
                <w:lang w:val="zh-CN"/>
              </w:rPr>
              <w:t>功能分区明确，建、构筑物的外形规整；布置紧凑、合理</w:t>
            </w:r>
            <w:r>
              <w:rPr>
                <w:rFonts w:cs="Times New Roman"/>
                <w:color w:val="auto"/>
                <w:sz w:val="21"/>
                <w:szCs w:val="21"/>
              </w:rPr>
              <w:t>，符合要求</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3</w:t>
            </w:r>
          </w:p>
        </w:tc>
        <w:tc>
          <w:tcPr>
            <w:tcW w:w="3961" w:type="dxa"/>
            <w:vAlign w:val="center"/>
          </w:tcPr>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总平面布置应符合国家有关用地控制指标的规定，并应符合下列要求：</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1工艺装置在生产、操作和环境条件许可时，应露天化、联合集中布置。</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2生产及辅助生产建筑物，在生产流程、防火、安全及卫生要求许可时，宜合并建造。</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3宜利用生产装置区的管廊及框架等处空间布置有关设施。</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4仓库设施宜按储存货物的性质及要求，合并设计为大体量仓库或多层仓库。对大宗物料的储存，宜采用机械化装卸设施。</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5行政办公及生活服务设施，宜根据其性质及使用功能，分别进行平面和空间的组合，并应按多功能综合楼建筑设计。</w:t>
            </w:r>
          </w:p>
          <w:p>
            <w:pPr>
              <w:wordWrap w:val="0"/>
              <w:adjustRightInd w:val="0"/>
              <w:snapToGrid w:val="0"/>
              <w:spacing w:line="240" w:lineRule="exact"/>
              <w:textAlignment w:val="center"/>
              <w:rPr>
                <w:rFonts w:cs="Times New Roman"/>
                <w:color w:val="auto"/>
                <w:sz w:val="21"/>
                <w:szCs w:val="21"/>
              </w:rPr>
            </w:pPr>
            <w:r>
              <w:rPr>
                <w:rFonts w:cs="Times New Roman"/>
                <w:color w:val="auto"/>
                <w:sz w:val="21"/>
                <w:szCs w:val="21"/>
              </w:rPr>
              <w:t>6应合理划分街区和确定通道宽度，街区、装置区和建筑物、构筑物的外形宜规整。</w:t>
            </w:r>
          </w:p>
          <w:p>
            <w:pPr>
              <w:wordWrap w:val="0"/>
              <w:adjustRightInd w:val="0"/>
              <w:snapToGrid w:val="0"/>
              <w:spacing w:line="240" w:lineRule="exact"/>
              <w:textAlignment w:val="center"/>
              <w:rPr>
                <w:rFonts w:cs="Times New Roman"/>
                <w:color w:val="auto"/>
                <w:spacing w:val="-4"/>
                <w:sz w:val="21"/>
                <w:szCs w:val="21"/>
              </w:rPr>
            </w:pPr>
            <w:r>
              <w:rPr>
                <w:rFonts w:cs="Times New Roman"/>
                <w:color w:val="auto"/>
                <w:spacing w:val="-4"/>
                <w:sz w:val="21"/>
                <w:szCs w:val="21"/>
              </w:rPr>
              <w:t>7铁路线路、装卸设施及仓储设施，应根据其性质及使用功能，相对集中布置，并应避免或减少铁路进线在厂区内形成的扇形地带。</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8工厂改建或扩建时应结合原有总平面布置，以及生产运行管理的特点，相互协调、合理布置。</w:t>
            </w:r>
          </w:p>
        </w:tc>
        <w:tc>
          <w:tcPr>
            <w:tcW w:w="161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《化工企业总图运输设计规范》GB50489-2009</w:t>
            </w:r>
          </w:p>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第5.1.2条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lang w:val="zh-CN"/>
              </w:rPr>
              <w:t>根据</w:t>
            </w:r>
            <w:r>
              <w:rPr>
                <w:rFonts w:hint="eastAsia" w:cs="Times New Roman"/>
                <w:color w:val="auto"/>
                <w:sz w:val="21"/>
                <w:szCs w:val="21"/>
              </w:rPr>
              <w:t>本项目</w:t>
            </w:r>
            <w:r>
              <w:rPr>
                <w:rFonts w:cs="Times New Roman"/>
                <w:color w:val="auto"/>
                <w:sz w:val="21"/>
                <w:szCs w:val="21"/>
                <w:lang w:val="zh-CN"/>
              </w:rPr>
              <w:t>特点，合理划分</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4</w:t>
            </w:r>
          </w:p>
        </w:tc>
        <w:tc>
          <w:tcPr>
            <w:tcW w:w="3961" w:type="dxa"/>
            <w:vAlign w:val="center"/>
          </w:tcPr>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厂区总平面应按功能分区布置，可分为生产装置区、辅助生产区、公用工程设施区、仓储区和行政办公及生活服务区。辅助生产和公用工程设施也可布置在生产装置区内。功能分区布置应符合下列要求：</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1各功能区内部应布置紧凑、合理并与相邻功能区相协调。</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2各功能区之间物流输送、动力供应便捷合理。</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3生产装置区宜布置在全年最小频率风向的上风侧，行政办公及生活服务设施区宜布置在全年最小频率风向的下风侧，辅助生产和公用工程设施区宜布置在生产装置区与行政办公及生活服务设施区之间。</w:t>
            </w:r>
          </w:p>
        </w:tc>
        <w:tc>
          <w:tcPr>
            <w:tcW w:w="161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《化工企业总图运输设计规范》GB50489-2009</w:t>
            </w:r>
          </w:p>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第5.1.4条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hint="eastAsia" w:cs="Times New Roman"/>
                <w:color w:val="auto"/>
                <w:kern w:val="0"/>
                <w:sz w:val="21"/>
                <w:szCs w:val="21"/>
              </w:rPr>
              <w:t>本项目为</w:t>
            </w:r>
            <w:r>
              <w:rPr>
                <w:rFonts w:hint="eastAsia" w:cs="Times New Roman"/>
                <w:color w:val="auto"/>
                <w:sz w:val="21"/>
              </w:rPr>
              <w:t>安全生产设施技术改造项目，按</w:t>
            </w:r>
            <w:r>
              <w:rPr>
                <w:rFonts w:cs="Times New Roman"/>
                <w:color w:val="auto"/>
                <w:sz w:val="21"/>
                <w:szCs w:val="21"/>
              </w:rPr>
              <w:t>功能分区布置</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5</w:t>
            </w:r>
          </w:p>
        </w:tc>
        <w:tc>
          <w:tcPr>
            <w:tcW w:w="3961" w:type="dxa"/>
            <w:vAlign w:val="center"/>
          </w:tcPr>
          <w:p>
            <w:pPr>
              <w:wordWrap w:val="0"/>
              <w:adjustRightInd w:val="0"/>
              <w:snapToGrid w:val="0"/>
              <w:spacing w:line="240" w:lineRule="exact"/>
              <w:jc w:val="left"/>
              <w:textAlignment w:val="center"/>
              <w:rPr>
                <w:rFonts w:cs="Times New Roman"/>
                <w:color w:val="auto"/>
                <w:sz w:val="21"/>
                <w:szCs w:val="21"/>
              </w:rPr>
            </w:pPr>
            <w:r>
              <w:rPr>
                <w:rFonts w:cs="Times New Roman"/>
                <w:color w:val="auto"/>
                <w:spacing w:val="-8"/>
                <w:sz w:val="21"/>
                <w:szCs w:val="21"/>
              </w:rPr>
              <w:t>总平面布置应合理利用场地地形，并应符合下列要求</w:t>
            </w:r>
            <w:r>
              <w:rPr>
                <w:rFonts w:cs="Times New Roman"/>
                <w:color w:val="auto"/>
                <w:sz w:val="21"/>
                <w:szCs w:val="21"/>
              </w:rPr>
              <w:t>：</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1当地形坡度较大时，生产装置及建筑物、构筑物的长边宜顺地形等高线布置。</w:t>
            </w:r>
          </w:p>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2液体物料输送、装卸的重力流和固体物料的高站台、低货位设施，宜利用地形高差合理布置。</w:t>
            </w:r>
          </w:p>
        </w:tc>
        <w:tc>
          <w:tcPr>
            <w:tcW w:w="161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《化工企业总图运输设计规范》GB50489-2009</w:t>
            </w:r>
          </w:p>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第5.1.7条</w:t>
            </w:r>
          </w:p>
        </w:tc>
        <w:tc>
          <w:tcPr>
            <w:tcW w:w="2125"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合理利用</w:t>
            </w:r>
            <w:r>
              <w:rPr>
                <w:rFonts w:cs="Times New Roman"/>
                <w:color w:val="auto"/>
                <w:spacing w:val="-8"/>
                <w:sz w:val="21"/>
                <w:szCs w:val="21"/>
              </w:rPr>
              <w:t>场地</w:t>
            </w:r>
            <w:r>
              <w:rPr>
                <w:rFonts w:cs="Times New Roman"/>
                <w:color w:val="auto"/>
                <w:sz w:val="21"/>
                <w:szCs w:val="21"/>
              </w:rPr>
              <w:t>地形</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6</w:t>
            </w:r>
          </w:p>
        </w:tc>
        <w:tc>
          <w:tcPr>
            <w:tcW w:w="3961" w:type="dxa"/>
            <w:vAlign w:val="center"/>
          </w:tcPr>
          <w:p>
            <w:pPr>
              <w:wordWrap w:val="0"/>
              <w:adjustRightInd w:val="0"/>
              <w:snapToGrid w:val="0"/>
              <w:spacing w:line="240" w:lineRule="exact"/>
              <w:jc w:val="left"/>
              <w:textAlignment w:val="center"/>
              <w:rPr>
                <w:rFonts w:cs="Times New Roman"/>
                <w:color w:val="auto"/>
                <w:sz w:val="21"/>
                <w:szCs w:val="21"/>
              </w:rPr>
            </w:pPr>
            <w:r>
              <w:rPr>
                <w:rFonts w:cs="Times New Roman"/>
                <w:color w:val="auto"/>
                <w:sz w:val="21"/>
                <w:szCs w:val="21"/>
              </w:rPr>
              <w:t xml:space="preserve">运输路线的布置，应使物流顺畅、短捷，并应避免或减少折返迂回。人流、货流组织应合理，并应避免运输繁忙的路线与人流交叉和运输繁忙的铁路与道路平面交叉。 </w:t>
            </w:r>
          </w:p>
        </w:tc>
        <w:tc>
          <w:tcPr>
            <w:tcW w:w="1611" w:type="dxa"/>
            <w:vAlign w:val="center"/>
          </w:tcPr>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《化工企业总图运输设计规范》GB50489-2009</w:t>
            </w:r>
          </w:p>
          <w:p>
            <w:pPr>
              <w:wordWrap w:val="0"/>
              <w:adjustRightInd w:val="0"/>
              <w:snapToGrid w:val="0"/>
              <w:spacing w:line="240" w:lineRule="exact"/>
              <w:jc w:val="center"/>
              <w:textAlignment w:val="center"/>
              <w:rPr>
                <w:rFonts w:cs="Times New Roman"/>
                <w:color w:val="auto"/>
                <w:sz w:val="21"/>
                <w:szCs w:val="21"/>
              </w:rPr>
            </w:pPr>
            <w:r>
              <w:rPr>
                <w:rFonts w:cs="Times New Roman"/>
                <w:color w:val="auto"/>
                <w:sz w:val="21"/>
                <w:szCs w:val="21"/>
              </w:rPr>
              <w:t>第5.1.13条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运输线路合理布置</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7</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厂区围墙与厂内建筑之间的间距不宜小于5.0m，且围墙两侧的建筑之间还应满足相应的防火间距要求。</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《建筑设计防火规范》GB50016-2014第3.4.12条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与围墙的间距均不小于5m。</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8</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运输线路的布置，应符合下列要求：</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满足生产要求，物流顺畅，线路短捷，人流、货流组织合理；</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使厂区内、外部运输、装卸、贮存形成一个完整的、连续的运输系统；</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合理地利用地形。</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《工业企业总平面设计规范》GB50187-2012</w:t>
            </w:r>
          </w:p>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第5.1.1条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运输线路的布置合理</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9</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厂内道路的布置，应符合下列要求：</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一、满足生产、运输、安装、检修、消防及环境卫生的要求；</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二、划分功能分区，并与区内主要建筑物轴线平行或垂直，宜呈环形布置；</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三、与竖向设计相协调，有利于场地及道路的雨水排除；</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四、与厂外道路连接方便、短捷。</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《工业企业总平面设计规范》GB50187-2012</w:t>
            </w:r>
          </w:p>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第5.3.1条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厂内道路的布置合理</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3"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hint="eastAsia" w:cs="Times New Roman"/>
                <w:color w:val="auto"/>
                <w:sz w:val="21"/>
                <w:szCs w:val="21"/>
              </w:rPr>
              <w:t>10</w:t>
            </w:r>
          </w:p>
        </w:tc>
        <w:tc>
          <w:tcPr>
            <w:tcW w:w="396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在城市、居住区、工厂、仓库等的规划和建筑设计时，必须同时设计消防给水系统。城市、居住区应设市政消火栓。民用建筑、厂房（仓库）、储罐（区）、堆场应设室外消火栓。民用建筑、厂房（仓库）应设室内消火栓，并应符合本规范第8.3.1 条的规定。</w:t>
            </w:r>
          </w:p>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消防用水可由城市给水管网、天然水源或消防水池供给。利用天然水源时，其保证率不应小于97%，且应设置可靠的取水设施。</w:t>
            </w:r>
          </w:p>
        </w:tc>
        <w:tc>
          <w:tcPr>
            <w:tcW w:w="1611" w:type="dxa"/>
            <w:vAlign w:val="center"/>
          </w:tcPr>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GB50016-2014</w:t>
            </w:r>
          </w:p>
          <w:p>
            <w:pPr>
              <w:wordWrap w:val="0"/>
              <w:adjustRightInd w:val="0"/>
              <w:snapToGrid w:val="0"/>
              <w:spacing w:line="240" w:lineRule="exact"/>
              <w:contextualSpacing/>
              <w:jc w:val="center"/>
              <w:textAlignment w:val="center"/>
              <w:rPr>
                <w:rFonts w:cs="Times New Roman"/>
                <w:color w:val="auto"/>
                <w:sz w:val="21"/>
                <w:szCs w:val="21"/>
              </w:rPr>
            </w:pPr>
            <w:r>
              <w:rPr>
                <w:rFonts w:cs="Times New Roman"/>
                <w:color w:val="auto"/>
                <w:sz w:val="21"/>
                <w:szCs w:val="21"/>
              </w:rPr>
              <w:t>第8.1.2条</w:t>
            </w:r>
          </w:p>
        </w:tc>
        <w:tc>
          <w:tcPr>
            <w:tcW w:w="2125"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hint="eastAsia" w:cs="Times New Roman"/>
                <w:color w:val="auto"/>
                <w:sz w:val="21"/>
                <w:szCs w:val="21"/>
              </w:rPr>
              <w:t>依托厂区现有</w:t>
            </w:r>
            <w:r>
              <w:rPr>
                <w:rFonts w:cs="Times New Roman"/>
                <w:color w:val="auto"/>
                <w:sz w:val="21"/>
                <w:szCs w:val="21"/>
              </w:rPr>
              <w:t>消防给水系统，</w:t>
            </w:r>
            <w:r>
              <w:rPr>
                <w:rFonts w:hint="eastAsia" w:cs="Times New Roman"/>
                <w:color w:val="auto"/>
                <w:sz w:val="21"/>
                <w:szCs w:val="21"/>
              </w:rPr>
              <w:t>可以</w:t>
            </w:r>
            <w:r>
              <w:rPr>
                <w:rFonts w:cs="Times New Roman"/>
                <w:color w:val="auto"/>
                <w:sz w:val="21"/>
                <w:szCs w:val="21"/>
              </w:rPr>
              <w:t>满足</w:t>
            </w:r>
            <w:r>
              <w:rPr>
                <w:rFonts w:hint="eastAsia" w:cs="Times New Roman"/>
                <w:color w:val="auto"/>
                <w:sz w:val="21"/>
                <w:szCs w:val="21"/>
              </w:rPr>
              <w:t>本项目</w:t>
            </w:r>
            <w:r>
              <w:rPr>
                <w:rFonts w:cs="Times New Roman"/>
                <w:color w:val="auto"/>
                <w:sz w:val="21"/>
                <w:szCs w:val="21"/>
              </w:rPr>
              <w:t>消防要求</w:t>
            </w:r>
          </w:p>
        </w:tc>
        <w:tc>
          <w:tcPr>
            <w:tcW w:w="721" w:type="dxa"/>
            <w:vAlign w:val="center"/>
          </w:tcPr>
          <w:p>
            <w:pPr>
              <w:wordWrap w:val="0"/>
              <w:adjustRightInd w:val="0"/>
              <w:snapToGrid w:val="0"/>
              <w:spacing w:line="240" w:lineRule="exact"/>
              <w:contextualSpacing/>
              <w:jc w:val="left"/>
              <w:textAlignment w:val="center"/>
              <w:rPr>
                <w:rFonts w:cs="Times New Roman"/>
                <w:color w:val="auto"/>
                <w:sz w:val="21"/>
                <w:szCs w:val="21"/>
              </w:rPr>
            </w:pPr>
            <w:r>
              <w:rPr>
                <w:rFonts w:cs="Times New Roman"/>
                <w:color w:val="auto"/>
                <w:sz w:val="21"/>
                <w:szCs w:val="21"/>
              </w:rPr>
              <w:t>符合</w:t>
            </w:r>
          </w:p>
        </w:tc>
      </w:tr>
    </w:tbl>
    <w:p>
      <w:pPr>
        <w:wordWrap w:val="0"/>
        <w:adjustRightInd w:val="0"/>
        <w:snapToGrid w:val="0"/>
        <w:ind w:firstLine="560" w:firstLineChars="200"/>
        <w:textAlignment w:val="center"/>
        <w:rPr>
          <w:color w:val="auto"/>
          <w:kern w:val="0"/>
        </w:rPr>
      </w:pPr>
    </w:p>
    <w:p>
      <w:pPr>
        <w:wordWrap w:val="0"/>
        <w:adjustRightInd w:val="0"/>
        <w:snapToGrid w:val="0"/>
        <w:ind w:firstLine="560" w:firstLineChars="200"/>
        <w:textAlignment w:val="center"/>
        <w:rPr>
          <w:color w:val="auto"/>
          <w:kern w:val="0"/>
        </w:rPr>
      </w:pPr>
      <w:r>
        <w:rPr>
          <w:rFonts w:hint="eastAsia"/>
          <w:color w:val="auto"/>
          <w:kern w:val="0"/>
        </w:rPr>
        <w:t>2、评价小结</w:t>
      </w:r>
    </w:p>
    <w:p>
      <w:pPr>
        <w:wordWrap w:val="0"/>
        <w:adjustRightInd w:val="0"/>
        <w:snapToGrid w:val="0"/>
        <w:ind w:firstLine="560" w:firstLineChars="200"/>
        <w:jc w:val="left"/>
        <w:textAlignment w:val="center"/>
        <w:rPr>
          <w:rFonts w:cs="Times New Roman"/>
          <w:snapToGrid w:val="0"/>
          <w:color w:val="auto"/>
          <w:kern w:val="0"/>
          <w:szCs w:val="28"/>
        </w:rPr>
      </w:pPr>
      <w:r>
        <w:rPr>
          <w:rFonts w:cs="Times New Roman"/>
          <w:snapToGrid w:val="0"/>
          <w:color w:val="auto"/>
          <w:kern w:val="0"/>
          <w:szCs w:val="28"/>
        </w:rPr>
        <w:t>评价结果：</w:t>
      </w:r>
      <w:r>
        <w:rPr>
          <w:rFonts w:cs="Times New Roman"/>
          <w:color w:val="auto"/>
          <w:szCs w:val="28"/>
        </w:rPr>
        <w:t>对该单元进行了</w:t>
      </w:r>
      <w:r>
        <w:rPr>
          <w:rFonts w:hint="eastAsia" w:cs="Times New Roman"/>
          <w:color w:val="auto"/>
          <w:szCs w:val="28"/>
        </w:rPr>
        <w:t>10</w:t>
      </w:r>
      <w:r>
        <w:rPr>
          <w:rFonts w:cs="Times New Roman"/>
          <w:color w:val="auto"/>
          <w:szCs w:val="28"/>
        </w:rPr>
        <w:t>项现场检查，</w:t>
      </w:r>
      <w:r>
        <w:rPr>
          <w:rFonts w:hint="eastAsia" w:cs="Times New Roman"/>
          <w:color w:val="auto"/>
          <w:szCs w:val="28"/>
        </w:rPr>
        <w:t>均</w:t>
      </w:r>
      <w:r>
        <w:rPr>
          <w:rFonts w:cs="Times New Roman"/>
          <w:color w:val="auto"/>
          <w:szCs w:val="28"/>
        </w:rPr>
        <w:t>符合要求。</w:t>
      </w:r>
      <w:r>
        <w:rPr>
          <w:rFonts w:hint="eastAsia" w:cs="Times New Roman"/>
          <w:snapToGrid w:val="0"/>
          <w:color w:val="auto"/>
          <w:kern w:val="0"/>
          <w:szCs w:val="28"/>
        </w:rPr>
        <w:t>本</w:t>
      </w:r>
      <w:r>
        <w:rPr>
          <w:rFonts w:cs="Times New Roman"/>
          <w:snapToGrid w:val="0"/>
          <w:color w:val="auto"/>
          <w:kern w:val="0"/>
          <w:szCs w:val="28"/>
        </w:rPr>
        <w:t>项目106甲类仓库</w:t>
      </w:r>
      <w:r>
        <w:rPr>
          <w:rFonts w:hint="eastAsia" w:cs="Times New Roman"/>
          <w:snapToGrid w:val="0"/>
          <w:color w:val="auto"/>
          <w:kern w:val="0"/>
          <w:szCs w:val="28"/>
        </w:rPr>
        <w:t>的</w:t>
      </w:r>
      <w:r>
        <w:rPr>
          <w:rFonts w:cs="Times New Roman"/>
          <w:snapToGrid w:val="0"/>
          <w:color w:val="auto"/>
          <w:kern w:val="0"/>
          <w:szCs w:val="28"/>
        </w:rPr>
        <w:t>平面布置符合有关法律法规的要求。</w:t>
      </w:r>
    </w:p>
    <w:p>
      <w:pPr>
        <w:wordWrap w:val="0"/>
        <w:adjustRightInd w:val="0"/>
        <w:snapToGrid w:val="0"/>
        <w:jc w:val="center"/>
        <w:textAlignment w:val="center"/>
        <w:outlineLvl w:val="1"/>
        <w:rPr>
          <w:b/>
          <w:bCs/>
          <w:color w:val="auto"/>
          <w:kern w:val="0"/>
        </w:rPr>
      </w:pPr>
      <w:bookmarkStart w:id="208" w:name="_Toc6802"/>
      <w:bookmarkStart w:id="209" w:name="_Toc2872"/>
      <w:bookmarkStart w:id="210" w:name="_Toc15601"/>
      <w:r>
        <w:rPr>
          <w:rFonts w:hint="eastAsia"/>
          <w:b/>
          <w:bCs/>
          <w:color w:val="auto"/>
          <w:kern w:val="0"/>
        </w:rPr>
        <w:t>5.3 106甲类仓库储存单元</w:t>
      </w:r>
      <w:bookmarkEnd w:id="208"/>
      <w:bookmarkEnd w:id="209"/>
      <w:bookmarkEnd w:id="210"/>
    </w:p>
    <w:p>
      <w:pPr>
        <w:wordWrap w:val="0"/>
        <w:adjustRightInd w:val="0"/>
        <w:snapToGrid w:val="0"/>
        <w:ind w:firstLine="560" w:firstLineChars="200"/>
        <w:textAlignment w:val="center"/>
        <w:rPr>
          <w:color w:val="auto"/>
          <w:kern w:val="0"/>
        </w:rPr>
      </w:pPr>
      <w:r>
        <w:rPr>
          <w:rFonts w:hint="eastAsia"/>
          <w:color w:val="auto"/>
          <w:kern w:val="0"/>
        </w:rPr>
        <w:t>根据《化工企业安全卫生设计规范》、《建筑设计防火规范》、《工业企业厂内铁路、道路运输安全规程》等制定检查表，对本项目的储存、装卸设备设施采用的安全措施等是否符合规范、标准的要求进行检查，检查结果见表5.3-1。</w:t>
      </w:r>
    </w:p>
    <w:p>
      <w:pPr>
        <w:wordWrap w:val="0"/>
        <w:adjustRightInd w:val="0"/>
        <w:snapToGrid w:val="0"/>
        <w:jc w:val="center"/>
        <w:textAlignment w:val="center"/>
        <w:rPr>
          <w:color w:val="auto"/>
          <w:kern w:val="0"/>
        </w:rPr>
      </w:pPr>
      <w:r>
        <w:rPr>
          <w:rFonts w:hint="eastAsia"/>
          <w:color w:val="auto"/>
          <w:kern w:val="0"/>
        </w:rPr>
        <w:t>表5.3-1  储运单元检查表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4742"/>
        <w:gridCol w:w="655"/>
        <w:gridCol w:w="141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19"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序号</w:t>
            </w:r>
          </w:p>
        </w:tc>
        <w:tc>
          <w:tcPr>
            <w:tcW w:w="4742"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检查项目和内容</w:t>
            </w:r>
          </w:p>
        </w:tc>
        <w:tc>
          <w:tcPr>
            <w:tcW w:w="655"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检查结果</w:t>
            </w:r>
          </w:p>
        </w:tc>
        <w:tc>
          <w:tcPr>
            <w:tcW w:w="1412"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检查依据</w:t>
            </w:r>
          </w:p>
        </w:tc>
        <w:tc>
          <w:tcPr>
            <w:tcW w:w="1843"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1" w:type="dxa"/>
            <w:gridSpan w:val="5"/>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b/>
                <w:bCs/>
                <w:color w:val="auto"/>
                <w:kern w:val="0"/>
                <w:sz w:val="21"/>
                <w:szCs w:val="21"/>
              </w:rPr>
              <w:t>一、</w:t>
            </w:r>
            <w:r>
              <w:rPr>
                <w:rFonts w:cs="Times New Roman"/>
                <w:b/>
                <w:bCs/>
                <w:color w:val="auto"/>
                <w:kern w:val="0"/>
                <w:sz w:val="21"/>
                <w:szCs w:val="21"/>
              </w:rPr>
              <w:t>一般规定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危险化学品应当储存在专用仓库、专用场地或者专用储存室</w:t>
            </w:r>
            <w:r>
              <w:rPr>
                <w:rFonts w:hint="eastAsia" w:cs="Times New Roman"/>
                <w:color w:val="auto"/>
                <w:kern w:val="0"/>
                <w:sz w:val="21"/>
                <w:szCs w:val="21"/>
              </w:rPr>
              <w:t>（</w:t>
            </w:r>
            <w:r>
              <w:rPr>
                <w:rFonts w:cs="Times New Roman"/>
                <w:color w:val="auto"/>
                <w:kern w:val="0"/>
                <w:sz w:val="21"/>
                <w:szCs w:val="21"/>
              </w:rPr>
              <w:t>以下统称专用仓库</w:t>
            </w:r>
            <w:r>
              <w:rPr>
                <w:rFonts w:hint="eastAsia" w:cs="Times New Roman"/>
                <w:color w:val="auto"/>
                <w:kern w:val="0"/>
                <w:sz w:val="21"/>
                <w:szCs w:val="21"/>
              </w:rPr>
              <w:t>）</w:t>
            </w:r>
            <w:r>
              <w:rPr>
                <w:rFonts w:cs="Times New Roman"/>
                <w:color w:val="auto"/>
                <w:kern w:val="0"/>
                <w:sz w:val="21"/>
                <w:szCs w:val="21"/>
              </w:rPr>
              <w:t>内，并由专人负责管理；剧毒化学品以及储存数量构成重大危险源的其他危险化学品，应当在专用仓库内单独存放，并实行双人收发、双人保管制度。</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《危险化学品安全管理条例》</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第二十四条</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储存在专用仓库</w:t>
            </w:r>
            <w:r>
              <w:rPr>
                <w:rFonts w:hint="eastAsia" w:cs="Times New Roman"/>
                <w:color w:val="auto"/>
                <w:kern w:val="0"/>
                <w:sz w:val="21"/>
                <w:szCs w:val="21"/>
              </w:rPr>
              <w:t>，</w:t>
            </w:r>
            <w:r>
              <w:rPr>
                <w:rFonts w:cs="Times New Roman"/>
                <w:color w:val="auto"/>
                <w:kern w:val="0"/>
                <w:sz w:val="21"/>
                <w:szCs w:val="21"/>
              </w:rPr>
              <w:t>由专人负责管理</w:t>
            </w:r>
            <w:r>
              <w:rPr>
                <w:rFonts w:hint="eastAsia" w:cs="Times New Roman"/>
                <w:color w:val="auto"/>
                <w:kern w:val="0"/>
                <w:sz w:val="21"/>
                <w:szCs w:val="21"/>
              </w:rPr>
              <w:t>，不涉及</w:t>
            </w:r>
            <w:r>
              <w:rPr>
                <w:rFonts w:cs="Times New Roman"/>
                <w:color w:val="auto"/>
                <w:kern w:val="0"/>
                <w:sz w:val="21"/>
                <w:szCs w:val="21"/>
              </w:rPr>
              <w:t>剧毒化学品</w:t>
            </w:r>
            <w:r>
              <w:rPr>
                <w:rFonts w:hint="eastAsia" w:cs="Times New Roman"/>
                <w:color w:val="auto"/>
                <w:kern w:val="0"/>
                <w:sz w:val="21"/>
                <w:szCs w:val="21"/>
              </w:rPr>
              <w:t>、不</w:t>
            </w:r>
            <w:r>
              <w:rPr>
                <w:rFonts w:cs="Times New Roman"/>
                <w:color w:val="auto"/>
                <w:kern w:val="0"/>
                <w:sz w:val="21"/>
                <w:szCs w:val="21"/>
              </w:rPr>
              <w:t>构成重大危险源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储存危险化学品的单位应当建立危险化学品出入库核查、登记制度。</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《危险化学品安全管理条例》</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第二十五条</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建立相关制度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化学危险品仓库、罐区、储存场应根据危险品性质设计相应的防火、防爆、防腐、泄压、通风、调节温度、防潮、防雨等设施，并应配备通讯报警装置和工作人员防护物品。</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《化工企业总图运输设计规范》</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3.5.1.3</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lang w:val="zh-CN"/>
              </w:rPr>
            </w:pPr>
            <w:r>
              <w:rPr>
                <w:rFonts w:hint="eastAsia" w:cs="Times New Roman"/>
                <w:color w:val="auto"/>
                <w:kern w:val="0"/>
                <w:sz w:val="21"/>
                <w:szCs w:val="21"/>
              </w:rPr>
              <w:t>仓库</w:t>
            </w:r>
            <w:r>
              <w:rPr>
                <w:rFonts w:cs="Times New Roman"/>
                <w:color w:val="auto"/>
                <w:kern w:val="0"/>
                <w:sz w:val="21"/>
                <w:szCs w:val="21"/>
              </w:rPr>
              <w:t>设相应的防火、防腐、泄压、通风、防潮、防雨等设施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化学危险品库区设计，必须严格执行危险物品配置规定。应根据化学性质、火灾危险性分类储存，性质相低触或消防要求不同的化学危险品，应分开储存。</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《化工企业总图运输设计规范》3.5.1.5</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根据化学性质、火灾危险性分类储存</w:t>
            </w:r>
            <w:r>
              <w:rPr>
                <w:rFonts w:hint="eastAsia" w:cs="Times New Roman"/>
                <w:color w:val="auto"/>
                <w:kern w:val="0"/>
                <w:sz w:val="21"/>
                <w:szCs w:val="21"/>
              </w:rPr>
              <w:t>，设有3个防火分区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具有超压危险的生产设备和管道应设计安全阀、爆破片等泄压系统。</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《化工企业安全卫生设计规范》</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4.1.10</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90" w:lineRule="exact"/>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90" w:lineRule="exact"/>
              <w:textAlignment w:val="center"/>
              <w:rPr>
                <w:rFonts w:cs="Times New Roman"/>
                <w:color w:val="auto"/>
                <w:kern w:val="0"/>
                <w:sz w:val="21"/>
                <w:szCs w:val="21"/>
              </w:rPr>
            </w:pPr>
            <w:r>
              <w:rPr>
                <w:rFonts w:cs="Times New Roman"/>
                <w:color w:val="auto"/>
                <w:kern w:val="0"/>
                <w:sz w:val="21"/>
                <w:szCs w:val="21"/>
              </w:rPr>
              <w:t>可能产生静电危害的工作场所，应配置个人防静电防护用品。重点防火、防爆作业区的人口处，应设计人体导除静电装置。</w:t>
            </w:r>
          </w:p>
        </w:tc>
        <w:tc>
          <w:tcPr>
            <w:tcW w:w="655"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《化工企业安全卫生设计规范》</w:t>
            </w:r>
          </w:p>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4.2.10</w:t>
            </w:r>
          </w:p>
        </w:tc>
        <w:tc>
          <w:tcPr>
            <w:tcW w:w="1843" w:type="dxa"/>
            <w:vAlign w:val="center"/>
          </w:tcPr>
          <w:p>
            <w:pPr>
              <w:wordWrap w:val="0"/>
              <w:adjustRightInd w:val="0"/>
              <w:snapToGrid w:val="0"/>
              <w:spacing w:line="290" w:lineRule="exact"/>
              <w:jc w:val="center"/>
              <w:textAlignment w:val="center"/>
              <w:rPr>
                <w:rFonts w:cs="Times New Roman"/>
                <w:color w:val="auto"/>
                <w:kern w:val="0"/>
                <w:sz w:val="21"/>
                <w:szCs w:val="21"/>
              </w:rPr>
            </w:pPr>
            <w:r>
              <w:rPr>
                <w:rFonts w:cs="Times New Roman"/>
                <w:color w:val="auto"/>
                <w:kern w:val="0"/>
                <w:sz w:val="21"/>
                <w:szCs w:val="21"/>
              </w:rPr>
              <w:t>配置个人防静电防护用品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化学危险品储运应按国家现行标准《建筑设计防火规范》GB50016、《石油化工企业设计防火规范》GB50160、《工业企业设计卫生标准》GBZ1和《石油化工储运系统罐区设计规范》SH/T3007规定执行，当储存放射性物质时.应按现行国家标准《电离辐射防护与辐射源安全基本标准》GB18871规定执行。</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《化工企业安全卫生设计规定》</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4.5.1</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危险化学品储存设计应根据化学品的性质、危害程度和储存量，设置专业仓库、罐区储存场</w:t>
            </w:r>
            <w:r>
              <w:rPr>
                <w:rFonts w:hint="eastAsia" w:cs="Times New Roman"/>
                <w:color w:val="auto"/>
                <w:kern w:val="0"/>
                <w:sz w:val="21"/>
                <w:szCs w:val="21"/>
              </w:rPr>
              <w:t>（</w:t>
            </w:r>
            <w:r>
              <w:rPr>
                <w:rFonts w:cs="Times New Roman"/>
                <w:color w:val="auto"/>
                <w:kern w:val="0"/>
                <w:sz w:val="21"/>
                <w:szCs w:val="21"/>
              </w:rPr>
              <w:t>所），并应根据生产需要和储存物品火灾危险特征，确定储存方式、仓库结构和选址。</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w:t>
            </w:r>
            <w:r>
              <w:rPr>
                <w:rFonts w:hint="eastAsia" w:cs="Times New Roman"/>
                <w:color w:val="auto"/>
                <w:kern w:val="0"/>
                <w:sz w:val="21"/>
                <w:szCs w:val="21"/>
              </w:rPr>
              <w:t>106甲类</w:t>
            </w:r>
            <w:r>
              <w:rPr>
                <w:rFonts w:cs="Times New Roman"/>
                <w:color w:val="auto"/>
                <w:kern w:val="0"/>
                <w:sz w:val="21"/>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危险化学品仓库、罐区、储存场应根据危险品性质设计相应的防火、防爆、防腐、泄压、通风、调节温度、防潮、防雨等设施，并应配备通信报瞥装置和工作人员防护物品。</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根据危险品性质设</w:t>
            </w:r>
            <w:r>
              <w:rPr>
                <w:rFonts w:hint="eastAsia" w:cs="Times New Roman"/>
                <w:color w:val="auto"/>
                <w:kern w:val="0"/>
                <w:sz w:val="21"/>
                <w:szCs w:val="21"/>
              </w:rPr>
              <w:t>置</w:t>
            </w:r>
            <w:r>
              <w:rPr>
                <w:rFonts w:cs="Times New Roman"/>
                <w:color w:val="auto"/>
                <w:kern w:val="0"/>
                <w:sz w:val="21"/>
                <w:szCs w:val="21"/>
              </w:rPr>
              <w:t>相应的防火、防爆、防腐、泄压、通风、调节温度、防潮、防雨等设施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危险化学品库区设计应根据化学性质、火灾危险性分类储存进行设计。性质相抵触或消防要求不同的危险化学品，应按分开储存进行设计。</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分类储存</w:t>
            </w:r>
            <w:r>
              <w:rPr>
                <w:rFonts w:hint="eastAsia" w:cs="Times New Roman"/>
                <w:color w:val="auto"/>
                <w:kern w:val="0"/>
                <w:sz w:val="21"/>
                <w:szCs w:val="21"/>
              </w:rPr>
              <w:t>，设有3个防火分区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装运易爆、剧毒、易燃液体、可燃气体等危险化学品，应采用专用运输工具。</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《化工企业安全卫生设计规定》</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4.5.2</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有资质运输单位进行运输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危险化学品装卸应配备专用工具，专用装卸器具应符合防火、防爆要求。</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配备专用工具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有毒、有害液体的装卸应采用密闭操作技术，并加强作业场所通风，配置局部通风和净化系统以及残液回收系统。</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采用密闭操作技术</w:t>
            </w:r>
            <w:r>
              <w:rPr>
                <w:rFonts w:hint="eastAsia" w:cs="Times New Roman"/>
                <w:color w:val="auto"/>
                <w:kern w:val="0"/>
                <w:sz w:val="21"/>
                <w:szCs w:val="21"/>
              </w:rPr>
              <w:t>，</w:t>
            </w:r>
            <w:r>
              <w:rPr>
                <w:rFonts w:cs="Times New Roman"/>
                <w:color w:val="auto"/>
                <w:kern w:val="0"/>
                <w:sz w:val="21"/>
                <w:szCs w:val="21"/>
              </w:rPr>
              <w:t>加强作业场所通风</w:t>
            </w:r>
            <w:r>
              <w:rPr>
                <w:rFonts w:hint="eastAsia" w:cs="Times New Roman"/>
                <w:color w:val="auto"/>
                <w:kern w:val="0"/>
                <w:sz w:val="21"/>
                <w:szCs w:val="21"/>
              </w:rPr>
              <w:t>，设有放流散措施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根据化学物品特性和运输方式正确选择容器和包装材料以及包装衬垫.使之适应储运过程中的腐蚀、碰撞、挤压以及运输环境的变化。</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《化工企业安全卫生设计规定》</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4.5.3</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正确选择容器和包装材料以及包装衬垫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学品标签应按现行国家标准《化学品安全标签编写规定》GB15258的要求.标记物品名称规格、生产企业名称、生产日期或批号、危险货物品名编号和标志图形、安全措施与应急处理方法。危险货物品名编号和标志图形应分别符合现行国家标准《危险货物品名表》GB12268和《危险货物包装标志》GB190的规定。</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化学品标签按现行国家标准《化学品安全标签编写规定》GB15258的要求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易燃和可燃液体、压缩可燃和助燃气体、有毒及有害液体的灌装应根据物料性质、危害程度进行设计。灌装设施设计应符合防火、防爆、防毒要求</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具有化学灼伤危险的作业场所，应设计洗眼器、淋洗器等安全防护措施，淋洗器、洗眼器的服务半径应不大于15m。淋洗器、洗眼器的冲洗水上水水质应符合现行国家标准《生活饮用水卫生标准》GB5749的规定，并应为不间断供水；淋洗器、洗眼器的排水应纳入工厂污水管网，并在装置区安全位置设置救护箱。工作人员配备必要的个人防护用品。</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5.6.5</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w:t>
            </w:r>
            <w:r>
              <w:rPr>
                <w:rFonts w:hint="eastAsia" w:cs="Times New Roman"/>
                <w:color w:val="auto"/>
                <w:kern w:val="0"/>
                <w:sz w:val="21"/>
                <w:szCs w:val="21"/>
              </w:rPr>
              <w:t>置</w:t>
            </w:r>
            <w:r>
              <w:rPr>
                <w:rFonts w:cs="Times New Roman"/>
                <w:color w:val="auto"/>
                <w:kern w:val="0"/>
                <w:sz w:val="21"/>
                <w:szCs w:val="21"/>
              </w:rPr>
              <w:t>洗眼器、淋洗器等安全防护设施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在生产或使用可燃气体及有毒气体的工艺装置和储运设施（包括甲类气体和液化烃、甲</w:t>
            </w:r>
            <w:r>
              <w:rPr>
                <w:rFonts w:cs="Times New Roman"/>
                <w:color w:val="auto"/>
                <w:kern w:val="0"/>
                <w:sz w:val="21"/>
                <w:szCs w:val="21"/>
                <w:vertAlign w:val="subscript"/>
              </w:rPr>
              <w:t>B</w:t>
            </w:r>
            <w:r>
              <w:rPr>
                <w:rFonts w:cs="Times New Roman"/>
                <w:color w:val="auto"/>
                <w:kern w:val="0"/>
                <w:sz w:val="21"/>
                <w:szCs w:val="21"/>
              </w:rPr>
              <w:t>、乙</w:t>
            </w:r>
            <w:r>
              <w:rPr>
                <w:rFonts w:cs="Times New Roman"/>
                <w:color w:val="auto"/>
                <w:kern w:val="0"/>
                <w:sz w:val="21"/>
                <w:szCs w:val="21"/>
                <w:vertAlign w:val="subscript"/>
              </w:rPr>
              <w:t>A</w:t>
            </w:r>
            <w:r>
              <w:rPr>
                <w:rFonts w:cs="Times New Roman"/>
                <w:color w:val="auto"/>
                <w:kern w:val="0"/>
                <w:sz w:val="21"/>
                <w:szCs w:val="21"/>
              </w:rPr>
              <w:t>类液体的储罐区、装卸设施、灌装站等）的区域内，对可能发生可燃气体和/或有毒气体的泄漏进行监测时，应按下列规定设置可燃气体检（探）测器和有毒气体检（探）测器。可燃气体或其中含有毒气体泄漏时，可燃气体浓度可能达到25%LEL，但有毒气体不能达到最高容许浓度时，应设置可燃气体检（探）测器；</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《石油化工可燃气体和有毒气体检测报警设计规范》3.0.1</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106甲类仓库内</w:t>
            </w:r>
            <w:r>
              <w:rPr>
                <w:rFonts w:cs="Times New Roman"/>
                <w:color w:val="auto"/>
                <w:kern w:val="0"/>
                <w:sz w:val="21"/>
                <w:szCs w:val="21"/>
              </w:rPr>
              <w:t>设置可燃气体检测</w:t>
            </w:r>
            <w:r>
              <w:rPr>
                <w:rFonts w:hint="eastAsia" w:cs="Times New Roman"/>
                <w:color w:val="auto"/>
                <w:kern w:val="0"/>
                <w:sz w:val="21"/>
                <w:szCs w:val="21"/>
              </w:rPr>
              <w:t>报警联锁系统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68"/>
              <w:widowControl w:val="0"/>
              <w:wordWrap w:val="0"/>
              <w:adjustRightInd w:val="0"/>
              <w:snapToGrid w:val="0"/>
              <w:spacing w:line="260" w:lineRule="exact"/>
              <w:ind w:firstLine="0"/>
              <w:textAlignment w:val="center"/>
              <w:rPr>
                <w:color w:val="auto"/>
                <w:sz w:val="21"/>
                <w:szCs w:val="21"/>
              </w:rPr>
            </w:pPr>
            <w:r>
              <w:rPr>
                <w:rFonts w:hint="eastAsia" w:cs="宋体"/>
                <w:color w:val="auto"/>
                <w:sz w:val="21"/>
                <w:szCs w:val="21"/>
              </w:rPr>
              <w:t>使用或生产可燃气体或甲、乙类可燃液体的生产和储运区域，应按现行国家标准《石油化工可燃气体和有毒气体检测报警设计规范》</w:t>
            </w:r>
            <w:r>
              <w:rPr>
                <w:color w:val="auto"/>
                <w:sz w:val="21"/>
                <w:szCs w:val="21"/>
              </w:rPr>
              <w:t>GB 50493</w:t>
            </w:r>
            <w:r>
              <w:rPr>
                <w:rFonts w:hint="eastAsia" w:cs="宋体"/>
                <w:color w:val="auto"/>
                <w:sz w:val="21"/>
                <w:szCs w:val="21"/>
              </w:rPr>
              <w:t>、《爆炸危险环境电力装置设计规范》</w:t>
            </w:r>
            <w:r>
              <w:rPr>
                <w:color w:val="auto"/>
                <w:sz w:val="21"/>
                <w:szCs w:val="21"/>
              </w:rPr>
              <w:t>GB 50058</w:t>
            </w:r>
            <w:r>
              <w:rPr>
                <w:rFonts w:hint="eastAsia" w:cs="宋体"/>
                <w:color w:val="auto"/>
                <w:sz w:val="21"/>
                <w:szCs w:val="21"/>
              </w:rPr>
              <w:t>的规定，设置独立于基本控制系统的可燃、有毒气体检测报警系统，现场电子仪表设备应采取合适的防爆措施，符合爆炸危险环境的防爆要求。</w:t>
            </w:r>
          </w:p>
        </w:tc>
        <w:tc>
          <w:tcPr>
            <w:tcW w:w="655" w:type="dxa"/>
            <w:vAlign w:val="center"/>
          </w:tcPr>
          <w:p>
            <w:pPr>
              <w:pStyle w:val="68"/>
              <w:widowControl w:val="0"/>
              <w:wordWrap w:val="0"/>
              <w:adjustRightInd w:val="0"/>
              <w:snapToGrid w:val="0"/>
              <w:spacing w:line="260" w:lineRule="exact"/>
              <w:ind w:firstLine="0"/>
              <w:jc w:val="center"/>
              <w:textAlignment w:val="center"/>
              <w:rPr>
                <w:color w:val="auto"/>
                <w:sz w:val="21"/>
                <w:szCs w:val="21"/>
              </w:rPr>
            </w:pPr>
            <w:r>
              <w:rPr>
                <w:color w:val="auto"/>
                <w:sz w:val="21"/>
                <w:szCs w:val="21"/>
              </w:rPr>
              <w:t>符合要求</w:t>
            </w:r>
          </w:p>
        </w:tc>
        <w:tc>
          <w:tcPr>
            <w:tcW w:w="1412" w:type="dxa"/>
            <w:vAlign w:val="center"/>
          </w:tcPr>
          <w:p>
            <w:pPr>
              <w:pStyle w:val="68"/>
              <w:widowControl w:val="0"/>
              <w:wordWrap w:val="0"/>
              <w:adjustRightInd w:val="0"/>
              <w:snapToGrid w:val="0"/>
              <w:spacing w:line="260" w:lineRule="exact"/>
              <w:ind w:firstLine="0"/>
              <w:jc w:val="center"/>
              <w:textAlignment w:val="center"/>
              <w:rPr>
                <w:color w:val="auto"/>
                <w:sz w:val="21"/>
                <w:szCs w:val="21"/>
              </w:rPr>
            </w:pPr>
            <w:r>
              <w:rPr>
                <w:color w:val="auto"/>
                <w:sz w:val="21"/>
                <w:szCs w:val="21"/>
              </w:rPr>
              <w:t>GB51283-2020</w:t>
            </w:r>
            <w:r>
              <w:rPr>
                <w:rFonts w:hint="eastAsia" w:cs="宋体"/>
                <w:color w:val="auto"/>
                <w:sz w:val="21"/>
                <w:szCs w:val="21"/>
              </w:rPr>
              <w:t>第</w:t>
            </w:r>
            <w:r>
              <w:rPr>
                <w:color w:val="auto"/>
                <w:sz w:val="21"/>
                <w:szCs w:val="21"/>
              </w:rPr>
              <w:t>5.8.4</w:t>
            </w:r>
            <w:r>
              <w:rPr>
                <w:rFonts w:hint="eastAsia" w:cs="宋体"/>
                <w:color w:val="auto"/>
                <w:sz w:val="21"/>
                <w:szCs w:val="21"/>
              </w:rPr>
              <w:t>条</w:t>
            </w:r>
          </w:p>
        </w:tc>
        <w:tc>
          <w:tcPr>
            <w:tcW w:w="1843" w:type="dxa"/>
            <w:vAlign w:val="center"/>
          </w:tcPr>
          <w:p>
            <w:pPr>
              <w:pStyle w:val="68"/>
              <w:widowControl w:val="0"/>
              <w:wordWrap w:val="0"/>
              <w:adjustRightInd w:val="0"/>
              <w:snapToGrid w:val="0"/>
              <w:spacing w:line="260" w:lineRule="exact"/>
              <w:ind w:firstLine="0"/>
              <w:jc w:val="center"/>
              <w:textAlignment w:val="center"/>
              <w:rPr>
                <w:color w:val="auto"/>
                <w:sz w:val="21"/>
                <w:szCs w:val="21"/>
              </w:rPr>
            </w:pPr>
            <w:r>
              <w:rPr>
                <w:rFonts w:hint="eastAsia" w:cs="宋体"/>
                <w:color w:val="auto"/>
                <w:sz w:val="21"/>
                <w:szCs w:val="21"/>
              </w:rPr>
              <w:t>设置独立于基本控制系统的可燃气体检测报警系统，采取合适的防爆措施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1" w:type="dxa"/>
            <w:gridSpan w:val="5"/>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b/>
                <w:bCs/>
                <w:color w:val="auto"/>
                <w:kern w:val="0"/>
                <w:sz w:val="21"/>
                <w:szCs w:val="21"/>
              </w:rPr>
              <w:t>二、</w:t>
            </w:r>
            <w:r>
              <w:rPr>
                <w:rFonts w:cs="Times New Roman"/>
                <w:b/>
                <w:bCs/>
                <w:color w:val="auto"/>
                <w:kern w:val="0"/>
                <w:sz w:val="21"/>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11"/>
              <w:wordWrap w:val="0"/>
              <w:adjustRightInd w:val="0"/>
              <w:snapToGrid w:val="0"/>
              <w:spacing w:line="260" w:lineRule="exact"/>
              <w:ind w:firstLine="0" w:firstLineChars="0"/>
              <w:jc w:val="left"/>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库存物品应当分类、分垛储存，每垛占地面积不宜大于一百平方米，垛与垛间距不小于一米，垛与墙间距不小于零点五米，垛与梁、柱间距不小于零点三米，主要通道的宽度不小于二米。</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lang w:val="zh-CN"/>
              </w:rPr>
            </w:pPr>
            <w:r>
              <w:rPr>
                <w:rFonts w:cs="Times New Roman"/>
                <w:color w:val="auto"/>
                <w:kern w:val="0"/>
                <w:sz w:val="21"/>
                <w:szCs w:val="21"/>
              </w:rPr>
              <w:t>《仓库防火安全管理规则》</w:t>
            </w:r>
            <w:r>
              <w:rPr>
                <w:rFonts w:cs="Times New Roman"/>
                <w:bCs/>
                <w:color w:val="auto"/>
                <w:kern w:val="0"/>
                <w:sz w:val="21"/>
                <w:szCs w:val="21"/>
              </w:rPr>
              <w:t>第十八条</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分类、分垛储存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各种机动车辆装卸物品后，不准在库区、库房、货场内停放和修理。</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《仓库防火安全管理规则》第三十一条</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未见</w:t>
            </w:r>
            <w:r>
              <w:rPr>
                <w:rFonts w:hint="eastAsia" w:cs="Times New Roman"/>
                <w:color w:val="auto"/>
                <w:kern w:val="0"/>
                <w:sz w:val="21"/>
                <w:szCs w:val="21"/>
              </w:rPr>
              <w:t>仓库</w:t>
            </w:r>
            <w:r>
              <w:rPr>
                <w:rFonts w:cs="Times New Roman"/>
                <w:color w:val="auto"/>
                <w:kern w:val="0"/>
                <w:sz w:val="21"/>
                <w:szCs w:val="21"/>
              </w:rPr>
              <w:t>停放和修理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60" w:lineRule="exact"/>
              <w:jc w:val="left"/>
              <w:textAlignment w:val="center"/>
              <w:rPr>
                <w:rFonts w:cs="Times New Roman"/>
                <w:color w:val="auto"/>
                <w:kern w:val="0"/>
                <w:sz w:val="21"/>
                <w:szCs w:val="21"/>
                <w:lang w:val="zh-CN"/>
              </w:rPr>
            </w:pPr>
            <w:r>
              <w:rPr>
                <w:rFonts w:cs="Times New Roman"/>
                <w:color w:val="auto"/>
                <w:kern w:val="0"/>
                <w:sz w:val="21"/>
                <w:szCs w:val="21"/>
              </w:rPr>
              <w:t>库区内不得搭建临时建筑和构筑物，因装卸作业确需搭建时，必须经单位防火负责人批准，装卸作业结束后立即拆除。</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《仓库防火安全管理规则》第三十二条</w:t>
            </w:r>
          </w:p>
        </w:tc>
        <w:tc>
          <w:tcPr>
            <w:tcW w:w="1843" w:type="dxa"/>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仓库</w:t>
            </w:r>
            <w:r>
              <w:rPr>
                <w:rFonts w:cs="Times New Roman"/>
                <w:color w:val="auto"/>
                <w:kern w:val="0"/>
                <w:sz w:val="21"/>
                <w:szCs w:val="21"/>
              </w:rPr>
              <w:t>内未搭建临时建筑和构筑物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11"/>
              <w:wordWrap w:val="0"/>
              <w:adjustRightInd w:val="0"/>
              <w:snapToGrid w:val="0"/>
              <w:spacing w:line="260" w:lineRule="exact"/>
              <w:ind w:firstLine="0" w:firstLineChars="0"/>
              <w:jc w:val="left"/>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仓库应当设置醒目的防火标志。进入甲、乙类物品库区的人员，必须登记，并交出携带的火种。</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《仓库防火安全管理规则》第四十六条</w:t>
            </w:r>
          </w:p>
          <w:p>
            <w:pPr>
              <w:wordWrap w:val="0"/>
              <w:adjustRightInd w:val="0"/>
              <w:snapToGrid w:val="0"/>
              <w:spacing w:line="260" w:lineRule="exact"/>
              <w:jc w:val="center"/>
              <w:textAlignment w:val="center"/>
              <w:rPr>
                <w:rFonts w:cs="Times New Roman"/>
                <w:color w:val="auto"/>
                <w:kern w:val="0"/>
                <w:sz w:val="21"/>
                <w:szCs w:val="21"/>
              </w:rPr>
            </w:pP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仓库设置</w:t>
            </w:r>
            <w:r>
              <w:rPr>
                <w:rFonts w:hint="eastAsia" w:cs="Times New Roman"/>
                <w:color w:val="auto"/>
                <w:kern w:val="0"/>
                <w:sz w:val="21"/>
                <w:szCs w:val="21"/>
              </w:rPr>
              <w:t>有</w:t>
            </w:r>
            <w:r>
              <w:rPr>
                <w:rFonts w:cs="Times New Roman"/>
                <w:color w:val="auto"/>
                <w:kern w:val="0"/>
                <w:sz w:val="21"/>
                <w:szCs w:val="21"/>
              </w:rPr>
              <w:t>防火标志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库房内严禁使用明火。库房外动用明火作业时，必须办理动火证，经仓库或单位防火负责人批准，并采取严格的安全措施。动火证应当注明动火地点、时间、动火人、现场监护人、批准人和防火措施等内容。</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《仓库防火安全管理规则》第四十七条</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甲类仓库，禁止明火，动火严格执行</w:t>
            </w:r>
            <w:r>
              <w:rPr>
                <w:rFonts w:cs="Times New Roman"/>
                <w:color w:val="auto"/>
                <w:kern w:val="0"/>
                <w:sz w:val="21"/>
                <w:szCs w:val="21"/>
              </w:rPr>
              <w:t>动火证</w:t>
            </w:r>
            <w:r>
              <w:rPr>
                <w:rFonts w:hint="eastAsia" w:cs="Times New Roman"/>
                <w:color w:val="auto"/>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库房内不准使用火炉取暖。在库区使用时，应当经防火负责人批准。</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《仓库防火安全管理规则》第四十八条</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甲类仓库，禁止明火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库区以及周围五十米内，严禁燃放烟花爆竹</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《仓库防火安全管理规则》第五十条</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甲类仓库，周边禁止明火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各类危险化学品不得与禁忌物料混合储存；</w:t>
            </w:r>
          </w:p>
        </w:tc>
        <w:tc>
          <w:tcPr>
            <w:tcW w:w="65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《生产过程安全卫生要求总则》</w:t>
            </w:r>
          </w:p>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5.8.1</w:t>
            </w:r>
          </w:p>
        </w:tc>
        <w:tc>
          <w:tcPr>
            <w:tcW w:w="1843"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未发现</w:t>
            </w:r>
            <w:r>
              <w:rPr>
                <w:rFonts w:cs="Times New Roman"/>
                <w:color w:val="auto"/>
                <w:kern w:val="0"/>
                <w:sz w:val="21"/>
                <w:szCs w:val="21"/>
              </w:rPr>
              <w:t>禁忌物料混合储存</w:t>
            </w:r>
            <w:r>
              <w:rPr>
                <w:rFonts w:hint="eastAsia" w:cs="Times New Roman"/>
                <w:color w:val="auto"/>
                <w:kern w:val="0"/>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贮存化学危险品的仓库必须配备有专业知识的技术人员，其库房及场所应设专人管理，管理人员必须配备可靠的个人安全防护用品。</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《常用化学危险品贮存通则》4.4</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仓库配备有专业知识的技术人员，其库房设专人管理，配备可靠的个人安全防护用品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贮存化学危险品的建筑物、区域内严禁吸烟和使用明火。</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《常用化学危险品贮存通则》4.9</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设有</w:t>
            </w:r>
            <w:r>
              <w:rPr>
                <w:rFonts w:cs="Times New Roman"/>
                <w:color w:val="auto"/>
                <w:kern w:val="0"/>
                <w:sz w:val="21"/>
                <w:szCs w:val="21"/>
              </w:rPr>
              <w:t>严禁吸烟和使用明火标志牌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40" w:lineRule="auto"/>
              <w:jc w:val="left"/>
              <w:textAlignment w:val="center"/>
              <w:rPr>
                <w:rFonts w:cs="Times New Roman"/>
                <w:b/>
                <w:color w:val="auto"/>
                <w:kern w:val="0"/>
                <w:sz w:val="21"/>
                <w:szCs w:val="21"/>
              </w:rPr>
            </w:pPr>
            <w:r>
              <w:rPr>
                <w:rFonts w:cs="Times New Roman"/>
                <w:color w:val="auto"/>
                <w:kern w:val="0"/>
                <w:sz w:val="21"/>
                <w:szCs w:val="21"/>
              </w:rPr>
              <w:t>贮存化学危险品的建筑物不得有地下室或其他地下建筑，其耐火等级、层数、占地面积、安全疏散和防火间距，应符合国家有关规定。</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《常用化学危险品贮存通则》5.1</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无地下室或其他地下建筑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化学危险品贮存区域或建筑物内输配电线路、灯具、火灾事故照明和疏散指示标志，都应符合安全要求。</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《常用化学危险品贮存通则》5.3.2</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仓库内输配电线路、灯具、火灾事故照明和疏散指示标志，都符合安全要求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贮存易燃、易爆化学危险品的建筑，必须安装避雷设备</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《常用化学危险品贮存通则》5.3.3</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安装避雷设备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贮存化学危险品的建筑必须安装通风设备，并注意设备的防护措施。</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《常用化学危险品贮存通则》5.4.1</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安装通风设备</w:t>
            </w:r>
            <w:r>
              <w:rPr>
                <w:rFonts w:hint="eastAsia" w:cs="Times New Roman"/>
                <w:color w:val="auto"/>
                <w:kern w:val="0"/>
                <w:sz w:val="21"/>
                <w:szCs w:val="21"/>
              </w:rPr>
              <w:t>，且与可燃气体报警系统联锁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高架仓库、高层仓库、甲类仓库、多层乙类仓库和储存可燃液体的多层丙类仓库，其耐火等级不应低于二级。</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单层乙类仓库，单、多层丙类仓库和多层丁、戊类仓库，其耐火等级不应低于三级。</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3.2.7</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甲类仓库，</w:t>
            </w:r>
            <w:r>
              <w:rPr>
                <w:rFonts w:cs="Times New Roman"/>
                <w:color w:val="auto"/>
                <w:kern w:val="0"/>
                <w:sz w:val="21"/>
                <w:szCs w:val="21"/>
              </w:rPr>
              <w:t>耐火等级不应低于二级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除本规范另有规定外，仓库的层数和面积应符合表3.3.2的规定。</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3.3.2</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单层，层数和面积符合规定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甲、乙类生产场所（仓库）不应设置在地下或半地下</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3.3.4</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员工宿舍严禁设置在仓库内。</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办公室、休息室等严禁设置在甲、乙类仓库内，也不应贴邻。</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办公室、休息室设置在丙、丁类仓库内时，应采用耐火极限不低于2.50h的防火隔墙和1.00h的楼板与其他部位分隔，并应设置独立的安全出口。隔墙上需开设相互连通的门时，应采用乙级防火门。</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《建筑设计防火规范》3.3.9</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在仓库内无员工宿舍、办公室、休息室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除本规范另有规定外，乙、丙、丁、戊类仓库之间及与民用建筑的防火间距，不应小于表3.5.2的规定。</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3.5.2</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不小于规定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甲、乙、丙类液体仓库应设置防止液体流散的设施。遇湿会发生燃烧爆炸的物品仓库应采取防止水浸渍的措施。</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3.6.12</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采取防止水浸渍的措施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仓库的安全出口应分散布置。每个防火分区或一个防火分区的每个楼层，其相邻2个安全出口最近边缘之间的水平距离不应小于5m。</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《建筑设计防火规范》3.8.1</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分散布置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 w:type="dxa"/>
            <w:vAlign w:val="center"/>
          </w:tcPr>
          <w:p>
            <w:pPr>
              <w:numPr>
                <w:ilvl w:val="0"/>
                <w:numId w:val="4"/>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742"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仓库的疏散门应采用向疏散方向开启的平开门，但丙、丁、戊类仓库首层靠墙的外侧可采用推拉门或卷帘门；</w:t>
            </w:r>
          </w:p>
        </w:tc>
        <w:tc>
          <w:tcPr>
            <w:tcW w:w="65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41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6.4.11</w:t>
            </w:r>
          </w:p>
        </w:tc>
        <w:tc>
          <w:tcPr>
            <w:tcW w:w="184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向疏散方向开启的平开门</w:t>
            </w:r>
          </w:p>
        </w:tc>
      </w:tr>
    </w:tbl>
    <w:p>
      <w:pPr>
        <w:wordWrap w:val="0"/>
        <w:adjustRightInd w:val="0"/>
        <w:snapToGrid w:val="0"/>
        <w:ind w:firstLine="560" w:firstLineChars="200"/>
        <w:textAlignment w:val="center"/>
        <w:rPr>
          <w:color w:val="auto"/>
          <w:kern w:val="0"/>
        </w:rPr>
      </w:pPr>
      <w:r>
        <w:rPr>
          <w:rFonts w:hint="eastAsia"/>
          <w:color w:val="auto"/>
          <w:kern w:val="0"/>
        </w:rPr>
        <w:t>2、单元评价小结</w:t>
      </w:r>
    </w:p>
    <w:p>
      <w:pPr>
        <w:wordWrap w:val="0"/>
        <w:adjustRightInd w:val="0"/>
        <w:snapToGrid w:val="0"/>
        <w:ind w:firstLine="560" w:firstLineChars="200"/>
        <w:textAlignment w:val="center"/>
        <w:rPr>
          <w:color w:val="auto"/>
          <w:kern w:val="0"/>
        </w:rPr>
      </w:pPr>
      <w:r>
        <w:rPr>
          <w:rFonts w:hint="eastAsia"/>
          <w:color w:val="auto"/>
          <w:kern w:val="0"/>
        </w:rPr>
        <w:t>1）本项目106甲类仓库物料储存根据化学品的性质、危害程度和储存量设置，设有3个防火分区；</w:t>
      </w:r>
    </w:p>
    <w:p>
      <w:pPr>
        <w:wordWrap w:val="0"/>
        <w:adjustRightInd w:val="0"/>
        <w:snapToGrid w:val="0"/>
        <w:ind w:firstLine="560" w:firstLineChars="200"/>
        <w:textAlignment w:val="center"/>
        <w:rPr>
          <w:color w:val="auto"/>
          <w:kern w:val="0"/>
        </w:rPr>
      </w:pPr>
      <w:r>
        <w:rPr>
          <w:rFonts w:hint="eastAsia"/>
          <w:color w:val="auto"/>
          <w:kern w:val="0"/>
        </w:rPr>
        <w:t>2）本项目106甲类仓库设置防雷接地设施；</w:t>
      </w:r>
    </w:p>
    <w:p>
      <w:pPr>
        <w:wordWrap w:val="0"/>
        <w:adjustRightInd w:val="0"/>
        <w:snapToGrid w:val="0"/>
        <w:ind w:firstLine="560" w:firstLineChars="200"/>
        <w:textAlignment w:val="center"/>
        <w:rPr>
          <w:color w:val="auto"/>
          <w:kern w:val="0"/>
        </w:rPr>
      </w:pPr>
      <w:r>
        <w:rPr>
          <w:rFonts w:hint="eastAsia"/>
          <w:color w:val="auto"/>
          <w:kern w:val="0"/>
        </w:rPr>
        <w:t>3）本项目106甲类仓库设有有防火标志，根据危险品性质设置相应的防火、防爆、防腐、泄压、通风、调节温度、防潮、防雨等设施；</w:t>
      </w:r>
    </w:p>
    <w:p>
      <w:pPr>
        <w:wordWrap w:val="0"/>
        <w:adjustRightInd w:val="0"/>
        <w:snapToGrid w:val="0"/>
        <w:ind w:firstLine="560" w:firstLineChars="200"/>
        <w:textAlignment w:val="center"/>
        <w:rPr>
          <w:color w:val="auto"/>
          <w:kern w:val="0"/>
        </w:rPr>
      </w:pPr>
      <w:r>
        <w:rPr>
          <w:rFonts w:hint="eastAsia"/>
          <w:color w:val="auto"/>
          <w:kern w:val="0"/>
        </w:rPr>
        <w:t>4）106甲类仓库的危险化学品装卸运输采用专用运输工具；危险化学品包装根据化学物品特性和运输方式正确选择容器和包装材料以及包装衬垫。使之适应储运过程中的腐蚀、碰撞、挤压以及运输环境的变化；</w:t>
      </w:r>
    </w:p>
    <w:p>
      <w:pPr>
        <w:wordWrap w:val="0"/>
        <w:adjustRightInd w:val="0"/>
        <w:snapToGrid w:val="0"/>
        <w:ind w:firstLine="560" w:firstLineChars="200"/>
        <w:textAlignment w:val="center"/>
        <w:rPr>
          <w:color w:val="auto"/>
          <w:kern w:val="0"/>
        </w:rPr>
      </w:pPr>
      <w:r>
        <w:rPr>
          <w:rFonts w:hint="eastAsia"/>
          <w:color w:val="auto"/>
          <w:kern w:val="0"/>
        </w:rPr>
        <w:t>5）106甲类仓库内设置可燃气体检测报警联锁系统，并和事故风机进行联锁；</w:t>
      </w:r>
    </w:p>
    <w:p>
      <w:pPr>
        <w:wordWrap w:val="0"/>
        <w:adjustRightInd w:val="0"/>
        <w:snapToGrid w:val="0"/>
        <w:ind w:firstLine="560" w:firstLineChars="200"/>
        <w:textAlignment w:val="center"/>
        <w:rPr>
          <w:color w:val="auto"/>
          <w:kern w:val="0"/>
        </w:rPr>
      </w:pPr>
      <w:r>
        <w:rPr>
          <w:rFonts w:hint="eastAsia"/>
          <w:color w:val="auto"/>
          <w:kern w:val="0"/>
        </w:rPr>
        <w:t>6）对该单元采用安全检查表法分析，共进行了41项内容的检查分析，均符合要求。</w:t>
      </w:r>
    </w:p>
    <w:p>
      <w:pPr>
        <w:wordWrap w:val="0"/>
        <w:adjustRightInd w:val="0"/>
        <w:snapToGrid w:val="0"/>
        <w:ind w:firstLine="560" w:firstLineChars="200"/>
        <w:textAlignment w:val="center"/>
        <w:rPr>
          <w:color w:val="auto"/>
          <w:kern w:val="0"/>
        </w:rPr>
      </w:pPr>
      <w:r>
        <w:rPr>
          <w:rFonts w:hint="eastAsia"/>
          <w:color w:val="auto"/>
          <w:kern w:val="0"/>
        </w:rPr>
        <w:t>3、作业条件危险性分析</w:t>
      </w:r>
    </w:p>
    <w:p>
      <w:pPr>
        <w:wordWrap w:val="0"/>
        <w:adjustRightInd w:val="0"/>
        <w:snapToGrid w:val="0"/>
        <w:ind w:firstLine="560" w:firstLineChars="200"/>
        <w:textAlignment w:val="center"/>
        <w:rPr>
          <w:color w:val="auto"/>
          <w:kern w:val="0"/>
        </w:rPr>
      </w:pPr>
      <w:r>
        <w:rPr>
          <w:color w:val="auto"/>
          <w:kern w:val="0"/>
        </w:rPr>
        <w:t>根据该公司</w:t>
      </w:r>
      <w:r>
        <w:rPr>
          <w:rFonts w:hint="eastAsia"/>
          <w:color w:val="auto"/>
          <w:kern w:val="0"/>
        </w:rPr>
        <w:t>储存</w:t>
      </w:r>
      <w:r>
        <w:rPr>
          <w:color w:val="auto"/>
          <w:kern w:val="0"/>
        </w:rPr>
        <w:t>的具体情况，采用作业条件危险性评价法对</w:t>
      </w:r>
      <w:r>
        <w:rPr>
          <w:rFonts w:hint="eastAsia"/>
          <w:color w:val="auto"/>
          <w:kern w:val="0"/>
        </w:rPr>
        <w:t>106甲类仓库</w:t>
      </w:r>
      <w:r>
        <w:rPr>
          <w:color w:val="auto"/>
          <w:kern w:val="0"/>
        </w:rPr>
        <w:t>潜在的危险性进行评价，具体评价情况，见表</w:t>
      </w:r>
      <w:r>
        <w:rPr>
          <w:rFonts w:hint="eastAsia"/>
          <w:color w:val="auto"/>
          <w:kern w:val="0"/>
        </w:rPr>
        <w:t>5</w:t>
      </w:r>
      <w:r>
        <w:rPr>
          <w:color w:val="auto"/>
          <w:kern w:val="0"/>
        </w:rPr>
        <w:t>.</w:t>
      </w:r>
      <w:r>
        <w:rPr>
          <w:rFonts w:hint="eastAsia"/>
          <w:color w:val="auto"/>
          <w:kern w:val="0"/>
        </w:rPr>
        <w:t>3</w:t>
      </w:r>
      <w:r>
        <w:rPr>
          <w:color w:val="auto"/>
          <w:kern w:val="0"/>
        </w:rPr>
        <w:t>-2。</w:t>
      </w:r>
    </w:p>
    <w:p>
      <w:pPr>
        <w:wordWrap w:val="0"/>
        <w:adjustRightInd w:val="0"/>
        <w:snapToGrid w:val="0"/>
        <w:jc w:val="center"/>
        <w:textAlignment w:val="center"/>
        <w:rPr>
          <w:bCs/>
          <w:color w:val="auto"/>
          <w:kern w:val="0"/>
        </w:rPr>
      </w:pPr>
      <w:r>
        <w:rPr>
          <w:color w:val="auto"/>
          <w:kern w:val="0"/>
        </w:rPr>
        <w:t>表</w:t>
      </w:r>
      <w:r>
        <w:rPr>
          <w:rFonts w:hint="eastAsia"/>
          <w:color w:val="auto"/>
          <w:kern w:val="0"/>
        </w:rPr>
        <w:t>5</w:t>
      </w:r>
      <w:r>
        <w:rPr>
          <w:color w:val="auto"/>
          <w:kern w:val="0"/>
        </w:rPr>
        <w:t>.</w:t>
      </w:r>
      <w:r>
        <w:rPr>
          <w:rFonts w:hint="eastAsia"/>
          <w:color w:val="auto"/>
          <w:kern w:val="0"/>
        </w:rPr>
        <w:t>3</w:t>
      </w:r>
      <w:r>
        <w:rPr>
          <w:color w:val="auto"/>
          <w:kern w:val="0"/>
        </w:rPr>
        <w:t>-</w:t>
      </w:r>
      <w:r>
        <w:rPr>
          <w:rFonts w:hint="eastAsia"/>
          <w:color w:val="auto"/>
          <w:kern w:val="0"/>
        </w:rPr>
        <w:t>2</w:t>
      </w:r>
      <w:r>
        <w:rPr>
          <w:bCs/>
          <w:color w:val="auto"/>
          <w:kern w:val="0"/>
        </w:rPr>
        <w:t xml:space="preserve"> </w:t>
      </w:r>
      <w:r>
        <w:rPr>
          <w:rFonts w:hint="eastAsia"/>
          <w:bCs/>
          <w:color w:val="auto"/>
          <w:kern w:val="0"/>
        </w:rPr>
        <w:t xml:space="preserve"> </w:t>
      </w:r>
      <w:r>
        <w:rPr>
          <w:bCs/>
          <w:color w:val="auto"/>
          <w:kern w:val="0"/>
        </w:rPr>
        <w:t>作业条件危险性评价表</w:t>
      </w:r>
    </w:p>
    <w:tbl>
      <w:tblPr>
        <w:tblStyle w:val="25"/>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631"/>
        <w:gridCol w:w="2398"/>
        <w:gridCol w:w="605"/>
        <w:gridCol w:w="480"/>
        <w:gridCol w:w="480"/>
        <w:gridCol w:w="605"/>
        <w:gridCol w:w="2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Merge w:val="restart"/>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序号</w:t>
            </w:r>
          </w:p>
        </w:tc>
        <w:tc>
          <w:tcPr>
            <w:tcW w:w="1631" w:type="dxa"/>
            <w:vMerge w:val="restart"/>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评价单元</w:t>
            </w:r>
          </w:p>
        </w:tc>
        <w:tc>
          <w:tcPr>
            <w:tcW w:w="2398" w:type="dxa"/>
            <w:vMerge w:val="restart"/>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危险源及潜在危险</w:t>
            </w:r>
          </w:p>
        </w:tc>
        <w:tc>
          <w:tcPr>
            <w:tcW w:w="2170" w:type="dxa"/>
            <w:gridSpan w:val="4"/>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D＝L×E×C</w:t>
            </w:r>
          </w:p>
        </w:tc>
        <w:tc>
          <w:tcPr>
            <w:tcW w:w="2392" w:type="dxa"/>
            <w:vMerge w:val="restart"/>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危险等级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Merge w:val="continue"/>
            <w:vAlign w:val="center"/>
          </w:tcPr>
          <w:p>
            <w:pPr>
              <w:wordWrap w:val="0"/>
              <w:adjustRightInd w:val="0"/>
              <w:snapToGrid w:val="0"/>
              <w:spacing w:line="240" w:lineRule="auto"/>
              <w:textAlignment w:val="center"/>
              <w:rPr>
                <w:b/>
                <w:bCs/>
                <w:color w:val="auto"/>
                <w:kern w:val="0"/>
                <w:sz w:val="21"/>
                <w:szCs w:val="21"/>
              </w:rPr>
            </w:pPr>
          </w:p>
        </w:tc>
        <w:tc>
          <w:tcPr>
            <w:tcW w:w="1631" w:type="dxa"/>
            <w:vMerge w:val="continue"/>
            <w:vAlign w:val="center"/>
          </w:tcPr>
          <w:p>
            <w:pPr>
              <w:wordWrap w:val="0"/>
              <w:adjustRightInd w:val="0"/>
              <w:snapToGrid w:val="0"/>
              <w:spacing w:line="240" w:lineRule="auto"/>
              <w:textAlignment w:val="center"/>
              <w:rPr>
                <w:b/>
                <w:bCs/>
                <w:color w:val="auto"/>
                <w:kern w:val="0"/>
                <w:sz w:val="21"/>
                <w:szCs w:val="21"/>
              </w:rPr>
            </w:pPr>
          </w:p>
        </w:tc>
        <w:tc>
          <w:tcPr>
            <w:tcW w:w="2398" w:type="dxa"/>
            <w:vMerge w:val="continue"/>
            <w:vAlign w:val="center"/>
          </w:tcPr>
          <w:p>
            <w:pPr>
              <w:wordWrap w:val="0"/>
              <w:adjustRightInd w:val="0"/>
              <w:snapToGrid w:val="0"/>
              <w:spacing w:line="240" w:lineRule="auto"/>
              <w:textAlignment w:val="center"/>
              <w:rPr>
                <w:b/>
                <w:bCs/>
                <w:color w:val="auto"/>
                <w:kern w:val="0"/>
                <w:sz w:val="21"/>
                <w:szCs w:val="21"/>
              </w:rPr>
            </w:pPr>
          </w:p>
        </w:tc>
        <w:tc>
          <w:tcPr>
            <w:tcW w:w="605" w:type="dxa"/>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L</w:t>
            </w:r>
          </w:p>
        </w:tc>
        <w:tc>
          <w:tcPr>
            <w:tcW w:w="480" w:type="dxa"/>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E</w:t>
            </w:r>
          </w:p>
        </w:tc>
        <w:tc>
          <w:tcPr>
            <w:tcW w:w="480" w:type="dxa"/>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C</w:t>
            </w:r>
          </w:p>
        </w:tc>
        <w:tc>
          <w:tcPr>
            <w:tcW w:w="605" w:type="dxa"/>
            <w:vAlign w:val="center"/>
          </w:tcPr>
          <w:p>
            <w:pPr>
              <w:wordWrap w:val="0"/>
              <w:adjustRightInd w:val="0"/>
              <w:snapToGrid w:val="0"/>
              <w:spacing w:line="240" w:lineRule="auto"/>
              <w:textAlignment w:val="center"/>
              <w:rPr>
                <w:b/>
                <w:bCs/>
                <w:color w:val="auto"/>
                <w:kern w:val="0"/>
                <w:sz w:val="21"/>
                <w:szCs w:val="21"/>
              </w:rPr>
            </w:pPr>
            <w:r>
              <w:rPr>
                <w:b/>
                <w:bCs/>
                <w:color w:val="auto"/>
                <w:kern w:val="0"/>
                <w:sz w:val="21"/>
                <w:szCs w:val="21"/>
              </w:rPr>
              <w:t>D</w:t>
            </w:r>
          </w:p>
        </w:tc>
        <w:tc>
          <w:tcPr>
            <w:tcW w:w="2392" w:type="dxa"/>
            <w:vMerge w:val="continue"/>
            <w:vAlign w:val="center"/>
          </w:tcPr>
          <w:p>
            <w:pPr>
              <w:wordWrap w:val="0"/>
              <w:adjustRightInd w:val="0"/>
              <w:snapToGrid w:val="0"/>
              <w:spacing w:line="240" w:lineRule="auto"/>
              <w:textAlignment w:val="center"/>
              <w:rPr>
                <w:b/>
                <w:bCs/>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1</w:t>
            </w:r>
          </w:p>
        </w:tc>
        <w:tc>
          <w:tcPr>
            <w:tcW w:w="1631" w:type="dxa"/>
            <w:vMerge w:val="restart"/>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106甲类仓库</w:t>
            </w: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火灾爆炸</w:t>
            </w:r>
          </w:p>
        </w:tc>
        <w:tc>
          <w:tcPr>
            <w:tcW w:w="605" w:type="dxa"/>
            <w:vAlign w:val="center"/>
          </w:tcPr>
          <w:p>
            <w:pPr>
              <w:wordWrap w:val="0"/>
              <w:adjustRightInd w:val="0"/>
              <w:snapToGrid w:val="0"/>
              <w:spacing w:line="240" w:lineRule="auto"/>
              <w:textAlignment w:val="center"/>
              <w:rPr>
                <w:rFonts w:cs="Times New Roman"/>
                <w:bCs/>
                <w:color w:val="auto"/>
                <w:sz w:val="21"/>
                <w:szCs w:val="21"/>
              </w:rPr>
            </w:pPr>
            <w:r>
              <w:rPr>
                <w:rFonts w:cs="Times New Roman"/>
                <w:bCs/>
                <w:color w:val="auto"/>
                <w:sz w:val="21"/>
                <w:szCs w:val="21"/>
              </w:rPr>
              <w:t>0.5</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6</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15</w:t>
            </w:r>
          </w:p>
        </w:tc>
        <w:tc>
          <w:tcPr>
            <w:tcW w:w="605"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45</w:t>
            </w:r>
          </w:p>
        </w:tc>
        <w:tc>
          <w:tcPr>
            <w:tcW w:w="2392"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可能危险，需要注意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2</w:t>
            </w:r>
          </w:p>
        </w:tc>
        <w:tc>
          <w:tcPr>
            <w:tcW w:w="1631" w:type="dxa"/>
            <w:vMerge w:val="continue"/>
            <w:vAlign w:val="center"/>
          </w:tcPr>
          <w:p>
            <w:pPr>
              <w:wordWrap w:val="0"/>
              <w:adjustRightInd w:val="0"/>
              <w:snapToGrid w:val="0"/>
              <w:spacing w:line="240" w:lineRule="auto"/>
              <w:textAlignment w:val="center"/>
              <w:rPr>
                <w:color w:val="auto"/>
                <w:kern w:val="0"/>
                <w:sz w:val="21"/>
                <w:szCs w:val="21"/>
              </w:rPr>
            </w:pP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中毒窒息</w:t>
            </w:r>
          </w:p>
        </w:tc>
        <w:tc>
          <w:tcPr>
            <w:tcW w:w="605"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bCs/>
                <w:color w:val="auto"/>
                <w:sz w:val="21"/>
                <w:szCs w:val="21"/>
              </w:rPr>
              <w:t>0.</w:t>
            </w:r>
            <w:r>
              <w:rPr>
                <w:rFonts w:hint="eastAsia" w:cs="Times New Roman"/>
                <w:bCs/>
                <w:color w:val="auto"/>
                <w:sz w:val="21"/>
                <w:szCs w:val="21"/>
              </w:rPr>
              <w:t>5</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6</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3</w:t>
            </w:r>
          </w:p>
        </w:tc>
        <w:tc>
          <w:tcPr>
            <w:tcW w:w="605"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9</w:t>
            </w:r>
          </w:p>
        </w:tc>
        <w:tc>
          <w:tcPr>
            <w:tcW w:w="2392" w:type="dxa"/>
            <w:vAlign w:val="center"/>
          </w:tcPr>
          <w:p>
            <w:pPr>
              <w:wordWrap w:val="0"/>
              <w:adjustRightInd w:val="0"/>
              <w:snapToGrid w:val="0"/>
              <w:spacing w:line="240" w:lineRule="auto"/>
              <w:textAlignment w:val="center"/>
              <w:rPr>
                <w:rFonts w:cs="Times New Roman"/>
                <w:bCs/>
                <w:color w:val="auto"/>
                <w:sz w:val="21"/>
                <w:szCs w:val="21"/>
              </w:rPr>
            </w:pPr>
            <w:r>
              <w:rPr>
                <w:rFonts w:cs="Times New Roman"/>
                <w:color w:val="auto"/>
                <w:sz w:val="21"/>
                <w:szCs w:val="21"/>
              </w:rPr>
              <w:t>稍有危险、可以接受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3</w:t>
            </w:r>
          </w:p>
        </w:tc>
        <w:tc>
          <w:tcPr>
            <w:tcW w:w="1631" w:type="dxa"/>
            <w:vMerge w:val="continue"/>
            <w:vAlign w:val="center"/>
          </w:tcPr>
          <w:p>
            <w:pPr>
              <w:wordWrap w:val="0"/>
              <w:adjustRightInd w:val="0"/>
              <w:snapToGrid w:val="0"/>
              <w:spacing w:line="240" w:lineRule="auto"/>
              <w:textAlignment w:val="center"/>
              <w:rPr>
                <w:color w:val="auto"/>
                <w:kern w:val="0"/>
                <w:sz w:val="21"/>
                <w:szCs w:val="21"/>
              </w:rPr>
            </w:pP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灼烫</w:t>
            </w:r>
          </w:p>
        </w:tc>
        <w:tc>
          <w:tcPr>
            <w:tcW w:w="605" w:type="dxa"/>
            <w:vAlign w:val="center"/>
          </w:tcPr>
          <w:p>
            <w:pPr>
              <w:wordWrap w:val="0"/>
              <w:adjustRightInd w:val="0"/>
              <w:snapToGrid w:val="0"/>
              <w:spacing w:line="240" w:lineRule="auto"/>
              <w:textAlignment w:val="center"/>
              <w:rPr>
                <w:rFonts w:cs="Times New Roman"/>
                <w:bCs/>
                <w:color w:val="auto"/>
                <w:sz w:val="21"/>
                <w:szCs w:val="21"/>
              </w:rPr>
            </w:pPr>
            <w:r>
              <w:rPr>
                <w:rFonts w:hint="eastAsia" w:cs="Times New Roman"/>
                <w:bCs/>
                <w:color w:val="auto"/>
                <w:sz w:val="21"/>
                <w:szCs w:val="21"/>
              </w:rPr>
              <w:t>1</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6</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3</w:t>
            </w:r>
          </w:p>
        </w:tc>
        <w:tc>
          <w:tcPr>
            <w:tcW w:w="605"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18</w:t>
            </w:r>
          </w:p>
        </w:tc>
        <w:tc>
          <w:tcPr>
            <w:tcW w:w="2392"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稍有危险、可以接受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4</w:t>
            </w:r>
          </w:p>
        </w:tc>
        <w:tc>
          <w:tcPr>
            <w:tcW w:w="1631" w:type="dxa"/>
            <w:vMerge w:val="continue"/>
            <w:vAlign w:val="center"/>
          </w:tcPr>
          <w:p>
            <w:pPr>
              <w:wordWrap w:val="0"/>
              <w:adjustRightInd w:val="0"/>
              <w:snapToGrid w:val="0"/>
              <w:spacing w:line="240" w:lineRule="auto"/>
              <w:textAlignment w:val="center"/>
              <w:rPr>
                <w:color w:val="auto"/>
                <w:kern w:val="0"/>
                <w:sz w:val="21"/>
                <w:szCs w:val="21"/>
              </w:rPr>
            </w:pP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车辆伤害</w:t>
            </w:r>
          </w:p>
        </w:tc>
        <w:tc>
          <w:tcPr>
            <w:tcW w:w="605" w:type="dxa"/>
            <w:vAlign w:val="center"/>
          </w:tcPr>
          <w:p>
            <w:pPr>
              <w:wordWrap w:val="0"/>
              <w:adjustRightInd w:val="0"/>
              <w:snapToGrid w:val="0"/>
              <w:spacing w:line="240" w:lineRule="auto"/>
              <w:textAlignment w:val="center"/>
              <w:rPr>
                <w:rFonts w:cs="Times New Roman"/>
                <w:bCs/>
                <w:color w:val="auto"/>
                <w:sz w:val="21"/>
                <w:szCs w:val="21"/>
              </w:rPr>
            </w:pPr>
            <w:r>
              <w:rPr>
                <w:rFonts w:hint="eastAsia" w:cs="Times New Roman"/>
                <w:bCs/>
                <w:color w:val="auto"/>
                <w:sz w:val="21"/>
                <w:szCs w:val="21"/>
              </w:rPr>
              <w:t>1</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1</w:t>
            </w:r>
          </w:p>
        </w:tc>
        <w:tc>
          <w:tcPr>
            <w:tcW w:w="480"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15</w:t>
            </w:r>
          </w:p>
        </w:tc>
        <w:tc>
          <w:tcPr>
            <w:tcW w:w="605"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15</w:t>
            </w:r>
          </w:p>
        </w:tc>
        <w:tc>
          <w:tcPr>
            <w:tcW w:w="2392"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稍有危险、可以接受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5</w:t>
            </w:r>
          </w:p>
        </w:tc>
        <w:tc>
          <w:tcPr>
            <w:tcW w:w="1631" w:type="dxa"/>
            <w:vMerge w:val="continue"/>
            <w:vAlign w:val="center"/>
          </w:tcPr>
          <w:p>
            <w:pPr>
              <w:wordWrap w:val="0"/>
              <w:adjustRightInd w:val="0"/>
              <w:snapToGrid w:val="0"/>
              <w:spacing w:line="240" w:lineRule="auto"/>
              <w:textAlignment w:val="center"/>
              <w:rPr>
                <w:color w:val="auto"/>
                <w:kern w:val="0"/>
                <w:sz w:val="21"/>
                <w:szCs w:val="21"/>
              </w:rPr>
            </w:pP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触电</w:t>
            </w:r>
          </w:p>
        </w:tc>
        <w:tc>
          <w:tcPr>
            <w:tcW w:w="605"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1</w:t>
            </w:r>
          </w:p>
        </w:tc>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6</w:t>
            </w:r>
          </w:p>
        </w:tc>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3</w:t>
            </w:r>
          </w:p>
        </w:tc>
        <w:tc>
          <w:tcPr>
            <w:tcW w:w="605"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18</w:t>
            </w:r>
          </w:p>
        </w:tc>
        <w:tc>
          <w:tcPr>
            <w:tcW w:w="2392" w:type="dxa"/>
            <w:vAlign w:val="center"/>
          </w:tcPr>
          <w:p>
            <w:pPr>
              <w:wordWrap w:val="0"/>
              <w:adjustRightInd w:val="0"/>
              <w:snapToGrid w:val="0"/>
              <w:spacing w:line="240" w:lineRule="auto"/>
              <w:textAlignment w:val="center"/>
              <w:rPr>
                <w:color w:val="auto"/>
                <w:kern w:val="0"/>
                <w:sz w:val="21"/>
                <w:szCs w:val="21"/>
              </w:rPr>
            </w:pPr>
            <w:r>
              <w:rPr>
                <w:rFonts w:cs="Times New Roman"/>
                <w:color w:val="auto"/>
                <w:sz w:val="21"/>
                <w:szCs w:val="21"/>
              </w:rPr>
              <w:t>稍有危险、可以接受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6</w:t>
            </w:r>
          </w:p>
        </w:tc>
        <w:tc>
          <w:tcPr>
            <w:tcW w:w="1631" w:type="dxa"/>
            <w:vMerge w:val="continue"/>
            <w:vAlign w:val="center"/>
          </w:tcPr>
          <w:p>
            <w:pPr>
              <w:wordWrap w:val="0"/>
              <w:adjustRightInd w:val="0"/>
              <w:snapToGrid w:val="0"/>
              <w:spacing w:line="240" w:lineRule="auto"/>
              <w:textAlignment w:val="center"/>
              <w:rPr>
                <w:color w:val="auto"/>
                <w:kern w:val="0"/>
                <w:sz w:val="21"/>
                <w:szCs w:val="21"/>
              </w:rPr>
            </w:pPr>
          </w:p>
        </w:tc>
        <w:tc>
          <w:tcPr>
            <w:tcW w:w="2398"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坍塌</w:t>
            </w:r>
          </w:p>
        </w:tc>
        <w:tc>
          <w:tcPr>
            <w:tcW w:w="605"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0.2</w:t>
            </w:r>
          </w:p>
        </w:tc>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6</w:t>
            </w:r>
          </w:p>
        </w:tc>
        <w:tc>
          <w:tcPr>
            <w:tcW w:w="480"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7</w:t>
            </w:r>
          </w:p>
        </w:tc>
        <w:tc>
          <w:tcPr>
            <w:tcW w:w="605" w:type="dxa"/>
            <w:vAlign w:val="center"/>
          </w:tcPr>
          <w:p>
            <w:pPr>
              <w:wordWrap w:val="0"/>
              <w:adjustRightInd w:val="0"/>
              <w:snapToGrid w:val="0"/>
              <w:spacing w:line="240" w:lineRule="auto"/>
              <w:textAlignment w:val="center"/>
              <w:rPr>
                <w:color w:val="auto"/>
                <w:kern w:val="0"/>
                <w:sz w:val="21"/>
                <w:szCs w:val="21"/>
              </w:rPr>
            </w:pPr>
            <w:r>
              <w:rPr>
                <w:rFonts w:hint="eastAsia"/>
                <w:color w:val="auto"/>
                <w:kern w:val="0"/>
                <w:sz w:val="21"/>
                <w:szCs w:val="21"/>
              </w:rPr>
              <w:t>8.4</w:t>
            </w:r>
          </w:p>
        </w:tc>
        <w:tc>
          <w:tcPr>
            <w:tcW w:w="2392" w:type="dxa"/>
            <w:vAlign w:val="center"/>
          </w:tcPr>
          <w:p>
            <w:pPr>
              <w:wordWrap w:val="0"/>
              <w:adjustRightInd w:val="0"/>
              <w:snapToGrid w:val="0"/>
              <w:spacing w:line="240" w:lineRule="auto"/>
              <w:textAlignment w:val="center"/>
              <w:rPr>
                <w:color w:val="auto"/>
                <w:kern w:val="0"/>
                <w:sz w:val="21"/>
                <w:szCs w:val="21"/>
              </w:rPr>
            </w:pPr>
            <w:r>
              <w:rPr>
                <w:color w:val="auto"/>
                <w:kern w:val="0"/>
                <w:sz w:val="21"/>
                <w:szCs w:val="21"/>
              </w:rPr>
              <w:t>稍有危险、可以接受</w:t>
            </w:r>
          </w:p>
        </w:tc>
      </w:tr>
    </w:tbl>
    <w:p>
      <w:pPr>
        <w:wordWrap w:val="0"/>
        <w:adjustRightInd w:val="0"/>
        <w:snapToGrid w:val="0"/>
        <w:ind w:firstLine="560" w:firstLineChars="200"/>
        <w:textAlignment w:val="center"/>
        <w:rPr>
          <w:color w:val="auto"/>
          <w:kern w:val="0"/>
        </w:rPr>
      </w:pPr>
      <w:r>
        <w:rPr>
          <w:rFonts w:hint="eastAsia"/>
          <w:color w:val="auto"/>
          <w:kern w:val="0"/>
        </w:rPr>
        <w:t>作业条件危险性分析结果：从本项目作业条件危险性分析表可以看出，106甲类仓库内存在火灾爆炸、中毒窒息、灼烫、车辆伤害、触电、坍塌火灾、触电、车辆伤害等危险有害因素，其中火灾爆炸属于均属于“可能危险，需要注意”，应在生产作业过程中加强管理；其他作业相对比较安全。</w:t>
      </w:r>
    </w:p>
    <w:p>
      <w:pPr>
        <w:wordWrap w:val="0"/>
        <w:adjustRightInd w:val="0"/>
        <w:snapToGrid w:val="0"/>
        <w:ind w:firstLine="560" w:firstLineChars="200"/>
        <w:textAlignment w:val="center"/>
        <w:rPr>
          <w:color w:val="auto"/>
          <w:kern w:val="0"/>
        </w:rPr>
      </w:pPr>
      <w:r>
        <w:rPr>
          <w:rFonts w:hint="eastAsia"/>
          <w:color w:val="auto"/>
          <w:kern w:val="0"/>
        </w:rPr>
        <w:t>4、危险度评价</w:t>
      </w:r>
    </w:p>
    <w:p>
      <w:pPr>
        <w:wordWrap w:val="0"/>
        <w:adjustRightInd w:val="0"/>
        <w:snapToGrid w:val="0"/>
        <w:ind w:firstLine="560" w:firstLineChars="200"/>
        <w:jc w:val="left"/>
        <w:textAlignment w:val="center"/>
        <w:rPr>
          <w:rFonts w:cs="Times New Roman"/>
          <w:snapToGrid w:val="0"/>
          <w:color w:val="auto"/>
          <w:kern w:val="0"/>
          <w:szCs w:val="28"/>
        </w:rPr>
      </w:pPr>
      <w:r>
        <w:rPr>
          <w:rFonts w:cs="Times New Roman"/>
          <w:snapToGrid w:val="0"/>
          <w:color w:val="auto"/>
          <w:kern w:val="0"/>
          <w:szCs w:val="28"/>
        </w:rPr>
        <w:t>根据危险度评价方法的内容和适用情况，对</w:t>
      </w:r>
      <w:r>
        <w:rPr>
          <w:rFonts w:hint="eastAsia" w:cs="Times New Roman"/>
          <w:snapToGrid w:val="0"/>
          <w:color w:val="auto"/>
          <w:kern w:val="0"/>
          <w:szCs w:val="28"/>
        </w:rPr>
        <w:t>106</w:t>
      </w:r>
      <w:r>
        <w:rPr>
          <w:rFonts w:cs="Times New Roman"/>
          <w:snapToGrid w:val="0"/>
          <w:color w:val="auto"/>
          <w:kern w:val="0"/>
          <w:szCs w:val="28"/>
        </w:rPr>
        <w:t>甲类仓库</w:t>
      </w:r>
      <w:r>
        <w:rPr>
          <w:rFonts w:hint="eastAsia" w:cs="Times New Roman"/>
          <w:snapToGrid w:val="0"/>
          <w:color w:val="auto"/>
          <w:kern w:val="0"/>
          <w:szCs w:val="28"/>
        </w:rPr>
        <w:t>储存</w:t>
      </w:r>
      <w:r>
        <w:rPr>
          <w:rFonts w:cs="Times New Roman"/>
          <w:snapToGrid w:val="0"/>
          <w:color w:val="auto"/>
          <w:kern w:val="0"/>
          <w:szCs w:val="28"/>
        </w:rPr>
        <w:t>单元进行危险度评价。</w:t>
      </w:r>
    </w:p>
    <w:p>
      <w:pPr>
        <w:wordWrap w:val="0"/>
        <w:adjustRightInd w:val="0"/>
        <w:snapToGrid w:val="0"/>
        <w:jc w:val="center"/>
        <w:textAlignment w:val="center"/>
        <w:rPr>
          <w:rFonts w:cs="Times New Roman"/>
          <w:snapToGrid w:val="0"/>
          <w:color w:val="auto"/>
          <w:kern w:val="0"/>
          <w:szCs w:val="28"/>
        </w:rPr>
      </w:pPr>
      <w:r>
        <w:rPr>
          <w:rFonts w:cs="Times New Roman"/>
          <w:snapToGrid w:val="0"/>
          <w:color w:val="auto"/>
          <w:kern w:val="0"/>
          <w:szCs w:val="28"/>
        </w:rPr>
        <w:t>表5.</w:t>
      </w:r>
      <w:r>
        <w:rPr>
          <w:rFonts w:hint="eastAsia" w:cs="Times New Roman"/>
          <w:snapToGrid w:val="0"/>
          <w:color w:val="auto"/>
          <w:kern w:val="0"/>
          <w:szCs w:val="28"/>
        </w:rPr>
        <w:t>3</w:t>
      </w:r>
      <w:r>
        <w:rPr>
          <w:rFonts w:cs="Times New Roman"/>
          <w:snapToGrid w:val="0"/>
          <w:color w:val="auto"/>
          <w:kern w:val="0"/>
          <w:szCs w:val="28"/>
        </w:rPr>
        <w:t>-</w:t>
      </w:r>
      <w:r>
        <w:rPr>
          <w:rFonts w:hint="eastAsia" w:cs="Times New Roman"/>
          <w:snapToGrid w:val="0"/>
          <w:color w:val="auto"/>
          <w:kern w:val="0"/>
          <w:szCs w:val="28"/>
        </w:rPr>
        <w:t xml:space="preserve">3 </w:t>
      </w:r>
      <w:r>
        <w:rPr>
          <w:rFonts w:cs="Times New Roman"/>
          <w:snapToGrid w:val="0"/>
          <w:color w:val="auto"/>
          <w:kern w:val="0"/>
          <w:szCs w:val="28"/>
        </w:rPr>
        <w:t xml:space="preserve"> 危险度分级结果表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4886"/>
        <w:gridCol w:w="1154"/>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评价项目</w:t>
            </w:r>
          </w:p>
        </w:tc>
        <w:tc>
          <w:tcPr>
            <w:tcW w:w="4886"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装置（或系统）的实际情况描述</w:t>
            </w:r>
          </w:p>
        </w:tc>
        <w:tc>
          <w:tcPr>
            <w:tcW w:w="1154"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危险度评价取值</w:t>
            </w:r>
          </w:p>
        </w:tc>
        <w:tc>
          <w:tcPr>
            <w:tcW w:w="781"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1" w:type="dxa"/>
            <w:gridSpan w:val="4"/>
            <w:vAlign w:val="center"/>
          </w:tcPr>
          <w:p>
            <w:pPr>
              <w:wordWrap w:val="0"/>
              <w:adjustRightInd w:val="0"/>
              <w:snapToGrid w:val="0"/>
              <w:spacing w:line="240" w:lineRule="auto"/>
              <w:contextualSpacing/>
              <w:jc w:val="center"/>
              <w:textAlignment w:val="center"/>
              <w:rPr>
                <w:rFonts w:cs="Times New Roman"/>
                <w:b/>
                <w:bCs/>
                <w:color w:val="auto"/>
                <w:sz w:val="21"/>
              </w:rPr>
            </w:pPr>
            <w:r>
              <w:rPr>
                <w:rFonts w:hint="eastAsia" w:cs="Times New Roman"/>
                <w:b/>
                <w:bCs/>
                <w:color w:val="auto"/>
                <w:sz w:val="21"/>
              </w:rPr>
              <w:t>106甲类仓库储存单元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物质</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环氧树脂、环氧树脂固化剂、溶剂型丙烯酸树脂、聚氨酯树脂、氟碳树脂、二甲苯、醋酸丁酯、正丁醇、丙烯酸树脂涂料、聚氨酯树脂涂料、环氧树脂涂料、氟碳树脂涂料</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hint="eastAsia" w:cs="Times New Roman"/>
                <w:color w:val="auto"/>
                <w:sz w:val="21"/>
              </w:rPr>
              <w:t>5</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容量</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hint="eastAsia" w:cs="Times New Roman"/>
                <w:color w:val="auto"/>
                <w:sz w:val="21"/>
              </w:rPr>
              <w:t>单个原料最大存储量2</w:t>
            </w:r>
            <w:r>
              <w:rPr>
                <w:rFonts w:cs="Times New Roman"/>
                <w:color w:val="auto"/>
                <w:sz w:val="21"/>
              </w:rPr>
              <w:t>0</w:t>
            </w:r>
            <w:r>
              <w:rPr>
                <w:rFonts w:hint="eastAsia" w:cs="Times New Roman"/>
                <w:color w:val="auto"/>
                <w:sz w:val="21"/>
              </w:rPr>
              <w:t>t</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2</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温度</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常温</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0</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压力</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hint="eastAsia" w:cs="Times New Roman"/>
                <w:color w:val="auto"/>
                <w:sz w:val="21"/>
              </w:rPr>
              <w:t>常压</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0</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p>
            <w:pPr>
              <w:wordWrap w:val="0"/>
              <w:adjustRightInd w:val="0"/>
              <w:snapToGrid w:val="0"/>
              <w:spacing w:line="240" w:lineRule="auto"/>
              <w:contextualSpacing/>
              <w:jc w:val="center"/>
              <w:textAlignment w:val="center"/>
              <w:rPr>
                <w:rFonts w:cs="Times New Roman"/>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操作</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szCs w:val="21"/>
              </w:rPr>
              <w:t>无危险的操作</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hint="eastAsia" w:cs="Times New Roman"/>
                <w:color w:val="auto"/>
                <w:sz w:val="21"/>
              </w:rPr>
              <w:t>0</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0" w:type="dxa"/>
            <w:vAlign w:val="center"/>
          </w:tcPr>
          <w:p>
            <w:pPr>
              <w:wordWrap w:val="0"/>
              <w:adjustRightInd w:val="0"/>
              <w:snapToGrid w:val="0"/>
              <w:spacing w:line="240" w:lineRule="auto"/>
              <w:contextualSpacing/>
              <w:jc w:val="center"/>
              <w:textAlignment w:val="center"/>
              <w:rPr>
                <w:rFonts w:cs="Times New Roman"/>
                <w:b/>
                <w:bCs/>
                <w:color w:val="auto"/>
                <w:sz w:val="21"/>
              </w:rPr>
            </w:pPr>
            <w:r>
              <w:rPr>
                <w:rFonts w:cs="Times New Roman"/>
                <w:b/>
                <w:bCs/>
                <w:color w:val="auto"/>
                <w:sz w:val="21"/>
              </w:rPr>
              <w:t>危险度评价总分值</w:t>
            </w:r>
          </w:p>
        </w:tc>
        <w:tc>
          <w:tcPr>
            <w:tcW w:w="4886" w:type="dxa"/>
            <w:vAlign w:val="center"/>
          </w:tcPr>
          <w:p>
            <w:pPr>
              <w:wordWrap w:val="0"/>
              <w:adjustRightInd w:val="0"/>
              <w:snapToGrid w:val="0"/>
              <w:spacing w:line="240" w:lineRule="auto"/>
              <w:contextualSpacing/>
              <w:jc w:val="center"/>
              <w:textAlignment w:val="center"/>
              <w:rPr>
                <w:rFonts w:cs="Times New Roman"/>
                <w:color w:val="auto"/>
                <w:sz w:val="21"/>
              </w:rPr>
            </w:pPr>
            <w:r>
              <w:rPr>
                <w:rFonts w:hint="eastAsia" w:cs="Times New Roman"/>
                <w:color w:val="auto"/>
                <w:sz w:val="21"/>
              </w:rPr>
              <w:t>II级（中度伤害）</w:t>
            </w:r>
          </w:p>
        </w:tc>
        <w:tc>
          <w:tcPr>
            <w:tcW w:w="1154" w:type="dxa"/>
            <w:vAlign w:val="center"/>
          </w:tcPr>
          <w:p>
            <w:pPr>
              <w:wordWrap w:val="0"/>
              <w:adjustRightInd w:val="0"/>
              <w:snapToGrid w:val="0"/>
              <w:spacing w:line="240" w:lineRule="auto"/>
              <w:contextualSpacing/>
              <w:jc w:val="center"/>
              <w:textAlignment w:val="center"/>
              <w:rPr>
                <w:rFonts w:cs="Times New Roman"/>
                <w:color w:val="auto"/>
                <w:sz w:val="21"/>
              </w:rPr>
            </w:pPr>
            <w:r>
              <w:rPr>
                <w:rFonts w:cs="Times New Roman"/>
                <w:color w:val="auto"/>
                <w:sz w:val="21"/>
              </w:rPr>
              <w:t>7</w:t>
            </w:r>
          </w:p>
        </w:tc>
        <w:tc>
          <w:tcPr>
            <w:tcW w:w="781" w:type="dxa"/>
            <w:vAlign w:val="center"/>
          </w:tcPr>
          <w:p>
            <w:pPr>
              <w:wordWrap w:val="0"/>
              <w:adjustRightInd w:val="0"/>
              <w:snapToGrid w:val="0"/>
              <w:spacing w:line="240" w:lineRule="auto"/>
              <w:contextualSpacing/>
              <w:jc w:val="center"/>
              <w:textAlignment w:val="center"/>
              <w:rPr>
                <w:rFonts w:cs="Times New Roman"/>
                <w:color w:val="auto"/>
                <w:sz w:val="21"/>
              </w:rPr>
            </w:pPr>
          </w:p>
        </w:tc>
      </w:tr>
    </w:tbl>
    <w:p>
      <w:pPr>
        <w:wordWrap w:val="0"/>
        <w:topLinePunct/>
        <w:adjustRightInd w:val="0"/>
        <w:snapToGrid w:val="0"/>
        <w:ind w:firstLine="560" w:firstLineChars="200"/>
        <w:textAlignment w:val="center"/>
        <w:rPr>
          <w:rFonts w:cs="Times New Roman"/>
          <w:snapToGrid w:val="0"/>
          <w:color w:val="auto"/>
          <w:szCs w:val="28"/>
        </w:rPr>
      </w:pPr>
      <w:r>
        <w:rPr>
          <w:rFonts w:hint="eastAsia" w:cs="Times New Roman"/>
          <w:snapToGrid w:val="0"/>
          <w:color w:val="auto"/>
          <w:kern w:val="0"/>
          <w:szCs w:val="28"/>
        </w:rPr>
        <w:t>评价</w:t>
      </w:r>
      <w:r>
        <w:rPr>
          <w:rFonts w:cs="Times New Roman"/>
          <w:snapToGrid w:val="0"/>
          <w:color w:val="auto"/>
          <w:kern w:val="0"/>
          <w:szCs w:val="28"/>
        </w:rPr>
        <w:t>结果：</w:t>
      </w:r>
      <w:r>
        <w:rPr>
          <w:rFonts w:hint="eastAsia" w:cs="Times New Roman"/>
          <w:snapToGrid w:val="0"/>
          <w:color w:val="auto"/>
          <w:kern w:val="0"/>
          <w:szCs w:val="28"/>
        </w:rPr>
        <w:t>本项目106</w:t>
      </w:r>
      <w:r>
        <w:rPr>
          <w:rFonts w:cs="Times New Roman"/>
          <w:snapToGrid w:val="0"/>
          <w:color w:val="auto"/>
          <w:kern w:val="0"/>
          <w:szCs w:val="28"/>
        </w:rPr>
        <w:t>甲类仓库的危险度为</w:t>
      </w:r>
      <w:r>
        <w:rPr>
          <w:rFonts w:hint="eastAsia" w:cs="Times New Roman"/>
          <w:snapToGrid w:val="0"/>
          <w:color w:val="auto"/>
          <w:kern w:val="0"/>
          <w:szCs w:val="28"/>
        </w:rPr>
        <w:t>Ⅲ</w:t>
      </w:r>
      <w:r>
        <w:rPr>
          <w:rFonts w:cs="Times New Roman"/>
          <w:snapToGrid w:val="0"/>
          <w:color w:val="auto"/>
          <w:kern w:val="0"/>
          <w:szCs w:val="28"/>
        </w:rPr>
        <w:t>级</w:t>
      </w:r>
      <w:r>
        <w:rPr>
          <w:rFonts w:hint="eastAsia" w:cs="Times New Roman"/>
          <w:snapToGrid w:val="0"/>
          <w:color w:val="auto"/>
          <w:kern w:val="0"/>
          <w:szCs w:val="28"/>
        </w:rPr>
        <w:t>，属于低度危险</w:t>
      </w:r>
      <w:r>
        <w:rPr>
          <w:rFonts w:cs="Times New Roman"/>
          <w:snapToGrid w:val="0"/>
          <w:color w:val="auto"/>
          <w:kern w:val="0"/>
          <w:szCs w:val="28"/>
        </w:rPr>
        <w:t>。</w:t>
      </w:r>
      <w:r>
        <w:rPr>
          <w:rFonts w:hint="eastAsia" w:cs="Times New Roman"/>
          <w:snapToGrid w:val="0"/>
          <w:color w:val="auto"/>
          <w:szCs w:val="28"/>
        </w:rPr>
        <w:t>应做好相关预防措施并</w:t>
      </w:r>
      <w:r>
        <w:rPr>
          <w:rFonts w:cs="Times New Roman"/>
          <w:snapToGrid w:val="0"/>
          <w:color w:val="auto"/>
          <w:szCs w:val="28"/>
        </w:rPr>
        <w:t>加强对其的管理，防止事故发生。</w:t>
      </w:r>
      <w:bookmarkStart w:id="211" w:name="_Toc10581"/>
    </w:p>
    <w:p>
      <w:pPr>
        <w:wordWrap w:val="0"/>
        <w:topLinePunct/>
        <w:adjustRightInd w:val="0"/>
        <w:snapToGrid w:val="0"/>
        <w:jc w:val="center"/>
        <w:textAlignment w:val="center"/>
        <w:outlineLvl w:val="1"/>
        <w:rPr>
          <w:rFonts w:cs="Times New Roman"/>
          <w:b/>
          <w:color w:val="auto"/>
          <w:szCs w:val="28"/>
        </w:rPr>
      </w:pPr>
      <w:bookmarkStart w:id="212" w:name="_Toc29770"/>
      <w:bookmarkStart w:id="213" w:name="_Toc18765"/>
      <w:r>
        <w:rPr>
          <w:rFonts w:hint="eastAsia" w:cs="Times New Roman"/>
          <w:b/>
          <w:color w:val="auto"/>
          <w:szCs w:val="28"/>
        </w:rPr>
        <w:t>5.4</w:t>
      </w:r>
      <w:r>
        <w:rPr>
          <w:rFonts w:cs="Times New Roman"/>
          <w:b/>
          <w:color w:val="auto"/>
          <w:szCs w:val="28"/>
        </w:rPr>
        <w:t xml:space="preserve"> 公用工程及辅助设施单元</w:t>
      </w:r>
      <w:bookmarkEnd w:id="211"/>
      <w:bookmarkEnd w:id="212"/>
      <w:bookmarkEnd w:id="213"/>
    </w:p>
    <w:p>
      <w:pPr>
        <w:wordWrap w:val="0"/>
        <w:topLinePunct/>
        <w:adjustRightInd w:val="0"/>
        <w:snapToGrid w:val="0"/>
        <w:textAlignment w:val="center"/>
        <w:outlineLvl w:val="2"/>
        <w:rPr>
          <w:rFonts w:cs="Times New Roman"/>
          <w:b/>
          <w:color w:val="auto"/>
          <w:szCs w:val="28"/>
        </w:rPr>
      </w:pPr>
      <w:bookmarkStart w:id="214" w:name="_Toc31825"/>
      <w:bookmarkStart w:id="215" w:name="_Toc25742"/>
      <w:bookmarkStart w:id="216" w:name="_Toc515898897"/>
      <w:bookmarkStart w:id="217" w:name="_Toc512069992"/>
      <w:r>
        <w:rPr>
          <w:rFonts w:hint="eastAsia" w:cs="Times New Roman"/>
          <w:b/>
          <w:color w:val="auto"/>
          <w:szCs w:val="28"/>
        </w:rPr>
        <w:t>5</w:t>
      </w:r>
      <w:r>
        <w:rPr>
          <w:rFonts w:cs="Times New Roman"/>
          <w:b/>
          <w:color w:val="auto"/>
          <w:szCs w:val="28"/>
        </w:rPr>
        <w:t>.</w:t>
      </w:r>
      <w:r>
        <w:rPr>
          <w:rFonts w:hint="eastAsia" w:cs="Times New Roman"/>
          <w:b/>
          <w:color w:val="auto"/>
          <w:szCs w:val="28"/>
        </w:rPr>
        <w:t>4</w:t>
      </w:r>
      <w:r>
        <w:rPr>
          <w:rFonts w:cs="Times New Roman"/>
          <w:b/>
          <w:color w:val="auto"/>
          <w:szCs w:val="28"/>
        </w:rPr>
        <w:t>.1</w:t>
      </w:r>
      <w:r>
        <w:rPr>
          <w:rFonts w:hint="eastAsia" w:cs="Times New Roman"/>
          <w:b/>
          <w:color w:val="auto"/>
          <w:szCs w:val="28"/>
        </w:rPr>
        <w:t xml:space="preserve"> </w:t>
      </w:r>
      <w:r>
        <w:rPr>
          <w:rFonts w:cs="Times New Roman"/>
          <w:b/>
          <w:color w:val="auto"/>
          <w:szCs w:val="28"/>
        </w:rPr>
        <w:t>供配电子单元</w:t>
      </w:r>
      <w:bookmarkEnd w:id="214"/>
      <w:bookmarkEnd w:id="215"/>
    </w:p>
    <w:p>
      <w:pPr>
        <w:wordWrap w:val="0"/>
        <w:topLinePunct/>
        <w:adjustRightInd w:val="0"/>
        <w:snapToGrid w:val="0"/>
        <w:ind w:firstLine="560" w:firstLineChars="200"/>
        <w:jc w:val="left"/>
        <w:textAlignment w:val="center"/>
        <w:rPr>
          <w:rFonts w:cs="Times New Roman"/>
          <w:color w:val="auto"/>
          <w:szCs w:val="28"/>
        </w:rPr>
      </w:pPr>
      <w:r>
        <w:rPr>
          <w:rFonts w:cs="Times New Roman"/>
          <w:color w:val="auto"/>
          <w:szCs w:val="28"/>
        </w:rPr>
        <w:t>根据《供配电系统设计规范》、《3-110Kv高压配电装置设计规程》、《低压配电设计规范》、《20kV及以下变电所设计规范》、</w:t>
      </w:r>
      <w:r>
        <w:rPr>
          <w:rFonts w:hint="eastAsia" w:cs="Times New Roman"/>
          <w:color w:val="auto"/>
          <w:szCs w:val="28"/>
        </w:rPr>
        <w:t>《涂料生产企业安全技术规程》</w:t>
      </w:r>
      <w:r>
        <w:rPr>
          <w:rFonts w:cs="Times New Roman"/>
          <w:color w:val="auto"/>
          <w:szCs w:val="28"/>
        </w:rPr>
        <w:t>等制定检查表，对</w:t>
      </w:r>
      <w:r>
        <w:rPr>
          <w:rFonts w:hint="eastAsia" w:cs="Times New Roman"/>
          <w:color w:val="auto"/>
          <w:szCs w:val="28"/>
        </w:rPr>
        <w:t>本项目依托</w:t>
      </w:r>
      <w:r>
        <w:rPr>
          <w:rFonts w:cs="Times New Roman"/>
          <w:color w:val="auto"/>
          <w:szCs w:val="28"/>
        </w:rPr>
        <w:t>的供配电系统采用的安全设施等是否符合规范、标准的要求进行检查，检查结果见下表。</w:t>
      </w:r>
    </w:p>
    <w:p>
      <w:pPr>
        <w:wordWrap w:val="0"/>
        <w:topLinePunct/>
        <w:adjustRightInd w:val="0"/>
        <w:snapToGrid w:val="0"/>
        <w:jc w:val="center"/>
        <w:textAlignment w:val="center"/>
        <w:rPr>
          <w:rFonts w:cs="Times New Roman"/>
          <w:color w:val="auto"/>
          <w:szCs w:val="28"/>
        </w:rPr>
      </w:pPr>
      <w:r>
        <w:rPr>
          <w:rFonts w:cs="Times New Roman"/>
          <w:color w:val="auto"/>
          <w:szCs w:val="28"/>
        </w:rPr>
        <w:t>表</w:t>
      </w:r>
      <w:r>
        <w:rPr>
          <w:rFonts w:hint="eastAsia" w:cs="Times New Roman"/>
          <w:color w:val="auto"/>
          <w:szCs w:val="28"/>
        </w:rPr>
        <w:t>5</w:t>
      </w:r>
      <w:r>
        <w:rPr>
          <w:rFonts w:cs="Times New Roman"/>
          <w:color w:val="auto"/>
          <w:szCs w:val="28"/>
        </w:rPr>
        <w:t>.</w:t>
      </w:r>
      <w:r>
        <w:rPr>
          <w:rFonts w:hint="eastAsia" w:cs="Times New Roman"/>
          <w:color w:val="auto"/>
          <w:szCs w:val="28"/>
        </w:rPr>
        <w:t>4</w:t>
      </w:r>
      <w:r>
        <w:rPr>
          <w:rFonts w:cs="Times New Roman"/>
          <w:color w:val="auto"/>
          <w:szCs w:val="28"/>
        </w:rPr>
        <w:t xml:space="preserve">-1 </w:t>
      </w:r>
      <w:r>
        <w:rPr>
          <w:rFonts w:hint="eastAsia" w:cs="Times New Roman"/>
          <w:color w:val="auto"/>
          <w:szCs w:val="28"/>
        </w:rPr>
        <w:t xml:space="preserve"> </w:t>
      </w:r>
      <w:r>
        <w:rPr>
          <w:rFonts w:cs="Times New Roman"/>
          <w:color w:val="auto"/>
          <w:szCs w:val="28"/>
        </w:rPr>
        <w:t>供配电子单元安全检查表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4314"/>
        <w:gridCol w:w="688"/>
        <w:gridCol w:w="150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35" w:type="dxa"/>
            <w:vAlign w:val="center"/>
          </w:tcPr>
          <w:p>
            <w:pPr>
              <w:wordWrap w:val="0"/>
              <w:adjustRightInd w:val="0"/>
              <w:snapToGrid w:val="0"/>
              <w:spacing w:line="240" w:lineRule="auto"/>
              <w:jc w:val="center"/>
              <w:textAlignment w:val="center"/>
              <w:rPr>
                <w:rFonts w:cs="Times New Roman"/>
                <w:b/>
                <w:bCs/>
                <w:color w:val="auto"/>
                <w:sz w:val="21"/>
                <w:szCs w:val="21"/>
              </w:rPr>
            </w:pPr>
            <w:r>
              <w:rPr>
                <w:rFonts w:cs="Times New Roman"/>
                <w:b/>
                <w:bCs/>
                <w:color w:val="auto"/>
                <w:sz w:val="21"/>
                <w:szCs w:val="21"/>
              </w:rPr>
              <w:t>序号</w:t>
            </w:r>
          </w:p>
        </w:tc>
        <w:tc>
          <w:tcPr>
            <w:tcW w:w="4314" w:type="dxa"/>
            <w:vAlign w:val="center"/>
          </w:tcPr>
          <w:p>
            <w:pPr>
              <w:wordWrap w:val="0"/>
              <w:adjustRightInd w:val="0"/>
              <w:snapToGrid w:val="0"/>
              <w:spacing w:line="240" w:lineRule="auto"/>
              <w:jc w:val="center"/>
              <w:textAlignment w:val="center"/>
              <w:rPr>
                <w:rFonts w:cs="Times New Roman"/>
                <w:b/>
                <w:bCs/>
                <w:color w:val="auto"/>
                <w:sz w:val="21"/>
                <w:szCs w:val="21"/>
              </w:rPr>
            </w:pPr>
            <w:r>
              <w:rPr>
                <w:rFonts w:cs="Times New Roman"/>
                <w:b/>
                <w:bCs/>
                <w:color w:val="auto"/>
                <w:sz w:val="21"/>
                <w:szCs w:val="21"/>
              </w:rPr>
              <w:t>检查项目和内容</w:t>
            </w:r>
          </w:p>
        </w:tc>
        <w:tc>
          <w:tcPr>
            <w:tcW w:w="688" w:type="dxa"/>
            <w:vAlign w:val="center"/>
          </w:tcPr>
          <w:p>
            <w:pPr>
              <w:wordWrap w:val="0"/>
              <w:adjustRightInd w:val="0"/>
              <w:snapToGrid w:val="0"/>
              <w:spacing w:line="240" w:lineRule="auto"/>
              <w:jc w:val="center"/>
              <w:textAlignment w:val="center"/>
              <w:rPr>
                <w:rFonts w:cs="Times New Roman"/>
                <w:b/>
                <w:bCs/>
                <w:color w:val="auto"/>
                <w:sz w:val="21"/>
                <w:szCs w:val="21"/>
              </w:rPr>
            </w:pPr>
            <w:r>
              <w:rPr>
                <w:rFonts w:cs="Times New Roman"/>
                <w:b/>
                <w:bCs/>
                <w:color w:val="auto"/>
                <w:sz w:val="21"/>
                <w:szCs w:val="21"/>
              </w:rPr>
              <w:t>检查结果</w:t>
            </w:r>
          </w:p>
        </w:tc>
        <w:tc>
          <w:tcPr>
            <w:tcW w:w="1502" w:type="dxa"/>
            <w:vAlign w:val="center"/>
          </w:tcPr>
          <w:p>
            <w:pPr>
              <w:wordWrap w:val="0"/>
              <w:adjustRightInd w:val="0"/>
              <w:snapToGrid w:val="0"/>
              <w:spacing w:line="240" w:lineRule="auto"/>
              <w:jc w:val="center"/>
              <w:textAlignment w:val="center"/>
              <w:rPr>
                <w:rFonts w:cs="Times New Roman"/>
                <w:b/>
                <w:bCs/>
                <w:color w:val="auto"/>
                <w:sz w:val="21"/>
                <w:szCs w:val="21"/>
              </w:rPr>
            </w:pPr>
            <w:r>
              <w:rPr>
                <w:rFonts w:cs="Times New Roman"/>
                <w:b/>
                <w:bCs/>
                <w:color w:val="auto"/>
                <w:sz w:val="21"/>
                <w:szCs w:val="21"/>
              </w:rPr>
              <w:t>检查依据</w:t>
            </w:r>
          </w:p>
        </w:tc>
        <w:tc>
          <w:tcPr>
            <w:tcW w:w="2132" w:type="dxa"/>
            <w:vAlign w:val="center"/>
          </w:tcPr>
          <w:p>
            <w:pPr>
              <w:wordWrap w:val="0"/>
              <w:adjustRightInd w:val="0"/>
              <w:snapToGrid w:val="0"/>
              <w:spacing w:line="240" w:lineRule="auto"/>
              <w:jc w:val="center"/>
              <w:textAlignment w:val="center"/>
              <w:rPr>
                <w:rFonts w:cs="Times New Roman"/>
                <w:b/>
                <w:bCs/>
                <w:color w:val="auto"/>
                <w:sz w:val="21"/>
                <w:szCs w:val="21"/>
              </w:rPr>
            </w:pPr>
            <w:r>
              <w:rPr>
                <w:rFonts w:cs="Times New Roman"/>
                <w:b/>
                <w:bCs/>
                <w:color w:val="auto"/>
                <w:sz w:val="21"/>
                <w:szCs w:val="21"/>
              </w:rPr>
              <w:t>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电力负荷应根据对供电可靠性的要求及中断供电在对人身安全、经济损失上所造成的影响程度进行分级，并应符合下列规定：</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 符合下列情况之一时，应视为一级负荷。</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w:t>
            </w:r>
            <w:r>
              <w:rPr>
                <w:rFonts w:hint="eastAsia" w:cs="Times New Roman"/>
                <w:color w:val="auto"/>
                <w:kern w:val="0"/>
                <w:sz w:val="21"/>
                <w:szCs w:val="21"/>
              </w:rPr>
              <w:t>）</w:t>
            </w:r>
            <w:r>
              <w:rPr>
                <w:rFonts w:cs="Times New Roman"/>
                <w:color w:val="auto"/>
                <w:kern w:val="0"/>
                <w:sz w:val="21"/>
                <w:szCs w:val="21"/>
              </w:rPr>
              <w:t>中断供电将造成人身伤亡时。</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2</w:t>
            </w:r>
            <w:r>
              <w:rPr>
                <w:rFonts w:hint="eastAsia" w:cs="Times New Roman"/>
                <w:color w:val="auto"/>
                <w:kern w:val="0"/>
                <w:sz w:val="21"/>
                <w:szCs w:val="21"/>
              </w:rPr>
              <w:t>）</w:t>
            </w:r>
            <w:r>
              <w:rPr>
                <w:rFonts w:cs="Times New Roman"/>
                <w:color w:val="auto"/>
                <w:kern w:val="0"/>
                <w:sz w:val="21"/>
                <w:szCs w:val="21"/>
              </w:rPr>
              <w:t>中断供电将在经济上造成重大损失时。</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3</w:t>
            </w:r>
            <w:r>
              <w:rPr>
                <w:rFonts w:hint="eastAsia" w:cs="Times New Roman"/>
                <w:color w:val="auto"/>
                <w:kern w:val="0"/>
                <w:sz w:val="21"/>
                <w:szCs w:val="21"/>
              </w:rPr>
              <w:t>）</w:t>
            </w:r>
            <w:r>
              <w:rPr>
                <w:rFonts w:cs="Times New Roman"/>
                <w:color w:val="auto"/>
                <w:kern w:val="0"/>
                <w:sz w:val="21"/>
                <w:szCs w:val="21"/>
              </w:rPr>
              <w:t>中断供电将影响重要用电单位的正常工作。</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2 在一级负荷中，当中断供电将造成重大设备损坏或发生中毒、爆炸和火灾等情况的负荷，以及特别重要场所的不允许中断供电的负荷，应视为一级负荷中特别重要的负荷。</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3 符合下列情况之一时，应视为二级负荷。</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w:t>
            </w:r>
            <w:r>
              <w:rPr>
                <w:rFonts w:hint="eastAsia" w:cs="Times New Roman"/>
                <w:color w:val="auto"/>
                <w:kern w:val="0"/>
                <w:sz w:val="21"/>
                <w:szCs w:val="21"/>
              </w:rPr>
              <w:t>）</w:t>
            </w:r>
            <w:r>
              <w:rPr>
                <w:rFonts w:cs="Times New Roman"/>
                <w:color w:val="auto"/>
                <w:kern w:val="0"/>
                <w:sz w:val="21"/>
                <w:szCs w:val="21"/>
              </w:rPr>
              <w:t>中断供电将在经济上造成较大损失时。</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2</w:t>
            </w:r>
            <w:r>
              <w:rPr>
                <w:rFonts w:hint="eastAsia" w:cs="Times New Roman"/>
                <w:color w:val="auto"/>
                <w:kern w:val="0"/>
                <w:sz w:val="21"/>
                <w:szCs w:val="21"/>
              </w:rPr>
              <w:t>）</w:t>
            </w:r>
            <w:r>
              <w:rPr>
                <w:rFonts w:cs="Times New Roman"/>
                <w:color w:val="auto"/>
                <w:kern w:val="0"/>
                <w:sz w:val="21"/>
                <w:szCs w:val="21"/>
              </w:rPr>
              <w:t>中断供电将影响较重要用电单位的正常工作。</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4 不属于一级和二级负荷者应为三级负荷。</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w:t>
            </w:r>
            <w:r>
              <w:rPr>
                <w:rFonts w:hint="eastAsia" w:cs="Times New Roman"/>
                <w:color w:val="auto"/>
                <w:sz w:val="21"/>
                <w:szCs w:val="21"/>
              </w:rPr>
              <w:t>要求</w:t>
            </w:r>
          </w:p>
        </w:tc>
        <w:tc>
          <w:tcPr>
            <w:tcW w:w="150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《供配电设计规范》3.0.1</w:t>
            </w:r>
          </w:p>
        </w:tc>
        <w:tc>
          <w:tcPr>
            <w:tcW w:w="213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可燃气体报警系统为一级负荷内的特别重要负荷，消防水泵、事故风机以及应急照明为二级用电负荷，其余车间装置为三级负荷，其中可燃气体报警系统配备有独立不间断电源（UPS）。应急照明安装有UPS备用电池，在消防泵房内设置一台100kW柴油发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一级负荷中特别重要的负荷供电，应符合下列要求：1除应由双重电源供电外，尚应增设应急电源，并严禁将其他负荷接入应急供电系统。</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2设备的供电电源的切换时间，应满足设备允许中断供电的要求。</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《供配电设计规范》3.0.3</w:t>
            </w:r>
          </w:p>
        </w:tc>
        <w:tc>
          <w:tcPr>
            <w:tcW w:w="2132" w:type="dxa"/>
            <w:vAlign w:val="center"/>
          </w:tcPr>
          <w:p>
            <w:pPr>
              <w:wordWrap w:val="0"/>
              <w:adjustRightInd w:val="0"/>
              <w:snapToGrid w:val="0"/>
              <w:spacing w:line="240" w:lineRule="auto"/>
              <w:jc w:val="center"/>
              <w:textAlignment w:val="center"/>
              <w:rPr>
                <w:rFonts w:cs="Times New Roman"/>
                <w:color w:val="auto"/>
                <w:sz w:val="21"/>
                <w:szCs w:val="21"/>
              </w:rPr>
            </w:pPr>
            <w:r>
              <w:rPr>
                <w:rFonts w:hint="eastAsia" w:cs="Times New Roman"/>
                <w:color w:val="auto"/>
                <w:sz w:val="21"/>
                <w:szCs w:val="21"/>
              </w:rPr>
              <w:t>有特殊供电要求的负荷配备独立不间断电源（UPS），</w:t>
            </w:r>
            <w:r>
              <w:rPr>
                <w:rFonts w:cs="Times New Roman"/>
                <w:color w:val="auto"/>
                <w:sz w:val="21"/>
                <w:szCs w:val="21"/>
              </w:rPr>
              <w:t>供电电源的切换时间</w:t>
            </w:r>
            <w:r>
              <w:rPr>
                <w:rFonts w:hint="eastAsia" w:cs="Times New Roman"/>
                <w:color w:val="auto"/>
                <w:sz w:val="21"/>
                <w:szCs w:val="21"/>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110kV系统应采用有效接地方式。3kV~66kV系统可采用不接地方式、消弧线圈接地方式、低电阻接地方式或高电阻接地方式。</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《供配电系统设计规范》4.0.12</w:t>
            </w:r>
          </w:p>
        </w:tc>
        <w:tc>
          <w:tcPr>
            <w:tcW w:w="213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采用有效接地方式。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bCs/>
                <w:color w:val="auto"/>
                <w:kern w:val="0"/>
                <w:sz w:val="21"/>
                <w:szCs w:val="21"/>
              </w:rPr>
            </w:pPr>
            <w:r>
              <w:rPr>
                <w:rFonts w:cs="Times New Roman"/>
                <w:bCs/>
                <w:color w:val="auto"/>
                <w:kern w:val="0"/>
                <w:sz w:val="21"/>
                <w:szCs w:val="21"/>
              </w:rPr>
              <w:t>具有火灾爆炸、毒尘危害和人身危害的作业区以及企业的供配电站、供水泵房、消防站、气体防护站、救护站、电话站等公用设施，应设计事故状态时能延续工作的事故照明。</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kern w:val="0"/>
                <w:sz w:val="21"/>
                <w:szCs w:val="21"/>
              </w:rPr>
              <w:t>《化工企业安全卫生设计规定》</w:t>
            </w:r>
            <w:r>
              <w:rPr>
                <w:rFonts w:cs="Times New Roman"/>
                <w:bCs/>
                <w:color w:val="auto"/>
                <w:sz w:val="21"/>
                <w:szCs w:val="21"/>
              </w:rPr>
              <w:t>5.5.3</w:t>
            </w:r>
          </w:p>
        </w:tc>
        <w:tc>
          <w:tcPr>
            <w:tcW w:w="2132" w:type="dxa"/>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设事故照明。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bCs/>
                <w:color w:val="auto"/>
                <w:kern w:val="0"/>
                <w:sz w:val="21"/>
                <w:szCs w:val="21"/>
              </w:rPr>
            </w:pPr>
            <w:r>
              <w:rPr>
                <w:rFonts w:cs="Times New Roman"/>
                <w:bCs/>
                <w:color w:val="auto"/>
                <w:kern w:val="0"/>
                <w:sz w:val="21"/>
                <w:szCs w:val="21"/>
              </w:rPr>
              <w:t>建筑内消防应急照明和灯光疏散指示标志的备用电源的连续供电时间应符合下列规定：</w:t>
            </w:r>
          </w:p>
          <w:p>
            <w:pPr>
              <w:wordWrap w:val="0"/>
              <w:adjustRightInd w:val="0"/>
              <w:snapToGrid w:val="0"/>
              <w:spacing w:line="240" w:lineRule="auto"/>
              <w:textAlignment w:val="center"/>
              <w:rPr>
                <w:rFonts w:cs="Times New Roman"/>
                <w:bCs/>
                <w:color w:val="auto"/>
                <w:kern w:val="0"/>
                <w:sz w:val="21"/>
                <w:szCs w:val="21"/>
              </w:rPr>
            </w:pPr>
            <w:r>
              <w:rPr>
                <w:rFonts w:cs="Times New Roman"/>
                <w:bCs/>
                <w:color w:val="auto"/>
                <w:kern w:val="0"/>
                <w:sz w:val="21"/>
                <w:szCs w:val="21"/>
              </w:rPr>
              <w:t>1</w:t>
            </w:r>
            <w:r>
              <w:rPr>
                <w:rFonts w:hint="eastAsia" w:cs="Times New Roman"/>
                <w:bCs/>
                <w:color w:val="auto"/>
                <w:kern w:val="0"/>
                <w:sz w:val="21"/>
                <w:szCs w:val="21"/>
              </w:rPr>
              <w:t>、</w:t>
            </w:r>
            <w:r>
              <w:rPr>
                <w:rFonts w:cs="Times New Roman"/>
                <w:bCs/>
                <w:color w:val="auto"/>
                <w:kern w:val="0"/>
                <w:sz w:val="21"/>
                <w:szCs w:val="21"/>
              </w:rPr>
              <w:t>建筑高度大于100m的民用建筑，不应小于1.5h；</w:t>
            </w:r>
          </w:p>
          <w:p>
            <w:pPr>
              <w:wordWrap w:val="0"/>
              <w:adjustRightInd w:val="0"/>
              <w:snapToGrid w:val="0"/>
              <w:spacing w:line="240" w:lineRule="auto"/>
              <w:textAlignment w:val="center"/>
              <w:rPr>
                <w:rFonts w:cs="Times New Roman"/>
                <w:bCs/>
                <w:color w:val="auto"/>
                <w:kern w:val="0"/>
                <w:sz w:val="21"/>
                <w:szCs w:val="21"/>
              </w:rPr>
            </w:pPr>
            <w:r>
              <w:rPr>
                <w:rFonts w:cs="Times New Roman"/>
                <w:bCs/>
                <w:color w:val="auto"/>
                <w:kern w:val="0"/>
                <w:sz w:val="21"/>
                <w:szCs w:val="21"/>
              </w:rPr>
              <w:t>2</w:t>
            </w:r>
            <w:r>
              <w:rPr>
                <w:rFonts w:hint="eastAsia" w:cs="Times New Roman"/>
                <w:bCs/>
                <w:color w:val="auto"/>
                <w:kern w:val="0"/>
                <w:sz w:val="21"/>
                <w:szCs w:val="21"/>
              </w:rPr>
              <w:t>、</w:t>
            </w:r>
            <w:r>
              <w:rPr>
                <w:rFonts w:cs="Times New Roman"/>
                <w:bCs/>
                <w:color w:val="auto"/>
                <w:kern w:val="0"/>
                <w:sz w:val="21"/>
                <w:szCs w:val="21"/>
              </w:rPr>
              <w:t>医疗建筑、老年人建筑、总建筑面积大于100000m</w:t>
            </w:r>
            <w:r>
              <w:rPr>
                <w:rFonts w:cs="Times New Roman"/>
                <w:bCs/>
                <w:color w:val="auto"/>
                <w:kern w:val="0"/>
                <w:sz w:val="21"/>
                <w:szCs w:val="21"/>
                <w:vertAlign w:val="superscript"/>
              </w:rPr>
              <w:t>2</w:t>
            </w:r>
            <w:r>
              <w:rPr>
                <w:rFonts w:cs="Times New Roman"/>
                <w:bCs/>
                <w:color w:val="auto"/>
                <w:kern w:val="0"/>
                <w:sz w:val="21"/>
                <w:szCs w:val="21"/>
              </w:rPr>
              <w:t>的公共建筑，不应少于1.0h；</w:t>
            </w:r>
          </w:p>
          <w:p>
            <w:pPr>
              <w:wordWrap w:val="0"/>
              <w:adjustRightInd w:val="0"/>
              <w:snapToGrid w:val="0"/>
              <w:spacing w:line="240" w:lineRule="auto"/>
              <w:textAlignment w:val="center"/>
              <w:rPr>
                <w:rFonts w:cs="Times New Roman"/>
                <w:bCs/>
                <w:color w:val="auto"/>
                <w:kern w:val="0"/>
                <w:sz w:val="21"/>
                <w:szCs w:val="21"/>
              </w:rPr>
            </w:pPr>
            <w:r>
              <w:rPr>
                <w:rFonts w:cs="Times New Roman"/>
                <w:bCs/>
                <w:color w:val="auto"/>
                <w:kern w:val="0"/>
                <w:sz w:val="21"/>
                <w:szCs w:val="21"/>
              </w:rPr>
              <w:t>3</w:t>
            </w:r>
            <w:r>
              <w:rPr>
                <w:rFonts w:hint="eastAsia" w:cs="Times New Roman"/>
                <w:bCs/>
                <w:color w:val="auto"/>
                <w:kern w:val="0"/>
                <w:sz w:val="21"/>
                <w:szCs w:val="21"/>
              </w:rPr>
              <w:t>、</w:t>
            </w:r>
            <w:r>
              <w:rPr>
                <w:rFonts w:cs="Times New Roman"/>
                <w:bCs/>
                <w:color w:val="auto"/>
                <w:kern w:val="0"/>
                <w:sz w:val="21"/>
                <w:szCs w:val="21"/>
              </w:rPr>
              <w:t>其他建筑，不应少于0.5h。</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40" w:lineRule="auto"/>
              <w:jc w:val="center"/>
              <w:textAlignment w:val="center"/>
              <w:rPr>
                <w:rFonts w:cs="Times New Roman"/>
                <w:color w:val="auto"/>
                <w:sz w:val="21"/>
                <w:szCs w:val="21"/>
              </w:rPr>
            </w:pPr>
            <w:r>
              <w:rPr>
                <w:rFonts w:cs="Times New Roman"/>
                <w:bCs/>
                <w:color w:val="auto"/>
                <w:sz w:val="21"/>
                <w:szCs w:val="21"/>
              </w:rPr>
              <w:t>10.1.5</w:t>
            </w:r>
          </w:p>
        </w:tc>
        <w:tc>
          <w:tcPr>
            <w:tcW w:w="2132" w:type="dxa"/>
            <w:vAlign w:val="center"/>
          </w:tcPr>
          <w:p>
            <w:pPr>
              <w:wordWrap w:val="0"/>
              <w:adjustRightInd w:val="0"/>
              <w:snapToGrid w:val="0"/>
              <w:spacing w:line="240" w:lineRule="auto"/>
              <w:jc w:val="center"/>
              <w:textAlignment w:val="center"/>
              <w:rPr>
                <w:rFonts w:cs="Times New Roman"/>
                <w:bCs/>
                <w:color w:val="auto"/>
                <w:sz w:val="21"/>
                <w:szCs w:val="21"/>
              </w:rPr>
            </w:pPr>
            <w:r>
              <w:rPr>
                <w:rFonts w:cs="Times New Roman"/>
                <w:bCs/>
                <w:color w:val="auto"/>
                <w:sz w:val="21"/>
                <w:szCs w:val="21"/>
              </w:rPr>
              <w:t>不少于0.5h。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树脂生产车间、危险化学品的涂料产品生产及包装车间、危险化学品仓库等甲、乙类爆炸性气体环境的电气装置应符合GB50058的规定。粉末涂料的粉碎、包装车间及仓库等爆炸性粉尘环境的电气装置应符合-GB50058规定。</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sz w:val="20"/>
                <w:szCs w:val="20"/>
              </w:rPr>
              <w:t>《涂料生产企业安全技术规程》4.7.1</w:t>
            </w:r>
          </w:p>
        </w:tc>
        <w:tc>
          <w:tcPr>
            <w:tcW w:w="213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爆炸性气体环境的电气装置符合-GB50058规定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10kV以下架空线路不应跨越易燃易爆厂房、库房、储罐等爆炸性气体环境。</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sz w:val="20"/>
                <w:szCs w:val="20"/>
              </w:rPr>
              <w:t>《涂料生产企业安全技术规程》4.7.2</w:t>
            </w:r>
          </w:p>
        </w:tc>
        <w:tc>
          <w:tcPr>
            <w:tcW w:w="213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sz w:val="21"/>
                <w:szCs w:val="21"/>
              </w:rPr>
              <w:t>不跨越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树脂生产车间、危险化学品的涂料产品生产及包装车间、粉末涂料的粉碎、包装车间及仓库、危险化学品仓库等易燃易爆甲、乙类作业场所使用的电动机、低压变压器、低压开关和控制器（开关、断路器，控制开关及按钮，配电盘，控制箱，操作箱等）、照明灯具、信号报警装置等应使用防爆型电气设备。电线套管应采用低压流体输送镀锌焊接钢管，不应采用绝缘导线或塑料管明设。所有电气设备应进行有效接地。</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sz w:val="20"/>
                <w:szCs w:val="20"/>
              </w:rPr>
              <w:t>《涂料生产企业安全技术规程》4.7.5</w:t>
            </w:r>
          </w:p>
        </w:tc>
        <w:tc>
          <w:tcPr>
            <w:tcW w:w="213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使用防爆型电气设备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dxa"/>
            <w:vAlign w:val="center"/>
          </w:tcPr>
          <w:p>
            <w:pPr>
              <w:numPr>
                <w:ilvl w:val="0"/>
                <w:numId w:val="5"/>
              </w:numPr>
              <w:wordWrap w:val="0"/>
              <w:adjustRightInd w:val="0"/>
              <w:snapToGrid w:val="0"/>
              <w:spacing w:line="240" w:lineRule="auto"/>
              <w:ind w:left="0"/>
              <w:jc w:val="center"/>
              <w:textAlignment w:val="center"/>
              <w:rPr>
                <w:rFonts w:cs="Times New Roman"/>
                <w:bCs/>
                <w:color w:val="auto"/>
                <w:sz w:val="21"/>
                <w:szCs w:val="21"/>
              </w:rPr>
            </w:pPr>
          </w:p>
        </w:tc>
        <w:tc>
          <w:tcPr>
            <w:tcW w:w="4314" w:type="dxa"/>
            <w:vAlign w:val="center"/>
          </w:tcPr>
          <w:p>
            <w:pPr>
              <w:wordWrap w:val="0"/>
              <w:adjustRightInd w:val="0"/>
              <w:snapToGrid w:val="0"/>
              <w:spacing w:line="240" w:lineRule="auto"/>
              <w:textAlignment w:val="center"/>
              <w:rPr>
                <w:rFonts w:cs="Times New Roman"/>
                <w:color w:val="auto"/>
                <w:kern w:val="0"/>
                <w:sz w:val="21"/>
                <w:szCs w:val="21"/>
              </w:rPr>
            </w:pPr>
            <w:r>
              <w:rPr>
                <w:rFonts w:hint="eastAsia" w:cs="Times New Roman"/>
                <w:color w:val="auto"/>
                <w:kern w:val="0"/>
                <w:sz w:val="21"/>
                <w:szCs w:val="21"/>
              </w:rPr>
              <w:t>甲、乙类仓库内宜使用低温照明灯具，并应对灯具的发热部件采取隔热等防火保护措施；不应设置卤钨灯等高温照明灯具。配电箱及开关宜设置在仓库外。</w:t>
            </w:r>
          </w:p>
        </w:tc>
        <w:tc>
          <w:tcPr>
            <w:tcW w:w="688"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符合要求</w:t>
            </w:r>
          </w:p>
        </w:tc>
        <w:tc>
          <w:tcPr>
            <w:tcW w:w="150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sz w:val="20"/>
                <w:szCs w:val="20"/>
              </w:rPr>
              <w:t>《涂料生产企业安全技术规程》4.7.6</w:t>
            </w:r>
          </w:p>
        </w:tc>
        <w:tc>
          <w:tcPr>
            <w:tcW w:w="213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采用防爆灯</w:t>
            </w:r>
          </w:p>
        </w:tc>
      </w:tr>
    </w:tbl>
    <w:p>
      <w:pPr>
        <w:wordWrap w:val="0"/>
        <w:adjustRightInd w:val="0"/>
        <w:snapToGrid w:val="0"/>
        <w:ind w:firstLine="560" w:firstLineChars="200"/>
        <w:jc w:val="left"/>
        <w:textAlignment w:val="center"/>
        <w:rPr>
          <w:rFonts w:cs="Times New Roman"/>
          <w:color w:val="auto"/>
          <w:szCs w:val="28"/>
        </w:rPr>
      </w:pPr>
      <w:r>
        <w:rPr>
          <w:rFonts w:cs="Times New Roman"/>
          <w:color w:val="auto"/>
          <w:szCs w:val="28"/>
        </w:rPr>
        <w:t>评价小结</w:t>
      </w:r>
      <w:r>
        <w:rPr>
          <w:rFonts w:hint="eastAsia" w:cs="Times New Roman"/>
          <w:color w:val="auto"/>
          <w:szCs w:val="28"/>
        </w:rPr>
        <w:t>：</w:t>
      </w:r>
    </w:p>
    <w:p>
      <w:pPr>
        <w:wordWrap w:val="0"/>
        <w:adjustRightInd w:val="0"/>
        <w:snapToGrid w:val="0"/>
        <w:ind w:firstLine="560" w:firstLineChars="200"/>
        <w:jc w:val="left"/>
        <w:textAlignment w:val="center"/>
        <w:rPr>
          <w:rFonts w:cs="Times New Roman"/>
          <w:color w:val="auto"/>
          <w:szCs w:val="28"/>
        </w:rPr>
      </w:pPr>
      <w:r>
        <w:rPr>
          <w:rFonts w:cs="Times New Roman"/>
          <w:color w:val="auto"/>
          <w:szCs w:val="28"/>
        </w:rPr>
        <w:t>1）</w:t>
      </w:r>
      <w:r>
        <w:rPr>
          <w:rFonts w:hint="eastAsia" w:cs="Times New Roman"/>
          <w:color w:val="auto"/>
          <w:szCs w:val="28"/>
        </w:rPr>
        <w:t>本项目</w:t>
      </w:r>
      <w:r>
        <w:rPr>
          <w:rFonts w:cs="Times New Roman"/>
          <w:color w:val="auto"/>
          <w:szCs w:val="28"/>
        </w:rPr>
        <w:t>可燃气体报警系统为一级负荷内的特别重要负荷，消防水泵、事故风机以及应急照明为二级用电负荷，其余车间装置为三级负荷，其中可燃气体报警系统配备有独立不间断电源（UPS）。应急照明安装有UPS备用电池</w:t>
      </w:r>
      <w:r>
        <w:rPr>
          <w:rFonts w:hint="eastAsia" w:cs="Times New Roman"/>
          <w:color w:val="auto"/>
          <w:szCs w:val="28"/>
        </w:rPr>
        <w:t>（应急照明时间不少于30min）</w:t>
      </w:r>
      <w:r>
        <w:rPr>
          <w:rFonts w:cs="Times New Roman"/>
          <w:color w:val="auto"/>
          <w:szCs w:val="28"/>
        </w:rPr>
        <w:t>，在消防泵房内设置一台100kW柴油发电机组</w:t>
      </w:r>
      <w:r>
        <w:rPr>
          <w:rFonts w:hint="eastAsia" w:cs="Times New Roman"/>
          <w:color w:val="auto"/>
          <w:szCs w:val="28"/>
        </w:rPr>
        <w:t>确保二级用电负荷</w:t>
      </w:r>
      <w:r>
        <w:rPr>
          <w:rFonts w:cs="Times New Roman"/>
          <w:color w:val="auto"/>
          <w:szCs w:val="28"/>
        </w:rPr>
        <w:t>。</w:t>
      </w:r>
    </w:p>
    <w:p>
      <w:pPr>
        <w:wordWrap w:val="0"/>
        <w:adjustRightInd w:val="0"/>
        <w:snapToGrid w:val="0"/>
        <w:ind w:firstLine="560" w:firstLineChars="200"/>
        <w:jc w:val="left"/>
        <w:textAlignment w:val="center"/>
        <w:rPr>
          <w:rFonts w:cs="Times New Roman"/>
          <w:color w:val="auto"/>
          <w:szCs w:val="28"/>
        </w:rPr>
      </w:pPr>
      <w:r>
        <w:rPr>
          <w:rFonts w:cs="Times New Roman"/>
          <w:color w:val="auto"/>
          <w:szCs w:val="28"/>
        </w:rPr>
        <w:t>2）本项目电气设备安全设施按照标准、规范的要求设置，能满足安全生产的要求。</w:t>
      </w:r>
    </w:p>
    <w:bookmarkEnd w:id="216"/>
    <w:bookmarkEnd w:id="217"/>
    <w:p>
      <w:pPr>
        <w:wordWrap w:val="0"/>
        <w:adjustRightInd w:val="0"/>
        <w:snapToGrid w:val="0"/>
        <w:jc w:val="center"/>
        <w:textAlignment w:val="center"/>
        <w:outlineLvl w:val="1"/>
        <w:rPr>
          <w:b/>
          <w:bCs/>
          <w:color w:val="auto"/>
          <w:kern w:val="0"/>
        </w:rPr>
      </w:pPr>
      <w:bookmarkStart w:id="218" w:name="_Toc6658"/>
      <w:bookmarkStart w:id="219" w:name="_Toc21192"/>
      <w:bookmarkStart w:id="220" w:name="_Toc22073"/>
      <w:r>
        <w:rPr>
          <w:rFonts w:hint="eastAsia"/>
          <w:b/>
          <w:bCs/>
          <w:color w:val="auto"/>
          <w:kern w:val="0"/>
        </w:rPr>
        <w:t>5.5 消防单元</w:t>
      </w:r>
      <w:bookmarkEnd w:id="218"/>
      <w:bookmarkEnd w:id="219"/>
      <w:bookmarkEnd w:id="220"/>
    </w:p>
    <w:p>
      <w:pPr>
        <w:wordWrap w:val="0"/>
        <w:adjustRightInd w:val="0"/>
        <w:snapToGrid w:val="0"/>
        <w:ind w:firstLine="560" w:firstLineChars="200"/>
        <w:textAlignment w:val="center"/>
        <w:rPr>
          <w:color w:val="auto"/>
          <w:kern w:val="0"/>
        </w:rPr>
      </w:pPr>
      <w:r>
        <w:rPr>
          <w:rFonts w:hint="eastAsia"/>
          <w:color w:val="auto"/>
          <w:kern w:val="0"/>
        </w:rPr>
        <w:t>本项目消防用水依托厂区现有消防设施，新建106甲类仓库外设地上式消火栓，消火栓的间距均不超过120m；106甲类仓库内均按规范要求设置室内消火栓，按照《建筑灭火器配置设计规范》的规定设置灭火器。</w:t>
      </w:r>
    </w:p>
    <w:p>
      <w:pPr>
        <w:wordWrap w:val="0"/>
        <w:adjustRightInd w:val="0"/>
        <w:snapToGrid w:val="0"/>
        <w:ind w:firstLine="560" w:firstLineChars="200"/>
        <w:textAlignment w:val="center"/>
        <w:rPr>
          <w:color w:val="auto"/>
          <w:kern w:val="0"/>
        </w:rPr>
      </w:pPr>
      <w:r>
        <w:rPr>
          <w:rFonts w:hint="eastAsia"/>
          <w:color w:val="auto"/>
          <w:kern w:val="0"/>
        </w:rPr>
        <w:t>1、安全检查表法分析评价</w:t>
      </w:r>
    </w:p>
    <w:p>
      <w:pPr>
        <w:wordWrap w:val="0"/>
        <w:adjustRightInd w:val="0"/>
        <w:snapToGrid w:val="0"/>
        <w:jc w:val="center"/>
        <w:textAlignment w:val="center"/>
        <w:rPr>
          <w:color w:val="auto"/>
          <w:kern w:val="0"/>
        </w:rPr>
      </w:pPr>
      <w:r>
        <w:rPr>
          <w:rFonts w:hint="eastAsia"/>
          <w:color w:val="auto"/>
          <w:kern w:val="0"/>
        </w:rPr>
        <w:t>表5.5-1  消防单元安全检查表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249"/>
        <w:gridCol w:w="688"/>
        <w:gridCol w:w="1675"/>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68"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4249"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检查项目和内容</w:t>
            </w:r>
          </w:p>
        </w:tc>
        <w:tc>
          <w:tcPr>
            <w:tcW w:w="688"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检查结果</w:t>
            </w:r>
          </w:p>
        </w:tc>
        <w:tc>
          <w:tcPr>
            <w:tcW w:w="1675"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检查依据</w:t>
            </w:r>
          </w:p>
        </w:tc>
        <w:tc>
          <w:tcPr>
            <w:tcW w:w="199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生产、储存、经营易燃易爆危险品的场所不得与居住场所设置在同一建筑物内，并应当与居住场所保持安全距离。生产、储存、经营其他物品的场所与居住场所设置在同一建筑物内的，应当符合国家工程建设消防技术标准。</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《中华人民共和国消防法》</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不与居住场所设置在同一建筑物内，与居住场所保持安全距离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c>
          <w:tcPr>
            <w:tcW w:w="4249" w:type="dxa"/>
            <w:vAlign w:val="center"/>
          </w:tcPr>
          <w:p>
            <w:pPr>
              <w:wordWrap w:val="0"/>
              <w:adjustRightInd w:val="0"/>
              <w:snapToGrid w:val="0"/>
              <w:spacing w:line="280" w:lineRule="exact"/>
              <w:ind w:firstLine="420" w:firstLineChars="200"/>
              <w:jc w:val="left"/>
              <w:textAlignment w:val="center"/>
              <w:rPr>
                <w:rFonts w:cs="Times New Roman"/>
                <w:color w:val="auto"/>
                <w:kern w:val="0"/>
                <w:sz w:val="21"/>
                <w:szCs w:val="21"/>
              </w:rPr>
            </w:pPr>
            <w:r>
              <w:rPr>
                <w:rFonts w:cs="Times New Roman"/>
                <w:color w:val="auto"/>
                <w:kern w:val="0"/>
                <w:sz w:val="21"/>
                <w:szCs w:val="21"/>
              </w:rPr>
              <w:t>国务院住房和城乡建设主管部门规定应当申请消防验收的建设工程竣工，建设单位应当向住房和城乡建设主管部门申请消防验收。</w:t>
            </w:r>
          </w:p>
          <w:p>
            <w:pPr>
              <w:wordWrap w:val="0"/>
              <w:adjustRightInd w:val="0"/>
              <w:snapToGrid w:val="0"/>
              <w:spacing w:line="280" w:lineRule="exact"/>
              <w:ind w:firstLine="420" w:firstLineChars="200"/>
              <w:jc w:val="left"/>
              <w:textAlignment w:val="center"/>
              <w:rPr>
                <w:rFonts w:cs="Times New Roman"/>
                <w:color w:val="auto"/>
                <w:kern w:val="0"/>
                <w:sz w:val="21"/>
                <w:szCs w:val="21"/>
              </w:rPr>
            </w:pPr>
            <w:r>
              <w:rPr>
                <w:rFonts w:cs="Times New Roman"/>
                <w:color w:val="auto"/>
                <w:kern w:val="0"/>
                <w:sz w:val="21"/>
                <w:szCs w:val="21"/>
              </w:rPr>
              <w:t>前款规定以外的其他建设工程，建设单位在验收后应当报住房和城乡建设主管部门备案，住房和城乡建设主管部门应当进行抽查。</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《中华人民共和国消防法》第十三条</w:t>
            </w:r>
          </w:p>
        </w:tc>
        <w:tc>
          <w:tcPr>
            <w:tcW w:w="1991" w:type="dxa"/>
            <w:vAlign w:val="center"/>
          </w:tcPr>
          <w:p>
            <w:pPr>
              <w:wordWrap w:val="0"/>
              <w:adjustRightInd w:val="0"/>
              <w:snapToGrid w:val="0"/>
              <w:spacing w:line="280" w:lineRule="exact"/>
              <w:jc w:val="center"/>
              <w:textAlignment w:val="center"/>
              <w:rPr>
                <w:rFonts w:cs="Times New Roman"/>
                <w:bCs/>
                <w:color w:val="auto"/>
                <w:kern w:val="0"/>
                <w:sz w:val="21"/>
                <w:szCs w:val="21"/>
              </w:rPr>
            </w:pPr>
            <w:r>
              <w:rPr>
                <w:rFonts w:cs="Times New Roman"/>
                <w:color w:val="auto"/>
                <w:kern w:val="0"/>
                <w:sz w:val="21"/>
                <w:szCs w:val="21"/>
              </w:rPr>
              <w:t>报住房和城乡建设主管部门备案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lang w:val="zh-CN"/>
              </w:rPr>
            </w:pPr>
            <w:r>
              <w:rPr>
                <w:rFonts w:cs="Times New Roman"/>
                <w:color w:val="auto"/>
                <w:kern w:val="0"/>
                <w:sz w:val="21"/>
                <w:szCs w:val="21"/>
                <w:lang w:val="zh-CN"/>
              </w:rPr>
              <w:t>生产、储存、经营易燃易爆危险品的场所不得与居住场所设置在同一建筑物内，并应当与居住场所保持安全距离。</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lang w:val="zh-CN"/>
              </w:rPr>
              <w:t>生产、储存、经营其他物品的场所与居住场所设置在同一建筑物内的，应当符合国家项目建设消防技术标准。</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《中华人民共和国消防法》第十九条</w:t>
            </w:r>
          </w:p>
        </w:tc>
        <w:tc>
          <w:tcPr>
            <w:tcW w:w="1991" w:type="dxa"/>
            <w:vAlign w:val="center"/>
          </w:tcPr>
          <w:p>
            <w:pPr>
              <w:pStyle w:val="20"/>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lang w:val="zh-CN"/>
              </w:rPr>
              <w:t>禁止在具有火灾、爆炸危险的场所吸烟、使用明火。因施工等特殊情况需要使用明火作业的，应当按照规定事先办理审批手续，采取相应的消防安全措施；作业人员应当遵守消防安全规定。</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《中华人民共和国消防法》第二十一条</w:t>
            </w:r>
          </w:p>
        </w:tc>
        <w:tc>
          <w:tcPr>
            <w:tcW w:w="1991" w:type="dxa"/>
            <w:vAlign w:val="center"/>
          </w:tcPr>
          <w:p>
            <w:pPr>
              <w:pStyle w:val="20"/>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lang w:val="zh-CN"/>
              </w:rPr>
              <w:t>已制定相关制度，进行电焊、气焊等具有火灾危险作业的人员持证上岗，并遵守消防安全操作规程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lang w:val="zh-CN"/>
              </w:rPr>
              <w:t>消防产品必须符合国家标准；没有国家标准的，必须符合行业标准。禁止生产、销售或者使用不合格的消防产品以及国家明令淘汰的消防产品。</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《中华人民共和国消防法》第二十四条</w:t>
            </w:r>
          </w:p>
        </w:tc>
        <w:tc>
          <w:tcPr>
            <w:tcW w:w="1991" w:type="dxa"/>
            <w:vAlign w:val="center"/>
          </w:tcPr>
          <w:p>
            <w:pPr>
              <w:pStyle w:val="20"/>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lang w:val="zh-CN"/>
              </w:rPr>
              <w:t>采用的消防产品符合国家标准。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消防车道应符合下列要求：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1</w:t>
            </w:r>
            <w:r>
              <w:rPr>
                <w:rFonts w:hint="eastAsia" w:cs="Times New Roman"/>
                <w:color w:val="auto"/>
                <w:kern w:val="0"/>
                <w:sz w:val="21"/>
                <w:szCs w:val="21"/>
              </w:rPr>
              <w:t>、</w:t>
            </w:r>
            <w:r>
              <w:rPr>
                <w:rFonts w:cs="Times New Roman"/>
                <w:color w:val="auto"/>
                <w:kern w:val="0"/>
                <w:sz w:val="21"/>
                <w:szCs w:val="21"/>
              </w:rPr>
              <w:t>车道的净宽度和净空高度均不应小于4.0m；</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2</w:t>
            </w:r>
            <w:r>
              <w:rPr>
                <w:rFonts w:hint="eastAsia" w:cs="Times New Roman"/>
                <w:color w:val="auto"/>
                <w:kern w:val="0"/>
                <w:sz w:val="21"/>
                <w:szCs w:val="21"/>
              </w:rPr>
              <w:t>、</w:t>
            </w:r>
            <w:r>
              <w:rPr>
                <w:rFonts w:cs="Times New Roman"/>
                <w:color w:val="auto"/>
                <w:kern w:val="0"/>
                <w:sz w:val="21"/>
                <w:szCs w:val="21"/>
              </w:rPr>
              <w:t>转弯半径应满足消防车转弯的要求；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3</w:t>
            </w:r>
            <w:r>
              <w:rPr>
                <w:rFonts w:hint="eastAsia" w:cs="Times New Roman"/>
                <w:color w:val="auto"/>
                <w:kern w:val="0"/>
                <w:sz w:val="21"/>
                <w:szCs w:val="21"/>
              </w:rPr>
              <w:t>、</w:t>
            </w:r>
            <w:r>
              <w:rPr>
                <w:rFonts w:cs="Times New Roman"/>
                <w:color w:val="auto"/>
                <w:kern w:val="0"/>
                <w:sz w:val="21"/>
                <w:szCs w:val="21"/>
              </w:rPr>
              <w:t>消防车道与建筑之间不应设置妨碍消防车操作的树木、架空管线等障碍物；</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4</w:t>
            </w:r>
            <w:r>
              <w:rPr>
                <w:rFonts w:hint="eastAsia" w:cs="Times New Roman"/>
                <w:color w:val="auto"/>
                <w:kern w:val="0"/>
                <w:sz w:val="21"/>
                <w:szCs w:val="21"/>
              </w:rPr>
              <w:t>、</w:t>
            </w:r>
            <w:r>
              <w:rPr>
                <w:rFonts w:cs="Times New Roman"/>
                <w:color w:val="auto"/>
                <w:kern w:val="0"/>
                <w:sz w:val="21"/>
                <w:szCs w:val="21"/>
              </w:rPr>
              <w:t>消防车道靠建筑外墙一侧的边缘距离建筑外墙不宜小于5m；</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5</w:t>
            </w:r>
            <w:r>
              <w:rPr>
                <w:rFonts w:hint="eastAsia" w:cs="Times New Roman"/>
                <w:color w:val="auto"/>
                <w:kern w:val="0"/>
                <w:sz w:val="21"/>
                <w:szCs w:val="21"/>
              </w:rPr>
              <w:t>、</w:t>
            </w:r>
            <w:r>
              <w:rPr>
                <w:rFonts w:cs="Times New Roman"/>
                <w:color w:val="auto"/>
                <w:kern w:val="0"/>
                <w:sz w:val="21"/>
                <w:szCs w:val="21"/>
              </w:rPr>
              <w:t>消防车道的坡度不宜大于8%。</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7.1.8</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设有环形消防车道</w:t>
            </w:r>
            <w:r>
              <w:rPr>
                <w:rFonts w:hint="eastAsia" w:cs="Times New Roman"/>
                <w:color w:val="auto"/>
                <w:kern w:val="0"/>
                <w:sz w:val="21"/>
                <w:szCs w:val="21"/>
              </w:rPr>
              <w:t>，</w:t>
            </w:r>
            <w:r>
              <w:rPr>
                <w:rFonts w:cs="Times New Roman"/>
                <w:color w:val="auto"/>
                <w:kern w:val="0"/>
                <w:sz w:val="21"/>
                <w:szCs w:val="21"/>
              </w:rPr>
              <w:t>符合</w:t>
            </w:r>
            <w:r>
              <w:rPr>
                <w:rFonts w:hint="eastAsia" w:cs="Times New Roman"/>
                <w:color w:val="auto"/>
                <w:kern w:val="0"/>
                <w:sz w:val="21"/>
                <w:szCs w:val="21"/>
              </w:rPr>
              <w:t>上述要求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环形消防车道至少应有两处与其他车道连通。尽头式消防车道应设置回车道或回车场，回车场的面积不应小于12m×12m；对于高层建筑，不宜小于l5m×l5m；供重型消防车使用时，不宜小于18m×18m。</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7.1.9</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至少有两处与其他车道连通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厂房、仓库、储罐（区）和堆场，应设置灭火器。</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8.1.10</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设</w:t>
            </w:r>
            <w:r>
              <w:rPr>
                <w:rFonts w:cs="Times New Roman"/>
                <w:color w:val="auto"/>
                <w:kern w:val="0"/>
                <w:sz w:val="21"/>
                <w:szCs w:val="21"/>
              </w:rPr>
              <w:t>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7</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建筑占地面积大于300m</w:t>
            </w:r>
            <w:r>
              <w:rPr>
                <w:rFonts w:cs="Times New Roman"/>
                <w:color w:val="auto"/>
                <w:kern w:val="0"/>
                <w:sz w:val="21"/>
                <w:szCs w:val="21"/>
                <w:vertAlign w:val="superscript"/>
              </w:rPr>
              <w:t>2</w:t>
            </w:r>
            <w:r>
              <w:rPr>
                <w:rFonts w:cs="Times New Roman"/>
                <w:color w:val="auto"/>
                <w:kern w:val="0"/>
                <w:sz w:val="21"/>
                <w:szCs w:val="21"/>
              </w:rPr>
              <w:t>的厂房和仓库应设置室内消火栓系统；</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tcPr>
          <w:p>
            <w:pPr>
              <w:wordWrap w:val="0"/>
              <w:adjustRightInd w:val="0"/>
              <w:snapToGrid w:val="0"/>
              <w:spacing w:line="280" w:lineRule="exact"/>
              <w:textAlignment w:val="center"/>
              <w:rPr>
                <w:rFonts w:cs="Times New Roman"/>
                <w:color w:val="auto"/>
                <w:kern w:val="0"/>
                <w:sz w:val="21"/>
                <w:szCs w:val="21"/>
              </w:rPr>
            </w:pPr>
            <w:r>
              <w:rPr>
                <w:rFonts w:cs="Times New Roman"/>
                <w:color w:val="auto"/>
                <w:kern w:val="0"/>
                <w:sz w:val="21"/>
                <w:szCs w:val="21"/>
              </w:rPr>
              <w:t>《建筑设计防火规范》8.2.1</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设</w:t>
            </w:r>
            <w:r>
              <w:rPr>
                <w:rFonts w:cs="Times New Roman"/>
                <w:color w:val="auto"/>
                <w:kern w:val="0"/>
                <w:sz w:val="21"/>
                <w:szCs w:val="21"/>
              </w:rPr>
              <w:t>室内消火栓系统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建筑物室外消火栓设计流量不应小于表3.3.2的规定。</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《消防给水及消火栓系统技术规范》3.3.2</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按规范要求设置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建筑物室内消火栓设计流量不应小于表3.5.2的规定。</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《消防给水及消火栓系统技术规范》3.5.2</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按规范要求设置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不同场所消火栓系统和固定冷却水系统的火灾延续时间不应小于表3.6.2的规定</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《消防给水及消火栓系统技术规范》3.6.2</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按规范要求设置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11</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消防用水与其他用水共用的水池，应采取确保消防用水量不作他用的技术措施。</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《消防给水及消火栓系统技术规范》4.3.8</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依托厂区现有专用消防水池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12</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消防水池的出水、排水和水位应符合下列要求：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1 消防水池的出水管应保证消防水池的有效容积能被全部利用；</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2 消防水池应设置就地水位显示装置，并应在消防控制中心或值班室等地点设置显示消防水池水位的装置，同时应有最高和最低报警水位；</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3 消防水池应设置溢流水管和排水设施，并应采用间接排水。</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《消防给水及消火栓系统技术规范》4.3.9</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设有专用消防水箱，</w:t>
            </w:r>
            <w:r>
              <w:rPr>
                <w:rFonts w:cs="Times New Roman"/>
                <w:color w:val="auto"/>
                <w:kern w:val="0"/>
                <w:sz w:val="21"/>
                <w:szCs w:val="21"/>
              </w:rPr>
              <w:t>保证消防水池的有效容积能被全部利用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13</w:t>
            </w:r>
          </w:p>
        </w:tc>
        <w:tc>
          <w:tcPr>
            <w:tcW w:w="4249"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消防水泵的选择和应用应符合下列规定：</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1 消防水泵的性能应满足消防给水系统所需流量和压力的要求；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2 消防水泵所配驱动器的功率应满足所选水泵流量扬程性能曲线上任何一点运行所需功率的要求；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3 当采用电动机驱动的消防水泵时，应选择电动机干式安装的消防水泵；</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4 流量扬程性能曲线应为无驼峰、无拐点的光滑曲线，零流量时的压力不应大于设计工作压力的140%，且宜大于设计工作压力的120%；</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5 当出流量为设计流量的150%时，其出口压力不应低于设计工作压力的65%；</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6 泵轴的密封方式和材料应满足消防水泵在低流量时运转的要求；</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7 消防给水同一泵组的消防水泵型号宜一致，且工作泵不宜超过3台；</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8 多台消防水泵并联时，应校核流量叠加对消防水泵出口压力的影响。</w:t>
            </w:r>
          </w:p>
        </w:tc>
        <w:tc>
          <w:tcPr>
            <w:tcW w:w="688"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不</w:t>
            </w:r>
            <w:r>
              <w:rPr>
                <w:rFonts w:cs="Times New Roman"/>
                <w:color w:val="auto"/>
                <w:kern w:val="0"/>
                <w:sz w:val="21"/>
                <w:szCs w:val="21"/>
              </w:rPr>
              <w:t>符合</w:t>
            </w:r>
          </w:p>
        </w:tc>
        <w:tc>
          <w:tcPr>
            <w:tcW w:w="1675"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《消防给水及消火栓系统技术规范》5.1.</w:t>
            </w:r>
            <w:r>
              <w:rPr>
                <w:rFonts w:hint="eastAsia" w:cs="Times New Roman"/>
                <w:color w:val="auto"/>
                <w:kern w:val="0"/>
                <w:sz w:val="21"/>
                <w:szCs w:val="21"/>
              </w:rPr>
              <w:t>6</w:t>
            </w:r>
          </w:p>
        </w:tc>
        <w:tc>
          <w:tcPr>
            <w:tcW w:w="199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hint="eastAsia" w:cs="Times New Roman"/>
                <w:color w:val="auto"/>
                <w:kern w:val="0"/>
                <w:sz w:val="21"/>
                <w:szCs w:val="21"/>
              </w:rPr>
              <w:t>消防泵与设计要求不相符，流量小于设计要求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14</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消防水泵应设置备用泵，其性能应与工作泵性能一致，但下列情况除外：</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1 除建筑高度超过50m的其他建筑室外消防给水设计流量小于等于25L/s时；</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2 室内消防给水设计流量小于等于10L/s时。</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《消防给水及消火栓系统技术规范》5.1.10</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设置备用泵，其性能与工作泵性能一致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15</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消防水泵机组的布置应符合下列规定：</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1 相邻两个机组及机组至墙壁间的净距，当电机容量小于22kW时，不宜小于0.60m；当电动机容量不小于22kW，且不大于55kW时，不宜小于0.8m；当电动机容量大于55kW且小于255kW时，不宜小于1.2m；当电动机容量大于255kW时，不宜小于1.5m；</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2 当消防水泵就地检修时，应至少在每个机组一侧设消防水泵机组宽度加0.5m的通道，并应保证消防水泵轴和电动机转子在检修时能拆卸；</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3 消防水泵房的主要通道宽度不应小于1.2m。</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w:t>
            </w:r>
            <w:r>
              <w:rPr>
                <w:rFonts w:hint="eastAsia" w:cs="Times New Roman"/>
                <w:color w:val="auto"/>
                <w:kern w:val="0"/>
                <w:sz w:val="21"/>
                <w:szCs w:val="21"/>
              </w:rPr>
              <w:t>5</w:t>
            </w:r>
            <w:r>
              <w:rPr>
                <w:rFonts w:cs="Times New Roman"/>
                <w:color w:val="auto"/>
                <w:kern w:val="0"/>
                <w:sz w:val="21"/>
                <w:szCs w:val="21"/>
              </w:rPr>
              <w:t>.</w:t>
            </w:r>
            <w:r>
              <w:rPr>
                <w:rFonts w:hint="eastAsia" w:cs="Times New Roman"/>
                <w:color w:val="auto"/>
                <w:kern w:val="0"/>
                <w:sz w:val="21"/>
                <w:szCs w:val="21"/>
              </w:rPr>
              <w:t>2</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主要通道宽度不应小于1.2m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16</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消防水泵房的设计应根据具体情况设计相应的采暖、通风和排水设施，并应符合下列规定：</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1 严寒、寒冷等冬季结冰地区采暖温度不应低于10℃，但当无人值守时不应低于5℃；</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2 消防水泵房的通风宜按6次/h设计；</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3 消防水泵房应设置排水设施。</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w:t>
            </w:r>
            <w:r>
              <w:rPr>
                <w:rFonts w:hint="eastAsia" w:cs="Times New Roman"/>
                <w:color w:val="auto"/>
                <w:kern w:val="0"/>
                <w:sz w:val="21"/>
                <w:szCs w:val="21"/>
              </w:rPr>
              <w:t>5</w:t>
            </w:r>
            <w:r>
              <w:rPr>
                <w:rFonts w:cs="Times New Roman"/>
                <w:color w:val="auto"/>
                <w:kern w:val="0"/>
                <w:sz w:val="21"/>
                <w:szCs w:val="21"/>
              </w:rPr>
              <w:t>.</w:t>
            </w:r>
            <w:r>
              <w:rPr>
                <w:rFonts w:hint="eastAsia" w:cs="Times New Roman"/>
                <w:color w:val="auto"/>
                <w:kern w:val="0"/>
                <w:sz w:val="21"/>
                <w:szCs w:val="21"/>
              </w:rPr>
              <w:t>9</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室内气温</w:t>
            </w:r>
            <w:r>
              <w:rPr>
                <w:rFonts w:cs="Times New Roman"/>
                <w:color w:val="auto"/>
                <w:kern w:val="0"/>
                <w:sz w:val="21"/>
                <w:szCs w:val="21"/>
              </w:rPr>
              <w:t>不低于5℃</w:t>
            </w:r>
            <w:r>
              <w:rPr>
                <w:rFonts w:hint="eastAsia" w:cs="Times New Roman"/>
                <w:color w:val="auto"/>
                <w:kern w:val="0"/>
                <w:sz w:val="21"/>
                <w:szCs w:val="21"/>
              </w:rPr>
              <w:t>，</w:t>
            </w:r>
            <w:r>
              <w:rPr>
                <w:rFonts w:cs="Times New Roman"/>
                <w:color w:val="auto"/>
                <w:kern w:val="0"/>
                <w:sz w:val="21"/>
                <w:szCs w:val="21"/>
              </w:rPr>
              <w:t>设</w:t>
            </w:r>
            <w:r>
              <w:rPr>
                <w:rFonts w:hint="eastAsia" w:cs="Times New Roman"/>
                <w:color w:val="auto"/>
                <w:kern w:val="0"/>
                <w:sz w:val="21"/>
                <w:szCs w:val="21"/>
              </w:rPr>
              <w:t>有</w:t>
            </w:r>
            <w:r>
              <w:rPr>
                <w:rFonts w:cs="Times New Roman"/>
                <w:color w:val="auto"/>
                <w:kern w:val="0"/>
                <w:sz w:val="21"/>
                <w:szCs w:val="21"/>
              </w:rPr>
              <w:t>排水设施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17</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消防水泵房应符合下列规定：</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1 独立建造的消防水泵房耐火等级不应低于二级；</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2 附设在建筑物内的消防水泵房，不应设置在地下三层及以下，或室内地面与室外出入口地坪高差大于10m的地下楼层；</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3 附设在建筑物内的消防水泵房，应采用耐火极限不低于2.0h的隔墙和1.50h的楼板与其他部位隔开，其疏散门应直通安全出口，且开向疏散走道的门应采用甲级防火门。</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w:t>
            </w:r>
            <w:r>
              <w:rPr>
                <w:rFonts w:hint="eastAsia" w:cs="Times New Roman"/>
                <w:color w:val="auto"/>
                <w:kern w:val="0"/>
                <w:sz w:val="21"/>
                <w:szCs w:val="21"/>
              </w:rPr>
              <w:t>5</w:t>
            </w:r>
            <w:r>
              <w:rPr>
                <w:rFonts w:cs="Times New Roman"/>
                <w:color w:val="auto"/>
                <w:kern w:val="0"/>
                <w:sz w:val="21"/>
                <w:szCs w:val="21"/>
              </w:rPr>
              <w:t>.</w:t>
            </w:r>
            <w:r>
              <w:rPr>
                <w:rFonts w:hint="eastAsia" w:cs="Times New Roman"/>
                <w:color w:val="auto"/>
                <w:kern w:val="0"/>
                <w:sz w:val="21"/>
                <w:szCs w:val="21"/>
              </w:rPr>
              <w:t>12</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耐火等级</w:t>
            </w:r>
            <w:r>
              <w:rPr>
                <w:rFonts w:hint="eastAsia" w:cs="Times New Roman"/>
                <w:color w:val="auto"/>
                <w:kern w:val="0"/>
                <w:sz w:val="21"/>
                <w:szCs w:val="21"/>
              </w:rPr>
              <w:t>二级，独立设置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18</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消防水泵和控制柜应采取安全保护措施。</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《消防给水及消火栓系统技术规范》5.</w:t>
            </w:r>
            <w:r>
              <w:rPr>
                <w:rFonts w:hint="eastAsia" w:cs="Times New Roman"/>
                <w:color w:val="auto"/>
                <w:kern w:val="0"/>
                <w:sz w:val="21"/>
                <w:szCs w:val="21"/>
              </w:rPr>
              <w:t>5</w:t>
            </w:r>
            <w:r>
              <w:rPr>
                <w:rFonts w:cs="Times New Roman"/>
                <w:color w:val="auto"/>
                <w:kern w:val="0"/>
                <w:sz w:val="21"/>
                <w:szCs w:val="21"/>
              </w:rPr>
              <w:t>.</w:t>
            </w:r>
            <w:r>
              <w:rPr>
                <w:rFonts w:hint="eastAsia" w:cs="Times New Roman"/>
                <w:color w:val="auto"/>
                <w:kern w:val="0"/>
                <w:sz w:val="21"/>
                <w:szCs w:val="21"/>
              </w:rPr>
              <w:t>16</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采取安全保护措施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19</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灭火器不宜设置在潮湿或强腐蚀性的地点。当必须设置时，应有相应的保护措施。灭火器设置在室外时，应有相应的保护措施。</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《建筑灭火器配置设计规范》</w:t>
            </w:r>
          </w:p>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5.1.4条</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灭火器不设置在潮湿或强腐蚀性的地点。灭火器设置在室外时，有相应的棚等保护措施。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p>
        </w:tc>
        <w:tc>
          <w:tcPr>
            <w:tcW w:w="4249"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灭火器的摆放应稳固，其铭牌应朝外。手提式灭火器宜设置在灭火器箱内或挂钩、托架上，其顶部离地面高度不应大于1.50m；底部离地面高度不宜小于0.08m。灭火器箱不得上锁。</w:t>
            </w:r>
          </w:p>
        </w:tc>
        <w:tc>
          <w:tcPr>
            <w:tcW w:w="688"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《建筑灭火器配置设计规范》</w:t>
            </w:r>
          </w:p>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5.1.3条</w:t>
            </w:r>
          </w:p>
        </w:tc>
        <w:tc>
          <w:tcPr>
            <w:tcW w:w="199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灭火器的摆放稳固，其铭牌朝外。手提式灭火器设置在灭火器箱内或挂钩、托架上，其顶部离地面高度小于1.50m；底部离地面高度大于0.1m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21</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室内消火栓宜按行走距离计算其布置间距，并应符合下列规定：</w:t>
            </w:r>
          </w:p>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1</w:t>
            </w:r>
            <w:r>
              <w:rPr>
                <w:rFonts w:hint="eastAsia" w:cs="Times New Roman"/>
                <w:color w:val="auto"/>
                <w:kern w:val="0"/>
                <w:sz w:val="21"/>
                <w:szCs w:val="21"/>
              </w:rPr>
              <w:t>、</w:t>
            </w:r>
            <w:r>
              <w:rPr>
                <w:rFonts w:cs="Times New Roman"/>
                <w:color w:val="auto"/>
                <w:kern w:val="0"/>
                <w:sz w:val="21"/>
                <w:szCs w:val="21"/>
              </w:rPr>
              <w:t>消火栓按2支消防水枪的2股充实水柱布置的高层建筑、高架仓库、甲乙类工业厂房等场所，消火栓的布置间距不应大于 30m；</w:t>
            </w:r>
          </w:p>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2</w:t>
            </w:r>
            <w:r>
              <w:rPr>
                <w:rFonts w:hint="eastAsia" w:cs="Times New Roman"/>
                <w:color w:val="auto"/>
                <w:kern w:val="0"/>
                <w:sz w:val="21"/>
                <w:szCs w:val="21"/>
              </w:rPr>
              <w:t>、</w:t>
            </w:r>
            <w:r>
              <w:rPr>
                <w:rFonts w:cs="Times New Roman"/>
                <w:color w:val="auto"/>
                <w:kern w:val="0"/>
                <w:sz w:val="21"/>
                <w:szCs w:val="21"/>
              </w:rPr>
              <w:t>消火栓按1支消防水枪的一股充实水柱布置的的建筑物，消火栓的布置间距不应大于50m。</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《消防给水及消火栓系统技术规范》</w:t>
            </w:r>
          </w:p>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7.4.10</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按规范要求设置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22</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建筑内消防应急照明和灯光疏散指示标志的备用电源的连续供电时间应不少于0.5h。</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《建筑设计防火规范》</w:t>
            </w:r>
          </w:p>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10.1.5</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设有ups电源，不少于30min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23</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企业应按现行国家标准《火灾自动报警系统设计规范》GB50116、《石油化工企业设计防火规范》GB50160等的规定设置火灾自动报警系统。</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《精细化工企业工程设计防火标准》GB51283-2020</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11.5.1</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106甲类仓库设有</w:t>
            </w:r>
            <w:r>
              <w:rPr>
                <w:rFonts w:cs="Times New Roman"/>
                <w:color w:val="auto"/>
                <w:kern w:val="0"/>
                <w:sz w:val="21"/>
                <w:szCs w:val="21"/>
              </w:rPr>
              <w:t>火灾自动报警系统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24</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火灾自动报警系统的交流电源应采用消防电源，其主电源应优先选用不间断电源。直流备用电源宜采用火灾报警控制器自带的专用蓄电池。</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《精细化工企业工程设计防火标准》GB51283-2020</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11.5.3</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选用不间断电源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25</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火灾探测器的选型应根据燃烧物体的燃烧特性确定。</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《精细化工企业工程设计防火标准》GB51283-2020</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11.5.5</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根据燃烧物体的燃烧特性确定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26</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甲、乙类生产设施和罐区外围疏散道路边应设置手动报警按钮，且其间距不应大于100m。</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《精细化工企业工程设计防火标准》GB51283-2020</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11.5.5</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106甲类仓库</w:t>
            </w:r>
            <w:r>
              <w:rPr>
                <w:rFonts w:cs="Times New Roman"/>
                <w:color w:val="auto"/>
                <w:kern w:val="0"/>
                <w:sz w:val="21"/>
                <w:szCs w:val="21"/>
              </w:rPr>
              <w:t>设置手动报警按钮</w:t>
            </w:r>
            <w:r>
              <w:rPr>
                <w:rFonts w:hint="eastAsia" w:cs="Times New Roman"/>
                <w:color w:val="auto"/>
                <w:kern w:val="0"/>
                <w:sz w:val="21"/>
                <w:szCs w:val="21"/>
              </w:rPr>
              <w:t>，</w:t>
            </w:r>
            <w:r>
              <w:rPr>
                <w:rFonts w:cs="Times New Roman"/>
                <w:color w:val="auto"/>
                <w:kern w:val="0"/>
                <w:sz w:val="21"/>
                <w:szCs w:val="21"/>
              </w:rPr>
              <w:t>间距不大于100m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27</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石油化工企业的生产区、公用及辅助生产设施、全厂性重要设施和区域性重要设施的火灾危险场所应设置火灾自动报警系统和火灾电话报警。</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《石油化工企业设计防火标准（2018版）》GB50160-2008</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8.12.1</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设置火灾自动报警系统和火灾电话报警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28</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在生产或使用可燃气体及有毒气体的生产设施及储运设施的区域内，泄漏气体中可燃气体浓度可能达到报警设定值时，应设置可燃气体探测器；泄漏气体中有毒气体浓度可能达到报警设定值时，应设置有毒气体探测器；既属于可燃气体又属于有毒气体的单组分气体介质，应设有毒气体探测器；可燃气体与有毒气体同时存在的多组分混合气体，泄漏时可燃气体浓度和有毒气体浓度有可能同时达到报警设定值，应分别设置可燃气体探测器和有毒气体探测器。</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50" w:lineRule="exact"/>
              <w:jc w:val="center"/>
              <w:textAlignment w:val="center"/>
              <w:rPr>
                <w:rFonts w:cs="Times New Roman"/>
                <w:color w:val="auto"/>
                <w:sz w:val="21"/>
              </w:rPr>
            </w:pPr>
            <w:r>
              <w:rPr>
                <w:rFonts w:hint="eastAsia" w:cs="Times New Roman"/>
                <w:color w:val="auto"/>
                <w:kern w:val="0"/>
                <w:sz w:val="21"/>
                <w:szCs w:val="21"/>
              </w:rPr>
              <w:t>3.0.1</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设置可燃气体探测器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29</w:t>
            </w:r>
          </w:p>
        </w:tc>
        <w:tc>
          <w:tcPr>
            <w:tcW w:w="4249" w:type="dxa"/>
            <w:vAlign w:val="center"/>
          </w:tcPr>
          <w:p>
            <w:pPr>
              <w:wordWrap w:val="0"/>
              <w:adjustRightInd w:val="0"/>
              <w:snapToGrid w:val="0"/>
              <w:spacing w:line="250" w:lineRule="exact"/>
              <w:jc w:val="left"/>
              <w:textAlignment w:val="center"/>
              <w:rPr>
                <w:rFonts w:cs="Times New Roman"/>
                <w:color w:val="auto"/>
                <w:kern w:val="0"/>
                <w:sz w:val="21"/>
                <w:szCs w:val="21"/>
              </w:rPr>
            </w:pPr>
            <w:r>
              <w:rPr>
                <w:rFonts w:cs="Times New Roman"/>
                <w:color w:val="auto"/>
                <w:kern w:val="0"/>
                <w:sz w:val="21"/>
                <w:szCs w:val="21"/>
              </w:rPr>
              <w:t>可燃气体和有毒气体的检测报警应采用两级报警。同级别的有毒气体和可燃气体同时报警时，有毒气体的报警级别应优先。</w:t>
            </w:r>
          </w:p>
        </w:tc>
        <w:tc>
          <w:tcPr>
            <w:tcW w:w="688"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50" w:lineRule="exact"/>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50" w:lineRule="exact"/>
              <w:jc w:val="center"/>
              <w:textAlignment w:val="center"/>
              <w:rPr>
                <w:rFonts w:cs="Times New Roman"/>
                <w:color w:val="auto"/>
                <w:kern w:val="0"/>
                <w:sz w:val="21"/>
                <w:szCs w:val="21"/>
              </w:rPr>
            </w:pPr>
            <w:r>
              <w:rPr>
                <w:rFonts w:hint="eastAsia" w:cs="Times New Roman"/>
                <w:color w:val="auto"/>
                <w:kern w:val="0"/>
                <w:sz w:val="21"/>
                <w:szCs w:val="21"/>
              </w:rPr>
              <w:t>3.0.2</w:t>
            </w:r>
          </w:p>
        </w:tc>
        <w:tc>
          <w:tcPr>
            <w:tcW w:w="1991" w:type="dxa"/>
            <w:vAlign w:val="center"/>
          </w:tcPr>
          <w:p>
            <w:pPr>
              <w:wordWrap w:val="0"/>
              <w:adjustRightInd w:val="0"/>
              <w:snapToGrid w:val="0"/>
              <w:spacing w:line="250" w:lineRule="exact"/>
              <w:jc w:val="center"/>
              <w:textAlignment w:val="center"/>
              <w:rPr>
                <w:rFonts w:cs="Times New Roman"/>
                <w:color w:val="auto"/>
                <w:kern w:val="0"/>
                <w:sz w:val="21"/>
                <w:szCs w:val="21"/>
              </w:rPr>
            </w:pPr>
            <w:r>
              <w:rPr>
                <w:rFonts w:cs="Times New Roman"/>
                <w:color w:val="auto"/>
                <w:kern w:val="0"/>
                <w:sz w:val="21"/>
                <w:szCs w:val="21"/>
              </w:rPr>
              <w:t>采用两级报警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可燃气体和有毒气体检测报警信号应送至有人值守的现场控制室、中心控制室等进行显示报警；可燃气体二级报警信号、可燃气体和有毒气体检测报警系统报警控制单元的故障信号应送至消防控制室。</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3.0.3</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送至</w:t>
            </w:r>
            <w:r>
              <w:rPr>
                <w:rFonts w:hint="eastAsia" w:cs="Times New Roman"/>
                <w:color w:val="auto"/>
                <w:kern w:val="0"/>
                <w:sz w:val="21"/>
                <w:szCs w:val="21"/>
              </w:rPr>
              <w:t>24小时</w:t>
            </w:r>
            <w:r>
              <w:rPr>
                <w:rFonts w:cs="Times New Roman"/>
                <w:color w:val="auto"/>
                <w:kern w:val="0"/>
                <w:sz w:val="21"/>
                <w:szCs w:val="21"/>
              </w:rPr>
              <w:t>有人值守的</w:t>
            </w:r>
            <w:r>
              <w:rPr>
                <w:rFonts w:hint="eastAsia" w:cs="Times New Roman"/>
                <w:color w:val="auto"/>
                <w:kern w:val="0"/>
                <w:sz w:val="21"/>
                <w:szCs w:val="21"/>
              </w:rPr>
              <w:t>门卫室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31</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控制室操作区应设置可燃气体和有毒气体声、光报警；现场区域警报器宜根据装置占地的面积、设备及建构筑物的布置、释放源的理化性质和现场空气流动特点进行设置，现场区域警报器应有声、光报警功能。</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3.0.4</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现场区域警报器有声、光报警功能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32</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需要设置可燃气体、有毒气体探测器的场所，宜采用固定式探测器；需要临时检测可燃气体、有毒气体的场所，宜配备移动式气体探测器。</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3.0.6</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采用固定式探测器</w:t>
            </w:r>
            <w:r>
              <w:rPr>
                <w:rFonts w:hint="eastAsia" w:cs="Times New Roman"/>
                <w:color w:val="auto"/>
                <w:kern w:val="0"/>
                <w:sz w:val="21"/>
                <w:szCs w:val="21"/>
              </w:rPr>
              <w:t>，</w:t>
            </w:r>
            <w:r>
              <w:rPr>
                <w:rFonts w:cs="Times New Roman"/>
                <w:color w:val="auto"/>
                <w:kern w:val="0"/>
                <w:sz w:val="21"/>
                <w:szCs w:val="21"/>
              </w:rPr>
              <w:t>配备</w:t>
            </w:r>
            <w:r>
              <w:rPr>
                <w:rFonts w:hint="eastAsia" w:cs="Times New Roman"/>
                <w:color w:val="auto"/>
                <w:kern w:val="0"/>
                <w:sz w:val="21"/>
                <w:szCs w:val="21"/>
              </w:rPr>
              <w:t>有</w:t>
            </w:r>
            <w:r>
              <w:rPr>
                <w:rFonts w:cs="Times New Roman"/>
                <w:color w:val="auto"/>
                <w:kern w:val="0"/>
                <w:sz w:val="21"/>
                <w:szCs w:val="21"/>
              </w:rPr>
              <w:t>移动式气体探测器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33</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可燃气体和有毒气体检测报警系统应独立于其他系统单独设置。</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3.0.8</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独立于其他系统单独设置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34</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可燃气体和有毒气体检测报警系统的气体探测器、报警控制单元、现场警报器等的供电负荷，应按一级用电负荷中特别重要的负荷考虑，宜采用UPS电源装置供电。</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sz w:val="21"/>
              </w:rPr>
            </w:pPr>
            <w:r>
              <w:rPr>
                <w:rFonts w:hint="eastAsia" w:cs="Times New Roman"/>
                <w:color w:val="auto"/>
                <w:sz w:val="21"/>
              </w:rPr>
              <w:t>《石油化工可燃气体和有毒气体检测报警设计标准》GB/T50493-2019</w:t>
            </w:r>
          </w:p>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3.0.9</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按一级用电负荷中特别重要的负荷考虑</w:t>
            </w:r>
            <w:r>
              <w:rPr>
                <w:rFonts w:hint="eastAsia" w:cs="Times New Roman"/>
                <w:color w:val="auto"/>
                <w:kern w:val="0"/>
                <w:sz w:val="21"/>
                <w:szCs w:val="21"/>
              </w:rPr>
              <w:t>，</w:t>
            </w:r>
            <w:r>
              <w:rPr>
                <w:rFonts w:cs="Times New Roman"/>
                <w:color w:val="auto"/>
                <w:kern w:val="0"/>
                <w:sz w:val="21"/>
                <w:szCs w:val="21"/>
              </w:rPr>
              <w:t>采用UPS电源装置供电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35</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化工企业低压消防给水设施、消防给水宜与生产或生活给水管道系统合并。高压消防给水应设计独立的消防给水管道系统。消防给水管道一般应采用环状管网。</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《化工企业安全卫生设计规范》4.1.13.2</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依托厂区现有</w:t>
            </w:r>
            <w:r>
              <w:rPr>
                <w:rFonts w:cs="Times New Roman"/>
                <w:color w:val="auto"/>
                <w:kern w:val="0"/>
                <w:sz w:val="21"/>
                <w:szCs w:val="21"/>
              </w:rPr>
              <w:t>消防给水管道</w:t>
            </w:r>
            <w:r>
              <w:rPr>
                <w:rFonts w:hint="eastAsia" w:cs="Times New Roman"/>
                <w:color w:val="auto"/>
                <w:kern w:val="0"/>
                <w:sz w:val="21"/>
                <w:szCs w:val="21"/>
              </w:rPr>
              <w:t>，</w:t>
            </w:r>
            <w:r>
              <w:rPr>
                <w:rFonts w:cs="Times New Roman"/>
                <w:color w:val="auto"/>
                <w:kern w:val="0"/>
                <w:sz w:val="21"/>
                <w:szCs w:val="21"/>
              </w:rPr>
              <w:t>采用环状管网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36</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化工生产装置的水消防设计应根据设备布置、厂房面积以及火灾危险程度设计相应的消防供水竖管、冷却喷淋、消防水幕、带架水枪等消防设施。</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《化工企业安全卫生设计规范》4.1.13.3</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根据设备布置、厂房面积以及火灾危险程度设计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37</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化工生产装置、罐区、化学品库应根据生产过程特点、物料性质和火灾危险性质设计相应的泡沫消防及惰性气体灭火设施。</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《化工企业安全卫生设计规范》4.1.13.4</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该公司设有相应的水消防、配置灭火器等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38</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化工生产装置区、储罐区、仓库除应设置固定式、半固定式灭火设施外，还应按规定设置小型灭火器材。</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《化工企业安全卫生设计规范》4.1.13.5</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按规定设置固定式灭火设施、小型灭火器材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39</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消防安全标志应设在与消防安全有关的醒目的位置。标志的正面或其邻近不得有妨碍公共视读的障碍物。</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《消防安全标志设置要求》6.1</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消防安全标志设在与消防安全有关的醒目的位置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40</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除必须外，标志一般不应设置在门、窗、架等可移动的物体上，也不应设置在经常被其它物体遮挡的地方</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《消防安全标志设置要求》6.2</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消防安全标志设在醒目的固定位置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41</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单位应当对动用明火实行严格的消防安全管理。禁止在具有火灾、爆炸危险的场所使用明火；因特殊情况需要进行电、气焊等明火作业的，动火部门和人员应当按照单位的用火管理制度办理审批手续，落实现场监护人，在确认无火灾、爆炸危险后方可动火施工。动火施工人员应当遵守消防安全规定，并落实相应的消防安全措施。</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《机关、团体、企业、事业单位消防安全管理规定》第二十条</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该公司已制定动火审批制度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42</w:t>
            </w:r>
          </w:p>
        </w:tc>
        <w:tc>
          <w:tcPr>
            <w:tcW w:w="4249"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单位应当保障疏散通道、安全出口畅通，并设置符合国家规定的消防安全疏散指示标志和应急照明设施，保持防火门、防火卷帘、消防安全疏散指示标志、应急照明、机械排烟送风、火灾事故广播等设施处于正常状态。</w:t>
            </w:r>
          </w:p>
        </w:tc>
        <w:tc>
          <w:tcPr>
            <w:tcW w:w="68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7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《机关、团体、企业、事业单位消防安全管理规定》第二十一条</w:t>
            </w:r>
          </w:p>
        </w:tc>
        <w:tc>
          <w:tcPr>
            <w:tcW w:w="199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该公司设置的消防安全疏散指示标志和应急照明设施，设施处于正常状态。</w:t>
            </w:r>
          </w:p>
        </w:tc>
      </w:tr>
    </w:tbl>
    <w:p>
      <w:pPr>
        <w:wordWrap w:val="0"/>
        <w:adjustRightInd w:val="0"/>
        <w:snapToGrid w:val="0"/>
        <w:ind w:firstLine="560" w:firstLineChars="200"/>
        <w:textAlignment w:val="center"/>
        <w:rPr>
          <w:color w:val="auto"/>
          <w:kern w:val="0"/>
        </w:rPr>
      </w:pPr>
      <w:r>
        <w:rPr>
          <w:rFonts w:hint="eastAsia"/>
          <w:color w:val="auto"/>
          <w:kern w:val="0"/>
        </w:rPr>
        <w:t>2、单元评价小结</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1）本项目</w:t>
      </w:r>
      <w:r>
        <w:rPr>
          <w:rFonts w:hint="eastAsia" w:cs="Times New Roman"/>
          <w:color w:val="auto"/>
          <w:kern w:val="0"/>
          <w:szCs w:val="28"/>
        </w:rPr>
        <w:t>新建106甲类仓库的</w:t>
      </w:r>
      <w:r>
        <w:rPr>
          <w:rFonts w:cs="Times New Roman"/>
          <w:color w:val="auto"/>
          <w:kern w:val="0"/>
          <w:szCs w:val="28"/>
        </w:rPr>
        <w:t>耐火级别达到</w:t>
      </w:r>
      <w:r>
        <w:rPr>
          <w:rFonts w:hint="eastAsia" w:cs="Times New Roman"/>
          <w:color w:val="auto"/>
          <w:kern w:val="0"/>
          <w:szCs w:val="28"/>
        </w:rPr>
        <w:t>二</w:t>
      </w:r>
      <w:r>
        <w:rPr>
          <w:rFonts w:cs="Times New Roman"/>
          <w:color w:val="auto"/>
          <w:kern w:val="0"/>
          <w:szCs w:val="28"/>
        </w:rPr>
        <w:t>级</w:t>
      </w:r>
      <w:r>
        <w:rPr>
          <w:rFonts w:hint="eastAsia" w:cs="Times New Roman"/>
          <w:color w:val="auto"/>
          <w:kern w:val="0"/>
          <w:szCs w:val="28"/>
        </w:rPr>
        <w:t>，不与居住场所设置在同一建筑物内</w:t>
      </w:r>
      <w:r>
        <w:rPr>
          <w:rFonts w:cs="Times New Roman"/>
          <w:color w:val="auto"/>
          <w:kern w:val="0"/>
          <w:szCs w:val="28"/>
        </w:rPr>
        <w:t>。</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2）项目按规范设置室内、外消火栓系统；按规定设置灭火器材。</w:t>
      </w:r>
    </w:p>
    <w:p>
      <w:pPr>
        <w:wordWrap w:val="0"/>
        <w:adjustRightInd w:val="0"/>
        <w:snapToGrid w:val="0"/>
        <w:ind w:firstLine="560" w:firstLineChars="200"/>
        <w:textAlignment w:val="center"/>
        <w:rPr>
          <w:rFonts w:cs="Times New Roman"/>
          <w:color w:val="auto"/>
          <w:kern w:val="0"/>
          <w:szCs w:val="28"/>
        </w:rPr>
      </w:pPr>
      <w:r>
        <w:rPr>
          <w:rFonts w:cs="Times New Roman"/>
          <w:color w:val="auto"/>
          <w:kern w:val="0"/>
          <w:szCs w:val="28"/>
        </w:rPr>
        <w:t>3）依据总平面布置图，设</w:t>
      </w:r>
      <w:r>
        <w:rPr>
          <w:rFonts w:hint="eastAsia" w:cs="Times New Roman"/>
          <w:color w:val="auto"/>
          <w:kern w:val="0"/>
          <w:szCs w:val="28"/>
        </w:rPr>
        <w:t>有</w:t>
      </w:r>
      <w:r>
        <w:rPr>
          <w:rFonts w:cs="Times New Roman"/>
          <w:color w:val="auto"/>
          <w:kern w:val="0"/>
          <w:szCs w:val="28"/>
        </w:rPr>
        <w:t>环形消防车道，消防车道至少有两处与其它车道相连。</w:t>
      </w:r>
    </w:p>
    <w:p>
      <w:pPr>
        <w:wordWrap w:val="0"/>
        <w:adjustRightInd w:val="0"/>
        <w:snapToGrid w:val="0"/>
        <w:ind w:firstLine="536" w:firstLineChars="200"/>
        <w:textAlignment w:val="center"/>
        <w:rPr>
          <w:rFonts w:cs="Times New Roman"/>
          <w:color w:val="auto"/>
          <w:spacing w:val="-6"/>
          <w:kern w:val="0"/>
          <w:szCs w:val="28"/>
        </w:rPr>
      </w:pPr>
      <w:r>
        <w:rPr>
          <w:rFonts w:cs="Times New Roman"/>
          <w:color w:val="auto"/>
          <w:spacing w:val="-6"/>
          <w:kern w:val="0"/>
          <w:szCs w:val="28"/>
        </w:rPr>
        <w:t>4）本项目</w:t>
      </w:r>
      <w:r>
        <w:rPr>
          <w:rFonts w:hint="eastAsia" w:cs="Times New Roman"/>
          <w:color w:val="auto"/>
          <w:spacing w:val="-6"/>
          <w:kern w:val="0"/>
          <w:szCs w:val="28"/>
        </w:rPr>
        <w:t>新建106甲类仓库设有火灾自动报警系统和可燃气体报警系统。</w:t>
      </w:r>
    </w:p>
    <w:p>
      <w:pPr>
        <w:wordWrap w:val="0"/>
        <w:adjustRightInd w:val="0"/>
        <w:snapToGrid w:val="0"/>
        <w:ind w:firstLine="560" w:firstLineChars="200"/>
        <w:textAlignment w:val="center"/>
        <w:rPr>
          <w:rFonts w:cs="Times New Roman"/>
          <w:color w:val="auto"/>
          <w:kern w:val="0"/>
          <w:szCs w:val="28"/>
        </w:rPr>
      </w:pPr>
      <w:r>
        <w:rPr>
          <w:rFonts w:hint="eastAsia" w:cs="Times New Roman"/>
          <w:color w:val="auto"/>
          <w:kern w:val="0"/>
          <w:szCs w:val="28"/>
        </w:rPr>
        <w:t>5）</w:t>
      </w:r>
      <w:r>
        <w:rPr>
          <w:rFonts w:cs="Times New Roman"/>
          <w:color w:val="auto"/>
          <w:kern w:val="0"/>
          <w:szCs w:val="28"/>
        </w:rPr>
        <w:t>对该单元采用检查表法分析，共进行了</w:t>
      </w:r>
      <w:r>
        <w:rPr>
          <w:rFonts w:hint="eastAsia" w:cs="Times New Roman"/>
          <w:color w:val="auto"/>
          <w:kern w:val="0"/>
          <w:szCs w:val="28"/>
        </w:rPr>
        <w:t>42</w:t>
      </w:r>
      <w:r>
        <w:rPr>
          <w:rFonts w:cs="Times New Roman"/>
          <w:color w:val="auto"/>
          <w:kern w:val="0"/>
          <w:szCs w:val="28"/>
        </w:rPr>
        <w:t>项内容的检查分析，总体符合要求。</w:t>
      </w:r>
    </w:p>
    <w:p>
      <w:pPr>
        <w:pStyle w:val="4"/>
        <w:keepNext w:val="0"/>
        <w:keepLines w:val="0"/>
        <w:wordWrap w:val="0"/>
        <w:adjustRightInd w:val="0"/>
        <w:snapToGrid w:val="0"/>
        <w:jc w:val="center"/>
        <w:textAlignment w:val="center"/>
        <w:rPr>
          <w:color w:val="auto"/>
          <w:kern w:val="0"/>
        </w:rPr>
      </w:pPr>
      <w:bookmarkStart w:id="221" w:name="_Toc31069"/>
      <w:bookmarkStart w:id="222" w:name="_Toc13217"/>
      <w:bookmarkStart w:id="223" w:name="_Toc15869"/>
      <w:r>
        <w:rPr>
          <w:rFonts w:hint="eastAsia"/>
          <w:color w:val="auto"/>
          <w:kern w:val="0"/>
        </w:rPr>
        <w:t>5.6 特种设备</w:t>
      </w:r>
      <w:bookmarkEnd w:id="221"/>
      <w:bookmarkEnd w:id="222"/>
      <w:bookmarkEnd w:id="223"/>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单元概况</w:t>
      </w:r>
    </w:p>
    <w:p>
      <w:pPr>
        <w:wordWrap w:val="0"/>
        <w:adjustRightInd w:val="0"/>
        <w:snapToGrid w:val="0"/>
        <w:ind w:firstLine="560" w:firstLineChars="200"/>
        <w:textAlignment w:val="center"/>
        <w:rPr>
          <w:color w:val="auto"/>
          <w:kern w:val="0"/>
        </w:rPr>
      </w:pPr>
      <w:r>
        <w:rPr>
          <w:rFonts w:hint="eastAsia"/>
          <w:color w:val="auto"/>
          <w:kern w:val="0"/>
        </w:rPr>
        <w:t>本项目仓库涉及</w:t>
      </w:r>
      <w:r>
        <w:rPr>
          <w:color w:val="auto"/>
          <w:kern w:val="0"/>
        </w:rPr>
        <w:t>特种设备包括</w:t>
      </w:r>
      <w:r>
        <w:rPr>
          <w:rFonts w:hint="eastAsia"/>
          <w:color w:val="auto"/>
          <w:kern w:val="0"/>
        </w:rPr>
        <w:t>叉车</w:t>
      </w:r>
      <w:r>
        <w:rPr>
          <w:color w:val="auto"/>
          <w:kern w:val="0"/>
        </w:rPr>
        <w:t>等</w:t>
      </w:r>
      <w:r>
        <w:rPr>
          <w:rFonts w:hint="eastAsia"/>
          <w:color w:val="auto"/>
          <w:kern w:val="0"/>
        </w:rPr>
        <w:t>，叉车为公司原有，本次项目不新增特种设备</w:t>
      </w:r>
      <w:r>
        <w:rPr>
          <w:color w:val="auto"/>
          <w:kern w:val="0"/>
        </w:rPr>
        <w:t>。</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安全检查表评价</w:t>
      </w:r>
    </w:p>
    <w:p>
      <w:pPr>
        <w:wordWrap w:val="0"/>
        <w:adjustRightInd w:val="0"/>
        <w:snapToGrid w:val="0"/>
        <w:ind w:firstLine="560" w:firstLineChars="200"/>
        <w:textAlignment w:val="center"/>
        <w:rPr>
          <w:color w:val="auto"/>
          <w:kern w:val="0"/>
        </w:rPr>
      </w:pPr>
      <w:r>
        <w:rPr>
          <w:color w:val="auto"/>
          <w:kern w:val="0"/>
        </w:rPr>
        <w:t>检查组依据《特种设备安全法》等规范，使用安全检查表对该公司的特种设备及强检设备单元进行了现场检查，检查情况见下表。</w:t>
      </w:r>
    </w:p>
    <w:p>
      <w:pPr>
        <w:wordWrap w:val="0"/>
        <w:adjustRightInd w:val="0"/>
        <w:snapToGrid w:val="0"/>
        <w:jc w:val="center"/>
        <w:textAlignment w:val="center"/>
        <w:rPr>
          <w:color w:val="auto"/>
          <w:kern w:val="0"/>
        </w:rPr>
      </w:pPr>
      <w:r>
        <w:rPr>
          <w:color w:val="auto"/>
          <w:kern w:val="0"/>
        </w:rPr>
        <w:t>表</w:t>
      </w:r>
      <w:r>
        <w:rPr>
          <w:rFonts w:hint="eastAsia"/>
          <w:color w:val="auto"/>
          <w:kern w:val="0"/>
        </w:rPr>
        <w:t>5</w:t>
      </w:r>
      <w:r>
        <w:rPr>
          <w:color w:val="auto"/>
          <w:kern w:val="0"/>
        </w:rPr>
        <w:t>.</w:t>
      </w:r>
      <w:r>
        <w:rPr>
          <w:rFonts w:hint="eastAsia"/>
          <w:color w:val="auto"/>
          <w:kern w:val="0"/>
        </w:rPr>
        <w:t>6</w:t>
      </w:r>
      <w:r>
        <w:rPr>
          <w:color w:val="auto"/>
          <w:kern w:val="0"/>
        </w:rPr>
        <w:t>-</w:t>
      </w:r>
      <w:r>
        <w:rPr>
          <w:rFonts w:hint="eastAsia"/>
          <w:color w:val="auto"/>
          <w:kern w:val="0"/>
        </w:rPr>
        <w:t>1</w:t>
      </w:r>
      <w:r>
        <w:rPr>
          <w:color w:val="auto"/>
          <w:kern w:val="0"/>
        </w:rPr>
        <w:t xml:space="preserve"> </w:t>
      </w:r>
      <w:r>
        <w:rPr>
          <w:rFonts w:hint="eastAsia"/>
          <w:color w:val="auto"/>
          <w:kern w:val="0"/>
        </w:rPr>
        <w:t xml:space="preserve"> </w:t>
      </w:r>
      <w:r>
        <w:rPr>
          <w:color w:val="auto"/>
          <w:kern w:val="0"/>
        </w:rPr>
        <w:t>特种设备及其安全附件安全检查表</w:t>
      </w:r>
    </w:p>
    <w:tbl>
      <w:tblPr>
        <w:tblStyle w:val="2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4366"/>
        <w:gridCol w:w="2160"/>
        <w:gridCol w:w="1618"/>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序号</w:t>
            </w:r>
          </w:p>
        </w:tc>
        <w:tc>
          <w:tcPr>
            <w:tcW w:w="2353"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检查内容</w:t>
            </w:r>
          </w:p>
        </w:tc>
        <w:tc>
          <w:tcPr>
            <w:tcW w:w="116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依据</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实际情况</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检查</w:t>
            </w:r>
          </w:p>
          <w:p>
            <w:pPr>
              <w:wordWrap w:val="0"/>
              <w:adjustRightInd w:val="0"/>
              <w:snapToGrid w:val="0"/>
              <w:spacing w:line="240" w:lineRule="auto"/>
              <w:jc w:val="center"/>
              <w:textAlignment w:val="center"/>
              <w:rPr>
                <w:color w:val="auto"/>
                <w:kern w:val="0"/>
                <w:sz w:val="21"/>
                <w:szCs w:val="21"/>
              </w:rPr>
            </w:pPr>
            <w:r>
              <w:rPr>
                <w:color w:val="auto"/>
                <w:kern w:val="0"/>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2353"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left"/>
              <w:textAlignment w:val="center"/>
              <w:rPr>
                <w:rFonts w:cs="Times New Roman"/>
                <w:color w:val="auto"/>
                <w:kern w:val="0"/>
                <w:sz w:val="21"/>
                <w:szCs w:val="21"/>
              </w:rPr>
            </w:pPr>
            <w:r>
              <w:rPr>
                <w:rFonts w:hint="eastAsia" w:cs="Times New Roman"/>
                <w:color w:val="auto"/>
                <w:kern w:val="0"/>
                <w:sz w:val="21"/>
                <w:szCs w:val="21"/>
              </w:rPr>
              <w:t>本法所称特种设备，是指对人身和财产安全有较大危险性的锅炉、压力容器（含气瓶）、压力管道、电梯、起重机械、客运索道、大型游乐设施、场（厂）内专用机动</w:t>
            </w:r>
            <w:r>
              <w:rPr>
                <w:color w:val="auto"/>
              </w:rPr>
              <w:fldChar w:fldCharType="begin"/>
            </w:r>
            <w:r>
              <w:rPr>
                <w:color w:val="auto"/>
              </w:rPr>
              <w:instrText xml:space="preserve">HYPERLINK "http://baike.so.com/doc/5916254-6129167.html" \t "_blank"</w:instrText>
            </w:r>
            <w:r>
              <w:rPr>
                <w:color w:val="auto"/>
              </w:rPr>
              <w:fldChar w:fldCharType="separate"/>
            </w:r>
            <w:r>
              <w:rPr>
                <w:rFonts w:hint="eastAsia" w:cs="Times New Roman"/>
                <w:color w:val="auto"/>
                <w:kern w:val="0"/>
                <w:sz w:val="21"/>
                <w:szCs w:val="21"/>
              </w:rPr>
              <w:t>车辆</w:t>
            </w:r>
            <w:r>
              <w:rPr>
                <w:rFonts w:cs="Times New Roman"/>
                <w:color w:val="auto"/>
                <w:kern w:val="0"/>
                <w:sz w:val="21"/>
                <w:szCs w:val="21"/>
              </w:rPr>
              <w:fldChar w:fldCharType="end"/>
            </w:r>
            <w:r>
              <w:rPr>
                <w:rFonts w:hint="eastAsia" w:cs="Times New Roman"/>
                <w:color w:val="auto"/>
                <w:kern w:val="0"/>
                <w:sz w:val="21"/>
                <w:szCs w:val="21"/>
              </w:rPr>
              <w:t>，以及法律、</w:t>
            </w:r>
            <w:r>
              <w:rPr>
                <w:color w:val="auto"/>
              </w:rPr>
              <w:fldChar w:fldCharType="begin"/>
            </w:r>
            <w:r>
              <w:rPr>
                <w:color w:val="auto"/>
              </w:rPr>
              <w:instrText xml:space="preserve"> HYPERLINK "http://baike.so.com/doc/5417811-5655961.html" \t "_blank" </w:instrText>
            </w:r>
            <w:r>
              <w:rPr>
                <w:color w:val="auto"/>
              </w:rPr>
              <w:fldChar w:fldCharType="separate"/>
            </w:r>
            <w:r>
              <w:rPr>
                <w:rFonts w:hint="eastAsia" w:cs="Times New Roman"/>
                <w:color w:val="auto"/>
                <w:kern w:val="0"/>
                <w:sz w:val="21"/>
                <w:szCs w:val="21"/>
              </w:rPr>
              <w:t>行政法规</w:t>
            </w:r>
            <w:r>
              <w:rPr>
                <w:rFonts w:hint="eastAsia" w:cs="Times New Roman"/>
                <w:color w:val="auto"/>
                <w:kern w:val="0"/>
                <w:sz w:val="21"/>
                <w:szCs w:val="21"/>
              </w:rPr>
              <w:fldChar w:fldCharType="end"/>
            </w:r>
            <w:r>
              <w:rPr>
                <w:rFonts w:hint="eastAsia" w:cs="Times New Roman"/>
                <w:color w:val="auto"/>
                <w:kern w:val="0"/>
                <w:sz w:val="21"/>
                <w:szCs w:val="21"/>
              </w:rPr>
              <w:t>规定适用本法的其他特种设备。</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300" w:lineRule="exact"/>
              <w:jc w:val="center"/>
              <w:textAlignment w:val="center"/>
              <w:rPr>
                <w:color w:val="auto"/>
                <w:kern w:val="0"/>
                <w:sz w:val="21"/>
                <w:szCs w:val="21"/>
              </w:rPr>
            </w:pPr>
            <w:r>
              <w:rPr>
                <w:color w:val="auto"/>
                <w:kern w:val="0"/>
                <w:sz w:val="21"/>
                <w:szCs w:val="21"/>
              </w:rPr>
              <w:t>《</w:t>
            </w:r>
            <w:r>
              <w:rPr>
                <w:color w:val="auto"/>
              </w:rPr>
              <w:fldChar w:fldCharType="begin"/>
            </w:r>
            <w:r>
              <w:rPr>
                <w:color w:val="auto"/>
              </w:rPr>
              <w:instrText xml:space="preserve">HYPERLINK "http://baike.so.com/doc/1279856.html" \t "_blank"</w:instrText>
            </w:r>
            <w:r>
              <w:rPr>
                <w:color w:val="auto"/>
              </w:rPr>
              <w:fldChar w:fldCharType="separate"/>
            </w:r>
            <w:r>
              <w:rPr>
                <w:color w:val="auto"/>
                <w:kern w:val="0"/>
                <w:sz w:val="21"/>
                <w:szCs w:val="21"/>
              </w:rPr>
              <w:t>中华人民共和国</w:t>
            </w:r>
            <w:r>
              <w:rPr>
                <w:color w:val="auto"/>
                <w:kern w:val="0"/>
                <w:sz w:val="21"/>
                <w:szCs w:val="21"/>
              </w:rPr>
              <w:fldChar w:fldCharType="end"/>
            </w:r>
            <w:r>
              <w:rPr>
                <w:color w:val="auto"/>
                <w:kern w:val="0"/>
                <w:sz w:val="21"/>
                <w:szCs w:val="21"/>
              </w:rPr>
              <w:t>特种设备安全法》主席令2013年第4号</w:t>
            </w:r>
          </w:p>
          <w:p>
            <w:pPr>
              <w:tabs>
                <w:tab w:val="left" w:pos="720"/>
              </w:tabs>
              <w:wordWrap w:val="0"/>
              <w:adjustRightInd w:val="0"/>
              <w:snapToGrid w:val="0"/>
              <w:spacing w:line="300" w:lineRule="exact"/>
              <w:jc w:val="center"/>
              <w:textAlignment w:val="center"/>
              <w:rPr>
                <w:bCs/>
                <w:color w:val="auto"/>
                <w:kern w:val="0"/>
                <w:sz w:val="21"/>
                <w:szCs w:val="21"/>
              </w:rPr>
            </w:pPr>
            <w:r>
              <w:rPr>
                <w:color w:val="auto"/>
                <w:kern w:val="0"/>
                <w:sz w:val="21"/>
                <w:szCs w:val="21"/>
              </w:rPr>
              <w:t>第二条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center"/>
              <w:textAlignment w:val="center"/>
              <w:rPr>
                <w:b/>
                <w:bCs/>
                <w:color w:val="auto"/>
                <w:kern w:val="0"/>
                <w:sz w:val="21"/>
                <w:szCs w:val="21"/>
              </w:rPr>
            </w:pPr>
            <w:r>
              <w:rPr>
                <w:color w:val="auto"/>
                <w:kern w:val="0"/>
                <w:sz w:val="21"/>
                <w:szCs w:val="21"/>
              </w:rPr>
              <w:t>属于特种设备的有叉车</w:t>
            </w:r>
            <w:r>
              <w:rPr>
                <w:rFonts w:hint="eastAsia"/>
                <w:color w:val="auto"/>
                <w:kern w:val="0"/>
                <w:sz w:val="21"/>
                <w:szCs w:val="21"/>
              </w:rPr>
              <w:t>，依托厂区现有资源。</w:t>
            </w:r>
          </w:p>
        </w:tc>
        <w:tc>
          <w:tcPr>
            <w:tcW w:w="38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300" w:lineRule="exact"/>
              <w:textAlignment w:val="center"/>
              <w:rPr>
                <w:color w:val="auto"/>
                <w:kern w:val="0"/>
                <w:sz w:val="21"/>
                <w:szCs w:val="21"/>
              </w:rPr>
            </w:pPr>
            <w:r>
              <w:rPr>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2</w:t>
            </w:r>
          </w:p>
        </w:tc>
        <w:tc>
          <w:tcPr>
            <w:tcW w:w="2353"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left"/>
              <w:textAlignment w:val="center"/>
              <w:rPr>
                <w:rFonts w:cs="Times New Roman"/>
                <w:color w:val="auto"/>
                <w:kern w:val="0"/>
                <w:sz w:val="21"/>
                <w:szCs w:val="21"/>
              </w:rPr>
            </w:pPr>
            <w:r>
              <w:rPr>
                <w:rFonts w:hint="eastAsia" w:cs="Times New Roman"/>
                <w:color w:val="auto"/>
                <w:kern w:val="0"/>
                <w:sz w:val="21"/>
                <w:szCs w:val="21"/>
              </w:rPr>
              <w:t>特种设备生产、经营、使用单位应当遵守本法和其他有关法律、法规，建立、健全特种设备安全和节能责任制度，加强特种设备安全和节能管理，确保特种设备生产、经营、使用安全，符合节能要求。</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300" w:lineRule="exact"/>
              <w:jc w:val="center"/>
              <w:textAlignment w:val="center"/>
              <w:rPr>
                <w:color w:val="auto"/>
                <w:kern w:val="0"/>
                <w:sz w:val="21"/>
                <w:szCs w:val="21"/>
              </w:rPr>
            </w:pPr>
            <w:r>
              <w:rPr>
                <w:color w:val="auto"/>
                <w:kern w:val="0"/>
                <w:sz w:val="21"/>
                <w:szCs w:val="21"/>
              </w:rPr>
              <w:t>《</w:t>
            </w:r>
            <w:r>
              <w:rPr>
                <w:color w:val="auto"/>
              </w:rPr>
              <w:fldChar w:fldCharType="begin"/>
            </w:r>
            <w:r>
              <w:rPr>
                <w:color w:val="auto"/>
              </w:rPr>
              <w:instrText xml:space="preserve"> HYPERLINK "http://baike.so.com/doc/1279856.html" \t "_blank" </w:instrText>
            </w:r>
            <w:r>
              <w:rPr>
                <w:color w:val="auto"/>
              </w:rPr>
              <w:fldChar w:fldCharType="separate"/>
            </w:r>
            <w:r>
              <w:rPr>
                <w:color w:val="auto"/>
                <w:kern w:val="0"/>
                <w:sz w:val="21"/>
                <w:szCs w:val="21"/>
              </w:rPr>
              <w:t>中华人民共和国</w:t>
            </w:r>
            <w:r>
              <w:rPr>
                <w:color w:val="auto"/>
                <w:kern w:val="0"/>
                <w:sz w:val="21"/>
                <w:szCs w:val="21"/>
              </w:rPr>
              <w:fldChar w:fldCharType="end"/>
            </w:r>
            <w:r>
              <w:rPr>
                <w:color w:val="auto"/>
                <w:kern w:val="0"/>
                <w:sz w:val="21"/>
                <w:szCs w:val="21"/>
              </w:rPr>
              <w:t>特种设备安全法》主席令2013年第4号</w:t>
            </w:r>
          </w:p>
          <w:p>
            <w:pPr>
              <w:tabs>
                <w:tab w:val="left" w:pos="720"/>
              </w:tabs>
              <w:wordWrap w:val="0"/>
              <w:adjustRightInd w:val="0"/>
              <w:snapToGrid w:val="0"/>
              <w:spacing w:line="300" w:lineRule="exact"/>
              <w:jc w:val="center"/>
              <w:textAlignment w:val="center"/>
              <w:rPr>
                <w:bCs/>
                <w:color w:val="auto"/>
                <w:kern w:val="0"/>
                <w:sz w:val="21"/>
                <w:szCs w:val="21"/>
              </w:rPr>
            </w:pPr>
            <w:r>
              <w:rPr>
                <w:color w:val="auto"/>
                <w:kern w:val="0"/>
                <w:sz w:val="21"/>
                <w:szCs w:val="21"/>
              </w:rPr>
              <w:t>第七条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center"/>
              <w:textAlignment w:val="center"/>
              <w:rPr>
                <w:color w:val="auto"/>
                <w:kern w:val="0"/>
                <w:sz w:val="21"/>
                <w:szCs w:val="21"/>
              </w:rPr>
            </w:pPr>
            <w:r>
              <w:rPr>
                <w:rFonts w:hint="eastAsia"/>
                <w:color w:val="auto"/>
                <w:kern w:val="0"/>
                <w:sz w:val="21"/>
                <w:szCs w:val="21"/>
              </w:rPr>
              <w:t>已</w:t>
            </w:r>
            <w:r>
              <w:rPr>
                <w:color w:val="auto"/>
                <w:kern w:val="0"/>
                <w:sz w:val="21"/>
                <w:szCs w:val="21"/>
              </w:rPr>
              <w:t>制定特种设备安全责任制</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center"/>
              <w:textAlignment w:val="center"/>
              <w:rPr>
                <w:color w:val="auto"/>
                <w:kern w:val="0"/>
                <w:sz w:val="21"/>
                <w:szCs w:val="21"/>
              </w:rPr>
            </w:pPr>
            <w:r>
              <w:rPr>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00" w:lineRule="exact"/>
              <w:jc w:val="center"/>
              <w:textAlignment w:val="center"/>
              <w:rPr>
                <w:rFonts w:cs="Times New Roman"/>
                <w:color w:val="auto"/>
                <w:kern w:val="0"/>
                <w:sz w:val="21"/>
                <w:szCs w:val="21"/>
              </w:rPr>
            </w:pPr>
            <w:r>
              <w:rPr>
                <w:rFonts w:hint="eastAsia" w:cs="Times New Roman"/>
                <w:color w:val="auto"/>
                <w:kern w:val="0"/>
                <w:sz w:val="21"/>
                <w:szCs w:val="21"/>
              </w:rPr>
              <w:t>3</w:t>
            </w:r>
          </w:p>
        </w:tc>
        <w:tc>
          <w:tcPr>
            <w:tcW w:w="2353" w:type="pct"/>
            <w:tcBorders>
              <w:top w:val="single" w:color="auto" w:sz="4" w:space="0"/>
              <w:left w:val="nil"/>
              <w:bottom w:val="single" w:color="auto" w:sz="4" w:space="0"/>
              <w:right w:val="single" w:color="auto" w:sz="4" w:space="0"/>
            </w:tcBorders>
          </w:tcPr>
          <w:p>
            <w:pPr>
              <w:wordWrap w:val="0"/>
              <w:adjustRightInd w:val="0"/>
              <w:snapToGrid w:val="0"/>
              <w:spacing w:line="300" w:lineRule="exact"/>
              <w:jc w:val="left"/>
              <w:textAlignment w:val="center"/>
              <w:rPr>
                <w:rFonts w:cs="Times New Roman"/>
                <w:color w:val="auto"/>
                <w:kern w:val="0"/>
                <w:sz w:val="21"/>
                <w:szCs w:val="21"/>
              </w:rPr>
            </w:pPr>
            <w:r>
              <w:rPr>
                <w:rFonts w:hint="eastAsia" w:cs="Times New Roman"/>
                <w:color w:val="auto"/>
                <w:kern w:val="0"/>
                <w:sz w:val="21"/>
                <w:szCs w:val="21"/>
              </w:rPr>
              <w:t>特种设备生产、经营、使用单位及其主要负责人对其生产、经营、使用的特种设备安全负责。</w:t>
            </w:r>
          </w:p>
          <w:p>
            <w:pPr>
              <w:wordWrap w:val="0"/>
              <w:adjustRightInd w:val="0"/>
              <w:snapToGrid w:val="0"/>
              <w:spacing w:line="300" w:lineRule="exact"/>
              <w:jc w:val="left"/>
              <w:textAlignment w:val="center"/>
              <w:rPr>
                <w:rFonts w:cs="Times New Roman"/>
                <w:color w:val="auto"/>
                <w:kern w:val="0"/>
                <w:sz w:val="21"/>
                <w:szCs w:val="21"/>
              </w:rPr>
            </w:pPr>
            <w:r>
              <w:rPr>
                <w:rFonts w:hint="eastAsia" w:cs="Times New Roman"/>
                <w:color w:val="auto"/>
                <w:kern w:val="0"/>
                <w:sz w:val="21"/>
                <w:szCs w:val="21"/>
              </w:rPr>
              <w:t>特种设备生产、经营、使用单位应当按照国家有关规定配备特种设备安全管理人员、检测人员和作业人员，并对其进行必要的安全教育和技能培训。</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300" w:lineRule="exact"/>
              <w:jc w:val="center"/>
              <w:textAlignment w:val="center"/>
              <w:rPr>
                <w:color w:val="auto"/>
                <w:kern w:val="0"/>
                <w:sz w:val="21"/>
                <w:szCs w:val="21"/>
              </w:rPr>
            </w:pPr>
            <w:r>
              <w:rPr>
                <w:color w:val="auto"/>
                <w:kern w:val="0"/>
                <w:sz w:val="21"/>
                <w:szCs w:val="21"/>
              </w:rPr>
              <w:t>《中华人民共和国特种设备安全法》主席令2013年第4号</w:t>
            </w:r>
          </w:p>
          <w:p>
            <w:pPr>
              <w:wordWrap w:val="0"/>
              <w:adjustRightInd w:val="0"/>
              <w:snapToGrid w:val="0"/>
              <w:spacing w:line="300" w:lineRule="exact"/>
              <w:jc w:val="center"/>
              <w:textAlignment w:val="center"/>
              <w:rPr>
                <w:color w:val="auto"/>
                <w:kern w:val="0"/>
                <w:sz w:val="21"/>
                <w:szCs w:val="21"/>
              </w:rPr>
            </w:pPr>
            <w:r>
              <w:rPr>
                <w:color w:val="auto"/>
                <w:kern w:val="0"/>
                <w:sz w:val="21"/>
                <w:szCs w:val="21"/>
              </w:rPr>
              <w:t>第十三条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center"/>
              <w:textAlignment w:val="center"/>
              <w:rPr>
                <w:color w:val="auto"/>
                <w:kern w:val="0"/>
                <w:sz w:val="21"/>
                <w:szCs w:val="21"/>
              </w:rPr>
            </w:pPr>
            <w:r>
              <w:rPr>
                <w:rFonts w:hint="eastAsia"/>
                <w:color w:val="auto"/>
                <w:kern w:val="0"/>
                <w:sz w:val="21"/>
                <w:szCs w:val="21"/>
              </w:rPr>
              <w:t>依托厂区现有人员，</w:t>
            </w:r>
            <w:r>
              <w:rPr>
                <w:color w:val="auto"/>
                <w:kern w:val="0"/>
                <w:sz w:val="21"/>
                <w:szCs w:val="21"/>
              </w:rPr>
              <w:t>已培训取证</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300" w:lineRule="exact"/>
              <w:jc w:val="center"/>
              <w:textAlignment w:val="center"/>
              <w:rPr>
                <w:color w:val="auto"/>
                <w:kern w:val="0"/>
                <w:sz w:val="21"/>
                <w:szCs w:val="21"/>
              </w:rPr>
            </w:pPr>
            <w:r>
              <w:rPr>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353" w:type="pct"/>
            <w:tcBorders>
              <w:top w:val="single" w:color="auto" w:sz="4" w:space="0"/>
              <w:left w:val="nil"/>
              <w:bottom w:val="single" w:color="auto" w:sz="4" w:space="0"/>
              <w:right w:val="single" w:color="auto" w:sz="4" w:space="0"/>
            </w:tcBorders>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特种设备生产、经营、使用单位对其生产、经营、使用的特种设备应当进行自行检测和维护保养，对国家规定实行检验的特种设备应当及时申报并接受检验。</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color w:val="auto"/>
                <w:kern w:val="0"/>
                <w:sz w:val="21"/>
                <w:szCs w:val="21"/>
              </w:rPr>
            </w:pPr>
            <w:r>
              <w:rPr>
                <w:color w:val="auto"/>
                <w:kern w:val="0"/>
                <w:sz w:val="21"/>
                <w:szCs w:val="21"/>
              </w:rPr>
              <w:t>《中华人民共和国特种设备安全法》主席令2013年第4号</w:t>
            </w:r>
          </w:p>
          <w:p>
            <w:pPr>
              <w:wordWrap w:val="0"/>
              <w:adjustRightInd w:val="0"/>
              <w:snapToGrid w:val="0"/>
              <w:spacing w:line="240" w:lineRule="auto"/>
              <w:jc w:val="center"/>
              <w:textAlignment w:val="center"/>
              <w:rPr>
                <w:color w:val="auto"/>
                <w:kern w:val="0"/>
                <w:sz w:val="21"/>
                <w:szCs w:val="21"/>
              </w:rPr>
            </w:pPr>
            <w:r>
              <w:rPr>
                <w:color w:val="auto"/>
                <w:kern w:val="0"/>
                <w:sz w:val="21"/>
                <w:szCs w:val="21"/>
              </w:rPr>
              <w:t>第十五条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依托厂区现有</w:t>
            </w:r>
            <w:r>
              <w:rPr>
                <w:color w:val="auto"/>
                <w:kern w:val="0"/>
                <w:sz w:val="21"/>
                <w:szCs w:val="21"/>
              </w:rPr>
              <w:t>特种设备</w:t>
            </w:r>
            <w:r>
              <w:rPr>
                <w:rFonts w:hint="eastAsia"/>
                <w:color w:val="auto"/>
                <w:kern w:val="0"/>
                <w:sz w:val="21"/>
                <w:szCs w:val="21"/>
              </w:rPr>
              <w:t>，</w:t>
            </w:r>
            <w:r>
              <w:rPr>
                <w:color w:val="auto"/>
                <w:kern w:val="0"/>
                <w:sz w:val="21"/>
                <w:szCs w:val="21"/>
              </w:rPr>
              <w:t>已登记，人员已培训取证</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353"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特种设备安装、改造、修理竣工后，安装、改造、修理的施工单位应当在验收后三十日内将相关技术资料和文件移交特种设备使用单位。特种设备使用单位应当将其存入该特种设备的安全技术档案。</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bCs/>
                <w:color w:val="auto"/>
                <w:kern w:val="0"/>
                <w:sz w:val="21"/>
                <w:szCs w:val="21"/>
              </w:rPr>
            </w:pPr>
            <w:r>
              <w:rPr>
                <w:color w:val="auto"/>
                <w:kern w:val="0"/>
                <w:sz w:val="21"/>
                <w:szCs w:val="21"/>
              </w:rPr>
              <w:t>《</w:t>
            </w:r>
            <w:r>
              <w:rPr>
                <w:color w:val="auto"/>
              </w:rPr>
              <w:fldChar w:fldCharType="begin"/>
            </w:r>
            <w:r>
              <w:rPr>
                <w:color w:val="auto"/>
              </w:rPr>
              <w:instrText xml:space="preserve"> HYPERLINK "http://baike.so.com/doc/1279856.html" \t "_blank" </w:instrText>
            </w:r>
            <w:r>
              <w:rPr>
                <w:color w:val="auto"/>
              </w:rPr>
              <w:fldChar w:fldCharType="separate"/>
            </w:r>
            <w:r>
              <w:rPr>
                <w:color w:val="auto"/>
                <w:kern w:val="0"/>
                <w:sz w:val="21"/>
                <w:szCs w:val="21"/>
              </w:rPr>
              <w:t>中华人民共和国</w:t>
            </w:r>
            <w:r>
              <w:rPr>
                <w:color w:val="auto"/>
                <w:kern w:val="0"/>
                <w:sz w:val="21"/>
                <w:szCs w:val="21"/>
              </w:rPr>
              <w:fldChar w:fldCharType="end"/>
            </w:r>
            <w:r>
              <w:rPr>
                <w:color w:val="auto"/>
                <w:kern w:val="0"/>
                <w:sz w:val="21"/>
                <w:szCs w:val="21"/>
              </w:rPr>
              <w:t>特种设备安全法》主席令2013年第4号第二十四条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存入技术档案</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353"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textAlignment w:val="center"/>
              <w:rPr>
                <w:rFonts w:cs="Times New Roman"/>
                <w:color w:val="auto"/>
                <w:kern w:val="0"/>
                <w:sz w:val="21"/>
                <w:szCs w:val="21"/>
              </w:rPr>
            </w:pPr>
            <w:r>
              <w:rPr>
                <w:rFonts w:hint="eastAsia" w:cs="Times New Roman"/>
                <w:color w:val="auto"/>
                <w:kern w:val="0"/>
                <w:sz w:val="21"/>
                <w:szCs w:val="21"/>
              </w:rPr>
              <w:t>特种设备</w:t>
            </w:r>
            <w:r>
              <w:rPr>
                <w:rFonts w:cs="Times New Roman"/>
                <w:color w:val="auto"/>
                <w:kern w:val="0"/>
                <w:sz w:val="21"/>
                <w:szCs w:val="21"/>
              </w:rPr>
              <w:t>使用单位应当遵守下列规定：</w:t>
            </w:r>
          </w:p>
          <w:p>
            <w:pPr>
              <w:pStyle w:val="2"/>
              <w:spacing w:line="280" w:lineRule="exact"/>
              <w:ind w:firstLine="0" w:firstLineChars="0"/>
              <w:rPr>
                <w:rFonts w:cs="Times New Roman"/>
                <w:color w:val="auto"/>
                <w:kern w:val="0"/>
                <w:sz w:val="21"/>
                <w:szCs w:val="21"/>
              </w:rPr>
            </w:pPr>
            <w:r>
              <w:rPr>
                <w:rFonts w:hint="eastAsia" w:cs="Times New Roman"/>
                <w:color w:val="auto"/>
                <w:kern w:val="0"/>
                <w:sz w:val="21"/>
                <w:szCs w:val="21"/>
              </w:rPr>
              <w:t>（一）</w:t>
            </w:r>
            <w:r>
              <w:rPr>
                <w:rFonts w:cs="Times New Roman"/>
                <w:color w:val="auto"/>
                <w:kern w:val="0"/>
                <w:sz w:val="21"/>
                <w:szCs w:val="21"/>
              </w:rPr>
              <w:t>建立管理台账以及符合法律、法规规定内容的特种设备安全技术档案。</w:t>
            </w:r>
          </w:p>
          <w:p>
            <w:pPr>
              <w:pStyle w:val="2"/>
              <w:spacing w:line="280" w:lineRule="exact"/>
              <w:ind w:firstLine="0" w:firstLineChars="0"/>
              <w:rPr>
                <w:rFonts w:cs="Times New Roman"/>
                <w:color w:val="auto"/>
                <w:kern w:val="0"/>
                <w:sz w:val="21"/>
                <w:szCs w:val="21"/>
              </w:rPr>
            </w:pPr>
            <w:r>
              <w:rPr>
                <w:rFonts w:cs="Times New Roman"/>
                <w:color w:val="auto"/>
                <w:kern w:val="0"/>
                <w:sz w:val="21"/>
                <w:szCs w:val="21"/>
              </w:rPr>
              <w:t>(二)使用的特种设备具有设计文件、产品质量合格证明、安装及使用维护保养说明、监督检验证明等文件。</w:t>
            </w:r>
          </w:p>
          <w:p>
            <w:pPr>
              <w:pStyle w:val="2"/>
              <w:spacing w:line="280" w:lineRule="exact"/>
              <w:ind w:firstLine="0" w:firstLineChars="0"/>
              <w:rPr>
                <w:rFonts w:cs="Times New Roman"/>
                <w:color w:val="auto"/>
                <w:kern w:val="0"/>
                <w:sz w:val="21"/>
                <w:szCs w:val="21"/>
              </w:rPr>
            </w:pPr>
            <w:r>
              <w:rPr>
                <w:rFonts w:hint="eastAsia" w:cs="Times New Roman"/>
                <w:color w:val="auto"/>
                <w:kern w:val="0"/>
                <w:sz w:val="21"/>
                <w:szCs w:val="21"/>
              </w:rPr>
              <w:t>（五）</w:t>
            </w:r>
            <w:r>
              <w:rPr>
                <w:rFonts w:cs="Times New Roman"/>
                <w:color w:val="auto"/>
                <w:kern w:val="0"/>
                <w:sz w:val="21"/>
                <w:szCs w:val="21"/>
              </w:rPr>
              <w:t>建立特种设备安全管理、维护保养和自行检查制度，按照国家安全技术规范要求进行自行检查和维护保养并作出记录。</w:t>
            </w:r>
          </w:p>
          <w:p>
            <w:pPr>
              <w:pStyle w:val="2"/>
              <w:spacing w:line="280" w:lineRule="exact"/>
              <w:ind w:firstLine="0" w:firstLineChars="0"/>
              <w:rPr>
                <w:rFonts w:cs="Times New Roman"/>
                <w:color w:val="auto"/>
                <w:kern w:val="0"/>
                <w:sz w:val="21"/>
                <w:szCs w:val="21"/>
              </w:rPr>
            </w:pPr>
            <w:r>
              <w:rPr>
                <w:rFonts w:cs="Times New Roman"/>
                <w:color w:val="auto"/>
                <w:kern w:val="0"/>
                <w:sz w:val="21"/>
                <w:szCs w:val="21"/>
              </w:rPr>
              <w:t>(六)在特种设备检验合格有效期届满前一个月，向特种设备检验机构申请定期检验，经检验合格后，方可继续使用特种设备。</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《江西省特种设备安全条例》第十七条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建立特种设备安全技术档案，使用的</w:t>
            </w:r>
            <w:r>
              <w:rPr>
                <w:rFonts w:cs="Times New Roman"/>
                <w:color w:val="auto"/>
                <w:kern w:val="0"/>
                <w:sz w:val="21"/>
                <w:szCs w:val="21"/>
              </w:rPr>
              <w:t>特种设备具有设计文件、产品质量合格证明</w:t>
            </w:r>
            <w:r>
              <w:rPr>
                <w:rFonts w:hint="eastAsia" w:cs="Times New Roman"/>
                <w:color w:val="auto"/>
                <w:kern w:val="0"/>
                <w:sz w:val="21"/>
                <w:szCs w:val="21"/>
              </w:rPr>
              <w:t>等</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2353"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特种设备在投入使用前，使用单位应当按照国家安全技术规范要求向县级以上人民政府特种设备安全监督管理部门办理使用登记，取得使用登记证书。登记标志应当置于该特种设备的显著位置。属于需要调试的成套设备或者机组的，可以自投入使用之日起三十日内办理使用登记手续。</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《江西省特种设备安全条例》第十八条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投入使用前进行登记。</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w:t>
            </w:r>
          </w:p>
        </w:tc>
        <w:tc>
          <w:tcPr>
            <w:tcW w:w="2353"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textAlignment w:val="center"/>
              <w:rPr>
                <w:rFonts w:cs="Times New Roman"/>
                <w:color w:val="auto"/>
                <w:kern w:val="0"/>
                <w:sz w:val="21"/>
                <w:szCs w:val="21"/>
              </w:rPr>
            </w:pPr>
            <w:r>
              <w:rPr>
                <w:rFonts w:hint="eastAsia" w:cs="Times New Roman"/>
                <w:color w:val="auto"/>
                <w:kern w:val="0"/>
                <w:sz w:val="21"/>
                <w:szCs w:val="21"/>
              </w:rPr>
              <w:t>在场车首次投入使用前，向特种设备检验机构申请首次检验；</w:t>
            </w:r>
          </w:p>
          <w:p>
            <w:pPr>
              <w:adjustRightInd w:val="0"/>
              <w:snapToGrid w:val="0"/>
              <w:spacing w:line="280" w:lineRule="exact"/>
              <w:jc w:val="left"/>
              <w:textAlignment w:val="center"/>
              <w:rPr>
                <w:rFonts w:cs="Times New Roman"/>
                <w:color w:val="auto"/>
                <w:kern w:val="0"/>
                <w:sz w:val="21"/>
                <w:szCs w:val="21"/>
              </w:rPr>
            </w:pPr>
            <w:r>
              <w:rPr>
                <w:rFonts w:hint="eastAsia" w:cs="Times New Roman"/>
                <w:color w:val="auto"/>
                <w:kern w:val="0"/>
                <w:sz w:val="21"/>
                <w:szCs w:val="21"/>
              </w:rPr>
              <w:t>场车作业和专职安全管理人员需取得相应项目的《特种设备安全管理和作业人员证》，持证上岗，并且保证每台场车在作业时均有司机随车操纵。</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《场（厂）内专用机动车辆安全技术规程》第5</w:t>
            </w:r>
            <w:r>
              <w:rPr>
                <w:color w:val="auto"/>
                <w:kern w:val="0"/>
                <w:sz w:val="21"/>
                <w:szCs w:val="21"/>
              </w:rPr>
              <w:t>.1.1</w:t>
            </w:r>
            <w:r>
              <w:rPr>
                <w:rFonts w:hint="eastAsia"/>
                <w:color w:val="auto"/>
                <w:kern w:val="0"/>
                <w:sz w:val="21"/>
                <w:szCs w:val="21"/>
              </w:rPr>
              <w:t>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叉车已进行检验，叉车作业人员均已取证。</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7" w:type="pct"/>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2353"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textAlignment w:val="center"/>
              <w:rPr>
                <w:rFonts w:cs="Times New Roman"/>
                <w:color w:val="auto"/>
                <w:kern w:val="0"/>
                <w:sz w:val="21"/>
                <w:szCs w:val="21"/>
              </w:rPr>
            </w:pPr>
            <w:r>
              <w:rPr>
                <w:rFonts w:hint="eastAsia" w:cs="Times New Roman"/>
                <w:color w:val="auto"/>
                <w:kern w:val="0"/>
                <w:sz w:val="21"/>
                <w:szCs w:val="21"/>
              </w:rPr>
              <w:t>使用单位应当制定安全操作规程，并且在本单位贯彻实施。</w:t>
            </w:r>
          </w:p>
        </w:tc>
        <w:tc>
          <w:tcPr>
            <w:tcW w:w="1164" w:type="pct"/>
            <w:tcBorders>
              <w:top w:val="single" w:color="auto" w:sz="4" w:space="0"/>
              <w:left w:val="nil"/>
              <w:bottom w:val="single" w:color="auto" w:sz="4" w:space="0"/>
              <w:right w:val="single" w:color="auto" w:sz="4" w:space="0"/>
            </w:tcBorders>
            <w:vAlign w:val="center"/>
          </w:tcPr>
          <w:p>
            <w:pPr>
              <w:tabs>
                <w:tab w:val="left" w:pos="720"/>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《场（厂）内专用机动车辆安全技术规程》第5</w:t>
            </w:r>
            <w:r>
              <w:rPr>
                <w:color w:val="auto"/>
                <w:kern w:val="0"/>
                <w:sz w:val="21"/>
                <w:szCs w:val="21"/>
              </w:rPr>
              <w:t>.1.4</w:t>
            </w:r>
            <w:r>
              <w:rPr>
                <w:rFonts w:hint="eastAsia"/>
                <w:color w:val="auto"/>
                <w:kern w:val="0"/>
                <w:sz w:val="21"/>
                <w:szCs w:val="21"/>
              </w:rPr>
              <w:t>条</w:t>
            </w:r>
          </w:p>
        </w:tc>
        <w:tc>
          <w:tcPr>
            <w:tcW w:w="872"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已制定特种设备安全操作规程</w:t>
            </w:r>
          </w:p>
        </w:tc>
        <w:tc>
          <w:tcPr>
            <w:tcW w:w="384" w:type="pct"/>
            <w:tcBorders>
              <w:top w:val="single" w:color="auto" w:sz="4" w:space="0"/>
              <w:left w:val="nil"/>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符合</w:t>
            </w:r>
          </w:p>
        </w:tc>
      </w:tr>
    </w:tbl>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3、单元评价小结</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1）该公司涉及的特种设备为叉车，主要依托厂区现有资源，有特种设备的制造单位、产品质量合格证明、使用维护说明等文件以及安装技术文件和资料，符合《特种设备安全法》的要求。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2）该公司特种设备作业人员依托厂区现有人员，已对特种设备作业人员进行特种设备安全教育和培训，保证特种设备作业人员具备必要的特种设备安全作业知识，制定特种设备的操作规程和有关的安全规章制度，符合《特种设备安全法》的要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3）该公司依托厂区已配备技术负责人对特种设备的安全技术管理负责，工程技术人员负责安全技术管理工作，符合《特种设备》的要求。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4）对该单元共进行了</w:t>
      </w:r>
      <w:r>
        <w:rPr>
          <w:color w:val="auto"/>
          <w:kern w:val="0"/>
          <w:szCs w:val="28"/>
        </w:rPr>
        <w:t>9</w:t>
      </w:r>
      <w:r>
        <w:rPr>
          <w:rFonts w:hint="eastAsia"/>
          <w:color w:val="auto"/>
          <w:kern w:val="0"/>
          <w:szCs w:val="28"/>
        </w:rPr>
        <w:t>查，符合要求。</w:t>
      </w:r>
    </w:p>
    <w:p>
      <w:pPr>
        <w:wordWrap w:val="0"/>
        <w:adjustRightInd w:val="0"/>
        <w:snapToGrid w:val="0"/>
        <w:spacing w:line="560" w:lineRule="exact"/>
        <w:jc w:val="center"/>
        <w:textAlignment w:val="center"/>
        <w:outlineLvl w:val="1"/>
        <w:rPr>
          <w:b/>
          <w:bCs/>
          <w:color w:val="auto"/>
          <w:kern w:val="0"/>
          <w:szCs w:val="28"/>
        </w:rPr>
      </w:pPr>
      <w:bookmarkStart w:id="224" w:name="_Toc1006"/>
      <w:bookmarkStart w:id="225" w:name="_Toc9824"/>
      <w:bookmarkStart w:id="226" w:name="_Toc7225"/>
      <w:r>
        <w:rPr>
          <w:rFonts w:hint="eastAsia"/>
          <w:b/>
          <w:bCs/>
          <w:color w:val="auto"/>
          <w:kern w:val="0"/>
          <w:szCs w:val="28"/>
        </w:rPr>
        <w:t>5.7 安全管理单元</w:t>
      </w:r>
      <w:bookmarkEnd w:id="224"/>
      <w:bookmarkEnd w:id="225"/>
      <w:bookmarkEnd w:id="226"/>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1、单元简介</w:t>
      </w:r>
    </w:p>
    <w:p>
      <w:pPr>
        <w:wordWrap w:val="0"/>
        <w:adjustRightInd w:val="0"/>
        <w:snapToGrid w:val="0"/>
        <w:ind w:firstLine="560" w:firstLineChars="200"/>
        <w:textAlignment w:val="center"/>
        <w:rPr>
          <w:color w:val="auto"/>
          <w:kern w:val="0"/>
        </w:rPr>
      </w:pPr>
      <w:r>
        <w:rPr>
          <w:rFonts w:hint="eastAsia"/>
          <w:color w:val="auto"/>
          <w:kern w:val="0"/>
        </w:rPr>
        <w:t>该公司建立了完整的安全生产管理体系，设立有专门的安全管理机构，制定了较为健全的安全管理制度和安全操作规程。公司实行现代企业管理制，实行总经理负责制，各生产车间有专人负责安全工作。各级安全管理人员负责安全方面的日常管理工作，班组明确了兼职安全员，构成了三级安全管理网络。</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本项目确立以各行政一把手为各部门（单位）安全生产第一负责人的安全生产管理体制。成立了以公司负责人为组长的安全生产领导小组。安全生产领导小组由企业各部门负责人和专职安全管理人员组成。</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该企业做到安全生产领导小组全体会议每月召开一次，会议由安全生产领导小组组长或副组长召集和主持，会议议题由主持人确定，会议内容由安全管理部提供；安全生产领导小组组长认为有必要时，临时召开全体会议或由有关成员、有关部门参加的专题会议；成员因故不能参见会议时，其所在单位委派其他负责人参加。安全生产领导小组会议纪要等安全生产领导小组文件由安全生产领导小组组长签发。</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设有安全机构（安全管理部）和专职安全管理人员，各车间和班组岗位均设有专、兼职安全员，建立了安全管理网络。公司安全生产领导小组下专设安全管理部，安全管理部为企业的安全生产专门管理机构，其主要任务是对全厂生产过程中的安全卫生实行标准化管理，贯彻落实国家和上级主管部门的指令和规定，制订必要的规章制度，组织开展安全检查、安全教育培训、监测等安全管理工作。</w:t>
      </w:r>
    </w:p>
    <w:p>
      <w:pPr>
        <w:wordWrap w:val="0"/>
        <w:adjustRightInd w:val="0"/>
        <w:snapToGrid w:val="0"/>
        <w:ind w:firstLine="560" w:firstLineChars="200"/>
        <w:jc w:val="left"/>
        <w:textAlignment w:val="center"/>
        <w:rPr>
          <w:rFonts w:cs="Times New Roman"/>
          <w:snapToGrid w:val="0"/>
          <w:color w:val="auto"/>
          <w:kern w:val="0"/>
          <w:szCs w:val="28"/>
        </w:rPr>
      </w:pPr>
      <w:r>
        <w:rPr>
          <w:rFonts w:hint="eastAsia" w:cs="Times New Roman"/>
          <w:snapToGrid w:val="0"/>
          <w:color w:val="auto"/>
          <w:kern w:val="0"/>
          <w:szCs w:val="28"/>
        </w:rPr>
        <w:t>公司现有员工总计50人，安全管理部配置1名专职安全管理人员，各车间班组配备了兼职安全员，现有专、兼职安全管理人员5人，配备1名注册安全工程师；安全生产管理人员均已通过江西省应急管理部门培训考核，取得安全生产管理人员证书；该公司配备了专职安全员、注册安全工程师，具有相关安全工作经验。该公司安全生产管理人员数量配置满足《江西省安全生产管理条例》的要求。</w:t>
      </w:r>
    </w:p>
    <w:p>
      <w:pPr>
        <w:wordWrap w:val="0"/>
        <w:adjustRightInd w:val="0"/>
        <w:snapToGrid w:val="0"/>
        <w:spacing w:line="560" w:lineRule="exact"/>
        <w:ind w:firstLine="560" w:firstLineChars="200"/>
        <w:textAlignment w:val="center"/>
        <w:rPr>
          <w:color w:val="auto"/>
          <w:kern w:val="0"/>
          <w:szCs w:val="28"/>
        </w:rPr>
      </w:pPr>
      <w:r>
        <w:rPr>
          <w:rFonts w:hint="eastAsia" w:cs="Times New Roman"/>
          <w:snapToGrid w:val="0"/>
          <w:color w:val="auto"/>
          <w:kern w:val="0"/>
          <w:szCs w:val="28"/>
        </w:rPr>
        <w:t>公司在安全管理方面，建立了完善的安全管理体系，积累了生产经营管理经验。按照《中华人民共和国安全生产法》及相关法律法规成立了安全生产委员会，并设有安全机构及组织网络。做到了组织机构、人员配备和安全职责三落实。公司设置了安全风险分级管控措施清单，安全风险评价、风险管控责任清单，安全风险应急处置措施清单等一系列安全风险管理清单台账，为公司的安全运行提供了有效保障。</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该公司依法参加工伤社会保险，为从业人员缴纳保险费，工伤保险证明复印件见附录。</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2、安全检查表法分析评价</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评价组根据《生产过程安全卫生要求总则》、《中华人民共和国安全生产法》、《危险化学品安全管理条例》、《江西省安全生产条例》等制定检查表，对本项目的安全管理情况是否符合规范、标准的要求进行评价，评价结果见下表。</w:t>
      </w:r>
    </w:p>
    <w:p>
      <w:pPr>
        <w:wordWrap w:val="0"/>
        <w:adjustRightInd w:val="0"/>
        <w:snapToGrid w:val="0"/>
        <w:spacing w:line="560" w:lineRule="exact"/>
        <w:jc w:val="center"/>
        <w:textAlignment w:val="center"/>
        <w:rPr>
          <w:color w:val="auto"/>
          <w:kern w:val="0"/>
          <w:szCs w:val="28"/>
        </w:rPr>
      </w:pPr>
      <w:r>
        <w:rPr>
          <w:rFonts w:hint="eastAsia"/>
          <w:color w:val="auto"/>
          <w:kern w:val="0"/>
          <w:szCs w:val="28"/>
        </w:rPr>
        <w:t>表5.7-1  安全管理单元安全检查表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4426"/>
        <w:gridCol w:w="681"/>
        <w:gridCol w:w="1631"/>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51" w:type="dxa"/>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序号</w:t>
            </w:r>
          </w:p>
        </w:tc>
        <w:tc>
          <w:tcPr>
            <w:tcW w:w="4426" w:type="dxa"/>
            <w:vAlign w:val="center"/>
          </w:tcPr>
          <w:p>
            <w:pPr>
              <w:wordWrap w:val="0"/>
              <w:adjustRightInd w:val="0"/>
              <w:snapToGrid w:val="0"/>
              <w:spacing w:line="260" w:lineRule="exact"/>
              <w:jc w:val="center"/>
              <w:textAlignment w:val="center"/>
              <w:rPr>
                <w:rFonts w:cs="Times New Roman"/>
                <w:b/>
                <w:color w:val="auto"/>
                <w:kern w:val="0"/>
                <w:sz w:val="21"/>
                <w:szCs w:val="21"/>
              </w:rPr>
            </w:pPr>
            <w:r>
              <w:rPr>
                <w:rFonts w:cs="Times New Roman"/>
                <w:b/>
                <w:color w:val="auto"/>
                <w:kern w:val="0"/>
                <w:sz w:val="21"/>
                <w:szCs w:val="21"/>
              </w:rPr>
              <w:t>检查项目和内容</w:t>
            </w:r>
          </w:p>
        </w:tc>
        <w:tc>
          <w:tcPr>
            <w:tcW w:w="681" w:type="dxa"/>
            <w:vAlign w:val="center"/>
          </w:tcPr>
          <w:p>
            <w:pPr>
              <w:wordWrap w:val="0"/>
              <w:adjustRightInd w:val="0"/>
              <w:snapToGrid w:val="0"/>
              <w:spacing w:line="260" w:lineRule="exact"/>
              <w:jc w:val="center"/>
              <w:textAlignment w:val="center"/>
              <w:rPr>
                <w:rFonts w:cs="Times New Roman"/>
                <w:b/>
                <w:color w:val="auto"/>
                <w:kern w:val="0"/>
                <w:sz w:val="21"/>
                <w:szCs w:val="21"/>
              </w:rPr>
            </w:pPr>
            <w:r>
              <w:rPr>
                <w:rFonts w:cs="Times New Roman"/>
                <w:b/>
                <w:color w:val="auto"/>
                <w:kern w:val="0"/>
                <w:sz w:val="21"/>
                <w:szCs w:val="21"/>
              </w:rPr>
              <w:t>检查结果</w:t>
            </w:r>
          </w:p>
        </w:tc>
        <w:tc>
          <w:tcPr>
            <w:tcW w:w="1631" w:type="dxa"/>
            <w:vAlign w:val="center"/>
          </w:tcPr>
          <w:p>
            <w:pPr>
              <w:wordWrap w:val="0"/>
              <w:adjustRightInd w:val="0"/>
              <w:snapToGrid w:val="0"/>
              <w:spacing w:line="260" w:lineRule="exact"/>
              <w:jc w:val="center"/>
              <w:textAlignment w:val="center"/>
              <w:rPr>
                <w:rFonts w:cs="Times New Roman"/>
                <w:b/>
                <w:color w:val="auto"/>
                <w:kern w:val="0"/>
                <w:sz w:val="21"/>
                <w:szCs w:val="21"/>
              </w:rPr>
            </w:pPr>
            <w:r>
              <w:rPr>
                <w:rFonts w:cs="Times New Roman"/>
                <w:b/>
                <w:color w:val="auto"/>
                <w:kern w:val="0"/>
                <w:sz w:val="21"/>
                <w:szCs w:val="21"/>
              </w:rPr>
              <w:t>检查依据</w:t>
            </w:r>
          </w:p>
        </w:tc>
        <w:tc>
          <w:tcPr>
            <w:tcW w:w="1882" w:type="dxa"/>
            <w:vAlign w:val="center"/>
          </w:tcPr>
          <w:p>
            <w:pPr>
              <w:wordWrap w:val="0"/>
              <w:adjustRightInd w:val="0"/>
              <w:snapToGrid w:val="0"/>
              <w:spacing w:line="260" w:lineRule="exact"/>
              <w:jc w:val="center"/>
              <w:textAlignment w:val="center"/>
              <w:rPr>
                <w:rFonts w:cs="Times New Roman"/>
                <w:b/>
                <w:color w:val="auto"/>
                <w:kern w:val="0"/>
                <w:sz w:val="21"/>
                <w:szCs w:val="21"/>
              </w:rPr>
            </w:pPr>
            <w:r>
              <w:rPr>
                <w:rFonts w:cs="Times New Roman"/>
                <w:b/>
                <w:color w:val="auto"/>
                <w:kern w:val="0"/>
                <w:sz w:val="21"/>
                <w:szCs w:val="21"/>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企业法人营业执照</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立项批复</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设立安全评价</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45</w:t>
            </w:r>
            <w:r>
              <w:rPr>
                <w:rFonts w:cs="Times New Roman"/>
                <w:color w:val="auto"/>
                <w:kern w:val="0"/>
                <w:sz w:val="21"/>
                <w:szCs w:val="21"/>
              </w:rPr>
              <w:t>号令</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w:t>
            </w:r>
            <w:r>
              <w:rPr>
                <w:rFonts w:hint="eastAsia" w:cs="Times New Roman"/>
                <w:color w:val="auto"/>
                <w:kern w:val="0"/>
                <w:sz w:val="21"/>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设计专篇</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45</w:t>
            </w:r>
            <w:r>
              <w:rPr>
                <w:rFonts w:cs="Times New Roman"/>
                <w:color w:val="auto"/>
                <w:kern w:val="0"/>
                <w:sz w:val="21"/>
                <w:szCs w:val="21"/>
              </w:rPr>
              <w:t>号令</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w:t>
            </w:r>
            <w:r>
              <w:rPr>
                <w:rFonts w:hint="eastAsia" w:cs="Times New Roman"/>
                <w:color w:val="auto"/>
                <w:kern w:val="0"/>
                <w:sz w:val="21"/>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试生产方案文件</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45</w:t>
            </w:r>
            <w:r>
              <w:rPr>
                <w:rFonts w:cs="Times New Roman"/>
                <w:color w:val="auto"/>
                <w:kern w:val="0"/>
                <w:sz w:val="21"/>
                <w:szCs w:val="21"/>
              </w:rPr>
              <w:t>号令</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仅涉及新建一个甲类仓库，不涉及生产工艺变更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易制毒品、剧毒品备案文件</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无剧毒品、易制毒品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项目建设用地批复文件</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消防验收意见书</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《消防法》</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应急救援预案备案文件</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已备案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防雷设施定期进行检测</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1631" w:type="dxa"/>
            <w:vAlign w:val="center"/>
          </w:tcPr>
          <w:p>
            <w:pPr>
              <w:tabs>
                <w:tab w:val="left" w:pos="720"/>
              </w:tabs>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《防雷减灾管理办法》</w:t>
            </w:r>
          </w:p>
        </w:tc>
        <w:tc>
          <w:tcPr>
            <w:tcW w:w="1882" w:type="dxa"/>
            <w:vAlign w:val="center"/>
          </w:tcPr>
          <w:p>
            <w:pPr>
              <w:tabs>
                <w:tab w:val="left" w:pos="720"/>
              </w:tabs>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防雷检测报告在有效期内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消防器材定期检查、检验或更换</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tabs>
                <w:tab w:val="left" w:pos="720"/>
              </w:tabs>
              <w:wordWrap w:val="0"/>
              <w:adjustRightInd w:val="0"/>
              <w:snapToGrid w:val="0"/>
              <w:spacing w:line="260" w:lineRule="exact"/>
              <w:jc w:val="center"/>
              <w:textAlignment w:val="center"/>
              <w:rPr>
                <w:rFonts w:cs="Times New Roman"/>
                <w:b/>
                <w:bCs/>
                <w:color w:val="auto"/>
                <w:kern w:val="0"/>
                <w:sz w:val="21"/>
                <w:szCs w:val="21"/>
              </w:rPr>
            </w:pPr>
          </w:p>
        </w:tc>
        <w:tc>
          <w:tcPr>
            <w:tcW w:w="1882" w:type="dxa"/>
            <w:vAlign w:val="center"/>
          </w:tcPr>
          <w:p>
            <w:pPr>
              <w:tabs>
                <w:tab w:val="left" w:pos="720"/>
              </w:tabs>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定期进行了检查、检验，现场检查全部在有效期内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劳动防护用品应具有生产许可证和合格证并应定期检验。</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tabs>
                <w:tab w:val="left" w:pos="720"/>
              </w:tabs>
              <w:wordWrap w:val="0"/>
              <w:adjustRightInd w:val="0"/>
              <w:snapToGrid w:val="0"/>
              <w:spacing w:line="260" w:lineRule="exact"/>
              <w:jc w:val="center"/>
              <w:textAlignment w:val="center"/>
              <w:rPr>
                <w:rFonts w:cs="Times New Roman"/>
                <w:b/>
                <w:bCs/>
                <w:color w:val="auto"/>
                <w:kern w:val="0"/>
                <w:sz w:val="21"/>
                <w:szCs w:val="21"/>
              </w:rPr>
            </w:pPr>
          </w:p>
        </w:tc>
        <w:tc>
          <w:tcPr>
            <w:tcW w:w="1882" w:type="dxa"/>
            <w:vAlign w:val="center"/>
          </w:tcPr>
          <w:p>
            <w:pPr>
              <w:tabs>
                <w:tab w:val="left" w:pos="720"/>
              </w:tabs>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由国家定点生产企业生产，有合格证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矿山、金属冶炼、建筑施工、道路运输单位和危险物品的生产、经营、储存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《安全生产法》第二十四条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配备专职安全生产管理人员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生产经营单位的主要负责人和安全生产管理人员必须具备与本单位所从事的生产经营活动相应的安全生产知识和管理能力。</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经营、储存单位以及矿山、金属冶炼、建筑施工、道路运输单位的主要负责人和安全生产管理人员，应当由主管的负有安全生产监督管理职责的部门对其安全生产知识和管理能力考核合格。考核不得收费。</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w:t>
            </w:r>
            <w:r>
              <w:rPr>
                <w:rFonts w:hint="eastAsia" w:cs="Times New Roman"/>
                <w:color w:val="auto"/>
                <w:kern w:val="0"/>
                <w:sz w:val="21"/>
                <w:szCs w:val="21"/>
              </w:rPr>
              <w:t>应急管理部门</w:t>
            </w:r>
            <w:r>
              <w:rPr>
                <w:rFonts w:cs="Times New Roman"/>
                <w:color w:val="auto"/>
                <w:kern w:val="0"/>
                <w:sz w:val="21"/>
                <w:szCs w:val="21"/>
              </w:rPr>
              <w:t>会同国务院有关部门制定。</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《安全生产法》第二十</w:t>
            </w:r>
            <w:r>
              <w:rPr>
                <w:rFonts w:hint="eastAsia" w:cs="Times New Roman"/>
                <w:color w:val="auto"/>
                <w:kern w:val="0"/>
                <w:sz w:val="21"/>
                <w:szCs w:val="21"/>
              </w:rPr>
              <w:t>七</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已取得相关资格证书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《安全生产法》第二十</w:t>
            </w:r>
            <w:r>
              <w:rPr>
                <w:rFonts w:hint="eastAsia" w:cs="Times New Roman"/>
                <w:color w:val="auto"/>
                <w:kern w:val="0"/>
                <w:sz w:val="21"/>
                <w:szCs w:val="21"/>
              </w:rPr>
              <w:t>八</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进行安全生产教育和培训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生产经营单位采用新工艺、新技术、新材料或者使用新设备，必须了解、掌握其安全技术特性，采取有效的安全防护措施，并对从业人员进行专门的安全生产教育和培训。</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《安全生产法》第二十</w:t>
            </w:r>
            <w:r>
              <w:rPr>
                <w:rFonts w:hint="eastAsia" w:cs="Times New Roman"/>
                <w:color w:val="auto"/>
                <w:kern w:val="0"/>
                <w:sz w:val="21"/>
                <w:szCs w:val="21"/>
              </w:rPr>
              <w:t>九</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生产经营单位的特种作业人员必须按照国家有关规定经专门的安全作业培训，取得相应资格，方可上岗作业。</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三十</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特种作业人员取得特种作业操作资格证书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生产经营单位应当在有较大危险因素的生产经营场所和有关设施、设备上，设置明显的安全警示标志。</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《安全生产法》第三十</w:t>
            </w:r>
            <w:r>
              <w:rPr>
                <w:rFonts w:hint="eastAsia" w:cs="Times New Roman"/>
                <w:color w:val="auto"/>
                <w:kern w:val="0"/>
                <w:sz w:val="21"/>
                <w:szCs w:val="21"/>
              </w:rPr>
              <w:t>五</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设置明显的安全警示标志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国家对严重危及生产安全的工艺、设备实行淘汰制度，具体目录由国务院</w:t>
            </w:r>
            <w:r>
              <w:rPr>
                <w:rFonts w:hint="eastAsia" w:cs="Times New Roman"/>
                <w:color w:val="auto"/>
                <w:kern w:val="0"/>
                <w:sz w:val="21"/>
                <w:szCs w:val="21"/>
              </w:rPr>
              <w:t>应急管理部门</w:t>
            </w:r>
            <w:r>
              <w:rPr>
                <w:rFonts w:cs="Times New Roman"/>
                <w:color w:val="auto"/>
                <w:kern w:val="0"/>
                <w:sz w:val="21"/>
                <w:szCs w:val="21"/>
              </w:rPr>
              <w:t>会同国务院有关部门制定并公布。法律、行政法规对目录的制定另有规定的，适用其规定。</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“省、自治区、直辖市人民政府可以根据本地区实际情况制定并公布具体目录，对前款规定以外的危及生产安全的工艺、设备予以淘汰。</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“生产经营单位不得使用应当淘汰的危及生产安全的工艺、设备”。</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《安全生产法》第三十</w:t>
            </w:r>
            <w:r>
              <w:rPr>
                <w:rFonts w:hint="eastAsia" w:cs="Times New Roman"/>
                <w:color w:val="auto"/>
                <w:kern w:val="0"/>
                <w:sz w:val="21"/>
                <w:szCs w:val="21"/>
              </w:rPr>
              <w:t>八</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不涉及淘汰的危及生产安全的工艺、设备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生产经营单位对重大危险源应当登记建档，进行定期检测、评估、监控，并制定应急预案，告知从业人员和相关人员在紧急情况下应当采取的应急措施。</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生产经营单位应当按照国家有关规定将本单位重大危险源及有关安全措施、应急措施报有关地方人民政府负责安全生产监督管理的部门和有关部门备案。</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四十</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生产经营单位应当建立安全风险分级管控制度，按照安全风险分级采取相应的管控措施。</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四十一</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建立安全风险分级管控制度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生产、经营、储存、使用危险物品的车间、商店、仓库不得与员工宿舍在同一座建筑物内，并应当与员工宿舍保持安全距离。</w:t>
            </w:r>
          </w:p>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生产经营场所和员工宿舍应当设有符合紧急疏散要求、标志明显、保持畅通的出口。禁止锁闭、封堵生产经营场所或者员工宿舍的出口。</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四十二</w:t>
            </w:r>
            <w:r>
              <w:rPr>
                <w:rFonts w:cs="Times New Roman"/>
                <w:color w:val="auto"/>
                <w:kern w:val="0"/>
                <w:sz w:val="21"/>
                <w:szCs w:val="21"/>
              </w:rPr>
              <w:t>条</w:t>
            </w:r>
          </w:p>
        </w:tc>
        <w:tc>
          <w:tcPr>
            <w:tcW w:w="1882" w:type="dxa"/>
            <w:vAlign w:val="center"/>
          </w:tcPr>
          <w:p>
            <w:pPr>
              <w:pStyle w:val="20"/>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该公司生产区域内无员工宿舍；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pStyle w:val="20"/>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生产经营单位必须为从业人员提供符合国家标准或者行业标准的劳动防护用品，并监督、教育从业人员按照使用规则佩戴、使用。</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《安全生产法》第四十</w:t>
            </w:r>
            <w:r>
              <w:rPr>
                <w:rFonts w:hint="eastAsia" w:cs="Times New Roman"/>
                <w:color w:val="auto"/>
                <w:kern w:val="0"/>
                <w:sz w:val="21"/>
                <w:szCs w:val="21"/>
              </w:rPr>
              <w:t>五</w:t>
            </w:r>
            <w:r>
              <w:rPr>
                <w:rFonts w:cs="Times New Roman"/>
                <w:color w:val="auto"/>
                <w:kern w:val="0"/>
                <w:sz w:val="21"/>
                <w:szCs w:val="21"/>
              </w:rPr>
              <w:t>条</w:t>
            </w:r>
          </w:p>
        </w:tc>
        <w:tc>
          <w:tcPr>
            <w:tcW w:w="1882" w:type="dxa"/>
            <w:vAlign w:val="center"/>
          </w:tcPr>
          <w:p>
            <w:pPr>
              <w:pStyle w:val="20"/>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提供符合国家标准或者行业标准的劳动防护用品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《安全生产法》第四十</w:t>
            </w:r>
            <w:r>
              <w:rPr>
                <w:rFonts w:hint="eastAsia" w:cs="Times New Roman"/>
                <w:color w:val="auto"/>
                <w:kern w:val="0"/>
                <w:sz w:val="21"/>
                <w:szCs w:val="21"/>
              </w:rPr>
              <w:t>六</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对安全生产状况进行经常性检查；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生产经营单位应当安排用于配备劳动防护用品、进行安全生产培训的经费。</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《安全生产法》第四十</w:t>
            </w:r>
            <w:r>
              <w:rPr>
                <w:rFonts w:hint="eastAsia" w:cs="Times New Roman"/>
                <w:color w:val="auto"/>
                <w:kern w:val="0"/>
                <w:sz w:val="21"/>
                <w:szCs w:val="21"/>
              </w:rPr>
              <w:t>七</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该装置设有安排用于配备劳动防护用品、进行安全生产培训的经费。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生产经营单位必须依法参加工伤保险，为从业人员缴纳保险费。</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国家鼓励生产经营单位投保安全生产责任保险。”</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五十一</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为从业人员缴纳保险费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从业人员应当接受安全生产教育和培训，掌握本职工作所需的安全生产知识，提高安全生产技能，增强事故预防和应急处理能力。</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《安全生产法》第五十</w:t>
            </w:r>
            <w:r>
              <w:rPr>
                <w:rFonts w:hint="eastAsia" w:cs="Times New Roman"/>
                <w:color w:val="auto"/>
                <w:kern w:val="0"/>
                <w:sz w:val="21"/>
                <w:szCs w:val="21"/>
              </w:rPr>
              <w:t>八</w:t>
            </w:r>
            <w:r>
              <w:rPr>
                <w:rFonts w:cs="Times New Roman"/>
                <w:color w:val="auto"/>
                <w:kern w:val="0"/>
                <w:sz w:val="21"/>
                <w:szCs w:val="21"/>
              </w:rPr>
              <w:t>条</w:t>
            </w:r>
          </w:p>
        </w:tc>
        <w:tc>
          <w:tcPr>
            <w:tcW w:w="1882" w:type="dxa"/>
            <w:vAlign w:val="center"/>
          </w:tcPr>
          <w:p>
            <w:pPr>
              <w:tabs>
                <w:tab w:val="left" w:pos="720"/>
              </w:tab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接受安全生产教育和培训，掌握本职工作所需的安全生产知识，增强事故预防和应急处理能力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生产经营单位应当制定本单位生产安全事故应急救援预案，与所在地县级以上地方人民政府组织制定的生产安全事故应急救援预案相衔接，并定期组织演练。”</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八十一</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制定本单位生产安全事故应急救援预案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危险物品的生产、经营、储存单位以及矿山、金属冶炼、城市轨道交通运营、建筑施工单位应当建立应急救援组织；生产经营规模较小的，可以不建立应急救援组织，但应当指定兼职的应急救援人员。</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“危险物品的生产、经营、储存、运输单位以及矿山、金属冶炼、城市轨道交通运营、建筑施工单位应当配备必要的应急救援器材、设备和物资，并进行经常性维护、保养，保证正常运转。”</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《安全生产法》第</w:t>
            </w:r>
            <w:r>
              <w:rPr>
                <w:rFonts w:hint="eastAsia" w:cs="Times New Roman"/>
                <w:color w:val="auto"/>
                <w:kern w:val="0"/>
                <w:sz w:val="21"/>
                <w:szCs w:val="21"/>
              </w:rPr>
              <w:t>八十二</w:t>
            </w:r>
            <w:r>
              <w:rPr>
                <w:rFonts w:cs="Times New Roman"/>
                <w:color w:val="auto"/>
                <w:kern w:val="0"/>
                <w:sz w:val="21"/>
                <w:szCs w:val="21"/>
              </w:rPr>
              <w:t>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指定兼职的应急救援人员，配备的应急救援器材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化工装置区、油库、罐区、化学危险品仓库等危险区应设置永久性“严禁烟火”标志。</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《化工企业安全卫生设计规范》6.2.2</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设置永久性“严禁烟火”标志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在有害有毒的化工生产区域，应设置风向标。</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《化工企业安全卫生设计规范》6.2.3</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设置风向标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（四）生产区与非生产区分开设置，并符合国家标准或者行业标准规定的距离；</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《生产企业安全生产许可证实施办法》第九条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生产区与非生产区分开设置，其距离符合国家标准或者行业标准规定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（五）危险化学品生产装置和储存设施之间及其与建（构）筑物之间的距离符合有关标准规范的规定。</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《生产企业安全生产许可证实施办法》第九条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建（构）筑物之间的距离符合有关标准规范的规定。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生产经营单位应当具备下列安全生产条件：</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（一）生产经营场所和设备、设施符合有关安全生产法律、法规的规定和有关国家标准、行业标准或者地方标准的要求；</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（二）安全生产规章制度和操作规程健全；</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（三）保证安全生产所必需的资金投入；</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（四）具有本条例第十七条规定的安全生产管理机构，或者配备、委托安全生产管理人员；</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（五）主要负责人和安全生产管理人员具备与生产经营活动相适应的安全生产知识和管理能力；</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（六）从业人员应当经过安全生产教育和培训合格，特种作业人员依法经专门的安全作业培训，并取得特种作业操作资格证书；</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（七）为从业人员配备符合国家标准、行业标准或者地方标准的劳动防护用品；</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（八）为从业人员提供符合国家规定的职业安全卫生条件，对从事有职业危害作业的人员定期进行健康检查；</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（九）达到所在行业应当具备的安全生产标准化等级；</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（十）法律、法规规定的其他安全生产条件。</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《江西省安全生产管理条例》第十二条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规章制度和操作规程健全；制定安全生产所必需的资金投入制度；设置安全生产管理机构，配备安全生产管理人员；从业人员经过安全生产教育和培训合格，特种作业人员依法经专门的安全作业培训，并取得特种作业操作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60" w:lineRule="exact"/>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生产经营单位应当制定下列安全生产规章制度：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（一）全员岗位安全责任制度；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（二）安全生产教育和培训制度；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（三）安全生产检查制度；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（四）安全风险分级管控制度；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（五）危险作业管理制度；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（六）职业健康管理制度；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（七）劳动防护用品使用和管理制度；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（八）安全生产隐患排查治理制度、重大隐患治理情况向负有安全生产监督管理职责的部门和企业职工代表大会报告制度；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（九）生产安全事故紧急处置规程和应急预案；</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（十）生产安全事故报告和处理制度；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（十一）安全生产考核奖惩制度；</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（十二）其他保障安全生产的规章制度。</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《江西省安全生产管理条例》第十六条</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制定相关规章制度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60" w:lineRule="exact"/>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矿山、金属冶炼、建筑施工、道路运输单位和有毒、有害、易燃、易爆等危险物品的生产、经营、储存单位，应当设置安全生产管理机构，按照不低于从业人员百分之一的比例配备专职安全生产管理人员。从业人员不足一百人的，应当配备一名以上专职安全生产管理人员。</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前款规定以外的其他生产经营单位，从业人员超过一百人的，应当设置安全生产管理机构或者配备专职安全生产管理人员；从业人员在一百人以下的，应当配备专职或者兼职的安全生产管理人员，或者委托具有国家规定的相关专业技术资格的工程技术人员提供安全生产管理服务。</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《江西省安全生产管理条例》第十七条</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设置安全生产管理机构，总人数</w:t>
            </w:r>
            <w:r>
              <w:rPr>
                <w:rFonts w:hint="eastAsia" w:cs="Times New Roman"/>
                <w:color w:val="auto"/>
                <w:kern w:val="0"/>
                <w:sz w:val="21"/>
                <w:szCs w:val="21"/>
              </w:rPr>
              <w:t>50</w:t>
            </w:r>
            <w:r>
              <w:rPr>
                <w:rFonts w:cs="Times New Roman"/>
                <w:color w:val="auto"/>
                <w:kern w:val="0"/>
                <w:sz w:val="21"/>
                <w:szCs w:val="21"/>
              </w:rPr>
              <w:t>人设置</w:t>
            </w:r>
            <w:r>
              <w:rPr>
                <w:rFonts w:hint="eastAsia" w:cs="Times New Roman"/>
                <w:color w:val="auto"/>
                <w:kern w:val="0"/>
                <w:sz w:val="21"/>
                <w:szCs w:val="21"/>
              </w:rPr>
              <w:t>1</w:t>
            </w:r>
            <w:r>
              <w:rPr>
                <w:rFonts w:cs="Times New Roman"/>
                <w:color w:val="auto"/>
                <w:kern w:val="0"/>
                <w:sz w:val="21"/>
                <w:szCs w:val="21"/>
              </w:rPr>
              <w:t>名专职安全员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60" w:lineRule="exact"/>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生产经营单位的主要负责人和安全生产管理人员应当具备与本单位所从事的生产经营活动相应的安全生产知识和管理能力。</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矿山、金属冶炼、建筑施工、道路运输单位和有毒、有害、易燃、易爆等危险物品的生产、经营、储存单位的主要负责人和安全生产管理人员，应当由主管的负有安全生产监督管理职责的部门对其安全生产知识和管理能力考核合格。考核不得收费。</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《江西省安全生产管理条例》第十九条</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主要负责人和安全生产管理人员取得了培训考核合格证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60" w:lineRule="exact"/>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生产经营单位应当对下列从业人员进行上岗前的安全生产教育培训：</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（一）新进从业人员；</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（二）离岗半年以上的或者换岗的从业人员；</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（三）采用新工艺、新技术、新材料或者使用新设备后的有关从业人员。</w:t>
            </w:r>
          </w:p>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生产经营单位应当对在岗的从业人员定期进行安全生产教育和培训。未经安全生产教育和培训合格的从业人员，不得上岗作业。</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《江西省安全生产管理条例》第二十条</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对从业人员进行上岗前的安全生产教育培训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60" w:lineRule="exact"/>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生产经营单位应当加强班组建设，强化以岗位为核心的安全生产管理，设立班组安全员，并明确其职责</w:t>
            </w:r>
          </w:p>
        </w:tc>
        <w:tc>
          <w:tcPr>
            <w:tcW w:w="68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《江西省安全生产管理条例》第二十二条</w:t>
            </w:r>
          </w:p>
        </w:tc>
        <w:tc>
          <w:tcPr>
            <w:tcW w:w="1882" w:type="dxa"/>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设立班组安全员，并明确其职责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生产经营单位新建、改建、扩建工程项目</w:t>
            </w:r>
            <w:r>
              <w:rPr>
                <w:rFonts w:hint="eastAsia" w:cs="Times New Roman"/>
                <w:color w:val="auto"/>
                <w:kern w:val="0"/>
                <w:sz w:val="21"/>
                <w:szCs w:val="21"/>
              </w:rPr>
              <w:t>（</w:t>
            </w:r>
            <w:r>
              <w:rPr>
                <w:rFonts w:cs="Times New Roman"/>
                <w:color w:val="auto"/>
                <w:kern w:val="0"/>
                <w:sz w:val="21"/>
                <w:szCs w:val="21"/>
              </w:rPr>
              <w:t>以下简称建设项目</w:t>
            </w:r>
            <w:r>
              <w:rPr>
                <w:rFonts w:hint="eastAsia" w:cs="Times New Roman"/>
                <w:color w:val="auto"/>
                <w:kern w:val="0"/>
                <w:sz w:val="21"/>
                <w:szCs w:val="21"/>
              </w:rPr>
              <w:t>）</w:t>
            </w:r>
            <w:r>
              <w:rPr>
                <w:rFonts w:cs="Times New Roman"/>
                <w:color w:val="auto"/>
                <w:kern w:val="0"/>
                <w:sz w:val="21"/>
                <w:szCs w:val="21"/>
              </w:rPr>
              <w:t>，应当按照建设项目安全设施与主体工程同时设计、同时施工、同时投入生产和使用的要求进行建设与管理。安全设施投资应当纳入建设项目概（预）算。</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矿山、金属冶炼建设项目和用于生产、储存、装卸、使用危险物品的建设项目的安全设施设计应当按照国家有关规定报经有关部门审查，审查部门及其负责审查的人员对审查结果负责。建设项目的施工单位应当按照批准的安全设施设计施工，并对安全设施的工程质量负责。未通过设计审查的建设项目，有关部门不得办理行政许可手续，企业不得开工建设。</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前款规定的建设项目竣工投入生产或者使用前，应当由建设单位负责组织对安全设施进行验收；验收合格后，方可投入生产和使用。</w:t>
            </w:r>
            <w:r>
              <w:rPr>
                <w:rFonts w:hint="eastAsia" w:cs="Times New Roman"/>
                <w:color w:val="auto"/>
                <w:kern w:val="0"/>
                <w:sz w:val="21"/>
                <w:szCs w:val="21"/>
              </w:rPr>
              <w:t>应急管理部门</w:t>
            </w:r>
            <w:r>
              <w:rPr>
                <w:rFonts w:cs="Times New Roman"/>
                <w:color w:val="auto"/>
                <w:kern w:val="0"/>
                <w:sz w:val="21"/>
                <w:szCs w:val="21"/>
              </w:rPr>
              <w:t>应当加强对建设单位验收活动和验收结果的监督核查。</w:t>
            </w:r>
          </w:p>
        </w:tc>
        <w:tc>
          <w:tcPr>
            <w:tcW w:w="68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《江西省安全生产管理条例》第二十三条</w:t>
            </w:r>
          </w:p>
        </w:tc>
        <w:tc>
          <w:tcPr>
            <w:tcW w:w="1882"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按三同时要求进行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生产经营单位应当实施安全生产风险分级管控，制定落实安全操作规程。对高危工艺、设备、物品、场所，定期开展风险评估和危害辨识，对风险点进行公告或者通报，并采取相应措施。</w:t>
            </w:r>
          </w:p>
        </w:tc>
        <w:tc>
          <w:tcPr>
            <w:tcW w:w="68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《江西省安全生产管理条例》第二十五条</w:t>
            </w:r>
          </w:p>
        </w:tc>
        <w:tc>
          <w:tcPr>
            <w:tcW w:w="1882"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制定落实安全操作规程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下列安全设施、设备以及场所，生产经营单位应当依照有关法律、法规的规定，进行检测、检验：</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（一）地下矿井提升、运输、通风、排水、供配电、煤矿瓦斯及其他有毒有害气体检测监控系统；</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（二）生产、经营、储存危险物品的场所;</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（三）露天矿山边坡、尾矿库；</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（四）特种设备；</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（五）粉尘危害性场所；</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（六）其他具有较大危险性或者危害性，依法需要进行检测、检验的安全设施、设备以及场所。</w:t>
            </w:r>
          </w:p>
        </w:tc>
        <w:tc>
          <w:tcPr>
            <w:tcW w:w="68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《江西省安全生产管理条例》第二十六条</w:t>
            </w:r>
          </w:p>
        </w:tc>
        <w:tc>
          <w:tcPr>
            <w:tcW w:w="1882"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特种设备等进行检测、检验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生产经营单位应当依法从事有毒、有害、易燃、易爆等危险物品的生产、经营、储存活动。</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禁止生产经营单位安排未成年人从事接触有毒、有害、易燃、易爆等危险物品的劳动以及其他危险性劳动。</w:t>
            </w:r>
          </w:p>
          <w:p>
            <w:pPr>
              <w:wordWrap w:val="0"/>
              <w:adjustRightInd w:val="0"/>
              <w:snapToGrid w:val="0"/>
              <w:spacing w:line="280" w:lineRule="exact"/>
              <w:jc w:val="left"/>
              <w:textAlignment w:val="center"/>
              <w:rPr>
                <w:rFonts w:cs="Times New Roman"/>
                <w:color w:val="auto"/>
                <w:kern w:val="0"/>
                <w:sz w:val="21"/>
                <w:szCs w:val="21"/>
              </w:rPr>
            </w:pPr>
            <w:r>
              <w:rPr>
                <w:rFonts w:cs="Times New Roman"/>
                <w:color w:val="auto"/>
                <w:kern w:val="0"/>
                <w:sz w:val="21"/>
                <w:szCs w:val="21"/>
              </w:rPr>
              <w:t>禁止生产经营单位将有毒、有害、易燃、易爆等危险物品的生产、经营、储存场所设置在居民区、学校、幼儿园、养老院、医院、歌舞厅、影剧院、体育场（馆）、宾馆、饭店、旅游景区（点）、车站、集贸市场及其他人员密集场所（以下统称人员密集场所）的安全距离内。</w:t>
            </w:r>
          </w:p>
        </w:tc>
        <w:tc>
          <w:tcPr>
            <w:tcW w:w="68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《江西省安全生产管理条例》第三十一条</w:t>
            </w:r>
          </w:p>
        </w:tc>
        <w:tc>
          <w:tcPr>
            <w:tcW w:w="1882" w:type="dxa"/>
            <w:vAlign w:val="center"/>
          </w:tcPr>
          <w:p>
            <w:pPr>
              <w:wordWrap w:val="0"/>
              <w:adjustRightInd w:val="0"/>
              <w:snapToGrid w:val="0"/>
              <w:spacing w:line="280" w:lineRule="exact"/>
              <w:jc w:val="center"/>
              <w:textAlignment w:val="center"/>
              <w:rPr>
                <w:rFonts w:cs="Times New Roman"/>
                <w:color w:val="auto"/>
                <w:kern w:val="0"/>
                <w:sz w:val="21"/>
                <w:szCs w:val="21"/>
              </w:rPr>
            </w:pPr>
            <w:r>
              <w:rPr>
                <w:rFonts w:cs="Times New Roman"/>
                <w:color w:val="auto"/>
                <w:kern w:val="0"/>
                <w:sz w:val="21"/>
                <w:szCs w:val="21"/>
              </w:rPr>
              <w:t>未安排未成年人作业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生产经营单位应当依法参加工伤保险，按时足额为从业人员缴纳保险费。</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在矿山、危险化学品、烟花爆竹、交通运输、建筑施工、民用爆炸物品、金属冶炼等高危行业领域，按照国家有关规定实施安全生产责任保险。鼓励其他生产经营单位参加安全生产责任保险</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《江西省安全生产管理条例》第三十三条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参加工伤保险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危险物品的生产、经营、储存单位以及矿山、金属冶炼企业、轨道交通运营企业、建筑施工单位应当制定应急救援预案，并按规定报相应安全监管部门和有关主管部门备案。</w:t>
            </w:r>
          </w:p>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危险物品的生产、经营、储存单位以及矿山、金属冶炼企业、轨道交通运营企业、建筑施工单位应当建立应急救援组织，配备必要的应急救援设备、器材，进行经常性维护、保养，保证正常运转，并每年至少组织一次演练；因生产经营规模和安全风险较小，不能建立应急救援组织的，应当与相关应急救援组织签订应急救援服务协议。</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《江西省安全生产管理条例》第五十四条</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制定应急救援预案，并按规定报安全监管部门备案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dxa"/>
            <w:vAlign w:val="center"/>
          </w:tcPr>
          <w:p>
            <w:pPr>
              <w:numPr>
                <w:ilvl w:val="0"/>
                <w:numId w:val="6"/>
              </w:numPr>
              <w:wordWrap w:val="0"/>
              <w:adjustRightInd w:val="0"/>
              <w:snapToGrid w:val="0"/>
              <w:spacing w:line="240" w:lineRule="auto"/>
              <w:ind w:left="0" w:firstLine="0"/>
              <w:jc w:val="center"/>
              <w:textAlignment w:val="center"/>
              <w:rPr>
                <w:rFonts w:cs="Times New Roman"/>
                <w:bCs/>
                <w:color w:val="auto"/>
                <w:kern w:val="0"/>
                <w:sz w:val="21"/>
                <w:szCs w:val="21"/>
              </w:rPr>
            </w:pPr>
          </w:p>
        </w:tc>
        <w:tc>
          <w:tcPr>
            <w:tcW w:w="4426" w:type="dxa"/>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企业要建立作业许可制度，对动火作业、进入受限空间作业、破土作业、临时用电作业、高处作业、起重作业、抽堵盲板作业、设备检维修作业等危险性作业实施许可管理。</w:t>
            </w:r>
          </w:p>
        </w:tc>
        <w:tc>
          <w:tcPr>
            <w:tcW w:w="68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符合要求</w:t>
            </w:r>
          </w:p>
        </w:tc>
        <w:tc>
          <w:tcPr>
            <w:tcW w:w="163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《安监总管三〔2010〕186号</w:t>
            </w:r>
          </w:p>
        </w:tc>
        <w:tc>
          <w:tcPr>
            <w:tcW w:w="1882"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有作业许可制度</w:t>
            </w:r>
          </w:p>
        </w:tc>
      </w:tr>
    </w:tbl>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2、评价小节：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1）该公司安全生产管理机构设置，安全生产管理制度、人员培训及日常安全检查符合相关规范的要求。该公司主管领导、安全专职管理人员等均取得了安全生产管理人员资格证书。</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2）该公司向从业人员告知作业场所和工作岗位存在的危险因素、防范措施以及事故应急措施，并开展教育培训工作。设有安排用于配备劳动防护用品、进行安全生产培训的经费。</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3）该公司依法参加工伤社会保险，为从业人员缴纳保险费。</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4）编制安全事故应急救援预案；建有有应急救援组织和应急救援人员；配备应急救援器材、设备。</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5）具备和符合有关法律、法规和国家标准或者行业标准规定的安全生产条件，建立健全有关安全生产的规章制度；建立了健全得安全生产责任制，明确了安全生产岗位的责任人员、责任内容和要求。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6）对该单元进行了46项现场检查，均符合要求。</w:t>
      </w:r>
    </w:p>
    <w:p>
      <w:pPr>
        <w:wordWrap w:val="0"/>
        <w:adjustRightInd w:val="0"/>
        <w:snapToGrid w:val="0"/>
        <w:spacing w:line="560" w:lineRule="exact"/>
        <w:jc w:val="center"/>
        <w:textAlignment w:val="center"/>
        <w:outlineLvl w:val="1"/>
        <w:rPr>
          <w:b/>
          <w:bCs/>
          <w:color w:val="auto"/>
          <w:kern w:val="0"/>
          <w:szCs w:val="28"/>
        </w:rPr>
      </w:pPr>
      <w:bookmarkStart w:id="227" w:name="_Toc22544"/>
      <w:bookmarkStart w:id="228" w:name="_Toc30724"/>
      <w:bookmarkStart w:id="229" w:name="_Toc24915"/>
      <w:r>
        <w:rPr>
          <w:rFonts w:hint="eastAsia"/>
          <w:b/>
          <w:bCs/>
          <w:color w:val="auto"/>
          <w:kern w:val="0"/>
          <w:szCs w:val="28"/>
        </w:rPr>
        <w:t>5.8 重大事故隐患单元</w:t>
      </w:r>
      <w:bookmarkEnd w:id="227"/>
      <w:bookmarkEnd w:id="228"/>
      <w:bookmarkEnd w:id="229"/>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1、安全检查表法分析评价</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根据《危险化学品生产经营单位和化工重大生产安全事故隐患判定标准》（试行）制定检查表，对本项目是否存在重大安全隐患项进行评价，评价结果见下表。</w:t>
      </w:r>
    </w:p>
    <w:p>
      <w:pPr>
        <w:wordWrap w:val="0"/>
        <w:adjustRightInd w:val="0"/>
        <w:snapToGrid w:val="0"/>
        <w:spacing w:line="560" w:lineRule="exact"/>
        <w:jc w:val="center"/>
        <w:textAlignment w:val="center"/>
        <w:rPr>
          <w:color w:val="auto"/>
          <w:kern w:val="0"/>
          <w:szCs w:val="28"/>
        </w:rPr>
      </w:pPr>
      <w:r>
        <w:rPr>
          <w:rFonts w:hint="eastAsia"/>
          <w:color w:val="auto"/>
          <w:kern w:val="0"/>
          <w:szCs w:val="28"/>
        </w:rPr>
        <w:t>表5.8-1  重大事故隐患单元安全检查表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4880"/>
        <w:gridCol w:w="700"/>
        <w:gridCol w:w="707"/>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4880" w:type="dxa"/>
            <w:shd w:val="clear" w:color="auto" w:fill="auto"/>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检查项目和内容</w:t>
            </w:r>
          </w:p>
        </w:tc>
        <w:tc>
          <w:tcPr>
            <w:tcW w:w="700" w:type="dxa"/>
            <w:shd w:val="clear" w:color="auto" w:fill="auto"/>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检查结果</w:t>
            </w:r>
          </w:p>
        </w:tc>
        <w:tc>
          <w:tcPr>
            <w:tcW w:w="707" w:type="dxa"/>
            <w:shd w:val="clear" w:color="auto" w:fill="auto"/>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检查依据</w:t>
            </w:r>
          </w:p>
        </w:tc>
        <w:tc>
          <w:tcPr>
            <w:tcW w:w="2357" w:type="dxa"/>
            <w:shd w:val="clear" w:color="auto" w:fill="auto"/>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一、危险化学品生产、经营单位主要负责人和安全生产管理人员未依法经考核合格。</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restart"/>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《危险化学品生产经营单位和化工重大生产安全事故隐患判定标准》</w:t>
            </w: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依法经考核合格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2</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二、特种作业人员未持证上岗。</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持证</w:t>
            </w:r>
            <w:r>
              <w:rPr>
                <w:rFonts w:cs="Times New Roman"/>
                <w:color w:val="auto"/>
                <w:kern w:val="0"/>
                <w:sz w:val="21"/>
                <w:szCs w:val="21"/>
              </w:rPr>
              <w:t>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3</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三、涉及“两重点一重大”的生产装置、储存设施外部安全防护距离不符合国家标准要求。</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4</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四、涉及重点监管危险化工工艺的装置未实现自动化控制，系统未实现紧急停车功能，装备的自动化控制系统、紧急停车系统未投入使用。</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5</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五、构成一级、二级重大危险源的危险化学品罐区未实现紧急切断功能；涉及毒性气体、液化气体、剧毒液体的一级、二级重大危险源的危险化学品罐区未配备独立的安全仪表系统。</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6</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六、全压力式液化烃储罐未按国家标准设置注水措施。</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7</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七、液化烃、液氨、液氯等易燃易爆、有毒有害液化气体的充装未使用万向管道充装系统。</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8</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八、光气、氯气等剧毒气体及硫化氢气体管道穿越除厂区</w:t>
            </w:r>
            <w:r>
              <w:rPr>
                <w:rFonts w:hint="eastAsia" w:cs="Times New Roman"/>
                <w:color w:val="auto"/>
                <w:kern w:val="0"/>
                <w:sz w:val="21"/>
                <w:szCs w:val="21"/>
              </w:rPr>
              <w:t>（</w:t>
            </w:r>
            <w:r>
              <w:rPr>
                <w:rFonts w:cs="Times New Roman"/>
                <w:color w:val="auto"/>
                <w:kern w:val="0"/>
                <w:sz w:val="21"/>
                <w:szCs w:val="21"/>
              </w:rPr>
              <w:t>包括化工园区、工业园区）外的公共区域。</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9</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九、地区架空电力线路穿越生产区且不符合国家标准要求。</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符合国家标准要求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10</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十、在役化工装置未经正规设计且未进行安全设计诊断。</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经过正规设计单位进行安全设施设计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11</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十一、使用淘汰落后安全技术工艺、设备目录列出的工艺、设备。</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未使用淘汰落后安全技术工艺、设备目录列出的工艺、设备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12</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十二、涉及可燃和有毒有害气体泄漏的场所未按国家标准设置检测报警装置，爆炸危险场所未按国家标准安装使用防爆电气设备。</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按国家标准设置检测报警装置</w:t>
            </w:r>
            <w:r>
              <w:rPr>
                <w:rFonts w:hint="eastAsia" w:cs="Times New Roman"/>
                <w:color w:val="auto"/>
                <w:kern w:val="0"/>
                <w:sz w:val="21"/>
                <w:szCs w:val="21"/>
              </w:rPr>
              <w:t>；</w:t>
            </w:r>
            <w:r>
              <w:rPr>
                <w:rFonts w:cs="Times New Roman"/>
                <w:color w:val="auto"/>
                <w:kern w:val="0"/>
                <w:sz w:val="21"/>
                <w:szCs w:val="21"/>
              </w:rPr>
              <w:t>按国家标准安装使用防爆电气设备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13</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十三、控制室或机柜间面向具有火灾、爆炸危险性装置一侧不满足国家标准关于防火防爆的要求。</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hint="eastAsia" w:cs="Times New Roman"/>
                <w:color w:val="auto"/>
                <w:kern w:val="0"/>
                <w:sz w:val="21"/>
                <w:szCs w:val="21"/>
              </w:rPr>
              <w:t>14</w:t>
            </w:r>
          </w:p>
        </w:tc>
        <w:tc>
          <w:tcPr>
            <w:tcW w:w="4880" w:type="dxa"/>
            <w:shd w:val="clear" w:color="auto" w:fill="auto"/>
            <w:vAlign w:val="center"/>
          </w:tcPr>
          <w:p>
            <w:pPr>
              <w:wordWrap w:val="0"/>
              <w:adjustRightInd w:val="0"/>
              <w:snapToGrid w:val="0"/>
              <w:spacing w:line="260" w:lineRule="exact"/>
              <w:jc w:val="left"/>
              <w:textAlignment w:val="center"/>
              <w:rPr>
                <w:rFonts w:cs="Times New Roman"/>
                <w:color w:val="auto"/>
                <w:kern w:val="0"/>
                <w:sz w:val="21"/>
                <w:szCs w:val="21"/>
              </w:rPr>
            </w:pPr>
            <w:r>
              <w:rPr>
                <w:rFonts w:cs="Times New Roman"/>
                <w:color w:val="auto"/>
                <w:kern w:val="0"/>
                <w:sz w:val="21"/>
                <w:szCs w:val="21"/>
              </w:rPr>
              <w:t>十四、化工生产装置未按国家标准要求设置双重电源供电，自动化控制系统未设置不间断电源。</w:t>
            </w:r>
          </w:p>
        </w:tc>
        <w:tc>
          <w:tcPr>
            <w:tcW w:w="700"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color w:val="auto"/>
                <w:kern w:val="0"/>
                <w:sz w:val="21"/>
                <w:szCs w:val="21"/>
              </w:rPr>
              <w:t>设置双重电源供电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15</w:t>
            </w:r>
          </w:p>
        </w:tc>
        <w:tc>
          <w:tcPr>
            <w:tcW w:w="4880"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十五、安全阀、爆破片等安全附件未正常投用。</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16</w:t>
            </w:r>
          </w:p>
        </w:tc>
        <w:tc>
          <w:tcPr>
            <w:tcW w:w="4880"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十六、未建立与岗位相匹配的全员安全生产责任制或者未制定实施生产安全事故隐患排查治理制度。</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restart"/>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建立与岗位相匹配的全员安全生产责任制、生产安全事故隐患排查治理制度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17</w:t>
            </w:r>
          </w:p>
        </w:tc>
        <w:tc>
          <w:tcPr>
            <w:tcW w:w="4880"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十七、未制定操作规程和工艺控制指标。</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制定了操作规程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18</w:t>
            </w:r>
          </w:p>
        </w:tc>
        <w:tc>
          <w:tcPr>
            <w:tcW w:w="4880"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十八、未按照国家标准制定动火、进入受限空间等特殊作业管理制度，或者制度未有效执行。</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制定有特殊作业管理制度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6"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19</w:t>
            </w:r>
          </w:p>
        </w:tc>
        <w:tc>
          <w:tcPr>
            <w:tcW w:w="4881"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十九、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restart"/>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安全设施提升项目，仅新建一座甲类仓库，不涉及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6"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p>
        </w:tc>
        <w:tc>
          <w:tcPr>
            <w:tcW w:w="4881" w:type="dxa"/>
            <w:shd w:val="clear" w:color="auto" w:fill="auto"/>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二十、未按国家标准分区分类储存危险化学品，超量、超品种储存危险化学品，相互禁配物质混放混存。</w:t>
            </w:r>
          </w:p>
        </w:tc>
        <w:tc>
          <w:tcPr>
            <w:tcW w:w="700"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c>
          <w:tcPr>
            <w:tcW w:w="707" w:type="dxa"/>
            <w:vMerge w:val="continue"/>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2357" w:type="dxa"/>
            <w:shd w:val="clear" w:color="auto" w:fill="auto"/>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现场未发现超量、超品种存储、混放混存</w:t>
            </w:r>
          </w:p>
        </w:tc>
      </w:tr>
    </w:tbl>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2、评价小节</w:t>
      </w:r>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对该单元采用安全检查表法分析，共进行了20项内容的检查分析，均符合要求。</w:t>
      </w:r>
    </w:p>
    <w:p>
      <w:pPr>
        <w:wordWrap w:val="0"/>
        <w:adjustRightInd w:val="0"/>
        <w:snapToGrid w:val="0"/>
        <w:spacing w:line="560" w:lineRule="exact"/>
        <w:jc w:val="center"/>
        <w:textAlignment w:val="center"/>
        <w:outlineLvl w:val="1"/>
        <w:rPr>
          <w:b/>
          <w:bCs/>
          <w:color w:val="auto"/>
          <w:kern w:val="0"/>
          <w:szCs w:val="28"/>
        </w:rPr>
      </w:pPr>
      <w:bookmarkStart w:id="230" w:name="_Toc16927"/>
      <w:bookmarkStart w:id="231" w:name="_Toc1706"/>
      <w:bookmarkStart w:id="232" w:name="_Toc6533"/>
      <w:r>
        <w:rPr>
          <w:rFonts w:hint="eastAsia"/>
          <w:b/>
          <w:bCs/>
          <w:color w:val="auto"/>
          <w:kern w:val="0"/>
          <w:szCs w:val="28"/>
        </w:rPr>
        <w:t>5.9 法律法规符合性检查单元</w:t>
      </w:r>
      <w:bookmarkEnd w:id="230"/>
      <w:bookmarkEnd w:id="231"/>
      <w:bookmarkEnd w:id="232"/>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本项目法律法规符合性检查评价表见表5.9-1。</w:t>
      </w:r>
    </w:p>
    <w:p>
      <w:pPr>
        <w:wordWrap w:val="0"/>
        <w:adjustRightInd w:val="0"/>
        <w:snapToGrid w:val="0"/>
        <w:spacing w:line="560" w:lineRule="exact"/>
        <w:jc w:val="center"/>
        <w:textAlignment w:val="center"/>
        <w:rPr>
          <w:color w:val="auto"/>
          <w:kern w:val="0"/>
          <w:szCs w:val="28"/>
        </w:rPr>
      </w:pPr>
      <w:r>
        <w:rPr>
          <w:rFonts w:hint="eastAsia"/>
          <w:color w:val="auto"/>
          <w:kern w:val="0"/>
          <w:szCs w:val="28"/>
        </w:rPr>
        <w:t>表5.9-1  法律法规符合性检查评价表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2718"/>
        <w:gridCol w:w="5067"/>
        <w:gridCol w:w="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93"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序号</w:t>
            </w: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检查项目和内容</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实际情况</w:t>
            </w:r>
          </w:p>
        </w:tc>
        <w:tc>
          <w:tcPr>
            <w:tcW w:w="693"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项目备案文件</w:t>
            </w:r>
          </w:p>
        </w:tc>
        <w:tc>
          <w:tcPr>
            <w:tcW w:w="50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项目规划、选址等文件</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有土地证</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项目安全条件审查批复</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安全预评价已提交备案</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项目试生产方案专家审核</w:t>
            </w:r>
          </w:p>
        </w:tc>
        <w:tc>
          <w:tcPr>
            <w:tcW w:w="50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不涉及</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安全设计审查</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安全设计</w:t>
            </w:r>
            <w:r>
              <w:rPr>
                <w:rFonts w:hint="eastAsia" w:cs="Times New Roman"/>
                <w:color w:val="auto"/>
                <w:kern w:val="0"/>
                <w:sz w:val="21"/>
                <w:szCs w:val="21"/>
              </w:rPr>
              <w:t>专篇已通过专家评审</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防雷装置检测检验报告</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有，处于有效期内</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应急预案备案文件</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有，2023年3月8日备案</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项目消防验收文件</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hint="eastAsia"/>
                <w:color w:val="auto"/>
                <w:sz w:val="21"/>
                <w:szCs w:val="20"/>
              </w:rPr>
              <w:t>有</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设计单位必须具有相关资质</w:t>
            </w:r>
          </w:p>
        </w:tc>
        <w:tc>
          <w:tcPr>
            <w:tcW w:w="50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化工石化医药</w:t>
            </w:r>
            <w:r>
              <w:rPr>
                <w:rFonts w:hint="eastAsia" w:cs="Times New Roman"/>
                <w:color w:val="auto"/>
                <w:kern w:val="0"/>
                <w:sz w:val="21"/>
                <w:szCs w:val="21"/>
              </w:rPr>
              <w:t>行业工程设计乙</w:t>
            </w:r>
            <w:r>
              <w:rPr>
                <w:rFonts w:cs="Times New Roman"/>
                <w:color w:val="auto"/>
                <w:kern w:val="0"/>
                <w:sz w:val="21"/>
                <w:szCs w:val="21"/>
              </w:rPr>
              <w:t>级</w:t>
            </w:r>
            <w:r>
              <w:rPr>
                <w:rFonts w:hint="eastAsia" w:cs="Times New Roman"/>
                <w:color w:val="auto"/>
                <w:kern w:val="0"/>
                <w:sz w:val="21"/>
                <w:szCs w:val="21"/>
              </w:rPr>
              <w:t>、建筑行业工程设计建筑工程乙级</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施工单位必须具有相关资质</w:t>
            </w:r>
          </w:p>
        </w:tc>
        <w:tc>
          <w:tcPr>
            <w:tcW w:w="50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建筑工程施工总承包三级、机电工程施工总承包三级、消防设施工程专业承包二级</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监理单位必须具有相关资质</w:t>
            </w:r>
          </w:p>
        </w:tc>
        <w:tc>
          <w:tcPr>
            <w:tcW w:w="506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房屋建筑工程监理甲级</w:t>
            </w:r>
            <w:r>
              <w:rPr>
                <w:rFonts w:hint="eastAsia" w:cs="Times New Roman"/>
                <w:color w:val="auto"/>
                <w:kern w:val="0"/>
                <w:sz w:val="21"/>
                <w:szCs w:val="21"/>
              </w:rPr>
              <w:t>、机电安装工程监理甲级</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建设项目是否满足安全生产法律、法规、规章规范的要求。</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整改完成后，满足安全生产法律、法规、规章规范的要求</w:t>
            </w:r>
          </w:p>
        </w:tc>
        <w:tc>
          <w:tcPr>
            <w:tcW w:w="693" w:type="dxa"/>
            <w:vAlign w:val="center"/>
          </w:tcPr>
          <w:p>
            <w:pPr>
              <w:suppressAutoHyphens/>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安全设施、设备装置是否与主体项目同时设计、同时施工、同时投入生产和使用。</w:t>
            </w:r>
          </w:p>
        </w:tc>
        <w:tc>
          <w:tcPr>
            <w:tcW w:w="5067" w:type="dxa"/>
            <w:vAlign w:val="center"/>
          </w:tcPr>
          <w:p>
            <w:pPr>
              <w:suppressAutoHyphens/>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安全设施、设备装置与主体项目同时设计、同时施工、同时投入生产和使用，</w:t>
            </w:r>
            <w:r>
              <w:rPr>
                <w:rFonts w:cs="Times New Roman"/>
                <w:bCs/>
                <w:color w:val="auto"/>
                <w:kern w:val="0"/>
                <w:sz w:val="21"/>
                <w:szCs w:val="21"/>
              </w:rPr>
              <w:t>符合安全生产要求。</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安全生产管理措施是否到位。</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该公司根据所建立的安全生产责任制度、安全管理制度和制定的安全技术操作规程、应急预案进行安全管理，安全管理措施到位。并在生产作业过程中不断补充完善。</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安全生产规章制度是否健全。</w:t>
            </w:r>
          </w:p>
        </w:tc>
        <w:tc>
          <w:tcPr>
            <w:tcW w:w="5067" w:type="dxa"/>
            <w:vAlign w:val="center"/>
          </w:tcPr>
          <w:p>
            <w:pPr>
              <w:suppressAutoHyphens/>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制定有相关安全生产规章制度</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是否建立了事故应急救援预案。</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该公司根据生产使用物料的品种、数量、危险性质以及可能引起化学事故的特点，建立了相应的事故应急救援预案。</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建设项目的各项设施的检验、检测情况及试运行情况。</w:t>
            </w:r>
          </w:p>
        </w:tc>
        <w:tc>
          <w:tcPr>
            <w:tcW w:w="5067"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各项设施的检验、检测情况情况良好。</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dxa"/>
            <w:vAlign w:val="center"/>
          </w:tcPr>
          <w:p>
            <w:pPr>
              <w:numPr>
                <w:ilvl w:val="0"/>
                <w:numId w:val="7"/>
              </w:numPr>
              <w:suppressAutoHyphens/>
              <w:wordWrap w:val="0"/>
              <w:adjustRightInd w:val="0"/>
              <w:snapToGrid w:val="0"/>
              <w:spacing w:line="240" w:lineRule="auto"/>
              <w:ind w:left="0" w:firstLine="0"/>
              <w:jc w:val="center"/>
              <w:textAlignment w:val="center"/>
              <w:rPr>
                <w:rFonts w:cs="Times New Roman"/>
                <w:color w:val="auto"/>
                <w:kern w:val="0"/>
                <w:sz w:val="21"/>
                <w:szCs w:val="21"/>
              </w:rPr>
            </w:pPr>
          </w:p>
        </w:tc>
        <w:tc>
          <w:tcPr>
            <w:tcW w:w="2718" w:type="dxa"/>
            <w:vAlign w:val="center"/>
          </w:tcPr>
          <w:p>
            <w:pPr>
              <w:suppressAutoHyphens/>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安全预评价</w:t>
            </w:r>
            <w:r>
              <w:rPr>
                <w:rFonts w:cs="Times New Roman"/>
                <w:color w:val="auto"/>
                <w:kern w:val="0"/>
                <w:sz w:val="21"/>
                <w:szCs w:val="21"/>
              </w:rPr>
              <w:t>报告中各项安全对策措施建议落实情况。</w:t>
            </w:r>
          </w:p>
        </w:tc>
        <w:tc>
          <w:tcPr>
            <w:tcW w:w="5067" w:type="dxa"/>
            <w:vAlign w:val="center"/>
          </w:tcPr>
          <w:p>
            <w:pPr>
              <w:suppressAutoHyphens/>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本项目安全预评价</w:t>
            </w:r>
            <w:r>
              <w:rPr>
                <w:rFonts w:cs="Times New Roman"/>
                <w:color w:val="auto"/>
                <w:kern w:val="0"/>
                <w:sz w:val="21"/>
                <w:szCs w:val="21"/>
              </w:rPr>
              <w:t>报告在“补充的对策措施及建议”中提出的对策措施，设计单位</w:t>
            </w:r>
            <w:r>
              <w:rPr>
                <w:rFonts w:hint="eastAsia" w:cs="Times New Roman"/>
                <w:color w:val="auto"/>
                <w:kern w:val="0"/>
                <w:sz w:val="21"/>
                <w:szCs w:val="21"/>
              </w:rPr>
              <w:t>大部分</w:t>
            </w:r>
            <w:r>
              <w:rPr>
                <w:rFonts w:cs="Times New Roman"/>
                <w:color w:val="auto"/>
                <w:kern w:val="0"/>
                <w:sz w:val="21"/>
                <w:szCs w:val="21"/>
              </w:rPr>
              <w:t>采纳并落实在施工设计中。</w:t>
            </w:r>
          </w:p>
        </w:tc>
        <w:tc>
          <w:tcPr>
            <w:tcW w:w="693"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bl>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评价小节：对该单元采用安全检查表法分析，共进行了18项内容的检查分析，均符合要求。</w:t>
      </w:r>
    </w:p>
    <w:p>
      <w:pPr>
        <w:wordWrap w:val="0"/>
        <w:adjustRightInd w:val="0"/>
        <w:snapToGrid w:val="0"/>
        <w:spacing w:line="560" w:lineRule="exact"/>
        <w:jc w:val="center"/>
        <w:textAlignment w:val="center"/>
        <w:outlineLvl w:val="1"/>
        <w:rPr>
          <w:b/>
          <w:bCs/>
          <w:color w:val="auto"/>
          <w:kern w:val="0"/>
          <w:szCs w:val="28"/>
        </w:rPr>
      </w:pPr>
      <w:bookmarkStart w:id="233" w:name="_Toc12494"/>
      <w:bookmarkStart w:id="234" w:name="_Toc10953"/>
      <w:bookmarkStart w:id="235" w:name="_Toc15493"/>
      <w:r>
        <w:rPr>
          <w:rFonts w:hint="eastAsia"/>
          <w:b/>
          <w:bCs/>
          <w:color w:val="auto"/>
          <w:kern w:val="0"/>
          <w:szCs w:val="28"/>
        </w:rPr>
        <w:t>5.10 风险程度的分析结果</w:t>
      </w:r>
      <w:bookmarkEnd w:id="233"/>
      <w:bookmarkEnd w:id="234"/>
      <w:bookmarkEnd w:id="235"/>
    </w:p>
    <w:p>
      <w:pPr>
        <w:wordWrap w:val="0"/>
        <w:adjustRightInd w:val="0"/>
        <w:snapToGrid w:val="0"/>
        <w:spacing w:line="560" w:lineRule="exact"/>
        <w:ind w:firstLine="560" w:firstLineChars="200"/>
        <w:textAlignment w:val="center"/>
        <w:rPr>
          <w:color w:val="auto"/>
          <w:kern w:val="0"/>
          <w:szCs w:val="28"/>
        </w:rPr>
      </w:pPr>
      <w:r>
        <w:rPr>
          <w:rFonts w:hint="eastAsia"/>
          <w:color w:val="auto"/>
          <w:kern w:val="0"/>
          <w:szCs w:val="28"/>
        </w:rPr>
        <w:t>本项目为安全设施提升改造项目，仅涉及新建1个甲类仓库，不涉及工艺变更。主要涉及储存的危险化学品为：环氧树脂、环氧树脂固化剂、溶剂型丙烯酸树脂、聚氨酯树脂、氟碳树脂、二甲苯、醋酸丁酯、正丁醇、丙烯酸树脂涂料、聚氨酯树脂涂料、环氧树脂涂料、氟碳树脂涂料，主要涉及的均为易燃易爆物料，因此本项目主要的风险为火灾爆炸。</w:t>
      </w:r>
    </w:p>
    <w:p>
      <w:pPr>
        <w:wordWrap w:val="0"/>
        <w:adjustRightInd w:val="0"/>
        <w:snapToGrid w:val="0"/>
        <w:spacing w:line="560" w:lineRule="exact"/>
        <w:jc w:val="center"/>
        <w:textAlignment w:val="center"/>
        <w:rPr>
          <w:color w:val="auto"/>
          <w:kern w:val="0"/>
          <w:szCs w:val="28"/>
        </w:rPr>
      </w:pPr>
      <w:r>
        <w:rPr>
          <w:rFonts w:hint="eastAsia"/>
          <w:color w:val="auto"/>
          <w:kern w:val="0"/>
          <w:szCs w:val="28"/>
        </w:rPr>
        <w:t>表5.10-1  物料泄漏的可能性分析</w:t>
      </w:r>
    </w:p>
    <w:tbl>
      <w:tblPr>
        <w:tblStyle w:val="24"/>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3650"/>
        <w:gridCol w:w="1156"/>
        <w:gridCol w:w="37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365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发生泄漏的可能原因</w:t>
            </w:r>
          </w:p>
        </w:tc>
        <w:tc>
          <w:tcPr>
            <w:tcW w:w="115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可能性分级</w:t>
            </w:r>
          </w:p>
        </w:tc>
        <w:tc>
          <w:tcPr>
            <w:tcW w:w="372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预防措施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365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包装材料</w:t>
            </w:r>
            <w:r>
              <w:rPr>
                <w:rFonts w:cs="Times New Roman"/>
                <w:color w:val="auto"/>
                <w:kern w:val="0"/>
                <w:sz w:val="21"/>
                <w:szCs w:val="21"/>
              </w:rPr>
              <w:t>密封不严泄漏</w:t>
            </w:r>
          </w:p>
        </w:tc>
        <w:tc>
          <w:tcPr>
            <w:tcW w:w="115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偶尔发生</w:t>
            </w:r>
          </w:p>
        </w:tc>
        <w:tc>
          <w:tcPr>
            <w:tcW w:w="372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对可能发生泄漏的部位进行经常检查，</w:t>
            </w:r>
            <w:r>
              <w:rPr>
                <w:rFonts w:hint="eastAsia" w:cs="Times New Roman"/>
                <w:color w:val="auto"/>
                <w:kern w:val="0"/>
                <w:sz w:val="21"/>
                <w:szCs w:val="21"/>
              </w:rPr>
              <w:t>设置放流散，泄露收集措施</w:t>
            </w:r>
            <w:r>
              <w:rPr>
                <w:rFonts w:cs="Times New Roman"/>
                <w:color w:val="auto"/>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365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腐蚀泄漏</w:t>
            </w:r>
          </w:p>
        </w:tc>
        <w:tc>
          <w:tcPr>
            <w:tcW w:w="115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偶尔发生</w:t>
            </w:r>
          </w:p>
        </w:tc>
        <w:tc>
          <w:tcPr>
            <w:tcW w:w="372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包装材料</w:t>
            </w:r>
            <w:r>
              <w:rPr>
                <w:rFonts w:cs="Times New Roman"/>
                <w:color w:val="auto"/>
                <w:kern w:val="0"/>
                <w:sz w:val="21"/>
                <w:szCs w:val="21"/>
              </w:rPr>
              <w:t>选取相应的防腐材料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1"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3650"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人员误操作导致物料外泄</w:t>
            </w:r>
          </w:p>
        </w:tc>
        <w:tc>
          <w:tcPr>
            <w:tcW w:w="1156"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容易发生</w:t>
            </w:r>
          </w:p>
        </w:tc>
        <w:tc>
          <w:tcPr>
            <w:tcW w:w="372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按操作规程进行作业</w:t>
            </w:r>
          </w:p>
        </w:tc>
      </w:tr>
    </w:tbl>
    <w:p>
      <w:pPr>
        <w:pStyle w:val="3"/>
        <w:keepNext w:val="0"/>
        <w:keepLines w:val="0"/>
        <w:wordWrap w:val="0"/>
        <w:adjustRightInd w:val="0"/>
        <w:snapToGrid w:val="0"/>
        <w:spacing w:line="580" w:lineRule="exact"/>
        <w:jc w:val="center"/>
        <w:textAlignment w:val="center"/>
        <w:rPr>
          <w:color w:val="auto"/>
          <w:kern w:val="0"/>
          <w:sz w:val="32"/>
          <w:szCs w:val="32"/>
        </w:rPr>
      </w:pPr>
      <w:bookmarkStart w:id="236" w:name="_Toc3440"/>
      <w:bookmarkStart w:id="237" w:name="_Toc19967"/>
      <w:bookmarkStart w:id="238" w:name="_Toc10887"/>
      <w:r>
        <w:rPr>
          <w:rFonts w:hint="eastAsia"/>
          <w:color w:val="auto"/>
          <w:kern w:val="0"/>
          <w:sz w:val="32"/>
          <w:szCs w:val="32"/>
        </w:rPr>
        <w:t>6 安全条件和安全生产条件的分析结果</w:t>
      </w:r>
      <w:bookmarkEnd w:id="236"/>
      <w:bookmarkEnd w:id="237"/>
      <w:bookmarkEnd w:id="238"/>
    </w:p>
    <w:p>
      <w:pPr>
        <w:wordWrap w:val="0"/>
        <w:adjustRightInd w:val="0"/>
        <w:snapToGrid w:val="0"/>
        <w:spacing w:line="580" w:lineRule="exact"/>
        <w:jc w:val="center"/>
        <w:textAlignment w:val="center"/>
        <w:outlineLvl w:val="1"/>
        <w:rPr>
          <w:b/>
          <w:bCs/>
          <w:color w:val="auto"/>
          <w:kern w:val="0"/>
        </w:rPr>
      </w:pPr>
      <w:bookmarkStart w:id="239" w:name="_Toc3691"/>
      <w:bookmarkStart w:id="240" w:name="_Toc21087"/>
      <w:bookmarkStart w:id="241" w:name="_Toc13153"/>
      <w:r>
        <w:rPr>
          <w:rFonts w:hint="eastAsia"/>
          <w:b/>
          <w:bCs/>
          <w:color w:val="auto"/>
          <w:kern w:val="0"/>
        </w:rPr>
        <w:t>6.1 建设项目的安全条件</w:t>
      </w:r>
      <w:r>
        <w:rPr>
          <w:b/>
          <w:bCs/>
          <w:color w:val="auto"/>
          <w:kern w:val="0"/>
        </w:rPr>
        <w:t>安全对策措施的依据</w:t>
      </w:r>
      <w:bookmarkEnd w:id="239"/>
      <w:bookmarkEnd w:id="240"/>
      <w:bookmarkEnd w:id="241"/>
    </w:p>
    <w:p>
      <w:pPr>
        <w:wordWrap w:val="0"/>
        <w:adjustRightInd w:val="0"/>
        <w:snapToGrid w:val="0"/>
        <w:spacing w:line="580" w:lineRule="exact"/>
        <w:textAlignment w:val="center"/>
        <w:outlineLvl w:val="2"/>
        <w:rPr>
          <w:b/>
          <w:bCs/>
          <w:color w:val="auto"/>
          <w:kern w:val="0"/>
        </w:rPr>
      </w:pPr>
      <w:bookmarkStart w:id="242" w:name="_Toc25863"/>
      <w:r>
        <w:rPr>
          <w:rFonts w:hint="eastAsia"/>
          <w:b/>
          <w:bCs/>
          <w:color w:val="auto"/>
          <w:kern w:val="0"/>
        </w:rPr>
        <w:t>6</w:t>
      </w:r>
      <w:r>
        <w:rPr>
          <w:b/>
          <w:bCs/>
          <w:color w:val="auto"/>
          <w:kern w:val="0"/>
        </w:rPr>
        <w:t>.1.1</w:t>
      </w:r>
      <w:r>
        <w:rPr>
          <w:rFonts w:hint="eastAsia"/>
          <w:b/>
          <w:bCs/>
          <w:color w:val="auto"/>
          <w:kern w:val="0"/>
        </w:rPr>
        <w:t xml:space="preserve"> </w:t>
      </w:r>
      <w:r>
        <w:rPr>
          <w:b/>
          <w:bCs/>
          <w:color w:val="auto"/>
          <w:kern w:val="0"/>
        </w:rPr>
        <w:t>建设项目与国家和当地政府产业政策与布局的符合性</w:t>
      </w:r>
      <w:bookmarkEnd w:id="242"/>
    </w:p>
    <w:p>
      <w:pPr>
        <w:wordWrap w:val="0"/>
        <w:adjustRightInd w:val="0"/>
        <w:snapToGrid w:val="0"/>
        <w:ind w:firstLine="573"/>
        <w:textAlignment w:val="center"/>
        <w:rPr>
          <w:bCs/>
          <w:color w:val="auto"/>
          <w:szCs w:val="28"/>
        </w:rPr>
      </w:pPr>
      <w:r>
        <w:rPr>
          <w:rFonts w:hint="eastAsia"/>
          <w:bCs/>
          <w:color w:val="auto"/>
          <w:szCs w:val="28"/>
        </w:rPr>
        <w:t>本</w:t>
      </w:r>
      <w:r>
        <w:rPr>
          <w:bCs/>
          <w:color w:val="auto"/>
          <w:szCs w:val="28"/>
        </w:rPr>
        <w:t>项目</w:t>
      </w:r>
      <w:r>
        <w:rPr>
          <w:rFonts w:hint="eastAsia"/>
          <w:bCs/>
          <w:color w:val="auto"/>
          <w:szCs w:val="28"/>
        </w:rPr>
        <w:t>为安全生产设施技术改造项目，不涉及新改扩，现有厂址及相关内容已通过安全验收，本次评价不对整个厂区的选址进行评价，同时根据项目立项，该公司安全生产设施技术改造项目配套建设750m</w:t>
      </w:r>
      <w:r>
        <w:rPr>
          <w:rFonts w:hint="eastAsia"/>
          <w:bCs/>
          <w:color w:val="auto"/>
          <w:szCs w:val="28"/>
          <w:vertAlign w:val="superscript"/>
        </w:rPr>
        <w:t>3</w:t>
      </w:r>
      <w:r>
        <w:rPr>
          <w:rFonts w:hint="eastAsia"/>
          <w:bCs/>
          <w:color w:val="auto"/>
          <w:szCs w:val="28"/>
        </w:rPr>
        <w:t>甲类仓库一座，位于厂区现有西北角的预留地处，其他建筑物均不发生改变。</w:t>
      </w:r>
    </w:p>
    <w:p>
      <w:pPr>
        <w:wordWrap w:val="0"/>
        <w:adjustRightInd w:val="0"/>
        <w:snapToGrid w:val="0"/>
        <w:ind w:firstLine="560" w:firstLineChars="200"/>
        <w:jc w:val="left"/>
        <w:textAlignment w:val="center"/>
        <w:rPr>
          <w:color w:val="auto"/>
          <w:szCs w:val="28"/>
        </w:rPr>
      </w:pPr>
      <w:r>
        <w:rPr>
          <w:color w:val="auto"/>
          <w:szCs w:val="28"/>
        </w:rPr>
        <w:t>1</w:t>
      </w:r>
      <w:r>
        <w:rPr>
          <w:rFonts w:hint="eastAsia"/>
          <w:color w:val="auto"/>
          <w:szCs w:val="28"/>
        </w:rPr>
        <w:t>、</w:t>
      </w:r>
      <w:r>
        <w:rPr>
          <w:color w:val="auto"/>
          <w:szCs w:val="28"/>
        </w:rPr>
        <w:t>本项目</w:t>
      </w:r>
      <w:r>
        <w:rPr>
          <w:rFonts w:hint="eastAsia"/>
          <w:color w:val="auto"/>
          <w:szCs w:val="28"/>
        </w:rPr>
        <w:t>新建106甲类仓库</w:t>
      </w:r>
      <w:r>
        <w:rPr>
          <w:color w:val="auto"/>
          <w:szCs w:val="28"/>
        </w:rPr>
        <w:t>不构成危险化学品重大危险源；本项目</w:t>
      </w:r>
      <w:r>
        <w:rPr>
          <w:rFonts w:hint="eastAsia"/>
          <w:color w:val="auto"/>
          <w:szCs w:val="28"/>
        </w:rPr>
        <w:t>新建106甲类仓库外部安全防护距离50m</w:t>
      </w:r>
      <w:r>
        <w:rPr>
          <w:color w:val="auto"/>
          <w:szCs w:val="28"/>
        </w:rPr>
        <w:t>内无高敏感场所（如学校、医院、幼儿园、养老院等）；无重要目标（如党政机关、军事管理区、文物保护单位等）；无特殊高密度场所（如大型体育场、大型交通枢纽等）和居住类高密度场所（如居民区、宾馆、度假村等）；无公众聚集类高密度场所（如办公场所、商场、饭店、娱乐场所等）；无低密度人员场所（单个或少量暴露人员）。</w:t>
      </w:r>
    </w:p>
    <w:p>
      <w:pPr>
        <w:wordWrap w:val="0"/>
        <w:adjustRightInd w:val="0"/>
        <w:snapToGrid w:val="0"/>
        <w:ind w:firstLine="560" w:firstLineChars="200"/>
        <w:jc w:val="left"/>
        <w:textAlignment w:val="center"/>
        <w:rPr>
          <w:color w:val="auto"/>
          <w:szCs w:val="28"/>
        </w:rPr>
      </w:pPr>
      <w:r>
        <w:rPr>
          <w:color w:val="auto"/>
          <w:szCs w:val="28"/>
        </w:rPr>
        <w:t>2</w:t>
      </w:r>
      <w:r>
        <w:rPr>
          <w:rFonts w:hint="eastAsia"/>
          <w:color w:val="auto"/>
          <w:szCs w:val="28"/>
        </w:rPr>
        <w:t>、</w:t>
      </w:r>
      <w:r>
        <w:rPr>
          <w:color w:val="auto"/>
          <w:szCs w:val="28"/>
        </w:rPr>
        <w:t>距离</w:t>
      </w:r>
      <w:r>
        <w:rPr>
          <w:rFonts w:hint="eastAsia"/>
          <w:color w:val="auto"/>
          <w:szCs w:val="28"/>
        </w:rPr>
        <w:t>赣江2700m</w:t>
      </w:r>
      <w:r>
        <w:rPr>
          <w:color w:val="auto"/>
          <w:szCs w:val="28"/>
        </w:rPr>
        <w:t>，</w:t>
      </w:r>
      <w:r>
        <w:rPr>
          <w:rFonts w:hint="eastAsia"/>
          <w:color w:val="auto"/>
          <w:szCs w:val="28"/>
        </w:rPr>
        <w:t>且不属在防洪区内，受到暴雨、洪水等洪涝灾害影响的可能性较小</w:t>
      </w:r>
      <w:r>
        <w:rPr>
          <w:color w:val="auto"/>
          <w:szCs w:val="28"/>
        </w:rPr>
        <w:t>。</w:t>
      </w:r>
    </w:p>
    <w:p>
      <w:pPr>
        <w:wordWrap w:val="0"/>
        <w:adjustRightInd w:val="0"/>
        <w:snapToGrid w:val="0"/>
        <w:ind w:firstLine="560" w:firstLineChars="200"/>
        <w:textAlignment w:val="center"/>
        <w:rPr>
          <w:color w:val="auto"/>
          <w:szCs w:val="28"/>
        </w:rPr>
      </w:pPr>
      <w:r>
        <w:rPr>
          <w:color w:val="auto"/>
          <w:szCs w:val="28"/>
        </w:rPr>
        <w:t>3</w:t>
      </w:r>
      <w:r>
        <w:rPr>
          <w:rFonts w:hint="eastAsia"/>
          <w:color w:val="auto"/>
          <w:szCs w:val="28"/>
        </w:rPr>
        <w:t>、</w:t>
      </w:r>
      <w:r>
        <w:rPr>
          <w:color w:val="auto"/>
          <w:szCs w:val="28"/>
        </w:rPr>
        <w:t>本项目选址符合</w:t>
      </w:r>
      <w:r>
        <w:rPr>
          <w:rFonts w:hint="eastAsia"/>
          <w:color w:val="auto"/>
          <w:szCs w:val="28"/>
        </w:rPr>
        <w:t>《精细化工企业工程设计防火标准》、</w:t>
      </w:r>
      <w:r>
        <w:rPr>
          <w:color w:val="auto"/>
          <w:szCs w:val="28"/>
        </w:rPr>
        <w:t>《工业企业总平面设计规范》、《建筑设计防火规范》等相关标准要求。</w:t>
      </w:r>
    </w:p>
    <w:p>
      <w:pPr>
        <w:wordWrap w:val="0"/>
        <w:adjustRightInd w:val="0"/>
        <w:snapToGrid w:val="0"/>
        <w:ind w:firstLine="560" w:firstLineChars="200"/>
        <w:textAlignment w:val="center"/>
        <w:rPr>
          <w:color w:val="auto"/>
          <w:kern w:val="0"/>
        </w:rPr>
      </w:pPr>
      <w:r>
        <w:rPr>
          <w:rFonts w:hint="eastAsia"/>
          <w:color w:val="auto"/>
          <w:szCs w:val="28"/>
        </w:rPr>
        <w:t>4、</w:t>
      </w:r>
      <w:r>
        <w:rPr>
          <w:rFonts w:hint="eastAsia"/>
          <w:color w:val="auto"/>
          <w:kern w:val="0"/>
        </w:rPr>
        <w:t>根据《产业结构调整指导目录（2019年本）》（2021年修改）的规定，本项目不属于国家限制类和淘汰类的产业项目。</w:t>
      </w:r>
    </w:p>
    <w:p>
      <w:pPr>
        <w:wordWrap w:val="0"/>
        <w:adjustRightInd w:val="0"/>
        <w:snapToGrid w:val="0"/>
        <w:spacing w:line="580" w:lineRule="exact"/>
        <w:ind w:firstLine="560" w:firstLineChars="200"/>
        <w:textAlignment w:val="center"/>
        <w:rPr>
          <w:color w:val="auto"/>
          <w:kern w:val="0"/>
        </w:rPr>
      </w:pPr>
      <w:r>
        <w:rPr>
          <w:color w:val="auto"/>
          <w:kern w:val="0"/>
        </w:rPr>
        <w:t>综上所述，</w:t>
      </w:r>
      <w:r>
        <w:rPr>
          <w:rFonts w:hint="eastAsia"/>
          <w:color w:val="auto"/>
          <w:kern w:val="0"/>
        </w:rPr>
        <w:t>本项目</w:t>
      </w:r>
      <w:r>
        <w:rPr>
          <w:color w:val="auto"/>
          <w:kern w:val="0"/>
        </w:rPr>
        <w:t>建设符合国家和当地政府产业政策与布局。</w:t>
      </w:r>
    </w:p>
    <w:p>
      <w:pPr>
        <w:wordWrap w:val="0"/>
        <w:adjustRightInd w:val="0"/>
        <w:snapToGrid w:val="0"/>
        <w:spacing w:line="580" w:lineRule="exact"/>
        <w:textAlignment w:val="center"/>
        <w:outlineLvl w:val="2"/>
        <w:rPr>
          <w:b/>
          <w:bCs/>
          <w:color w:val="auto"/>
          <w:kern w:val="0"/>
        </w:rPr>
      </w:pPr>
      <w:bookmarkStart w:id="243" w:name="_Toc12068"/>
      <w:r>
        <w:rPr>
          <w:rFonts w:hint="eastAsia"/>
          <w:b/>
          <w:bCs/>
          <w:color w:val="auto"/>
          <w:kern w:val="0"/>
        </w:rPr>
        <w:t>6</w:t>
      </w:r>
      <w:r>
        <w:rPr>
          <w:b/>
          <w:bCs/>
          <w:color w:val="auto"/>
          <w:kern w:val="0"/>
        </w:rPr>
        <w:t>.1.2</w:t>
      </w:r>
      <w:r>
        <w:rPr>
          <w:rFonts w:hint="eastAsia"/>
          <w:b/>
          <w:bCs/>
          <w:color w:val="auto"/>
          <w:kern w:val="0"/>
        </w:rPr>
        <w:t xml:space="preserve"> </w:t>
      </w:r>
      <w:r>
        <w:rPr>
          <w:b/>
          <w:bCs/>
          <w:color w:val="auto"/>
          <w:kern w:val="0"/>
        </w:rPr>
        <w:t>建设项目与当地政府区域规划的符合性</w:t>
      </w:r>
      <w:bookmarkEnd w:id="243"/>
    </w:p>
    <w:p>
      <w:pPr>
        <w:wordWrap w:val="0"/>
        <w:adjustRightInd w:val="0"/>
        <w:snapToGrid w:val="0"/>
        <w:ind w:firstLine="560" w:firstLineChars="200"/>
        <w:textAlignment w:val="center"/>
        <w:rPr>
          <w:color w:val="auto"/>
          <w:kern w:val="0"/>
        </w:rPr>
      </w:pPr>
      <w:r>
        <w:rPr>
          <w:rFonts w:hint="eastAsia"/>
          <w:color w:val="auto"/>
          <w:kern w:val="0"/>
        </w:rPr>
        <w:t>1、本项目为安全设施提升项目，于2022年07月05日通过丰城市行政审批局的备案通知，项目文号：JG2205-360981-07-02-497709。</w:t>
      </w:r>
    </w:p>
    <w:p>
      <w:pPr>
        <w:wordWrap w:val="0"/>
        <w:adjustRightInd w:val="0"/>
        <w:snapToGrid w:val="0"/>
        <w:ind w:firstLine="560" w:firstLineChars="200"/>
        <w:textAlignment w:val="center"/>
        <w:rPr>
          <w:color w:val="auto"/>
          <w:kern w:val="0"/>
        </w:rPr>
      </w:pPr>
      <w:r>
        <w:rPr>
          <w:rFonts w:hint="eastAsia"/>
          <w:color w:val="auto"/>
          <w:kern w:val="0"/>
        </w:rPr>
        <w:t>2、本项目安全预评价</w:t>
      </w:r>
      <w:r>
        <w:rPr>
          <w:color w:val="auto"/>
          <w:kern w:val="0"/>
        </w:rPr>
        <w:t>报告由</w:t>
      </w:r>
      <w:r>
        <w:rPr>
          <w:rFonts w:hint="eastAsia"/>
          <w:color w:val="auto"/>
          <w:kern w:val="0"/>
        </w:rPr>
        <w:t>江西赣昌安全生产科技服务有限公司编制，于2022年07月25日获得丰城市应急管理局颁发的《化学品健设项目安全条件申查意书》，文号：丰危化项目安条审字[2022]04号。</w:t>
      </w:r>
    </w:p>
    <w:p>
      <w:pPr>
        <w:wordWrap w:val="0"/>
        <w:adjustRightInd w:val="0"/>
        <w:snapToGrid w:val="0"/>
        <w:spacing w:line="580" w:lineRule="exact"/>
        <w:ind w:firstLine="560" w:firstLineChars="200"/>
        <w:textAlignment w:val="center"/>
        <w:rPr>
          <w:color w:val="auto"/>
          <w:kern w:val="0"/>
        </w:rPr>
      </w:pPr>
      <w:r>
        <w:rPr>
          <w:rFonts w:hint="eastAsia"/>
          <w:color w:val="auto"/>
          <w:kern w:val="0"/>
        </w:rPr>
        <w:t>3、本项目</w:t>
      </w:r>
      <w:r>
        <w:rPr>
          <w:color w:val="auto"/>
          <w:kern w:val="0"/>
        </w:rPr>
        <w:t>属于</w:t>
      </w:r>
      <w:r>
        <w:rPr>
          <w:rFonts w:hint="eastAsia"/>
          <w:color w:val="auto"/>
          <w:kern w:val="0"/>
        </w:rPr>
        <w:t>安全设施提升</w:t>
      </w:r>
      <w:r>
        <w:rPr>
          <w:color w:val="auto"/>
          <w:kern w:val="0"/>
        </w:rPr>
        <w:t>项目，该公司已取得了土地证、建设工程规划许可证等相关文件。项目符合当地政府区域规划。</w:t>
      </w:r>
    </w:p>
    <w:p>
      <w:pPr>
        <w:wordWrap w:val="0"/>
        <w:adjustRightInd w:val="0"/>
        <w:snapToGrid w:val="0"/>
        <w:spacing w:line="580" w:lineRule="exact"/>
        <w:textAlignment w:val="center"/>
        <w:outlineLvl w:val="2"/>
        <w:rPr>
          <w:b/>
          <w:bCs/>
          <w:color w:val="auto"/>
          <w:kern w:val="0"/>
        </w:rPr>
      </w:pPr>
      <w:bookmarkStart w:id="244" w:name="_Toc26178"/>
      <w:r>
        <w:rPr>
          <w:rFonts w:hint="eastAsia"/>
          <w:b/>
          <w:bCs/>
          <w:color w:val="auto"/>
          <w:kern w:val="0"/>
        </w:rPr>
        <w:t>6</w:t>
      </w:r>
      <w:r>
        <w:rPr>
          <w:b/>
          <w:bCs/>
          <w:color w:val="auto"/>
          <w:kern w:val="0"/>
        </w:rPr>
        <w:t>.1.3</w:t>
      </w:r>
      <w:r>
        <w:rPr>
          <w:rFonts w:hint="eastAsia"/>
          <w:b/>
          <w:bCs/>
          <w:color w:val="auto"/>
          <w:kern w:val="0"/>
        </w:rPr>
        <w:t xml:space="preserve"> </w:t>
      </w:r>
      <w:r>
        <w:rPr>
          <w:b/>
          <w:bCs/>
          <w:color w:val="auto"/>
          <w:kern w:val="0"/>
        </w:rPr>
        <w:t>建设项目选址符合性</w:t>
      </w:r>
      <w:bookmarkEnd w:id="244"/>
    </w:p>
    <w:p>
      <w:pPr>
        <w:wordWrap w:val="0"/>
        <w:adjustRightInd w:val="0"/>
        <w:snapToGrid w:val="0"/>
        <w:ind w:firstLine="618" w:firstLineChars="221"/>
        <w:textAlignment w:val="center"/>
        <w:rPr>
          <w:bCs/>
          <w:color w:val="auto"/>
          <w:szCs w:val="28"/>
        </w:rPr>
      </w:pPr>
      <w:r>
        <w:rPr>
          <w:rFonts w:hint="eastAsia"/>
          <w:bCs/>
          <w:color w:val="auto"/>
          <w:szCs w:val="28"/>
        </w:rPr>
        <w:t>江西景新漆业股份有限公司</w:t>
      </w:r>
      <w:r>
        <w:rPr>
          <w:bCs/>
          <w:color w:val="auto"/>
          <w:szCs w:val="28"/>
        </w:rPr>
        <w:t>位于</w:t>
      </w:r>
      <w:r>
        <w:rPr>
          <w:rFonts w:cs="Times New Roman"/>
          <w:snapToGrid w:val="0"/>
          <w:color w:val="auto"/>
          <w:kern w:val="0"/>
          <w:szCs w:val="28"/>
        </w:rPr>
        <w:t>江西省丰城市高新技术产业园区</w:t>
      </w:r>
      <w:r>
        <w:rPr>
          <w:rFonts w:hint="eastAsia"/>
          <w:bCs/>
          <w:color w:val="auto"/>
          <w:szCs w:val="28"/>
        </w:rPr>
        <w:t>内</w:t>
      </w:r>
      <w:r>
        <w:rPr>
          <w:bCs/>
          <w:color w:val="auto"/>
          <w:szCs w:val="28"/>
        </w:rPr>
        <w:t>。</w:t>
      </w:r>
      <w:r>
        <w:rPr>
          <w:rFonts w:hint="eastAsia"/>
          <w:bCs/>
          <w:color w:val="auto"/>
          <w:szCs w:val="28"/>
        </w:rPr>
        <w:t>厂区坐北朝南布置，厂区总体呈长方形。本项目新建的106甲类仓库位于厂区现有西北角的预留地处。厂区东面为剑丰门业有限公司；东北面距离厂区720m处为丰家小区；东南面距离厂区720m处为丰城中等专业学校；南面为园区道路、道路对面为丰城市水泥制品厂、泰山石膏江西有限公司，距离厂区300m处为邬家村庄，距离厂区1100m处为宏岗社区，距离厂区1300m处为丰城工业园小学，距离厂区2700m处为赣江；西面为江西酷客新型建材有限公司厂房（丁类），距离厂区615m处为北坑社区；西南面为江西添峰新型建材公司民建；北面为丰城巨龙管业有限公司、江西铭远传动设备有限公司，距离厂区295m处为渔梓洲村庄，距离厂区710m处为邹家村，距离厂区760m处为杨溪小学及杨溪社区。厂区中部现存的一条500kV架空高压线塔（塔高40m）。</w:t>
      </w:r>
    </w:p>
    <w:p>
      <w:pPr>
        <w:wordWrap w:val="0"/>
        <w:adjustRightInd w:val="0"/>
        <w:snapToGrid w:val="0"/>
        <w:ind w:firstLine="618" w:firstLineChars="221"/>
        <w:textAlignment w:val="center"/>
        <w:rPr>
          <w:color w:val="auto"/>
          <w:kern w:val="0"/>
        </w:rPr>
      </w:pPr>
      <w:r>
        <w:rPr>
          <w:rFonts w:hint="eastAsia"/>
          <w:bCs/>
          <w:color w:val="auto"/>
          <w:szCs w:val="28"/>
        </w:rPr>
        <w:t>项目周边内无其他重要公共建筑、供水水源地、水厂及水源保护区、车站码头、湖泊、风景名胜区和自然保护区等《危险化学品安全管理条例》规定8类区域或重要环境敏感点。</w:t>
      </w:r>
      <w:r>
        <w:rPr>
          <w:color w:val="auto"/>
          <w:kern w:val="0"/>
        </w:rPr>
        <w:t>厂址交通条件便利，建设环境条件良好。</w:t>
      </w:r>
    </w:p>
    <w:p>
      <w:pPr>
        <w:wordWrap w:val="0"/>
        <w:adjustRightInd w:val="0"/>
        <w:snapToGrid w:val="0"/>
        <w:spacing w:line="580" w:lineRule="exact"/>
        <w:ind w:firstLine="560" w:firstLineChars="200"/>
        <w:textAlignment w:val="center"/>
        <w:rPr>
          <w:color w:val="auto"/>
          <w:kern w:val="0"/>
        </w:rPr>
      </w:pPr>
      <w:r>
        <w:rPr>
          <w:rFonts w:hint="eastAsia"/>
          <w:color w:val="auto"/>
          <w:kern w:val="0"/>
        </w:rPr>
        <w:t>本项目</w:t>
      </w:r>
      <w:r>
        <w:rPr>
          <w:color w:val="auto"/>
          <w:kern w:val="0"/>
        </w:rPr>
        <w:t>生产车间与周边企业的建筑物的间距符合主要建构筑物间的防火间距</w:t>
      </w:r>
      <w:r>
        <w:rPr>
          <w:rFonts w:hint="eastAsia"/>
          <w:color w:val="auto"/>
          <w:szCs w:val="28"/>
        </w:rPr>
        <w:t>《精细化工企业工程设计防火标准》、</w:t>
      </w:r>
      <w:r>
        <w:rPr>
          <w:rFonts w:hint="eastAsia"/>
          <w:color w:val="auto"/>
          <w:kern w:val="0"/>
        </w:rPr>
        <w:t>、</w:t>
      </w:r>
      <w:r>
        <w:rPr>
          <w:color w:val="auto"/>
          <w:kern w:val="0"/>
        </w:rPr>
        <w:t>《建筑防火设计规范》的要求。</w:t>
      </w:r>
    </w:p>
    <w:p>
      <w:pPr>
        <w:wordWrap w:val="0"/>
        <w:adjustRightInd w:val="0"/>
        <w:snapToGrid w:val="0"/>
        <w:spacing w:line="580" w:lineRule="exact"/>
        <w:ind w:firstLine="560" w:firstLineChars="200"/>
        <w:textAlignment w:val="center"/>
        <w:rPr>
          <w:color w:val="auto"/>
          <w:kern w:val="0"/>
        </w:rPr>
      </w:pPr>
      <w:r>
        <w:rPr>
          <w:color w:val="auto"/>
          <w:kern w:val="0"/>
        </w:rPr>
        <w:t>厂址周边500m内无基本农田保护区、畜牧区、渔业水域和种子、种畜、水产苗种生产基地；项目周边无湖泊、风景名胜区和自然保护区。项目周边无军事禁区、军事管理区；项目周边无法律、行政法规规定予以保护的其他区域。</w:t>
      </w:r>
    </w:p>
    <w:p>
      <w:pPr>
        <w:wordWrap w:val="0"/>
        <w:adjustRightInd w:val="0"/>
        <w:snapToGrid w:val="0"/>
        <w:spacing w:line="580" w:lineRule="exact"/>
        <w:ind w:firstLine="560" w:firstLineChars="200"/>
        <w:textAlignment w:val="center"/>
        <w:rPr>
          <w:color w:val="auto"/>
          <w:kern w:val="0"/>
        </w:rPr>
      </w:pPr>
      <w:r>
        <w:rPr>
          <w:rFonts w:hint="eastAsia"/>
          <w:color w:val="auto"/>
          <w:kern w:val="0"/>
        </w:rPr>
        <w:t>本项目</w:t>
      </w:r>
      <w:r>
        <w:rPr>
          <w:color w:val="auto"/>
          <w:kern w:val="0"/>
        </w:rPr>
        <w:t>选址及周边环境符合性情况具体见表</w:t>
      </w:r>
      <w:r>
        <w:rPr>
          <w:rFonts w:hint="eastAsia"/>
          <w:color w:val="auto"/>
          <w:kern w:val="0"/>
        </w:rPr>
        <w:t>5</w:t>
      </w:r>
      <w:r>
        <w:rPr>
          <w:color w:val="auto"/>
          <w:kern w:val="0"/>
        </w:rPr>
        <w:t>.</w:t>
      </w:r>
      <w:r>
        <w:rPr>
          <w:rFonts w:hint="eastAsia"/>
          <w:color w:val="auto"/>
          <w:kern w:val="0"/>
        </w:rPr>
        <w:t>1</w:t>
      </w:r>
      <w:r>
        <w:rPr>
          <w:color w:val="auto"/>
          <w:kern w:val="0"/>
        </w:rPr>
        <w:t>-</w:t>
      </w:r>
      <w:r>
        <w:rPr>
          <w:rFonts w:hint="eastAsia"/>
          <w:color w:val="auto"/>
          <w:kern w:val="0"/>
        </w:rPr>
        <w:t>2</w:t>
      </w:r>
      <w:r>
        <w:rPr>
          <w:color w:val="auto"/>
          <w:kern w:val="0"/>
        </w:rPr>
        <w:t>、表</w:t>
      </w:r>
      <w:r>
        <w:rPr>
          <w:rFonts w:hint="eastAsia"/>
          <w:color w:val="auto"/>
          <w:kern w:val="0"/>
        </w:rPr>
        <w:t>5</w:t>
      </w:r>
      <w:r>
        <w:rPr>
          <w:color w:val="auto"/>
          <w:kern w:val="0"/>
        </w:rPr>
        <w:t>.</w:t>
      </w:r>
      <w:r>
        <w:rPr>
          <w:rFonts w:hint="eastAsia"/>
          <w:color w:val="auto"/>
          <w:kern w:val="0"/>
        </w:rPr>
        <w:t>1</w:t>
      </w:r>
      <w:r>
        <w:rPr>
          <w:color w:val="auto"/>
          <w:kern w:val="0"/>
        </w:rPr>
        <w:t>-</w:t>
      </w:r>
      <w:r>
        <w:rPr>
          <w:rFonts w:hint="eastAsia"/>
          <w:color w:val="auto"/>
          <w:kern w:val="0"/>
        </w:rPr>
        <w:t>3</w:t>
      </w:r>
      <w:r>
        <w:rPr>
          <w:color w:val="auto"/>
          <w:kern w:val="0"/>
        </w:rPr>
        <w:t>。通过见表</w:t>
      </w:r>
      <w:r>
        <w:rPr>
          <w:rFonts w:hint="eastAsia"/>
          <w:color w:val="auto"/>
          <w:kern w:val="0"/>
        </w:rPr>
        <w:t>5</w:t>
      </w:r>
      <w:r>
        <w:rPr>
          <w:color w:val="auto"/>
          <w:kern w:val="0"/>
        </w:rPr>
        <w:t>.</w:t>
      </w:r>
      <w:r>
        <w:rPr>
          <w:rFonts w:hint="eastAsia"/>
          <w:color w:val="auto"/>
          <w:kern w:val="0"/>
        </w:rPr>
        <w:t>1</w:t>
      </w:r>
      <w:r>
        <w:rPr>
          <w:color w:val="auto"/>
          <w:kern w:val="0"/>
        </w:rPr>
        <w:t>-</w:t>
      </w:r>
      <w:r>
        <w:rPr>
          <w:rFonts w:hint="eastAsia"/>
          <w:color w:val="auto"/>
          <w:kern w:val="0"/>
        </w:rPr>
        <w:t>2</w:t>
      </w:r>
      <w:r>
        <w:rPr>
          <w:color w:val="auto"/>
          <w:kern w:val="0"/>
        </w:rPr>
        <w:t>、表</w:t>
      </w:r>
      <w:r>
        <w:rPr>
          <w:rFonts w:hint="eastAsia"/>
          <w:color w:val="auto"/>
          <w:kern w:val="0"/>
        </w:rPr>
        <w:t>5</w:t>
      </w:r>
      <w:r>
        <w:rPr>
          <w:color w:val="auto"/>
          <w:kern w:val="0"/>
        </w:rPr>
        <w:t>.</w:t>
      </w:r>
      <w:r>
        <w:rPr>
          <w:rFonts w:hint="eastAsia"/>
          <w:color w:val="auto"/>
          <w:kern w:val="0"/>
        </w:rPr>
        <w:t>1</w:t>
      </w:r>
      <w:r>
        <w:rPr>
          <w:color w:val="auto"/>
          <w:kern w:val="0"/>
        </w:rPr>
        <w:t>-</w:t>
      </w:r>
      <w:r>
        <w:rPr>
          <w:rFonts w:hint="eastAsia"/>
          <w:color w:val="auto"/>
          <w:kern w:val="0"/>
        </w:rPr>
        <w:t>3</w:t>
      </w:r>
      <w:r>
        <w:rPr>
          <w:color w:val="auto"/>
          <w:kern w:val="0"/>
        </w:rPr>
        <w:t>，选址符合要求。</w:t>
      </w:r>
    </w:p>
    <w:p>
      <w:pPr>
        <w:wordWrap w:val="0"/>
        <w:adjustRightInd w:val="0"/>
        <w:snapToGrid w:val="0"/>
        <w:spacing w:line="580" w:lineRule="exact"/>
        <w:textAlignment w:val="center"/>
        <w:outlineLvl w:val="2"/>
        <w:rPr>
          <w:b/>
          <w:bCs/>
          <w:color w:val="auto"/>
          <w:kern w:val="0"/>
        </w:rPr>
      </w:pPr>
      <w:bookmarkStart w:id="245" w:name="_Toc28021"/>
      <w:r>
        <w:rPr>
          <w:rFonts w:hint="eastAsia"/>
          <w:b/>
          <w:bCs/>
          <w:color w:val="auto"/>
          <w:kern w:val="0"/>
        </w:rPr>
        <w:t>6</w:t>
      </w:r>
      <w:r>
        <w:rPr>
          <w:b/>
          <w:bCs/>
          <w:color w:val="auto"/>
          <w:kern w:val="0"/>
        </w:rPr>
        <w:t>.1.4</w:t>
      </w:r>
      <w:r>
        <w:rPr>
          <w:rFonts w:hint="eastAsia"/>
          <w:b/>
          <w:bCs/>
          <w:color w:val="auto"/>
          <w:kern w:val="0"/>
        </w:rPr>
        <w:t xml:space="preserve"> </w:t>
      </w:r>
      <w:r>
        <w:rPr>
          <w:b/>
          <w:bCs/>
          <w:color w:val="auto"/>
          <w:kern w:val="0"/>
        </w:rPr>
        <w:t>项目与“八类场所”的距离情况</w:t>
      </w:r>
      <w:bookmarkEnd w:id="245"/>
    </w:p>
    <w:p>
      <w:pPr>
        <w:wordWrap w:val="0"/>
        <w:adjustRightInd w:val="0"/>
        <w:snapToGrid w:val="0"/>
        <w:spacing w:line="580" w:lineRule="exact"/>
        <w:ind w:firstLine="560" w:firstLineChars="200"/>
        <w:textAlignment w:val="center"/>
        <w:rPr>
          <w:color w:val="auto"/>
          <w:kern w:val="0"/>
        </w:rPr>
      </w:pPr>
      <w:r>
        <w:rPr>
          <w:color w:val="auto"/>
          <w:kern w:val="0"/>
        </w:rPr>
        <w:t>根据《危险化学品重大危险源辨识》（GB18218-2018）对</w:t>
      </w:r>
      <w:r>
        <w:rPr>
          <w:rFonts w:hint="eastAsia"/>
          <w:color w:val="auto"/>
          <w:kern w:val="0"/>
        </w:rPr>
        <w:t>本项目</w:t>
      </w:r>
      <w:r>
        <w:rPr>
          <w:color w:val="auto"/>
          <w:kern w:val="0"/>
        </w:rPr>
        <w:t>中重大危险源进行辨识。经过辨识，</w:t>
      </w:r>
      <w:r>
        <w:rPr>
          <w:rFonts w:hint="eastAsia"/>
          <w:color w:val="auto"/>
          <w:kern w:val="0"/>
        </w:rPr>
        <w:t>本</w:t>
      </w:r>
      <w:r>
        <w:rPr>
          <w:color w:val="auto"/>
          <w:kern w:val="0"/>
        </w:rPr>
        <w:t>项目</w:t>
      </w:r>
      <w:r>
        <w:rPr>
          <w:rFonts w:hint="eastAsia"/>
          <w:color w:val="auto"/>
          <w:kern w:val="0"/>
        </w:rPr>
        <w:t>不</w:t>
      </w:r>
      <w:r>
        <w:rPr>
          <w:color w:val="auto"/>
          <w:kern w:val="0"/>
        </w:rPr>
        <w:t>构成重大危险源。</w:t>
      </w:r>
    </w:p>
    <w:p>
      <w:pPr>
        <w:wordWrap w:val="0"/>
        <w:adjustRightInd w:val="0"/>
        <w:snapToGrid w:val="0"/>
        <w:jc w:val="center"/>
        <w:textAlignment w:val="center"/>
        <w:rPr>
          <w:color w:val="auto"/>
          <w:kern w:val="0"/>
        </w:rPr>
      </w:pPr>
      <w:r>
        <w:rPr>
          <w:color w:val="auto"/>
          <w:kern w:val="0"/>
        </w:rPr>
        <w:t>表</w:t>
      </w:r>
      <w:r>
        <w:rPr>
          <w:rFonts w:hint="eastAsia"/>
          <w:color w:val="auto"/>
          <w:kern w:val="0"/>
        </w:rPr>
        <w:t>6</w:t>
      </w:r>
      <w:r>
        <w:rPr>
          <w:color w:val="auto"/>
          <w:kern w:val="0"/>
        </w:rPr>
        <w:t xml:space="preserve">.1-1 </w:t>
      </w:r>
      <w:r>
        <w:rPr>
          <w:rFonts w:hint="eastAsia"/>
          <w:color w:val="auto"/>
          <w:kern w:val="0"/>
        </w:rPr>
        <w:t xml:space="preserve"> </w:t>
      </w:r>
      <w:r>
        <w:rPr>
          <w:color w:val="auto"/>
          <w:kern w:val="0"/>
        </w:rPr>
        <w:t>项目与“八类场所”的距离情况一览表</w:t>
      </w:r>
    </w:p>
    <w:tbl>
      <w:tblPr>
        <w:tblStyle w:val="24"/>
        <w:tblW w:w="9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
        <w:gridCol w:w="3487"/>
        <w:gridCol w:w="3098"/>
        <w:gridCol w:w="1636"/>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3487"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重要场所、区域</w:t>
            </w:r>
          </w:p>
        </w:tc>
        <w:tc>
          <w:tcPr>
            <w:tcW w:w="3098"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与装置边界的距离</w:t>
            </w:r>
          </w:p>
        </w:tc>
        <w:tc>
          <w:tcPr>
            <w:tcW w:w="1636"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规范要求间距</w:t>
            </w:r>
          </w:p>
        </w:tc>
        <w:tc>
          <w:tcPr>
            <w:tcW w:w="705"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居民区、商业中心、公园等人口密集区域</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距离南侧</w:t>
            </w:r>
            <w:r>
              <w:rPr>
                <w:rFonts w:cs="Times New Roman"/>
                <w:color w:val="auto"/>
                <w:kern w:val="0"/>
                <w:sz w:val="21"/>
                <w:szCs w:val="21"/>
              </w:rPr>
              <w:t>最近人口密集区</w:t>
            </w:r>
            <w:r>
              <w:rPr>
                <w:rFonts w:hint="eastAsia" w:cs="Times New Roman"/>
                <w:color w:val="auto"/>
                <w:kern w:val="0"/>
                <w:sz w:val="21"/>
                <w:szCs w:val="21"/>
              </w:rPr>
              <w:t>300</w:t>
            </w:r>
            <w:r>
              <w:rPr>
                <w:rFonts w:cs="Times New Roman"/>
                <w:color w:val="auto"/>
                <w:kern w:val="0"/>
                <w:sz w:val="21"/>
                <w:szCs w:val="21"/>
              </w:rPr>
              <w:t>m</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学校、医院、影剧院、体育场（馆）等公共设施</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500m内无其他学校、医院、影剧院、体育场（馆）等公共设施</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供水水源、水厂及水源保护区</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1000m内无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环保法规</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车站、码头（按照国家规定，经批准，专门从事危险化学品装卸作业的除外）、机场以及公路、铁路、水路交通干线、地铁风亭及出入口</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500m内无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《公路安全保护条例》100m</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《铁路安全管理条例》30m</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基本农田保护区、畜牧区、渔业水域和种子、种畜、水产苗种生产基地</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河流、湖泊、风景名胜区和自然保护区</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7</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军事禁区、军事管理区</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8</w:t>
            </w:r>
          </w:p>
        </w:tc>
        <w:tc>
          <w:tcPr>
            <w:tcW w:w="348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法律、行政法规规定予以保护的其他区域</w:t>
            </w:r>
          </w:p>
        </w:tc>
        <w:tc>
          <w:tcPr>
            <w:tcW w:w="3098"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无</w:t>
            </w:r>
          </w:p>
        </w:tc>
        <w:tc>
          <w:tcPr>
            <w:tcW w:w="163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外部安全防</w:t>
            </w:r>
            <w:r>
              <w:rPr>
                <w:rFonts w:hint="eastAsia" w:cs="Times New Roman"/>
                <w:color w:val="auto"/>
                <w:kern w:val="0"/>
                <w:sz w:val="21"/>
                <w:szCs w:val="21"/>
              </w:rPr>
              <w:t>火</w:t>
            </w:r>
            <w:r>
              <w:rPr>
                <w:rFonts w:cs="Times New Roman"/>
                <w:color w:val="auto"/>
                <w:kern w:val="0"/>
                <w:sz w:val="21"/>
                <w:szCs w:val="21"/>
              </w:rPr>
              <w:t>距离</w:t>
            </w:r>
          </w:p>
        </w:tc>
        <w:tc>
          <w:tcPr>
            <w:tcW w:w="705"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w:t>
            </w:r>
          </w:p>
        </w:tc>
      </w:tr>
    </w:tbl>
    <w:p>
      <w:pPr>
        <w:wordWrap w:val="0"/>
        <w:adjustRightInd w:val="0"/>
        <w:snapToGrid w:val="0"/>
        <w:ind w:firstLine="560" w:firstLineChars="200"/>
        <w:textAlignment w:val="center"/>
        <w:rPr>
          <w:color w:val="auto"/>
          <w:kern w:val="0"/>
        </w:rPr>
      </w:pPr>
      <w:r>
        <w:rPr>
          <w:color w:val="auto"/>
          <w:kern w:val="0"/>
        </w:rPr>
        <w:t>因此，</w:t>
      </w:r>
      <w:r>
        <w:rPr>
          <w:rFonts w:hint="eastAsia"/>
          <w:color w:val="auto"/>
          <w:kern w:val="0"/>
        </w:rPr>
        <w:t>本</w:t>
      </w:r>
      <w:r>
        <w:rPr>
          <w:color w:val="auto"/>
          <w:kern w:val="0"/>
        </w:rPr>
        <w:t>项目与“八类场所”的安全间距符合要求；</w:t>
      </w:r>
      <w:r>
        <w:rPr>
          <w:rFonts w:hint="eastAsia"/>
          <w:color w:val="auto"/>
          <w:kern w:val="0"/>
        </w:rPr>
        <w:t>本</w:t>
      </w:r>
      <w:r>
        <w:rPr>
          <w:color w:val="auto"/>
          <w:kern w:val="0"/>
        </w:rPr>
        <w:t>项目物料运输量较大，如果存在道路运输车辆连锁火灾、爆炸，车辆设备受损及人员中毒、伤亡，周边道路堵塞，甚至有造成环境污染等社会影响恶劣事件发生的可能。该公司应加强对危险物质的管理，应当登记建档，进行定期检测、评估、监控，制定应急预案并经常性演练，告知从业人员和相关人员在紧急情况下应当采取的应急措施，将本单位重大危险源及有关安全措施、应急措施报有关部门备案。</w:t>
      </w:r>
    </w:p>
    <w:p>
      <w:pPr>
        <w:wordWrap w:val="0"/>
        <w:adjustRightInd w:val="0"/>
        <w:snapToGrid w:val="0"/>
        <w:textAlignment w:val="center"/>
        <w:outlineLvl w:val="2"/>
        <w:rPr>
          <w:b/>
          <w:bCs/>
          <w:color w:val="auto"/>
          <w:kern w:val="0"/>
        </w:rPr>
      </w:pPr>
      <w:bookmarkStart w:id="246" w:name="_Toc19302"/>
      <w:r>
        <w:rPr>
          <w:rFonts w:hint="eastAsia"/>
          <w:b/>
          <w:bCs/>
          <w:color w:val="auto"/>
          <w:kern w:val="0"/>
        </w:rPr>
        <w:t>6</w:t>
      </w:r>
      <w:r>
        <w:rPr>
          <w:b/>
          <w:bCs/>
          <w:color w:val="auto"/>
          <w:kern w:val="0"/>
        </w:rPr>
        <w:t>.1.</w:t>
      </w:r>
      <w:r>
        <w:rPr>
          <w:rFonts w:hint="eastAsia"/>
          <w:b/>
          <w:bCs/>
          <w:color w:val="auto"/>
          <w:kern w:val="0"/>
        </w:rPr>
        <w:t xml:space="preserve">5 </w:t>
      </w:r>
      <w:r>
        <w:rPr>
          <w:b/>
          <w:bCs/>
          <w:color w:val="auto"/>
          <w:kern w:val="0"/>
        </w:rPr>
        <w:t>建设项目对周边生产、经营活动和居民生活的影响</w:t>
      </w:r>
      <w:bookmarkEnd w:id="246"/>
    </w:p>
    <w:p>
      <w:pPr>
        <w:wordWrap w:val="0"/>
        <w:adjustRightInd w:val="0"/>
        <w:snapToGrid w:val="0"/>
        <w:ind w:firstLine="560" w:firstLineChars="200"/>
        <w:textAlignment w:val="center"/>
        <w:rPr>
          <w:color w:val="auto"/>
          <w:kern w:val="0"/>
        </w:rPr>
      </w:pPr>
      <w:r>
        <w:rPr>
          <w:rFonts w:hint="eastAsia"/>
          <w:color w:val="auto"/>
          <w:kern w:val="0"/>
        </w:rPr>
        <w:t>本</w:t>
      </w:r>
      <w:r>
        <w:rPr>
          <w:color w:val="auto"/>
          <w:kern w:val="0"/>
        </w:rPr>
        <w:t>项目距离最近的企业主要建构筑物间的防火间距《建筑防火设计规范》的要求。</w:t>
      </w:r>
    </w:p>
    <w:p>
      <w:pPr>
        <w:wordWrap w:val="0"/>
        <w:adjustRightInd w:val="0"/>
        <w:snapToGrid w:val="0"/>
        <w:ind w:firstLine="560" w:firstLineChars="200"/>
        <w:textAlignment w:val="center"/>
        <w:rPr>
          <w:color w:val="auto"/>
          <w:kern w:val="0"/>
        </w:rPr>
      </w:pPr>
      <w:r>
        <w:rPr>
          <w:color w:val="auto"/>
          <w:kern w:val="0"/>
        </w:rPr>
        <w:t>对于“三废”，采取相关措施进行处理后再进行排放。如采用废气设置处理装置处理后，通过排气筒排放。固体废渣按国家有关规定由有资质的单位处置，降低了对周围环境的污染。</w:t>
      </w:r>
    </w:p>
    <w:p>
      <w:pPr>
        <w:wordWrap w:val="0"/>
        <w:adjustRightInd w:val="0"/>
        <w:snapToGrid w:val="0"/>
        <w:ind w:firstLine="560" w:firstLineChars="200"/>
        <w:textAlignment w:val="center"/>
        <w:rPr>
          <w:color w:val="auto"/>
          <w:kern w:val="0"/>
        </w:rPr>
      </w:pPr>
      <w:r>
        <w:rPr>
          <w:color w:val="auto"/>
          <w:kern w:val="0"/>
        </w:rPr>
        <w:t>厂内主要噪声源为</w:t>
      </w:r>
      <w:r>
        <w:rPr>
          <w:rFonts w:hint="eastAsia"/>
          <w:color w:val="auto"/>
          <w:kern w:val="0"/>
        </w:rPr>
        <w:t>风机</w:t>
      </w:r>
      <w:r>
        <w:rPr>
          <w:color w:val="auto"/>
          <w:kern w:val="0"/>
        </w:rPr>
        <w:t>类，对</w:t>
      </w:r>
      <w:r>
        <w:rPr>
          <w:rFonts w:hint="eastAsia"/>
          <w:color w:val="auto"/>
          <w:kern w:val="0"/>
        </w:rPr>
        <w:t>风机</w:t>
      </w:r>
      <w:r>
        <w:rPr>
          <w:color w:val="auto"/>
          <w:kern w:val="0"/>
        </w:rPr>
        <w:t>进行必要的降噪处理以及有效的隔音消声措施，保证其达到《工业企业厂界噪声标准》之规定。</w:t>
      </w:r>
    </w:p>
    <w:p>
      <w:pPr>
        <w:wordWrap w:val="0"/>
        <w:adjustRightInd w:val="0"/>
        <w:snapToGrid w:val="0"/>
        <w:ind w:firstLine="560" w:firstLineChars="200"/>
        <w:textAlignment w:val="center"/>
        <w:rPr>
          <w:color w:val="auto"/>
          <w:kern w:val="0"/>
        </w:rPr>
      </w:pPr>
      <w:r>
        <w:rPr>
          <w:rFonts w:hint="eastAsia"/>
          <w:color w:val="auto"/>
          <w:kern w:val="0"/>
        </w:rPr>
        <w:t>本</w:t>
      </w:r>
      <w:r>
        <w:rPr>
          <w:color w:val="auto"/>
          <w:kern w:val="0"/>
        </w:rPr>
        <w:t>项目</w:t>
      </w:r>
      <w:r>
        <w:rPr>
          <w:rFonts w:hint="eastAsia"/>
          <w:color w:val="auto"/>
          <w:kern w:val="0"/>
        </w:rPr>
        <w:t>依托厂区现有的</w:t>
      </w:r>
      <w:r>
        <w:rPr>
          <w:color w:val="auto"/>
          <w:kern w:val="0"/>
        </w:rPr>
        <w:t>消防总用水量相应容量的事故污水收集池，以免污染周围水体环境。</w:t>
      </w:r>
    </w:p>
    <w:p>
      <w:pPr>
        <w:wordWrap w:val="0"/>
        <w:adjustRightInd w:val="0"/>
        <w:snapToGrid w:val="0"/>
        <w:ind w:firstLine="560" w:firstLineChars="200"/>
        <w:textAlignment w:val="center"/>
        <w:rPr>
          <w:color w:val="auto"/>
          <w:kern w:val="0"/>
        </w:rPr>
      </w:pPr>
      <w:r>
        <w:rPr>
          <w:color w:val="auto"/>
          <w:kern w:val="0"/>
        </w:rPr>
        <w:t>因此，</w:t>
      </w:r>
      <w:r>
        <w:rPr>
          <w:rFonts w:hint="eastAsia"/>
          <w:color w:val="auto"/>
          <w:kern w:val="0"/>
        </w:rPr>
        <w:t>本</w:t>
      </w:r>
      <w:r>
        <w:rPr>
          <w:color w:val="auto"/>
          <w:kern w:val="0"/>
        </w:rPr>
        <w:t>项目建成投产后正常运行时不会对周围环境产生较大影响。</w:t>
      </w:r>
    </w:p>
    <w:p>
      <w:pPr>
        <w:wordWrap w:val="0"/>
        <w:adjustRightInd w:val="0"/>
        <w:snapToGrid w:val="0"/>
        <w:textAlignment w:val="center"/>
        <w:outlineLvl w:val="2"/>
        <w:rPr>
          <w:b/>
          <w:bCs/>
          <w:color w:val="auto"/>
          <w:kern w:val="0"/>
        </w:rPr>
      </w:pPr>
      <w:bookmarkStart w:id="247" w:name="_Toc11109"/>
      <w:r>
        <w:rPr>
          <w:rFonts w:hint="eastAsia"/>
          <w:b/>
          <w:bCs/>
          <w:color w:val="auto"/>
          <w:kern w:val="0"/>
        </w:rPr>
        <w:t>6</w:t>
      </w:r>
      <w:r>
        <w:rPr>
          <w:b/>
          <w:bCs/>
          <w:color w:val="auto"/>
          <w:kern w:val="0"/>
        </w:rPr>
        <w:t>.1.</w:t>
      </w:r>
      <w:r>
        <w:rPr>
          <w:rFonts w:hint="eastAsia"/>
          <w:b/>
          <w:bCs/>
          <w:color w:val="auto"/>
          <w:kern w:val="0"/>
        </w:rPr>
        <w:t>6</w:t>
      </w:r>
      <w:r>
        <w:rPr>
          <w:b/>
          <w:bCs/>
          <w:color w:val="auto"/>
          <w:kern w:val="0"/>
        </w:rPr>
        <w:t xml:space="preserve"> 建设项目周边生产、经营活动和居民生活情况对建设项目投入生产后的影响</w:t>
      </w:r>
      <w:bookmarkEnd w:id="247"/>
    </w:p>
    <w:p>
      <w:pPr>
        <w:wordWrap w:val="0"/>
        <w:adjustRightInd w:val="0"/>
        <w:snapToGrid w:val="0"/>
        <w:ind w:firstLine="560" w:firstLineChars="200"/>
        <w:textAlignment w:val="center"/>
        <w:rPr>
          <w:color w:val="auto"/>
          <w:kern w:val="0"/>
        </w:rPr>
      </w:pPr>
      <w:r>
        <w:rPr>
          <w:color w:val="auto"/>
          <w:kern w:val="0"/>
        </w:rPr>
        <w:t>从项目建设区域的位置上看，</w:t>
      </w:r>
      <w:r>
        <w:rPr>
          <w:rFonts w:hint="eastAsia"/>
          <w:color w:val="auto"/>
          <w:kern w:val="0"/>
        </w:rPr>
        <w:t>本</w:t>
      </w:r>
      <w:r>
        <w:rPr>
          <w:color w:val="auto"/>
          <w:kern w:val="0"/>
        </w:rPr>
        <w:t>项目与之相邻的项目、企业单位等均留相应的防火安全间距，避免火灾爆炸事故造成的不良影响。项目厂界距最近居民点距离大于</w:t>
      </w:r>
      <w:r>
        <w:rPr>
          <w:rFonts w:hint="eastAsia"/>
          <w:color w:val="auto"/>
          <w:kern w:val="0"/>
        </w:rPr>
        <w:t>3</w:t>
      </w:r>
      <w:r>
        <w:rPr>
          <w:color w:val="auto"/>
          <w:kern w:val="0"/>
        </w:rPr>
        <w:t>00m。该公司对进行厂区的人员及车辆管理严格，进出厂需通过门卫，均需登记检查，无关人员禁止入内。</w:t>
      </w:r>
    </w:p>
    <w:p>
      <w:pPr>
        <w:wordWrap w:val="0"/>
        <w:adjustRightInd w:val="0"/>
        <w:snapToGrid w:val="0"/>
        <w:ind w:firstLine="560" w:firstLineChars="200"/>
        <w:textAlignment w:val="center"/>
        <w:rPr>
          <w:color w:val="auto"/>
          <w:kern w:val="0"/>
        </w:rPr>
      </w:pPr>
      <w:r>
        <w:rPr>
          <w:color w:val="auto"/>
          <w:kern w:val="0"/>
        </w:rPr>
        <w:t>周边区域24h内均有人员活动，居民的生产经营活动一般不会对</w:t>
      </w:r>
      <w:r>
        <w:rPr>
          <w:rFonts w:hint="eastAsia"/>
          <w:color w:val="auto"/>
          <w:kern w:val="0"/>
        </w:rPr>
        <w:t>本项目</w:t>
      </w:r>
      <w:r>
        <w:rPr>
          <w:color w:val="auto"/>
          <w:kern w:val="0"/>
        </w:rPr>
        <w:t>的生产产生影响，但是如果没有健全的安全管理制度和措施，致使外部闲散人员能够随意进入该厂，也可对正常的生产经营活动造成不良影响。</w:t>
      </w:r>
    </w:p>
    <w:p>
      <w:pPr>
        <w:wordWrap w:val="0"/>
        <w:adjustRightInd w:val="0"/>
        <w:snapToGrid w:val="0"/>
        <w:ind w:firstLine="560" w:firstLineChars="200"/>
        <w:textAlignment w:val="center"/>
        <w:rPr>
          <w:color w:val="auto"/>
          <w:kern w:val="0"/>
        </w:rPr>
      </w:pPr>
      <w:r>
        <w:rPr>
          <w:color w:val="auto"/>
          <w:kern w:val="0"/>
        </w:rPr>
        <w:t>在正常生产情况下，项目周边生产、经营单位及居民对</w:t>
      </w:r>
      <w:r>
        <w:rPr>
          <w:rFonts w:hint="eastAsia"/>
          <w:color w:val="auto"/>
          <w:kern w:val="0"/>
        </w:rPr>
        <w:t>本项目</w:t>
      </w:r>
      <w:r>
        <w:rPr>
          <w:color w:val="auto"/>
          <w:kern w:val="0"/>
        </w:rPr>
        <w:t>的生产、经营活动没有影响。</w:t>
      </w:r>
    </w:p>
    <w:p>
      <w:pPr>
        <w:wordWrap w:val="0"/>
        <w:adjustRightInd w:val="0"/>
        <w:snapToGrid w:val="0"/>
        <w:ind w:firstLine="560" w:firstLineChars="200"/>
        <w:textAlignment w:val="center"/>
        <w:rPr>
          <w:color w:val="auto"/>
          <w:kern w:val="0"/>
        </w:rPr>
      </w:pPr>
      <w:r>
        <w:rPr>
          <w:color w:val="auto"/>
          <w:kern w:val="0"/>
        </w:rPr>
        <w:t>该项区域周边存在企业，如周边企业发生有毒气体泄漏事故，且有毒气体随大气扩散到周边其它场所，可能引起中毒事故。应引起项目单位的注意，采取有效措施，加以防范。</w:t>
      </w:r>
    </w:p>
    <w:p>
      <w:pPr>
        <w:wordWrap w:val="0"/>
        <w:adjustRightInd w:val="0"/>
        <w:snapToGrid w:val="0"/>
        <w:textAlignment w:val="center"/>
        <w:outlineLvl w:val="2"/>
        <w:rPr>
          <w:b/>
          <w:bCs/>
          <w:color w:val="auto"/>
          <w:kern w:val="0"/>
        </w:rPr>
      </w:pPr>
      <w:bookmarkStart w:id="248" w:name="_Toc24740"/>
      <w:r>
        <w:rPr>
          <w:rFonts w:hint="eastAsia"/>
          <w:b/>
          <w:bCs/>
          <w:color w:val="auto"/>
          <w:kern w:val="0"/>
        </w:rPr>
        <w:t>6</w:t>
      </w:r>
      <w:r>
        <w:rPr>
          <w:b/>
          <w:bCs/>
          <w:color w:val="auto"/>
          <w:kern w:val="0"/>
        </w:rPr>
        <w:t>.1.</w:t>
      </w:r>
      <w:r>
        <w:rPr>
          <w:rFonts w:hint="eastAsia"/>
          <w:b/>
          <w:bCs/>
          <w:color w:val="auto"/>
          <w:kern w:val="0"/>
        </w:rPr>
        <w:t>7</w:t>
      </w:r>
      <w:r>
        <w:rPr>
          <w:b/>
          <w:bCs/>
          <w:color w:val="auto"/>
          <w:kern w:val="0"/>
        </w:rPr>
        <w:t xml:space="preserve"> 建设项目所在地自然条件对建设项目投入生产后的影响</w:t>
      </w:r>
      <w:bookmarkEnd w:id="248"/>
    </w:p>
    <w:p>
      <w:pPr>
        <w:wordWrap w:val="0"/>
        <w:adjustRightInd w:val="0"/>
        <w:snapToGrid w:val="0"/>
        <w:ind w:firstLine="560" w:firstLineChars="200"/>
        <w:textAlignment w:val="center"/>
        <w:rPr>
          <w:color w:val="auto"/>
          <w:kern w:val="0"/>
        </w:rPr>
      </w:pPr>
      <w:r>
        <w:rPr>
          <w:color w:val="auto"/>
          <w:kern w:val="0"/>
        </w:rPr>
        <w:t>自然条件对</w:t>
      </w:r>
      <w:r>
        <w:rPr>
          <w:rFonts w:hint="eastAsia"/>
          <w:color w:val="auto"/>
          <w:kern w:val="0"/>
        </w:rPr>
        <w:t>本项目</w:t>
      </w:r>
      <w:r>
        <w:rPr>
          <w:color w:val="auto"/>
          <w:kern w:val="0"/>
        </w:rPr>
        <w:t>的影响因素主要包括地震、不良地质、暑热、冬季低温、雷击、洪水、内涝等因素。其中最主要的因素是地震、不良地质及雷击。</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项目为防暑热，在生产岗位应采取防暑降温措施；所在地极端最高气温为</w:t>
      </w:r>
      <w:r>
        <w:rPr>
          <w:rFonts w:hint="eastAsia"/>
          <w:color w:val="auto"/>
          <w:kern w:val="0"/>
        </w:rPr>
        <w:t>39.7</w:t>
      </w:r>
      <w:r>
        <w:rPr>
          <w:color w:val="auto"/>
          <w:kern w:val="0"/>
        </w:rPr>
        <w:t>℃，高温天气会加大生产物料硫酸等腐蚀性物料的腐蚀性，对生产储存装置会造成影响易引发其他事故。另外高气温也可造成人员中暑。</w:t>
      </w:r>
      <w:r>
        <w:rPr>
          <w:rFonts w:hint="eastAsia"/>
          <w:color w:val="auto"/>
          <w:kern w:val="0"/>
        </w:rPr>
        <w:t>本项目</w:t>
      </w:r>
      <w:r>
        <w:rPr>
          <w:color w:val="auto"/>
          <w:kern w:val="0"/>
        </w:rPr>
        <w:t>所在地极端最低气温为-</w:t>
      </w:r>
      <w:r>
        <w:rPr>
          <w:rFonts w:hint="eastAsia"/>
          <w:color w:val="auto"/>
          <w:kern w:val="0"/>
        </w:rPr>
        <w:t>0</w:t>
      </w:r>
      <w:r>
        <w:rPr>
          <w:color w:val="auto"/>
          <w:kern w:val="0"/>
        </w:rPr>
        <w:t>℃，对主体工程无影响。为防寒冻，应做采暖设计，并做好设备、管道、水池水管的防冻。</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、本项目</w:t>
      </w:r>
      <w:r>
        <w:rPr>
          <w:color w:val="auto"/>
          <w:kern w:val="0"/>
        </w:rPr>
        <w:t>厂址位于厂区场地地势</w:t>
      </w:r>
      <w:r>
        <w:rPr>
          <w:rFonts w:hint="eastAsia"/>
          <w:color w:val="auto"/>
          <w:kern w:val="0"/>
        </w:rPr>
        <w:t>平坦</w:t>
      </w:r>
      <w:r>
        <w:rPr>
          <w:color w:val="auto"/>
          <w:kern w:val="0"/>
        </w:rPr>
        <w:t>，厂址标高高于当地最高洪水位，厂址基本不受洪水威胁。厂址所在地夏季易发生暴雨，厂址标高高于四周的地面标高，发生暴雨不会造成内涝。</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建筑场地平坦开阔且局部已经人工平整，地层分布较为均匀，地基土均具有一定的承载能力。厂址所在地无泥石流及地面塌陷等地质现象。</w:t>
      </w:r>
    </w:p>
    <w:p>
      <w:pPr>
        <w:wordWrap w:val="0"/>
        <w:adjustRightInd w:val="0"/>
        <w:snapToGrid w:val="0"/>
        <w:ind w:firstLine="560" w:firstLineChars="200"/>
        <w:textAlignment w:val="center"/>
        <w:rPr>
          <w:color w:val="auto"/>
          <w:kern w:val="0"/>
        </w:rPr>
      </w:pPr>
      <w:r>
        <w:rPr>
          <w:rFonts w:hint="eastAsia"/>
          <w:color w:val="auto"/>
          <w:kern w:val="0"/>
        </w:rPr>
        <w:t>4、本项目</w:t>
      </w:r>
      <w:r>
        <w:rPr>
          <w:color w:val="auto"/>
          <w:kern w:val="0"/>
        </w:rPr>
        <w:t>厂址所在地的地形平坦，</w:t>
      </w:r>
      <w:r>
        <w:rPr>
          <w:rFonts w:hint="eastAsia"/>
          <w:color w:val="auto"/>
          <w:kern w:val="0"/>
        </w:rPr>
        <w:t>本项目</w:t>
      </w:r>
      <w:r>
        <w:rPr>
          <w:color w:val="auto"/>
          <w:kern w:val="0"/>
        </w:rPr>
        <w:t>位于强雷击区，项目建成后，厂区内孤立的或在建筑群中高于周围20m以上的建（构）筑物容易遭受雷击，造成建（构）筑物、设备等的的损坏，输配电系统破坏，从而引起火灾、爆炸等事故，造成人员伤亡和财产损失。</w:t>
      </w:r>
    </w:p>
    <w:p>
      <w:pPr>
        <w:wordWrap w:val="0"/>
        <w:adjustRightInd w:val="0"/>
        <w:snapToGrid w:val="0"/>
        <w:ind w:firstLine="560" w:firstLineChars="200"/>
        <w:textAlignment w:val="center"/>
        <w:rPr>
          <w:color w:val="auto"/>
          <w:kern w:val="0"/>
        </w:rPr>
      </w:pPr>
      <w:r>
        <w:rPr>
          <w:color w:val="auto"/>
          <w:kern w:val="0"/>
        </w:rPr>
        <w:t>6</w:t>
      </w:r>
      <w:r>
        <w:rPr>
          <w:rFonts w:hint="eastAsia"/>
          <w:color w:val="auto"/>
          <w:kern w:val="0"/>
        </w:rPr>
        <w:t>、</w:t>
      </w:r>
      <w:r>
        <w:rPr>
          <w:color w:val="auto"/>
          <w:kern w:val="0"/>
        </w:rPr>
        <w:t>项目所在地最大风速</w:t>
      </w:r>
      <w:r>
        <w:rPr>
          <w:rFonts w:hint="eastAsia"/>
          <w:color w:val="auto"/>
          <w:kern w:val="0"/>
        </w:rPr>
        <w:t>20</w:t>
      </w:r>
      <w:r>
        <w:rPr>
          <w:color w:val="auto"/>
          <w:kern w:val="0"/>
        </w:rPr>
        <w:t>m/s</w:t>
      </w:r>
      <w:r>
        <w:rPr>
          <w:rFonts w:hint="eastAsia"/>
          <w:color w:val="auto"/>
          <w:kern w:val="0"/>
        </w:rPr>
        <w:t>以上</w:t>
      </w:r>
      <w:r>
        <w:rPr>
          <w:color w:val="auto"/>
          <w:kern w:val="0"/>
        </w:rPr>
        <w:t>，</w:t>
      </w:r>
      <w:r>
        <w:rPr>
          <w:rFonts w:hint="eastAsia"/>
          <w:color w:val="auto"/>
          <w:kern w:val="0"/>
        </w:rPr>
        <w:t>本项目</w:t>
      </w:r>
      <w:r>
        <w:rPr>
          <w:color w:val="auto"/>
          <w:kern w:val="0"/>
        </w:rPr>
        <w:t>建筑物等均按照规范设计和建设，风力影响不大。但如遭遇极端大风天气，则会有一定影响。</w:t>
      </w:r>
    </w:p>
    <w:p>
      <w:pPr>
        <w:wordWrap w:val="0"/>
        <w:adjustRightInd w:val="0"/>
        <w:snapToGrid w:val="0"/>
        <w:ind w:firstLine="560" w:firstLineChars="200"/>
        <w:textAlignment w:val="center"/>
        <w:rPr>
          <w:color w:val="auto"/>
          <w:kern w:val="0"/>
        </w:rPr>
      </w:pPr>
      <w:r>
        <w:rPr>
          <w:color w:val="auto"/>
          <w:kern w:val="0"/>
        </w:rPr>
        <w:t>7</w:t>
      </w:r>
      <w:r>
        <w:rPr>
          <w:rFonts w:hint="eastAsia"/>
          <w:color w:val="auto"/>
          <w:kern w:val="0"/>
        </w:rPr>
        <w:t>、</w:t>
      </w:r>
      <w:r>
        <w:rPr>
          <w:color w:val="auto"/>
          <w:kern w:val="0"/>
        </w:rPr>
        <w:t>根据《中国地震峰值加速度区域划图》和《中国地震反应谱特征区划图》，该地区地震动峰值加速度为0.05g，对照地震烈度小于Ⅵ度。地震可能造成建（构）筑物、设备设施、电力设施等的破坏，严重时可导致次生灾害，如生产、储存装置因地震作用发生破裂、倾覆后，极易发生火灾、爆炸、中毒和窒息，污染环境等事故，造成人员伤亡和财产损失。</w:t>
      </w:r>
    </w:p>
    <w:p>
      <w:pPr>
        <w:wordWrap w:val="0"/>
        <w:adjustRightInd w:val="0"/>
        <w:snapToGrid w:val="0"/>
        <w:ind w:firstLine="560" w:firstLineChars="200"/>
        <w:textAlignment w:val="center"/>
        <w:rPr>
          <w:color w:val="auto"/>
          <w:kern w:val="0"/>
        </w:rPr>
      </w:pPr>
      <w:r>
        <w:rPr>
          <w:color w:val="auto"/>
          <w:kern w:val="0"/>
        </w:rPr>
        <w:t>综上所述，自然危害因素的发生基本是不可避免的，因为它是自然形成的。正常情况下，自然条件对</w:t>
      </w:r>
      <w:r>
        <w:rPr>
          <w:rFonts w:hint="eastAsia"/>
          <w:color w:val="auto"/>
          <w:kern w:val="0"/>
        </w:rPr>
        <w:t>本项目</w:t>
      </w:r>
      <w:r>
        <w:rPr>
          <w:color w:val="auto"/>
          <w:kern w:val="0"/>
        </w:rPr>
        <w:t>无不良影响。针对极端的自然有害因素，</w:t>
      </w:r>
      <w:r>
        <w:rPr>
          <w:rFonts w:hint="eastAsia"/>
          <w:color w:val="auto"/>
          <w:kern w:val="0"/>
        </w:rPr>
        <w:t>本项目</w:t>
      </w:r>
      <w:r>
        <w:rPr>
          <w:color w:val="auto"/>
          <w:kern w:val="0"/>
        </w:rPr>
        <w:t>初步设计中应采取有效的安全控制措施。</w:t>
      </w:r>
    </w:p>
    <w:p>
      <w:pPr>
        <w:wordWrap w:val="0"/>
        <w:adjustRightInd w:val="0"/>
        <w:snapToGrid w:val="0"/>
        <w:textAlignment w:val="center"/>
        <w:rPr>
          <w:b/>
          <w:bCs/>
          <w:color w:val="auto"/>
          <w:kern w:val="0"/>
        </w:rPr>
      </w:pPr>
      <w:r>
        <w:rPr>
          <w:rFonts w:hint="eastAsia"/>
          <w:b/>
          <w:bCs/>
          <w:color w:val="auto"/>
          <w:kern w:val="0"/>
        </w:rPr>
        <w:br w:type="page"/>
      </w:r>
    </w:p>
    <w:p>
      <w:pPr>
        <w:wordWrap w:val="0"/>
        <w:adjustRightInd w:val="0"/>
        <w:snapToGrid w:val="0"/>
        <w:jc w:val="center"/>
        <w:textAlignment w:val="center"/>
        <w:outlineLvl w:val="1"/>
        <w:rPr>
          <w:color w:val="auto"/>
          <w:kern w:val="0"/>
        </w:rPr>
      </w:pPr>
      <w:bookmarkStart w:id="249" w:name="_Toc21510"/>
      <w:bookmarkStart w:id="250" w:name="_Toc22658"/>
      <w:bookmarkStart w:id="251" w:name="_Toc14623"/>
      <w:r>
        <w:rPr>
          <w:rFonts w:hint="eastAsia"/>
          <w:b/>
          <w:bCs/>
          <w:color w:val="auto"/>
          <w:kern w:val="0"/>
        </w:rPr>
        <w:t>6</w:t>
      </w:r>
      <w:r>
        <w:rPr>
          <w:b/>
          <w:bCs/>
          <w:color w:val="auto"/>
          <w:kern w:val="0"/>
        </w:rPr>
        <w:t>.2</w:t>
      </w:r>
      <w:r>
        <w:rPr>
          <w:rFonts w:hint="eastAsia"/>
          <w:b/>
          <w:bCs/>
          <w:color w:val="auto"/>
          <w:kern w:val="0"/>
        </w:rPr>
        <w:t xml:space="preserve"> </w:t>
      </w:r>
      <w:r>
        <w:rPr>
          <w:b/>
          <w:bCs/>
          <w:color w:val="auto"/>
          <w:kern w:val="0"/>
        </w:rPr>
        <w:t>建设项目安全生产条件的分析结果</w:t>
      </w:r>
      <w:bookmarkEnd w:id="249"/>
      <w:bookmarkEnd w:id="250"/>
      <w:bookmarkEnd w:id="251"/>
    </w:p>
    <w:p>
      <w:pPr>
        <w:wordWrap w:val="0"/>
        <w:adjustRightInd w:val="0"/>
        <w:snapToGrid w:val="0"/>
        <w:textAlignment w:val="center"/>
        <w:outlineLvl w:val="2"/>
        <w:rPr>
          <w:b/>
          <w:bCs/>
          <w:color w:val="auto"/>
          <w:kern w:val="0"/>
        </w:rPr>
      </w:pPr>
      <w:bookmarkStart w:id="252" w:name="_Toc7990"/>
      <w:r>
        <w:rPr>
          <w:rFonts w:hint="eastAsia"/>
          <w:b/>
          <w:bCs/>
          <w:color w:val="auto"/>
          <w:kern w:val="0"/>
        </w:rPr>
        <w:t>6</w:t>
      </w:r>
      <w:r>
        <w:rPr>
          <w:b/>
          <w:bCs/>
          <w:color w:val="auto"/>
          <w:kern w:val="0"/>
        </w:rPr>
        <w:t>.2.1 建设项目采用安全设施情况</w:t>
      </w:r>
      <w:bookmarkEnd w:id="252"/>
    </w:p>
    <w:p>
      <w:pPr>
        <w:wordWrap w:val="0"/>
        <w:adjustRightInd w:val="0"/>
        <w:snapToGrid w:val="0"/>
        <w:textAlignment w:val="center"/>
        <w:outlineLvl w:val="3"/>
        <w:rPr>
          <w:b/>
          <w:bCs/>
          <w:color w:val="auto"/>
          <w:kern w:val="0"/>
        </w:rPr>
      </w:pPr>
      <w:r>
        <w:rPr>
          <w:rFonts w:hint="eastAsia"/>
          <w:b/>
          <w:bCs/>
          <w:color w:val="auto"/>
          <w:kern w:val="0"/>
        </w:rPr>
        <w:t>6</w:t>
      </w:r>
      <w:r>
        <w:rPr>
          <w:b/>
          <w:bCs/>
          <w:color w:val="auto"/>
          <w:kern w:val="0"/>
        </w:rPr>
        <w:t>.2.1.1</w:t>
      </w:r>
      <w:r>
        <w:rPr>
          <w:rFonts w:hint="eastAsia"/>
          <w:b/>
          <w:bCs/>
          <w:color w:val="auto"/>
          <w:kern w:val="0"/>
        </w:rPr>
        <w:t xml:space="preserve"> </w:t>
      </w:r>
      <w:r>
        <w:rPr>
          <w:b/>
          <w:bCs/>
          <w:color w:val="auto"/>
          <w:kern w:val="0"/>
        </w:rPr>
        <w:t>建设项目采用的安全设施</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w:t>
      </w:r>
      <w:r>
        <w:rPr>
          <w:color w:val="auto"/>
          <w:kern w:val="0"/>
        </w:rPr>
        <w:t>选址、总平面布置及建（构）筑物</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本项目仓库</w:t>
      </w:r>
      <w:r>
        <w:rPr>
          <w:color w:val="auto"/>
          <w:kern w:val="0"/>
        </w:rPr>
        <w:t>与周边民居、工厂、道路、公共设施的距离满足</w:t>
      </w:r>
      <w:r>
        <w:rPr>
          <w:rFonts w:hint="eastAsia"/>
          <w:color w:val="auto"/>
          <w:szCs w:val="28"/>
        </w:rPr>
        <w:t>《精细化工企业工程设计防火标准》、</w:t>
      </w:r>
      <w:r>
        <w:rPr>
          <w:color w:val="auto"/>
          <w:kern w:val="0"/>
        </w:rPr>
        <w:t>《建筑防火设计规范》的要求</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本项目</w:t>
      </w:r>
      <w:r>
        <w:rPr>
          <w:color w:val="auto"/>
          <w:kern w:val="0"/>
        </w:rPr>
        <w:t>仓库等的距离符合</w:t>
      </w:r>
      <w:r>
        <w:rPr>
          <w:rFonts w:hint="eastAsia"/>
          <w:color w:val="auto"/>
          <w:szCs w:val="28"/>
        </w:rPr>
        <w:t>《精细化工企业工程设计防火标准》、</w:t>
      </w:r>
      <w:r>
        <w:rPr>
          <w:color w:val="auto"/>
          <w:kern w:val="0"/>
        </w:rPr>
        <w:t>《建筑防火设计规范》GB50016规定的防火距离</w:t>
      </w:r>
      <w:r>
        <w:rPr>
          <w:rFonts w:hint="eastAsia"/>
          <w:color w:val="auto"/>
          <w:kern w:val="0"/>
        </w:rPr>
        <w:t>。</w:t>
      </w:r>
    </w:p>
    <w:p>
      <w:pPr>
        <w:wordWrap w:val="0"/>
        <w:adjustRightInd w:val="0"/>
        <w:snapToGrid w:val="0"/>
        <w:ind w:firstLine="560" w:firstLineChars="200"/>
        <w:textAlignment w:val="center"/>
        <w:rPr>
          <w:color w:val="auto"/>
          <w:kern w:val="0"/>
        </w:rPr>
      </w:pPr>
      <w:r>
        <w:rPr>
          <w:color w:val="auto"/>
          <w:kern w:val="0"/>
        </w:rPr>
        <w:t>3）建（构）筑物按地震烈度7度设防。</w:t>
      </w:r>
    </w:p>
    <w:p>
      <w:pPr>
        <w:wordWrap w:val="0"/>
        <w:adjustRightInd w:val="0"/>
        <w:snapToGrid w:val="0"/>
        <w:ind w:firstLine="560" w:firstLineChars="200"/>
        <w:textAlignment w:val="center"/>
        <w:rPr>
          <w:color w:val="auto"/>
          <w:kern w:val="0"/>
        </w:rPr>
      </w:pPr>
      <w:r>
        <w:rPr>
          <w:color w:val="auto"/>
          <w:kern w:val="0"/>
        </w:rPr>
        <w:t>4）主要建筑物采用砖混结构满足耐火等级</w:t>
      </w:r>
      <w:r>
        <w:rPr>
          <w:rFonts w:hint="eastAsia"/>
          <w:color w:val="auto"/>
          <w:kern w:val="0"/>
        </w:rPr>
        <w:t>二级</w:t>
      </w:r>
      <w:r>
        <w:rPr>
          <w:color w:val="auto"/>
          <w:kern w:val="0"/>
        </w:rPr>
        <w:t>的要求。</w:t>
      </w:r>
    </w:p>
    <w:p>
      <w:pPr>
        <w:wordWrap w:val="0"/>
        <w:adjustRightInd w:val="0"/>
        <w:snapToGrid w:val="0"/>
        <w:ind w:firstLine="560" w:firstLineChars="200"/>
        <w:textAlignment w:val="center"/>
        <w:rPr>
          <w:color w:val="auto"/>
          <w:kern w:val="0"/>
        </w:rPr>
      </w:pPr>
      <w:r>
        <w:rPr>
          <w:color w:val="auto"/>
          <w:kern w:val="0"/>
        </w:rPr>
        <w:t>5）人员集中的办公行政区布置在厂区</w:t>
      </w:r>
      <w:r>
        <w:rPr>
          <w:rFonts w:hint="eastAsia"/>
          <w:color w:val="auto"/>
          <w:kern w:val="0"/>
        </w:rPr>
        <w:t>西南</w:t>
      </w:r>
      <w:r>
        <w:rPr>
          <w:color w:val="auto"/>
          <w:kern w:val="0"/>
        </w:rPr>
        <w:t>部紧邻园区</w:t>
      </w:r>
      <w:r>
        <w:rPr>
          <w:rFonts w:hint="eastAsia"/>
          <w:color w:val="auto"/>
          <w:kern w:val="0"/>
        </w:rPr>
        <w:t>道路</w:t>
      </w:r>
      <w:r>
        <w:rPr>
          <w:color w:val="auto"/>
          <w:kern w:val="0"/>
        </w:rPr>
        <w:t>的位置，便于安全疏散；由于</w:t>
      </w:r>
      <w:r>
        <w:rPr>
          <w:rFonts w:hint="eastAsia"/>
          <w:color w:val="auto"/>
          <w:kern w:val="0"/>
        </w:rPr>
        <w:t>本项目主要涉及储存的原料为</w:t>
      </w:r>
      <w:r>
        <w:rPr>
          <w:color w:val="auto"/>
          <w:kern w:val="0"/>
        </w:rPr>
        <w:t>易燃易爆</w:t>
      </w:r>
      <w:r>
        <w:rPr>
          <w:rFonts w:hint="eastAsia"/>
          <w:color w:val="auto"/>
          <w:kern w:val="0"/>
        </w:rPr>
        <w:t>物质</w:t>
      </w:r>
      <w:r>
        <w:rPr>
          <w:color w:val="auto"/>
          <w:kern w:val="0"/>
        </w:rPr>
        <w:t>，</w:t>
      </w:r>
      <w:r>
        <w:rPr>
          <w:rFonts w:hint="eastAsia"/>
          <w:color w:val="auto"/>
          <w:kern w:val="0"/>
        </w:rPr>
        <w:t>厂区内火灾爆炸危险性较大。本项目甲类仓库</w:t>
      </w:r>
      <w:r>
        <w:rPr>
          <w:color w:val="auto"/>
          <w:kern w:val="0"/>
        </w:rPr>
        <w:t>按要求设计了</w:t>
      </w:r>
      <w:r>
        <w:rPr>
          <w:rFonts w:hint="eastAsia"/>
          <w:color w:val="auto"/>
          <w:kern w:val="0"/>
        </w:rPr>
        <w:t>仓库防火防爆措施</w:t>
      </w:r>
      <w:r>
        <w:rPr>
          <w:color w:val="auto"/>
          <w:kern w:val="0"/>
        </w:rPr>
        <w:t>，同时</w:t>
      </w:r>
      <w:r>
        <w:rPr>
          <w:rFonts w:hint="eastAsia"/>
          <w:color w:val="auto"/>
          <w:kern w:val="0"/>
        </w:rPr>
        <w:t>依托厂区现有消防水池和</w:t>
      </w:r>
      <w:r>
        <w:rPr>
          <w:color w:val="auto"/>
          <w:kern w:val="0"/>
        </w:rPr>
        <w:t>事故池。</w:t>
      </w:r>
    </w:p>
    <w:p>
      <w:pPr>
        <w:pStyle w:val="2"/>
        <w:ind w:firstLine="560"/>
        <w:rPr>
          <w:color w:val="auto"/>
        </w:rPr>
      </w:pPr>
      <w:r>
        <w:rPr>
          <w:rFonts w:hint="eastAsia"/>
          <w:color w:val="auto"/>
        </w:rPr>
        <w:t>6）仓库共设置6个安全出口，每个防火分区设置2个安全出入口。</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工艺、设备</w:t>
      </w:r>
    </w:p>
    <w:p>
      <w:pPr>
        <w:wordWrap w:val="0"/>
        <w:adjustRightInd w:val="0"/>
        <w:snapToGrid w:val="0"/>
        <w:ind w:firstLine="560" w:firstLineChars="200"/>
        <w:textAlignment w:val="center"/>
        <w:rPr>
          <w:color w:val="auto"/>
          <w:kern w:val="0"/>
        </w:rPr>
      </w:pPr>
      <w:r>
        <w:rPr>
          <w:rFonts w:hint="eastAsia"/>
          <w:color w:val="auto"/>
          <w:kern w:val="0"/>
        </w:rPr>
        <w:t>本项目为安全设施提示改造项目，仅涉及新建106甲类仓库一座，不涉及工艺变更。本项目甲类仓库内设置了可燃气体联锁</w:t>
      </w:r>
      <w:r>
        <w:rPr>
          <w:color w:val="auto"/>
          <w:kern w:val="0"/>
        </w:rPr>
        <w:t>报警</w:t>
      </w:r>
      <w:r>
        <w:rPr>
          <w:rFonts w:hint="eastAsia"/>
          <w:color w:val="auto"/>
          <w:kern w:val="0"/>
        </w:rPr>
        <w:t>系统以及事故风机联锁系统</w:t>
      </w:r>
      <w:r>
        <w:rPr>
          <w:color w:val="auto"/>
          <w:kern w:val="0"/>
        </w:rPr>
        <w:t>，</w:t>
      </w:r>
      <w:r>
        <w:rPr>
          <w:rFonts w:hint="eastAsia"/>
          <w:color w:val="auto"/>
          <w:kern w:val="0"/>
        </w:rPr>
        <w:t>联锁报警信号</w:t>
      </w:r>
      <w:r>
        <w:rPr>
          <w:color w:val="auto"/>
          <w:kern w:val="0"/>
        </w:rPr>
        <w:t>远传至</w:t>
      </w:r>
      <w:r>
        <w:rPr>
          <w:rFonts w:hint="eastAsia"/>
          <w:color w:val="auto"/>
          <w:kern w:val="0"/>
        </w:rPr>
        <w:t>门卫室</w:t>
      </w:r>
      <w:r>
        <w:rPr>
          <w:color w:val="auto"/>
          <w:kern w:val="0"/>
        </w:rPr>
        <w:t>，进行集中显示、记录、报警。</w:t>
      </w:r>
      <w:r>
        <w:rPr>
          <w:rFonts w:hint="eastAsia"/>
          <w:color w:val="auto"/>
          <w:kern w:val="0"/>
        </w:rPr>
        <w:t>甲类仓库内电气设备均采用防爆电气，防爆等级不低于ExdⅡBT4。</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叉车</w:t>
      </w:r>
      <w:r>
        <w:rPr>
          <w:rFonts w:hint="eastAsia"/>
          <w:color w:val="auto"/>
          <w:kern w:val="0"/>
        </w:rPr>
        <w:t>依托厂区现有资源，</w:t>
      </w:r>
      <w:r>
        <w:rPr>
          <w:color w:val="auto"/>
          <w:kern w:val="0"/>
        </w:rPr>
        <w:t>叉车</w:t>
      </w:r>
      <w:r>
        <w:rPr>
          <w:rFonts w:hint="eastAsia"/>
          <w:color w:val="auto"/>
          <w:kern w:val="0"/>
        </w:rPr>
        <w:t>等</w:t>
      </w:r>
      <w:r>
        <w:rPr>
          <w:color w:val="auto"/>
          <w:kern w:val="0"/>
        </w:rPr>
        <w:t>特种设备均办理了注册登记，取得了</w:t>
      </w:r>
      <w:r>
        <w:rPr>
          <w:rFonts w:hint="eastAsia"/>
          <w:color w:val="auto"/>
          <w:kern w:val="0"/>
        </w:rPr>
        <w:t>合格</w:t>
      </w:r>
      <w:r>
        <w:rPr>
          <w:color w:val="auto"/>
          <w:kern w:val="0"/>
        </w:rPr>
        <w:t>证。</w:t>
      </w:r>
      <w:r>
        <w:rPr>
          <w:rFonts w:hint="eastAsia"/>
          <w:color w:val="auto"/>
          <w:kern w:val="0"/>
        </w:rPr>
        <w:t>风机等高速旋转或往复运动的机械零部件设置可靠的防护设施、挡板。</w:t>
      </w:r>
    </w:p>
    <w:p>
      <w:pPr>
        <w:wordWrap w:val="0"/>
        <w:adjustRightInd w:val="0"/>
        <w:snapToGrid w:val="0"/>
        <w:ind w:firstLine="560" w:firstLineChars="200"/>
        <w:textAlignment w:val="center"/>
        <w:rPr>
          <w:color w:val="auto"/>
          <w:kern w:val="0"/>
        </w:rPr>
      </w:pPr>
      <w:r>
        <w:rPr>
          <w:rFonts w:hint="eastAsia"/>
          <w:color w:val="auto"/>
          <w:kern w:val="0"/>
        </w:rPr>
        <w:t>本项目厂区已</w:t>
      </w:r>
      <w:r>
        <w:rPr>
          <w:color w:val="auto"/>
          <w:kern w:val="0"/>
        </w:rPr>
        <w:t>设有</w:t>
      </w:r>
      <w:r>
        <w:rPr>
          <w:rFonts w:hint="eastAsia"/>
          <w:color w:val="auto"/>
          <w:kern w:val="0"/>
        </w:rPr>
        <w:t>1</w:t>
      </w:r>
      <w:r>
        <w:rPr>
          <w:color w:val="auto"/>
          <w:kern w:val="0"/>
        </w:rPr>
        <w:t>00kW柴油发电机组，能够满足消防、报警、应急照明等在紧急停电过程中作为应急备用电源需要。</w:t>
      </w:r>
    </w:p>
    <w:p>
      <w:pPr>
        <w:pStyle w:val="2"/>
        <w:ind w:firstLine="560"/>
        <w:rPr>
          <w:color w:val="auto"/>
        </w:rPr>
      </w:pPr>
      <w:r>
        <w:rPr>
          <w:rFonts w:hint="eastAsia"/>
          <w:color w:val="auto"/>
        </w:rPr>
        <w:t>本项目仓库内设置温湿度计，对仓库内温度、湿度进行显示、监测。</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防</w:t>
      </w:r>
      <w:r>
        <w:rPr>
          <w:rFonts w:hint="eastAsia"/>
          <w:color w:val="auto"/>
          <w:kern w:val="0"/>
        </w:rPr>
        <w:t>火、防爆</w:t>
      </w:r>
    </w:p>
    <w:p>
      <w:pPr>
        <w:wordWrap w:val="0"/>
        <w:adjustRightInd w:val="0"/>
        <w:snapToGrid w:val="0"/>
        <w:ind w:firstLine="560" w:firstLineChars="200"/>
        <w:textAlignment w:val="center"/>
        <w:rPr>
          <w:color w:val="auto"/>
          <w:kern w:val="0"/>
        </w:rPr>
      </w:pPr>
      <w:r>
        <w:rPr>
          <w:color w:val="auto"/>
          <w:kern w:val="0"/>
        </w:rPr>
        <w:t>1）根据物料的特性要求，在仓库有可燃气体泄漏处，设置了可燃气体浓度检测、报警器。</w:t>
      </w:r>
    </w:p>
    <w:p>
      <w:pPr>
        <w:wordWrap w:val="0"/>
        <w:adjustRightInd w:val="0"/>
        <w:snapToGrid w:val="0"/>
        <w:ind w:firstLine="560" w:firstLineChars="200"/>
        <w:textAlignment w:val="center"/>
        <w:rPr>
          <w:color w:val="auto"/>
          <w:kern w:val="0"/>
        </w:rPr>
      </w:pPr>
      <w:r>
        <w:rPr>
          <w:color w:val="auto"/>
          <w:kern w:val="0"/>
        </w:rPr>
        <w:t>2）危险品仓库20m范围内严禁堆放油类、棉纱等易燃物质。</w:t>
      </w:r>
    </w:p>
    <w:p>
      <w:pPr>
        <w:wordWrap w:val="0"/>
        <w:adjustRightInd w:val="0"/>
        <w:snapToGrid w:val="0"/>
        <w:ind w:firstLine="560" w:firstLineChars="200"/>
        <w:textAlignment w:val="center"/>
        <w:rPr>
          <w:color w:val="auto"/>
          <w:kern w:val="0"/>
        </w:rPr>
      </w:pPr>
      <w:r>
        <w:rPr>
          <w:color w:val="auto"/>
          <w:kern w:val="0"/>
        </w:rPr>
        <w:t>3）106甲类仓库进行防雷防静电接地，设有火灾报警系统。</w:t>
      </w:r>
    </w:p>
    <w:p>
      <w:pPr>
        <w:wordWrap w:val="0"/>
        <w:adjustRightInd w:val="0"/>
        <w:snapToGrid w:val="0"/>
        <w:ind w:firstLine="560" w:firstLineChars="200"/>
        <w:textAlignment w:val="center"/>
        <w:rPr>
          <w:color w:val="auto"/>
          <w:kern w:val="0"/>
        </w:rPr>
      </w:pPr>
      <w:r>
        <w:rPr>
          <w:color w:val="auto"/>
          <w:kern w:val="0"/>
        </w:rPr>
        <w:t>4）甲类桶装物料用叉车运送到车间内，甲类桶装物料要有半小时的静止期。</w:t>
      </w:r>
      <w:r>
        <w:rPr>
          <w:rFonts w:hint="eastAsia"/>
          <w:color w:val="auto"/>
          <w:kern w:val="0"/>
        </w:rPr>
        <w:t>叉车安装有阻火器。</w:t>
      </w:r>
    </w:p>
    <w:p>
      <w:pPr>
        <w:wordWrap w:val="0"/>
        <w:adjustRightInd w:val="0"/>
        <w:snapToGrid w:val="0"/>
        <w:ind w:firstLine="560" w:firstLineChars="200"/>
        <w:textAlignment w:val="center"/>
        <w:rPr>
          <w:color w:val="auto"/>
          <w:kern w:val="0"/>
        </w:rPr>
      </w:pPr>
      <w:r>
        <w:rPr>
          <w:color w:val="auto"/>
          <w:kern w:val="0"/>
        </w:rPr>
        <w:t>5）甲类仓库等甲类火灾爆炸危险区域的电气设备均选用防爆型电气设备。所有电气开关均设置在室外。</w:t>
      </w:r>
    </w:p>
    <w:p>
      <w:pPr>
        <w:wordWrap w:val="0"/>
        <w:adjustRightInd w:val="0"/>
        <w:snapToGrid w:val="0"/>
        <w:ind w:firstLine="560" w:firstLineChars="200"/>
        <w:textAlignment w:val="center"/>
        <w:rPr>
          <w:color w:val="auto"/>
          <w:kern w:val="0"/>
        </w:rPr>
      </w:pPr>
      <w:r>
        <w:rPr>
          <w:color w:val="auto"/>
          <w:kern w:val="0"/>
        </w:rPr>
        <w:t>6）参照《仓储场所消防安全管理通则》（XF1131-2014）中关于储存管理的要求进行设计，其中库房内堆放物品应满足以下要求：</w:t>
      </w:r>
    </w:p>
    <w:p>
      <w:pPr>
        <w:wordWrap w:val="0"/>
        <w:adjustRightInd w:val="0"/>
        <w:snapToGrid w:val="0"/>
        <w:ind w:firstLine="560" w:firstLineChars="200"/>
        <w:textAlignment w:val="center"/>
        <w:rPr>
          <w:color w:val="auto"/>
          <w:kern w:val="0"/>
        </w:rPr>
      </w:pPr>
      <w:r>
        <w:rPr>
          <w:rFonts w:hint="eastAsia"/>
          <w:color w:val="auto"/>
          <w:kern w:val="0"/>
        </w:rPr>
        <w:t>（1）</w:t>
      </w:r>
      <w:r>
        <w:rPr>
          <w:color w:val="auto"/>
          <w:kern w:val="0"/>
        </w:rPr>
        <w:t>堆垛上部与楼板、平屋顶之间的距离不小于0.3m（人字屋架从横梁算起）；</w:t>
      </w:r>
    </w:p>
    <w:p>
      <w:pPr>
        <w:wordWrap w:val="0"/>
        <w:adjustRightInd w:val="0"/>
        <w:snapToGrid w:val="0"/>
        <w:ind w:firstLine="560" w:firstLineChars="200"/>
        <w:textAlignment w:val="center"/>
        <w:rPr>
          <w:color w:val="auto"/>
          <w:kern w:val="0"/>
        </w:rPr>
      </w:pPr>
      <w:r>
        <w:rPr>
          <w:rFonts w:hint="eastAsia"/>
          <w:color w:val="auto"/>
          <w:kern w:val="0"/>
        </w:rPr>
        <w:t>（2）</w:t>
      </w:r>
      <w:r>
        <w:rPr>
          <w:color w:val="auto"/>
          <w:kern w:val="0"/>
        </w:rPr>
        <w:t>物品与照明灯之间的距离不小于0.5m；</w:t>
      </w:r>
    </w:p>
    <w:p>
      <w:pPr>
        <w:wordWrap w:val="0"/>
        <w:adjustRightInd w:val="0"/>
        <w:snapToGrid w:val="0"/>
        <w:ind w:firstLine="560" w:firstLineChars="200"/>
        <w:textAlignment w:val="center"/>
        <w:rPr>
          <w:color w:val="auto"/>
          <w:kern w:val="0"/>
        </w:rPr>
      </w:pPr>
      <w:r>
        <w:rPr>
          <w:rFonts w:hint="eastAsia"/>
          <w:color w:val="auto"/>
          <w:kern w:val="0"/>
        </w:rPr>
        <w:t>（3）</w:t>
      </w:r>
      <w:r>
        <w:rPr>
          <w:color w:val="auto"/>
          <w:kern w:val="0"/>
        </w:rPr>
        <w:t>物品与墙之间的距离不小于0.5m；</w:t>
      </w:r>
    </w:p>
    <w:p>
      <w:pPr>
        <w:wordWrap w:val="0"/>
        <w:adjustRightInd w:val="0"/>
        <w:snapToGrid w:val="0"/>
        <w:ind w:firstLine="560" w:firstLineChars="200"/>
        <w:textAlignment w:val="center"/>
        <w:rPr>
          <w:color w:val="auto"/>
          <w:kern w:val="0"/>
        </w:rPr>
      </w:pPr>
      <w:r>
        <w:rPr>
          <w:rFonts w:hint="eastAsia"/>
          <w:color w:val="auto"/>
          <w:kern w:val="0"/>
        </w:rPr>
        <w:t>（4）</w:t>
      </w:r>
      <w:r>
        <w:rPr>
          <w:color w:val="auto"/>
          <w:kern w:val="0"/>
        </w:rPr>
        <w:t>物品堆垛与柱之间的距离不小于0.3m；</w:t>
      </w:r>
    </w:p>
    <w:p>
      <w:pPr>
        <w:wordWrap w:val="0"/>
        <w:adjustRightInd w:val="0"/>
        <w:snapToGrid w:val="0"/>
        <w:ind w:firstLine="560" w:firstLineChars="200"/>
        <w:textAlignment w:val="center"/>
        <w:rPr>
          <w:color w:val="auto"/>
          <w:kern w:val="0"/>
        </w:rPr>
      </w:pPr>
      <w:r>
        <w:rPr>
          <w:rFonts w:hint="eastAsia"/>
          <w:color w:val="auto"/>
          <w:kern w:val="0"/>
        </w:rPr>
        <w:t>（5）</w:t>
      </w:r>
      <w:r>
        <w:rPr>
          <w:color w:val="auto"/>
          <w:kern w:val="0"/>
        </w:rPr>
        <w:t>物品堆垛与堆垛之间的距离不小于1m；同时入库物料严格按照指定的位置储存，严禁将物料混储、超储。</w:t>
      </w:r>
    </w:p>
    <w:p>
      <w:pPr>
        <w:wordWrap w:val="0"/>
        <w:adjustRightInd w:val="0"/>
        <w:snapToGrid w:val="0"/>
        <w:ind w:firstLine="560" w:firstLineChars="200"/>
        <w:textAlignment w:val="center"/>
        <w:rPr>
          <w:color w:val="auto"/>
          <w:kern w:val="0"/>
        </w:rPr>
      </w:pPr>
      <w:r>
        <w:rPr>
          <w:color w:val="auto"/>
          <w:kern w:val="0"/>
        </w:rPr>
        <w:t>7）仓库内设置温湿度计，制定相应操作规程，按规定时间进行观测和记录。</w:t>
      </w:r>
    </w:p>
    <w:p>
      <w:pPr>
        <w:wordWrap w:val="0"/>
        <w:adjustRightInd w:val="0"/>
        <w:snapToGrid w:val="0"/>
        <w:ind w:firstLine="560" w:firstLineChars="200"/>
        <w:textAlignment w:val="center"/>
        <w:rPr>
          <w:color w:val="auto"/>
          <w:kern w:val="0"/>
        </w:rPr>
      </w:pPr>
      <w:r>
        <w:rPr>
          <w:color w:val="auto"/>
          <w:kern w:val="0"/>
        </w:rPr>
        <w:t>8）在装卸过程中，</w:t>
      </w:r>
      <w:r>
        <w:rPr>
          <w:rFonts w:hint="eastAsia"/>
          <w:color w:val="auto"/>
          <w:kern w:val="0"/>
        </w:rPr>
        <w:t>避免</w:t>
      </w:r>
      <w:r>
        <w:rPr>
          <w:color w:val="auto"/>
          <w:kern w:val="0"/>
        </w:rPr>
        <w:t>震动、撞击、重压、摩擦和倒置。操作人员穿戴防静电的工作服、鞋帽，不应使用易产生火花的工具，对能产生静电的装卸设备应采取静电消除措施。</w:t>
      </w:r>
    </w:p>
    <w:p>
      <w:pPr>
        <w:wordWrap w:val="0"/>
        <w:adjustRightInd w:val="0"/>
        <w:snapToGrid w:val="0"/>
        <w:ind w:firstLine="560" w:firstLineChars="200"/>
        <w:textAlignment w:val="center"/>
        <w:rPr>
          <w:color w:val="auto"/>
          <w:kern w:val="0"/>
        </w:rPr>
      </w:pPr>
      <w:r>
        <w:rPr>
          <w:color w:val="auto"/>
          <w:kern w:val="0"/>
        </w:rPr>
        <w:t>9）物料入库前应对其容器、封口、包装和衬垫的有效性进行检查，采取先进先出的原则，库内严禁开桶、开袋。</w:t>
      </w:r>
    </w:p>
    <w:p>
      <w:pPr>
        <w:wordWrap w:val="0"/>
        <w:adjustRightInd w:val="0"/>
        <w:snapToGrid w:val="0"/>
        <w:ind w:firstLine="560" w:firstLineChars="200"/>
        <w:textAlignment w:val="center"/>
        <w:rPr>
          <w:color w:val="auto"/>
          <w:kern w:val="0"/>
        </w:rPr>
      </w:pPr>
      <w:r>
        <w:rPr>
          <w:color w:val="auto"/>
          <w:kern w:val="0"/>
        </w:rPr>
        <w:t>10）严禁机动车进入仓库装卸车。</w:t>
      </w:r>
    </w:p>
    <w:p>
      <w:pPr>
        <w:wordWrap w:val="0"/>
        <w:adjustRightInd w:val="0"/>
        <w:snapToGrid w:val="0"/>
        <w:ind w:firstLine="560" w:firstLineChars="200"/>
        <w:textAlignment w:val="center"/>
        <w:rPr>
          <w:color w:val="auto"/>
          <w:kern w:val="0"/>
        </w:rPr>
      </w:pPr>
      <w:r>
        <w:rPr>
          <w:color w:val="auto"/>
          <w:kern w:val="0"/>
        </w:rPr>
        <w:t>11）全厂区设为防火区，严禁明火，按照《化学品生产单位特殊作业安全规程》（GB30871-2014）制定动火维修安全规范，并严格执行。</w:t>
      </w:r>
    </w:p>
    <w:p>
      <w:pPr>
        <w:pStyle w:val="2"/>
        <w:ind w:firstLine="560"/>
        <w:rPr>
          <w:color w:val="auto"/>
        </w:rPr>
      </w:pPr>
      <w:r>
        <w:rPr>
          <w:rFonts w:hint="eastAsia"/>
          <w:color w:val="auto"/>
        </w:rPr>
        <w:t>1</w:t>
      </w:r>
      <w:r>
        <w:rPr>
          <w:color w:val="auto"/>
        </w:rPr>
        <w:t>2</w:t>
      </w:r>
      <w:r>
        <w:rPr>
          <w:rFonts w:hint="eastAsia"/>
          <w:color w:val="auto"/>
        </w:rPr>
        <w:t>）仓库内外根据危险有害因素分析悬挂或张贴相应的防火、防中毒等安全警示标识。</w:t>
      </w:r>
    </w:p>
    <w:p>
      <w:pPr>
        <w:pStyle w:val="2"/>
        <w:ind w:firstLine="560"/>
        <w:rPr>
          <w:rFonts w:hint="eastAsia"/>
          <w:color w:val="auto"/>
        </w:rPr>
      </w:pPr>
      <w:r>
        <w:rPr>
          <w:rFonts w:hint="eastAsia"/>
          <w:color w:val="auto"/>
        </w:rPr>
        <w:t>1</w:t>
      </w:r>
      <w:r>
        <w:rPr>
          <w:color w:val="auto"/>
        </w:rPr>
        <w:t>3</w:t>
      </w:r>
      <w:r>
        <w:rPr>
          <w:rFonts w:hint="eastAsia"/>
          <w:color w:val="auto"/>
        </w:rPr>
        <w:t>）</w:t>
      </w:r>
      <w:r>
        <w:rPr>
          <w:rFonts w:hint="eastAsia"/>
          <w:color w:val="auto"/>
        </w:rPr>
        <w:t>1</w:t>
      </w:r>
      <w:r>
        <w:rPr>
          <w:color w:val="auto"/>
        </w:rPr>
        <w:t>06</w:t>
      </w:r>
      <w:r>
        <w:rPr>
          <w:rFonts w:hint="eastAsia"/>
          <w:color w:val="auto"/>
        </w:rPr>
        <w:t>甲类仓库防火分区一、防火分区二、防火分区三均采用框架结构，顶部为轻质屋面板，三个防火分区的泄压面积分别为1</w:t>
      </w:r>
      <w:r>
        <w:rPr>
          <w:color w:val="auto"/>
        </w:rPr>
        <w:t>74.573</w:t>
      </w:r>
      <w:r>
        <w:rPr>
          <w:rFonts w:hint="eastAsia"/>
          <w:color w:val="auto"/>
        </w:rPr>
        <w:t>㎡（＜2</w:t>
      </w:r>
      <w:r>
        <w:rPr>
          <w:color w:val="auto"/>
        </w:rPr>
        <w:t>49.912</w:t>
      </w:r>
      <w:r>
        <w:rPr>
          <w:rFonts w:hint="eastAsia"/>
          <w:color w:val="auto"/>
        </w:rPr>
        <w:t>㎡）、1</w:t>
      </w:r>
      <w:r>
        <w:rPr>
          <w:color w:val="auto"/>
        </w:rPr>
        <w:t>74.472</w:t>
      </w:r>
      <w:r>
        <w:rPr>
          <w:rFonts w:hint="eastAsia"/>
          <w:color w:val="auto"/>
        </w:rPr>
        <w:t>㎡（＜2</w:t>
      </w:r>
      <w:r>
        <w:rPr>
          <w:color w:val="auto"/>
        </w:rPr>
        <w:t>49.696</w:t>
      </w:r>
      <w:r>
        <w:rPr>
          <w:rFonts w:hint="eastAsia"/>
          <w:color w:val="auto"/>
        </w:rPr>
        <w:t>㎡）、1</w:t>
      </w:r>
      <w:r>
        <w:rPr>
          <w:color w:val="auto"/>
        </w:rPr>
        <w:t>74.573</w:t>
      </w:r>
      <w:r>
        <w:rPr>
          <w:rFonts w:hint="eastAsia"/>
          <w:color w:val="auto"/>
        </w:rPr>
        <w:t>㎡（＜2</w:t>
      </w:r>
      <w:r>
        <w:rPr>
          <w:color w:val="auto"/>
        </w:rPr>
        <w:t>49.912</w:t>
      </w:r>
      <w:r>
        <w:rPr>
          <w:rFonts w:hint="eastAsia"/>
          <w:color w:val="auto"/>
        </w:rPr>
        <w:t>㎡）；均小于屋顶泄压面积。</w:t>
      </w:r>
    </w:p>
    <w:p>
      <w:pPr>
        <w:wordWrap w:val="0"/>
        <w:adjustRightInd w:val="0"/>
        <w:snapToGrid w:val="0"/>
        <w:ind w:firstLine="560" w:firstLineChars="200"/>
        <w:textAlignment w:val="center"/>
        <w:rPr>
          <w:color w:val="auto"/>
          <w:kern w:val="0"/>
        </w:rPr>
      </w:pPr>
      <w:r>
        <w:rPr>
          <w:rFonts w:hint="eastAsia"/>
          <w:color w:val="auto"/>
          <w:kern w:val="0"/>
        </w:rPr>
        <w:t>4</w:t>
      </w:r>
      <w:r>
        <w:rPr>
          <w:color w:val="auto"/>
          <w:kern w:val="0"/>
        </w:rPr>
        <w:t>、防尘、防毒</w:t>
      </w:r>
      <w:r>
        <w:rPr>
          <w:rFonts w:hint="eastAsia"/>
          <w:color w:val="auto"/>
          <w:kern w:val="0"/>
        </w:rPr>
        <w:t>、防泄漏</w:t>
      </w:r>
      <w:r>
        <w:rPr>
          <w:color w:val="auto"/>
          <w:kern w:val="0"/>
        </w:rPr>
        <w:t>措施</w:t>
      </w:r>
    </w:p>
    <w:p>
      <w:pPr>
        <w:wordWrap w:val="0"/>
        <w:adjustRightInd w:val="0"/>
        <w:snapToGrid w:val="0"/>
        <w:ind w:firstLine="560" w:firstLineChars="200"/>
        <w:textAlignment w:val="center"/>
        <w:rPr>
          <w:color w:val="auto"/>
          <w:kern w:val="0"/>
        </w:rPr>
      </w:pPr>
      <w:r>
        <w:rPr>
          <w:color w:val="auto"/>
          <w:kern w:val="0"/>
        </w:rPr>
        <w:t>1）本项目仓库为封闭形式，采用自然通风与机械通风相结合，可有效防止有毒有害气体积聚在仓库内，使工作场所有害物质浓度降到规定的职业病危害接触限值以下，防止引发操作人员中毒事故。在放散有毒有害及有爆炸性危险的物质的工作场所，设置正常通风和事故通风系统。</w:t>
      </w:r>
    </w:p>
    <w:p>
      <w:pPr>
        <w:wordWrap w:val="0"/>
        <w:adjustRightInd w:val="0"/>
        <w:snapToGrid w:val="0"/>
        <w:ind w:firstLine="560" w:firstLineChars="200"/>
        <w:textAlignment w:val="center"/>
        <w:rPr>
          <w:color w:val="auto"/>
          <w:kern w:val="0"/>
        </w:rPr>
      </w:pPr>
      <w:r>
        <w:rPr>
          <w:color w:val="auto"/>
          <w:kern w:val="0"/>
        </w:rPr>
        <w:t>2）设置可燃气体泄漏检测报警仪，报警系统与事故风机联锁。</w:t>
      </w:r>
    </w:p>
    <w:p>
      <w:pPr>
        <w:wordWrap w:val="0"/>
        <w:adjustRightInd w:val="0"/>
        <w:snapToGrid w:val="0"/>
        <w:ind w:firstLine="560" w:firstLineChars="200"/>
        <w:textAlignment w:val="center"/>
        <w:rPr>
          <w:color w:val="auto"/>
          <w:kern w:val="0"/>
        </w:rPr>
      </w:pPr>
      <w:r>
        <w:rPr>
          <w:color w:val="auto"/>
          <w:kern w:val="0"/>
        </w:rPr>
        <w:t>3）生产场所配备劳动防护器材及用品，配备泄漏事故应急处理器材，生产设施检修时，切断有毒气体来源，并将有毒气体吹净，检测合格后，方可进入设施内部检修。</w:t>
      </w:r>
    </w:p>
    <w:p>
      <w:pPr>
        <w:pStyle w:val="2"/>
        <w:ind w:firstLine="560"/>
        <w:rPr>
          <w:color w:val="auto"/>
        </w:rPr>
      </w:pPr>
      <w:r>
        <w:rPr>
          <w:rFonts w:hint="eastAsia"/>
          <w:color w:val="auto"/>
        </w:rPr>
        <w:t>4）仓库设置防流散漫坡。</w:t>
      </w:r>
    </w:p>
    <w:p>
      <w:pPr>
        <w:wordWrap w:val="0"/>
        <w:adjustRightInd w:val="0"/>
        <w:snapToGrid w:val="0"/>
        <w:ind w:firstLine="560" w:firstLineChars="200"/>
        <w:textAlignment w:val="center"/>
        <w:rPr>
          <w:color w:val="auto"/>
          <w:kern w:val="0"/>
        </w:rPr>
      </w:pPr>
      <w:r>
        <w:rPr>
          <w:rFonts w:hint="eastAsia"/>
          <w:color w:val="auto"/>
          <w:kern w:val="0"/>
        </w:rPr>
        <w:t>5、</w:t>
      </w:r>
      <w:r>
        <w:rPr>
          <w:color w:val="auto"/>
          <w:kern w:val="0"/>
        </w:rPr>
        <w:t>防雷及防静电</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）采用装设在建筑物上的接闪带进行直击雷防护，接闪带网格尺寸不大于10*10m或12*8m。</w:t>
      </w:r>
    </w:p>
    <w:p>
      <w:pPr>
        <w:wordWrap w:val="0"/>
        <w:adjustRightInd w:val="0"/>
        <w:snapToGrid w:val="0"/>
        <w:ind w:firstLine="560" w:firstLineChars="200"/>
        <w:textAlignment w:val="center"/>
        <w:rPr>
          <w:color w:val="auto"/>
          <w:kern w:val="0"/>
        </w:rPr>
      </w:pPr>
      <w:r>
        <w:rPr>
          <w:rFonts w:hint="eastAsia"/>
          <w:color w:val="auto"/>
          <w:kern w:val="0"/>
        </w:rPr>
        <w:t>2）建筑物内的设备、管道、构架等主要金属物，就近接到接地装置上，不另设接地装置。</w:t>
      </w:r>
    </w:p>
    <w:p>
      <w:pPr>
        <w:wordWrap w:val="0"/>
        <w:adjustRightInd w:val="0"/>
        <w:snapToGrid w:val="0"/>
        <w:ind w:firstLine="560" w:firstLineChars="200"/>
        <w:textAlignment w:val="center"/>
        <w:rPr>
          <w:color w:val="auto"/>
          <w:kern w:val="0"/>
        </w:rPr>
      </w:pPr>
      <w:r>
        <w:rPr>
          <w:rFonts w:hint="eastAsia"/>
          <w:color w:val="auto"/>
          <w:kern w:val="0"/>
        </w:rPr>
        <w:t>3）平行敷设的管道、构架等净距小于100mm时采用金属跨接，跨接点的间距不应大于30m。</w:t>
      </w:r>
    </w:p>
    <w:p>
      <w:pPr>
        <w:wordWrap w:val="0"/>
        <w:adjustRightInd w:val="0"/>
        <w:snapToGrid w:val="0"/>
        <w:ind w:firstLine="560" w:firstLineChars="200"/>
        <w:textAlignment w:val="center"/>
        <w:rPr>
          <w:color w:val="auto"/>
          <w:kern w:val="0"/>
        </w:rPr>
      </w:pPr>
      <w:r>
        <w:rPr>
          <w:rFonts w:hint="eastAsia"/>
          <w:color w:val="auto"/>
          <w:kern w:val="0"/>
        </w:rPr>
        <w:t>4）低压线路采用电缆直接埋地敷设，入户端应将电缆金属外皮、金属线槽与防雷的接地装置相连。</w:t>
      </w:r>
    </w:p>
    <w:p>
      <w:pPr>
        <w:wordWrap w:val="0"/>
        <w:adjustRightInd w:val="0"/>
        <w:snapToGrid w:val="0"/>
        <w:ind w:firstLine="560" w:firstLineChars="200"/>
        <w:textAlignment w:val="center"/>
        <w:rPr>
          <w:color w:val="auto"/>
          <w:kern w:val="0"/>
        </w:rPr>
      </w:pPr>
      <w:r>
        <w:rPr>
          <w:rFonts w:hint="eastAsia"/>
          <w:color w:val="auto"/>
          <w:kern w:val="0"/>
        </w:rPr>
        <w:t>5）架空线进出线，在进出处装设避雷器，避雷器应与绝缘子铁脚、金具连接并接入接地装置上。</w:t>
      </w:r>
    </w:p>
    <w:p>
      <w:pPr>
        <w:wordWrap w:val="0"/>
        <w:adjustRightInd w:val="0"/>
        <w:snapToGrid w:val="0"/>
        <w:ind w:firstLine="560" w:firstLineChars="200"/>
        <w:textAlignment w:val="center"/>
        <w:rPr>
          <w:color w:val="auto"/>
          <w:kern w:val="0"/>
        </w:rPr>
      </w:pPr>
      <w:r>
        <w:rPr>
          <w:rFonts w:hint="eastAsia"/>
          <w:color w:val="auto"/>
          <w:kern w:val="0"/>
        </w:rPr>
        <w:t>6）架空和直接埋地的金属管道在进出建筑物处就近与防雷接地装置相连。</w:t>
      </w:r>
    </w:p>
    <w:p>
      <w:pPr>
        <w:wordWrap w:val="0"/>
        <w:adjustRightInd w:val="0"/>
        <w:snapToGrid w:val="0"/>
        <w:ind w:firstLine="560" w:firstLineChars="200"/>
        <w:textAlignment w:val="center"/>
        <w:rPr>
          <w:color w:val="auto"/>
          <w:kern w:val="0"/>
        </w:rPr>
      </w:pPr>
      <w:r>
        <w:rPr>
          <w:rFonts w:hint="eastAsia"/>
          <w:color w:val="auto"/>
          <w:kern w:val="0"/>
        </w:rPr>
        <w:t>7）采用柱内四角主筋（不小于Ф12圆钢）、钢柱作防雷引下线。引下线上与接闪带可靠焊接，下与基础接地装置可靠焊接。引下线间距≦18m。</w:t>
      </w:r>
    </w:p>
    <w:p>
      <w:pPr>
        <w:wordWrap w:val="0"/>
        <w:adjustRightInd w:val="0"/>
        <w:snapToGrid w:val="0"/>
        <w:ind w:firstLine="560" w:firstLineChars="200"/>
        <w:textAlignment w:val="center"/>
        <w:rPr>
          <w:color w:val="auto"/>
          <w:kern w:val="0"/>
        </w:rPr>
      </w:pPr>
      <w:r>
        <w:rPr>
          <w:rFonts w:hint="eastAsia"/>
          <w:color w:val="auto"/>
          <w:kern w:val="0"/>
        </w:rPr>
        <w:t>8）利用基础内主筋作接地极。本设计防雷接地、防静电接地、工作接地、保护接地联合接地，火灾报警系统接地和弱电系统接地采用单独接地系统，其接地电阻不大于4欧，。人工接地极采用热镀锌角钢L50×50×5×2500，人工接地极水平间距不小于5米。</w:t>
      </w:r>
    </w:p>
    <w:p>
      <w:pPr>
        <w:wordWrap w:val="0"/>
        <w:adjustRightInd w:val="0"/>
        <w:snapToGrid w:val="0"/>
        <w:ind w:firstLine="560" w:firstLineChars="200"/>
        <w:textAlignment w:val="center"/>
        <w:rPr>
          <w:color w:val="auto"/>
          <w:kern w:val="0"/>
        </w:rPr>
      </w:pPr>
      <w:r>
        <w:rPr>
          <w:rFonts w:hint="eastAsia"/>
          <w:color w:val="auto"/>
          <w:kern w:val="0"/>
        </w:rPr>
        <w:t>9）所有防雷及接地构件均热镀锌,焊接处须防腐处理。低压配电系统设计采用TN-S系统，在爆炸危险区域设置重复接地。</w:t>
      </w:r>
    </w:p>
    <w:p>
      <w:pPr>
        <w:pStyle w:val="2"/>
        <w:ind w:firstLine="560"/>
        <w:rPr>
          <w:color w:val="auto"/>
        </w:rPr>
      </w:pPr>
      <w:r>
        <w:rPr>
          <w:rFonts w:hint="eastAsia"/>
          <w:color w:val="auto"/>
        </w:rPr>
        <w:t>1</w:t>
      </w:r>
      <w:r>
        <w:rPr>
          <w:color w:val="auto"/>
        </w:rPr>
        <w:t>0</w:t>
      </w:r>
      <w:r>
        <w:rPr>
          <w:rFonts w:hint="eastAsia"/>
          <w:color w:val="auto"/>
        </w:rPr>
        <w:t>）1</w:t>
      </w:r>
      <w:r>
        <w:rPr>
          <w:color w:val="auto"/>
        </w:rPr>
        <w:t>06</w:t>
      </w:r>
      <w:r>
        <w:rPr>
          <w:rFonts w:hint="eastAsia"/>
          <w:color w:val="auto"/>
        </w:rPr>
        <w:t>甲类仓库入口处设置有人体静电释放装置。</w:t>
      </w:r>
    </w:p>
    <w:p>
      <w:pPr>
        <w:wordWrap w:val="0"/>
        <w:adjustRightInd w:val="0"/>
        <w:snapToGrid w:val="0"/>
        <w:ind w:firstLine="560" w:firstLineChars="200"/>
        <w:textAlignment w:val="center"/>
        <w:rPr>
          <w:color w:val="auto"/>
          <w:kern w:val="0"/>
        </w:rPr>
      </w:pPr>
      <w:r>
        <w:rPr>
          <w:rFonts w:hint="eastAsia"/>
          <w:color w:val="auto"/>
          <w:kern w:val="0"/>
        </w:rPr>
        <w:t>1</w:t>
      </w:r>
      <w:r>
        <w:rPr>
          <w:color w:val="auto"/>
          <w:kern w:val="0"/>
        </w:rPr>
        <w:t>1</w:t>
      </w:r>
      <w:r>
        <w:rPr>
          <w:rFonts w:hint="eastAsia"/>
          <w:color w:val="auto"/>
          <w:kern w:val="0"/>
        </w:rPr>
        <w:t>）本项目</w:t>
      </w:r>
      <w:r>
        <w:rPr>
          <w:color w:val="auto"/>
          <w:kern w:val="0"/>
        </w:rPr>
        <w:t>防雷接地经检测合格。</w:t>
      </w:r>
    </w:p>
    <w:p>
      <w:pPr>
        <w:wordWrap w:val="0"/>
        <w:adjustRightInd w:val="0"/>
        <w:snapToGrid w:val="0"/>
        <w:ind w:firstLine="560" w:firstLineChars="200"/>
        <w:textAlignment w:val="center"/>
        <w:rPr>
          <w:color w:val="auto"/>
          <w:kern w:val="0"/>
        </w:rPr>
      </w:pPr>
      <w:r>
        <w:rPr>
          <w:rFonts w:hint="eastAsia"/>
          <w:color w:val="auto"/>
          <w:kern w:val="0"/>
        </w:rPr>
        <w:t>6、</w:t>
      </w:r>
      <w:r>
        <w:rPr>
          <w:color w:val="auto"/>
          <w:kern w:val="0"/>
        </w:rPr>
        <w:t>电气设备及防爆</w:t>
      </w:r>
    </w:p>
    <w:p>
      <w:pPr>
        <w:wordWrap w:val="0"/>
        <w:adjustRightInd w:val="0"/>
        <w:snapToGrid w:val="0"/>
        <w:ind w:firstLine="560" w:firstLineChars="200"/>
        <w:textAlignment w:val="center"/>
        <w:rPr>
          <w:color w:val="auto"/>
          <w:kern w:val="0"/>
        </w:rPr>
      </w:pPr>
      <w:r>
        <w:rPr>
          <w:color w:val="auto"/>
          <w:kern w:val="0"/>
        </w:rPr>
        <w:t>1）本项目甲类仓库内的可燃气体报警系统、火灾自动报警系统、视频监控系统（总计约180W）为一级负荷内的特别重要负荷，厂区共用的消防水泵（原有）、</w:t>
      </w:r>
      <w:r>
        <w:rPr>
          <w:rFonts w:hint="eastAsia"/>
          <w:color w:val="auto"/>
          <w:kern w:val="0"/>
        </w:rPr>
        <w:t>1</w:t>
      </w:r>
      <w:r>
        <w:rPr>
          <w:color w:val="auto"/>
          <w:kern w:val="0"/>
        </w:rPr>
        <w:t>06甲类仓库事故风机（1.65kW）为二级用电负荷，其余为三级用电负荷。</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w:t>
      </w:r>
      <w:r>
        <w:rPr>
          <w:color w:val="auto"/>
          <w:kern w:val="0"/>
        </w:rPr>
        <w:t>三级用电负荷由市电供电。本项目二级及以上用电负荷</w:t>
      </w:r>
      <w:r>
        <w:rPr>
          <w:rFonts w:hint="eastAsia"/>
          <w:color w:val="auto"/>
          <w:kern w:val="0"/>
        </w:rPr>
        <w:t>由</w:t>
      </w:r>
      <w:r>
        <w:rPr>
          <w:color w:val="auto"/>
          <w:kern w:val="0"/>
        </w:rPr>
        <w:t>已设置</w:t>
      </w:r>
      <w:r>
        <w:rPr>
          <w:rFonts w:hint="eastAsia"/>
          <w:color w:val="auto"/>
          <w:kern w:val="0"/>
        </w:rPr>
        <w:t>的</w:t>
      </w:r>
      <w:r>
        <w:rPr>
          <w:color w:val="auto"/>
          <w:kern w:val="0"/>
        </w:rPr>
        <w:t>一台100kW柴油发电机组</w:t>
      </w:r>
      <w:r>
        <w:rPr>
          <w:rFonts w:hint="eastAsia"/>
          <w:color w:val="auto"/>
          <w:kern w:val="0"/>
        </w:rPr>
        <w:t>供应；</w:t>
      </w:r>
      <w:r>
        <w:rPr>
          <w:color w:val="auto"/>
          <w:kern w:val="0"/>
        </w:rPr>
        <w:t>一级负荷中特别重要的用电负荷，企业设置两台3kVA的UPS，满足要求。</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w:t>
      </w:r>
      <w:r>
        <w:rPr>
          <w:color w:val="auto"/>
          <w:kern w:val="0"/>
        </w:rPr>
        <w:t>爆炸区域内各电气及仪表设备的防爆等级ⅡBT4。各电气及仪表设备防护等级不低于IP54，各远传仪表设备防护等级不低于IP65。</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通风（除尘、排毒）设施：</w:t>
      </w:r>
    </w:p>
    <w:p>
      <w:pPr>
        <w:wordWrap w:val="0"/>
        <w:adjustRightInd w:val="0"/>
        <w:snapToGrid w:val="0"/>
        <w:ind w:firstLine="560" w:firstLineChars="200"/>
        <w:textAlignment w:val="center"/>
        <w:rPr>
          <w:color w:val="auto"/>
          <w:kern w:val="0"/>
        </w:rPr>
      </w:pPr>
      <w:r>
        <w:rPr>
          <w:color w:val="auto"/>
          <w:kern w:val="0"/>
        </w:rPr>
        <w:t>本项目106甲类仓库通风方式采用自然通风与机械排风相结合的通风方式：在外墙下部设置通风口用于自然通风，在外墙上设置轴流风机排风，排气次数为8~12次/h，可有效防止可有效防止有害气体积聚在生产装置。具体设置如下：</w:t>
      </w:r>
    </w:p>
    <w:p>
      <w:pPr>
        <w:wordWrap w:val="0"/>
        <w:adjustRightInd w:val="0"/>
        <w:snapToGrid w:val="0"/>
        <w:ind w:firstLine="560" w:firstLineChars="200"/>
        <w:textAlignment w:val="center"/>
        <w:rPr>
          <w:color w:val="auto"/>
          <w:kern w:val="0"/>
        </w:rPr>
      </w:pPr>
      <w:r>
        <w:rPr>
          <w:color w:val="auto"/>
          <w:kern w:val="0"/>
        </w:rPr>
        <w:t>1）仓库：采用轴流风机进行通风，室外设置手动启停开关，正常情况下排气次数为8~14次/h。</w:t>
      </w:r>
    </w:p>
    <w:p>
      <w:pPr>
        <w:wordWrap w:val="0"/>
        <w:adjustRightInd w:val="0"/>
        <w:snapToGrid w:val="0"/>
        <w:ind w:firstLine="560" w:firstLineChars="200"/>
        <w:textAlignment w:val="center"/>
        <w:rPr>
          <w:color w:val="auto"/>
          <w:kern w:val="0"/>
        </w:rPr>
      </w:pPr>
      <w:r>
        <w:rPr>
          <w:color w:val="auto"/>
          <w:kern w:val="0"/>
        </w:rPr>
        <w:t>2）仓库设有事故通风系统，事故通风的换气次数按12~14次/h计算。事故通风由正常使用的通风系统和事故通风系统共同保证。轴流风机与可燃气体报警装置进行联锁，当报警装置报警时，联锁控制风机启停，事故风机在室外便于操作的地点设置手动开关。</w:t>
      </w:r>
    </w:p>
    <w:p>
      <w:pPr>
        <w:wordWrap w:val="0"/>
        <w:adjustRightInd w:val="0"/>
        <w:snapToGrid w:val="0"/>
        <w:textAlignment w:val="center"/>
        <w:outlineLvl w:val="3"/>
        <w:rPr>
          <w:b/>
          <w:bCs/>
          <w:color w:val="auto"/>
          <w:kern w:val="0"/>
        </w:rPr>
      </w:pPr>
      <w:r>
        <w:rPr>
          <w:rFonts w:hint="eastAsia"/>
          <w:b/>
          <w:bCs/>
          <w:color w:val="auto"/>
          <w:kern w:val="0"/>
        </w:rPr>
        <w:t>6.2.1.2 建设项目安全设施设计采纳情况</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存在着</w:t>
      </w:r>
      <w:r>
        <w:rPr>
          <w:rFonts w:hint="eastAsia"/>
          <w:color w:val="auto"/>
          <w:kern w:val="0"/>
        </w:rPr>
        <w:t>火灾、爆炸、中毒窒息、灼烫、车辆伤害、触电、坍塌</w:t>
      </w:r>
      <w:r>
        <w:rPr>
          <w:color w:val="auto"/>
          <w:kern w:val="0"/>
        </w:rPr>
        <w:t>及其他危险因素，存在噪声、</w:t>
      </w:r>
      <w:r>
        <w:rPr>
          <w:rFonts w:hint="eastAsia"/>
          <w:color w:val="auto"/>
          <w:kern w:val="0"/>
        </w:rPr>
        <w:t>毒物、</w:t>
      </w:r>
      <w:r>
        <w:rPr>
          <w:color w:val="auto"/>
          <w:kern w:val="0"/>
        </w:rPr>
        <w:t>高温等有害因素。针对安全设施设计专篇中提出的各项安全对策和建议，本评价组列表归纳如下。</w:t>
      </w:r>
      <w:r>
        <w:rPr>
          <w:rFonts w:hint="eastAsia"/>
          <w:color w:val="auto"/>
          <w:kern w:val="0"/>
        </w:rPr>
        <w:t>（不属于此次评价范围内的装置安全设施设计情况本报告不予以列出）</w:t>
      </w:r>
    </w:p>
    <w:p>
      <w:pPr>
        <w:wordWrap w:val="0"/>
        <w:adjustRightInd w:val="0"/>
        <w:snapToGrid w:val="0"/>
        <w:jc w:val="center"/>
        <w:textAlignment w:val="center"/>
        <w:rPr>
          <w:color w:val="auto"/>
          <w:kern w:val="0"/>
        </w:rPr>
      </w:pPr>
      <w:r>
        <w:rPr>
          <w:rFonts w:hint="eastAsia"/>
          <w:color w:val="auto"/>
          <w:kern w:val="0"/>
        </w:rPr>
        <w:t>表6.2-1  安全设施设计专篇主要安全设施落实情况一览表</w:t>
      </w:r>
    </w:p>
    <w:tbl>
      <w:tblPr>
        <w:tblStyle w:val="24"/>
        <w:tblW w:w="48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588"/>
        <w:gridCol w:w="936"/>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50"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2528"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设立安全评价报告中提出的安全对策措施</w:t>
            </w:r>
          </w:p>
        </w:tc>
        <w:tc>
          <w:tcPr>
            <w:tcW w:w="516"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采纳</w:t>
            </w:r>
          </w:p>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情况</w:t>
            </w:r>
          </w:p>
        </w:tc>
        <w:tc>
          <w:tcPr>
            <w:tcW w:w="1504"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一</w:t>
            </w:r>
          </w:p>
        </w:tc>
        <w:tc>
          <w:tcPr>
            <w:tcW w:w="4549" w:type="pct"/>
            <w:gridSpan w:val="3"/>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仓储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甲类仓库门口设置高度为150mm的水泥慢坡，防止液体流散，库房内设置溢流沟，通向室外的积液池。易燃液体的桶装物料采用托盘存放。</w:t>
            </w:r>
          </w:p>
          <w:p>
            <w:pPr>
              <w:wordWrap w:val="0"/>
              <w:adjustRightInd w:val="0"/>
              <w:snapToGrid w:val="0"/>
              <w:spacing w:line="240" w:lineRule="auto"/>
              <w:textAlignment w:val="center"/>
              <w:rPr>
                <w:rFonts w:cs="Times New Roman"/>
                <w:color w:val="auto"/>
                <w:kern w:val="0"/>
                <w:sz w:val="21"/>
                <w:szCs w:val="21"/>
              </w:rPr>
            </w:pP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设置了相应的围堤，配备相应防腐蚀性防护用具等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建立健全完善高效的防泄漏安全管理制度，积极组织全员进行泄漏安全管理培训教育。加强泄漏管理是预防事故发生的有效措施。泄漏是引起化工企业火灾、爆炸、中毒事故的主要原因，要树立“泄漏就是事故”的理念，从源头上预防和控制泄漏，减少作业人员接触有毒有害物质，提升化工企业本质安全水平。</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未</w:t>
            </w:r>
            <w:r>
              <w:rPr>
                <w:rFonts w:cs="Times New Roman"/>
                <w:color w:val="auto"/>
                <w:kern w:val="0"/>
                <w:sz w:val="21"/>
                <w:szCs w:val="21"/>
              </w:rPr>
              <w:t>建立防泄漏安全管理制度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经常性开展化工设备逸散性泄漏检测及维修。企业要根据逸散性泄漏检测的有关标准、规范，定期对易发生逸散性泄漏的部位进行泄漏检测，排查出发生泄漏的设备要及时维修或更换。企业要实施泄漏检测及维修全过程管理，对维修后的密封进行验证，达到减少或消除泄漏的目的。仓库要设置泄露物料的收集设施及容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入库时进行</w:t>
            </w:r>
            <w:r>
              <w:rPr>
                <w:rFonts w:cs="Times New Roman"/>
                <w:color w:val="auto"/>
                <w:kern w:val="0"/>
                <w:sz w:val="21"/>
                <w:szCs w:val="21"/>
              </w:rPr>
              <w:t>泄漏检测</w:t>
            </w:r>
            <w:r>
              <w:rPr>
                <w:rFonts w:hint="eastAsia" w:cs="Times New Roman"/>
                <w:color w:val="auto"/>
                <w:kern w:val="0"/>
                <w:sz w:val="21"/>
                <w:szCs w:val="21"/>
              </w:rPr>
              <w:t>，</w:t>
            </w:r>
            <w:r>
              <w:rPr>
                <w:rFonts w:cs="Times New Roman"/>
                <w:color w:val="auto"/>
                <w:kern w:val="0"/>
                <w:sz w:val="21"/>
                <w:szCs w:val="21"/>
              </w:rPr>
              <w:t>设置泄露物料的收集设施及容器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根据物料的特性要求，在仓库有可燃（有毒）气体泄漏处，设置了可燃（有毒）气体浓度检测、报警器。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设置了可燃气体浓度检测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危险品仓库20m范围内严禁堆放油类、棉纱等易燃物质。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不</w:t>
            </w:r>
            <w:r>
              <w:rPr>
                <w:rFonts w:cs="Times New Roman"/>
                <w:color w:val="auto"/>
                <w:kern w:val="0"/>
                <w:sz w:val="21"/>
                <w:szCs w:val="21"/>
              </w:rPr>
              <w:t>堆放油类、棉纱等易燃物质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106甲类仓库进行防雷防静电接地，设有火灾报警系统。</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进行防雷防静电接地，设有火灾报警系统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甲类桶装物料用叉车运送到车间内，甲类桶装物料要有半小时的静止期。</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叉车运送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甲类仓库等甲类火灾爆炸危险区域的电气设备均选用防爆型电气设备。所有电气开关均设置在室外。</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选用防爆型电气设</w:t>
            </w:r>
            <w:r>
              <w:rPr>
                <w:rFonts w:hint="eastAsia" w:cs="Times New Roman"/>
                <w:color w:val="auto"/>
                <w:kern w:val="0"/>
                <w:sz w:val="21"/>
                <w:szCs w:val="21"/>
              </w:rPr>
              <w:t>，</w:t>
            </w:r>
            <w:r>
              <w:rPr>
                <w:rFonts w:cs="Times New Roman"/>
                <w:color w:val="auto"/>
                <w:kern w:val="0"/>
                <w:sz w:val="21"/>
                <w:szCs w:val="21"/>
              </w:rPr>
              <w:t>开关均设置在室外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106甲类仓库入口设置了出入口设置人体静电消除装置。</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设置人体静电消除装置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参照《仓储场所消防安全管理通则》（XF1131-2014）中关于储存管理的要求进行设计，其中库房内堆放物品应满足以下要求：</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（1）堆垛上部与楼板、平屋顶之间的距离不小于0.3m（人字屋架从横梁算起）；</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（2）物品与照明灯之间的距离不小于0.5m；</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（3）物品与墙之间的距离不小于0.5m；</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（4）物品堆垛与柱之间的距离不小于0.3m；</w:t>
            </w:r>
          </w:p>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（5）物品堆垛与堆垛之间的距离不小于1m；同时入库物料严格按照指定的位置储存，严禁将物料混储、超储。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库房内堆放物品满足</w:t>
            </w:r>
            <w:r>
              <w:rPr>
                <w:rFonts w:hint="eastAsia" w:cs="Times New Roman"/>
                <w:color w:val="auto"/>
                <w:kern w:val="0"/>
                <w:sz w:val="21"/>
                <w:szCs w:val="21"/>
              </w:rPr>
              <w:t>要求，未发现</w:t>
            </w:r>
            <w:r>
              <w:rPr>
                <w:rFonts w:cs="Times New Roman"/>
                <w:color w:val="auto"/>
                <w:kern w:val="0"/>
                <w:sz w:val="21"/>
                <w:szCs w:val="21"/>
              </w:rPr>
              <w:t>物料混储、超储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11</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仓库内设置温湿度计，制定相应操作规程，按规定时间进行观测和记录。</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未采纳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未</w:t>
            </w:r>
            <w:r>
              <w:rPr>
                <w:rFonts w:cs="Times New Roman"/>
                <w:color w:val="auto"/>
                <w:kern w:val="0"/>
                <w:sz w:val="21"/>
                <w:szCs w:val="21"/>
              </w:rPr>
              <w:t>设置温湿度计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12</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甲、乙类物品在装卸过程中，避免震动、撞击、重压、摩擦和倒置。操作人员应穿戴防静电的工作服、鞋帽，不应使用易产生火花的工具，对能产生静电的装卸设备应采取静电消除措施。</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避免震动、撞击、重压、摩擦和倒置</w:t>
            </w:r>
            <w:r>
              <w:rPr>
                <w:rFonts w:hint="eastAsia" w:cs="Times New Roman"/>
                <w:color w:val="auto"/>
                <w:kern w:val="0"/>
                <w:sz w:val="21"/>
                <w:szCs w:val="21"/>
              </w:rPr>
              <w:t>，</w:t>
            </w:r>
            <w:r>
              <w:rPr>
                <w:rFonts w:cs="Times New Roman"/>
                <w:color w:val="auto"/>
                <w:kern w:val="0"/>
                <w:sz w:val="21"/>
                <w:szCs w:val="21"/>
              </w:rPr>
              <w:t>穿戴防静电的工作服、鞋帽，不应使用易产生火花的工具</w:t>
            </w:r>
            <w:r>
              <w:rPr>
                <w:rFonts w:hint="eastAsia" w:cs="Times New Roman"/>
                <w:color w:val="auto"/>
                <w:kern w:val="0"/>
                <w:sz w:val="21"/>
                <w:szCs w:val="21"/>
              </w:rPr>
              <w:t>，</w:t>
            </w:r>
            <w:r>
              <w:rPr>
                <w:rFonts w:cs="Times New Roman"/>
                <w:color w:val="auto"/>
                <w:kern w:val="0"/>
                <w:sz w:val="21"/>
                <w:szCs w:val="21"/>
              </w:rPr>
              <w:t>采取静电消除措施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13</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物料入库前应对其容器、封口、包装和衬垫的有效性进行检查，采取先进先出的原则，库内严禁开桶、开袋。</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对容器、封口、包装和衬垫的有效性进行检查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14</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严禁机动车进入仓库装卸车。</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现场未发现</w:t>
            </w:r>
            <w:r>
              <w:rPr>
                <w:rFonts w:cs="Times New Roman"/>
                <w:color w:val="auto"/>
                <w:kern w:val="0"/>
                <w:sz w:val="21"/>
                <w:szCs w:val="21"/>
              </w:rPr>
              <w:t>机动车</w:t>
            </w:r>
            <w:r>
              <w:rPr>
                <w:rFonts w:hint="eastAsia" w:cs="Times New Roman"/>
                <w:color w:val="auto"/>
                <w:kern w:val="0"/>
                <w:sz w:val="21"/>
                <w:szCs w:val="21"/>
              </w:rPr>
              <w:t>进入甲类</w:t>
            </w:r>
            <w:r>
              <w:rPr>
                <w:rFonts w:cs="Times New Roman"/>
                <w:color w:val="auto"/>
                <w:kern w:val="0"/>
                <w:sz w:val="21"/>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15</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全厂区设为防火区，严禁明火，按照《化学品生产单位特殊作业安全规程》（GB30871-2014）制定动火维修安全规范，并严格执行。</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严禁明火</w:t>
            </w:r>
            <w:r>
              <w:rPr>
                <w:rFonts w:hint="eastAsia" w:cs="Times New Roman"/>
                <w:color w:val="auto"/>
                <w:kern w:val="0"/>
                <w:sz w:val="21"/>
                <w:szCs w:val="21"/>
              </w:rPr>
              <w:t>，已</w:t>
            </w:r>
            <w:r>
              <w:rPr>
                <w:rFonts w:cs="Times New Roman"/>
                <w:color w:val="auto"/>
                <w:kern w:val="0"/>
                <w:sz w:val="21"/>
                <w:szCs w:val="21"/>
              </w:rPr>
              <w:t>制定</w:t>
            </w:r>
            <w:r>
              <w:rPr>
                <w:rFonts w:hint="eastAsia" w:cs="Times New Roman"/>
                <w:color w:val="auto"/>
                <w:kern w:val="0"/>
                <w:sz w:val="21"/>
                <w:szCs w:val="21"/>
              </w:rPr>
              <w:t>相关</w:t>
            </w:r>
            <w:r>
              <w:rPr>
                <w:rFonts w:cs="Times New Roman"/>
                <w:color w:val="auto"/>
                <w:kern w:val="0"/>
                <w:sz w:val="21"/>
                <w:szCs w:val="21"/>
              </w:rPr>
              <w:t>动火维修安全规范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16</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本项目仓库为封闭形式，采用自然通风与机械通风相结合，可有效防止有毒有害气体积聚在仓库内，使工作场所有害物质浓度降到规定的职业病危害接触限值以下，防止引发操作人员中毒事故。在放散有毒有害及有爆炸性危险的物质的工作场所，设置正常通风和事故通风系统。</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封闭形式，采用自然通风与机械通风相结合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17</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设置可燃（有毒）气体泄漏检测报警仪，报警系统与事故风机联锁。</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设置可燃气体泄漏检测报警仪，报警系统与事故风机联锁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8</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生产场所配备劳动防护器材及用品，配备泄漏事故应急处理器材，生产设施检修时，切断有毒气体来源，并将有毒气体吹净，检测合格后，方可进入设施内部检修。</w:t>
            </w:r>
          </w:p>
        </w:tc>
        <w:tc>
          <w:tcPr>
            <w:tcW w:w="516"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厂区</w:t>
            </w:r>
            <w:r>
              <w:rPr>
                <w:rFonts w:cs="Times New Roman"/>
                <w:color w:val="auto"/>
                <w:kern w:val="0"/>
                <w:sz w:val="21"/>
                <w:szCs w:val="21"/>
              </w:rPr>
              <w:t>配</w:t>
            </w:r>
            <w:r>
              <w:rPr>
                <w:rFonts w:hint="eastAsia" w:cs="Times New Roman"/>
                <w:color w:val="auto"/>
                <w:kern w:val="0"/>
                <w:sz w:val="21"/>
                <w:szCs w:val="21"/>
              </w:rPr>
              <w:t>有</w:t>
            </w:r>
            <w:r>
              <w:rPr>
                <w:rFonts w:cs="Times New Roman"/>
                <w:color w:val="auto"/>
                <w:kern w:val="0"/>
                <w:sz w:val="21"/>
                <w:szCs w:val="21"/>
              </w:rPr>
              <w:t>劳动防护器材及用品</w:t>
            </w:r>
            <w:r>
              <w:rPr>
                <w:rFonts w:hint="eastAsia" w:cs="Times New Roman"/>
                <w:color w:val="auto"/>
                <w:kern w:val="0"/>
                <w:sz w:val="21"/>
                <w:szCs w:val="21"/>
              </w:rPr>
              <w:t>，</w:t>
            </w:r>
            <w:r>
              <w:rPr>
                <w:rFonts w:cs="Times New Roman"/>
                <w:color w:val="auto"/>
                <w:kern w:val="0"/>
                <w:sz w:val="21"/>
                <w:szCs w:val="21"/>
              </w:rPr>
              <w:t>配备泄漏事故应急处理器材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b/>
                <w:bCs/>
                <w:color w:val="auto"/>
                <w:kern w:val="0"/>
                <w:sz w:val="21"/>
                <w:szCs w:val="21"/>
              </w:rPr>
            </w:pPr>
            <w:r>
              <w:rPr>
                <w:rFonts w:cs="Times New Roman"/>
                <w:b/>
                <w:bCs/>
                <w:color w:val="auto"/>
                <w:kern w:val="0"/>
                <w:sz w:val="21"/>
                <w:szCs w:val="21"/>
              </w:rPr>
              <w:t>二</w:t>
            </w:r>
          </w:p>
        </w:tc>
        <w:tc>
          <w:tcPr>
            <w:tcW w:w="4549" w:type="pct"/>
            <w:gridSpan w:val="3"/>
            <w:vAlign w:val="center"/>
          </w:tcPr>
          <w:p>
            <w:pPr>
              <w:wordWrap w:val="0"/>
              <w:adjustRightInd w:val="0"/>
              <w:snapToGrid w:val="0"/>
              <w:spacing w:line="270" w:lineRule="exact"/>
              <w:jc w:val="center"/>
              <w:textAlignment w:val="center"/>
              <w:rPr>
                <w:rFonts w:cs="Times New Roman"/>
                <w:b/>
                <w:bCs/>
                <w:color w:val="auto"/>
                <w:kern w:val="0"/>
                <w:sz w:val="21"/>
                <w:szCs w:val="21"/>
              </w:rPr>
            </w:pPr>
            <w:r>
              <w:rPr>
                <w:rFonts w:cs="Times New Roman"/>
                <w:b/>
                <w:bCs/>
                <w:color w:val="auto"/>
                <w:kern w:val="0"/>
                <w:sz w:val="21"/>
                <w:szCs w:val="21"/>
              </w:rPr>
              <w:t>总平面布置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厂区门口、危险路段、转变路段设计要求设置限速标牌和警示标牌。机动车在保证安全的情况下，在无限速的标志的厂内主干道行驶时，不得超过30km/h，其它道路不得超过20km/h。在道路旁按照《化工企业照明设计技术规定》（HGT20586-1996）设置了完好的照明设施</w:t>
            </w:r>
            <w:r>
              <w:rPr>
                <w:rFonts w:hint="eastAsia" w:cs="Times New Roman"/>
                <w:color w:val="auto"/>
                <w:kern w:val="0"/>
                <w:sz w:val="21"/>
                <w:szCs w:val="21"/>
              </w:rPr>
              <w:t>。</w:t>
            </w:r>
          </w:p>
        </w:tc>
        <w:tc>
          <w:tcPr>
            <w:tcW w:w="516"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bCs/>
                <w:color w:val="auto"/>
                <w:kern w:val="0"/>
                <w:sz w:val="21"/>
                <w:szCs w:val="21"/>
              </w:rPr>
              <w:t>部分</w:t>
            </w: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hint="eastAsia" w:cs="Times New Roman"/>
                <w:color w:val="auto"/>
                <w:kern w:val="0"/>
                <w:sz w:val="21"/>
                <w:szCs w:val="21"/>
              </w:rPr>
              <w:t>未设置</w:t>
            </w:r>
            <w:r>
              <w:rPr>
                <w:rFonts w:cs="Times New Roman"/>
                <w:color w:val="auto"/>
                <w:kern w:val="0"/>
                <w:sz w:val="21"/>
                <w:szCs w:val="21"/>
              </w:rPr>
              <w:t>限速标牌和警示标牌</w:t>
            </w:r>
            <w:r>
              <w:rPr>
                <w:rFonts w:hint="eastAsia" w:cs="Times New Roman"/>
                <w:color w:val="auto"/>
                <w:kern w:val="0"/>
                <w:sz w:val="21"/>
                <w:szCs w:val="21"/>
              </w:rPr>
              <w:t>，</w:t>
            </w:r>
            <w:r>
              <w:rPr>
                <w:rFonts w:cs="Times New Roman"/>
                <w:color w:val="auto"/>
                <w:kern w:val="0"/>
                <w:sz w:val="21"/>
                <w:szCs w:val="21"/>
              </w:rPr>
              <w:t>设置了完好的照明设施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b/>
                <w:bCs/>
                <w:color w:val="auto"/>
                <w:kern w:val="0"/>
                <w:sz w:val="21"/>
                <w:szCs w:val="21"/>
              </w:rPr>
            </w:pPr>
            <w:r>
              <w:rPr>
                <w:rFonts w:hint="eastAsia" w:cs="Times New Roman"/>
                <w:b/>
                <w:bCs/>
                <w:color w:val="auto"/>
                <w:kern w:val="0"/>
                <w:sz w:val="21"/>
                <w:szCs w:val="21"/>
              </w:rPr>
              <w:t>三</w:t>
            </w:r>
          </w:p>
        </w:tc>
        <w:tc>
          <w:tcPr>
            <w:tcW w:w="4549" w:type="pct"/>
            <w:gridSpan w:val="3"/>
            <w:vAlign w:val="center"/>
          </w:tcPr>
          <w:p>
            <w:pPr>
              <w:wordWrap w:val="0"/>
              <w:adjustRightInd w:val="0"/>
              <w:snapToGrid w:val="0"/>
              <w:spacing w:line="270" w:lineRule="exact"/>
              <w:jc w:val="center"/>
              <w:textAlignment w:val="center"/>
              <w:rPr>
                <w:rFonts w:cs="Times New Roman"/>
                <w:b/>
                <w:bCs/>
                <w:color w:val="auto"/>
                <w:kern w:val="0"/>
                <w:sz w:val="21"/>
                <w:szCs w:val="21"/>
              </w:rPr>
            </w:pPr>
            <w:r>
              <w:rPr>
                <w:rFonts w:cs="Times New Roman"/>
                <w:b/>
                <w:bCs/>
                <w:color w:val="auto"/>
                <w:kern w:val="0"/>
                <w:sz w:val="21"/>
                <w:szCs w:val="21"/>
              </w:rPr>
              <w:t>设备及管道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特种设备应选用国家许可具有相关资质的单位设计、制造的产品,有国家认可的有资质的单位进行安装,并按国家规定取得质检许可证并登记使用证</w:t>
            </w:r>
          </w:p>
        </w:tc>
        <w:tc>
          <w:tcPr>
            <w:tcW w:w="516"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hint="eastAsia" w:cs="Times New Roman"/>
                <w:bCs/>
                <w:color w:val="auto"/>
                <w:kern w:val="0"/>
                <w:sz w:val="21"/>
                <w:szCs w:val="21"/>
              </w:rPr>
              <w:t>依托厂区现有，已</w:t>
            </w:r>
            <w:r>
              <w:rPr>
                <w:rFonts w:cs="Times New Roman"/>
                <w:color w:val="auto"/>
                <w:kern w:val="0"/>
                <w:sz w:val="21"/>
                <w:szCs w:val="21"/>
              </w:rPr>
              <w:t>取得质检许可证并登记使用证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2</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要求对燃、有毒气体探测仪，应经标定或校准后投入使用，并落实措施进行定期检查。</w:t>
            </w:r>
          </w:p>
        </w:tc>
        <w:tc>
          <w:tcPr>
            <w:tcW w:w="516"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bCs/>
                <w:color w:val="auto"/>
                <w:kern w:val="0"/>
                <w:sz w:val="21"/>
                <w:szCs w:val="21"/>
              </w:rPr>
            </w:pPr>
            <w:r>
              <w:rPr>
                <w:rFonts w:cs="Times New Roman"/>
                <w:color w:val="auto"/>
                <w:kern w:val="0"/>
                <w:sz w:val="21"/>
                <w:szCs w:val="21"/>
              </w:rPr>
              <w:t>定期检查</w:t>
            </w:r>
            <w:r>
              <w:rPr>
                <w:rFonts w:hint="eastAsia" w:cs="Times New Roman"/>
                <w:color w:val="auto"/>
                <w:kern w:val="0"/>
                <w:sz w:val="21"/>
                <w:szCs w:val="21"/>
              </w:rPr>
              <w:t>，有调试报告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3</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要求建立特种设备安全管理制度，技术档案，定期检验设备。</w:t>
            </w:r>
          </w:p>
        </w:tc>
        <w:tc>
          <w:tcPr>
            <w:tcW w:w="516"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已</w:t>
            </w:r>
            <w:r>
              <w:rPr>
                <w:rFonts w:cs="Times New Roman"/>
                <w:color w:val="auto"/>
                <w:kern w:val="0"/>
                <w:sz w:val="21"/>
                <w:szCs w:val="21"/>
              </w:rPr>
              <w:t>建立特种设备安全管理制度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b/>
                <w:bCs/>
                <w:color w:val="auto"/>
                <w:kern w:val="0"/>
                <w:sz w:val="21"/>
                <w:szCs w:val="21"/>
              </w:rPr>
              <w:t>四</w:t>
            </w:r>
          </w:p>
        </w:tc>
        <w:tc>
          <w:tcPr>
            <w:tcW w:w="4549" w:type="pct"/>
            <w:gridSpan w:val="3"/>
            <w:vAlign w:val="center"/>
          </w:tcPr>
          <w:p>
            <w:pPr>
              <w:wordWrap w:val="0"/>
              <w:adjustRightInd w:val="0"/>
              <w:snapToGrid w:val="0"/>
              <w:spacing w:line="270" w:lineRule="exact"/>
              <w:jc w:val="center"/>
              <w:textAlignment w:val="center"/>
              <w:rPr>
                <w:rFonts w:cs="Times New Roman"/>
                <w:b/>
                <w:bCs/>
                <w:color w:val="auto"/>
                <w:kern w:val="0"/>
                <w:sz w:val="21"/>
                <w:szCs w:val="21"/>
              </w:rPr>
            </w:pPr>
            <w:r>
              <w:rPr>
                <w:rFonts w:cs="Times New Roman"/>
                <w:b/>
                <w:bCs/>
                <w:color w:val="auto"/>
                <w:kern w:val="0"/>
                <w:sz w:val="21"/>
                <w:szCs w:val="21"/>
              </w:rPr>
              <w:t>电气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1</w:t>
            </w:r>
          </w:p>
        </w:tc>
        <w:tc>
          <w:tcPr>
            <w:tcW w:w="2528" w:type="pct"/>
            <w:vAlign w:val="center"/>
          </w:tcPr>
          <w:p>
            <w:pPr>
              <w:wordWrap w:val="0"/>
              <w:adjustRightInd w:val="0"/>
              <w:snapToGrid w:val="0"/>
              <w:spacing w:line="270" w:lineRule="exact"/>
              <w:textAlignment w:val="center"/>
              <w:rPr>
                <w:rFonts w:cs="Times New Roman"/>
                <w:color w:val="auto"/>
                <w:kern w:val="0"/>
                <w:sz w:val="21"/>
                <w:szCs w:val="21"/>
              </w:rPr>
            </w:pPr>
            <w:r>
              <w:rPr>
                <w:rFonts w:cs="Times New Roman"/>
                <w:color w:val="auto"/>
                <w:kern w:val="0"/>
                <w:sz w:val="21"/>
                <w:szCs w:val="21"/>
              </w:rPr>
              <w:t>爆炸区域内各电气及仪表设备的防爆等级ⅡBT4。各电气及仪表设备防护等级不低于IP54，各远传仪表设备防护等级不低于IP65</w:t>
            </w:r>
          </w:p>
        </w:tc>
        <w:tc>
          <w:tcPr>
            <w:tcW w:w="516"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70" w:lineRule="exact"/>
              <w:jc w:val="center"/>
              <w:textAlignment w:val="center"/>
              <w:rPr>
                <w:rFonts w:cs="Times New Roman"/>
                <w:color w:val="auto"/>
                <w:kern w:val="0"/>
                <w:sz w:val="21"/>
                <w:szCs w:val="21"/>
              </w:rPr>
            </w:pPr>
            <w:r>
              <w:rPr>
                <w:rFonts w:cs="Times New Roman"/>
                <w:color w:val="auto"/>
                <w:kern w:val="0"/>
                <w:sz w:val="21"/>
                <w:szCs w:val="21"/>
              </w:rPr>
              <w:t>防爆等级ⅡBT4</w:t>
            </w:r>
            <w:r>
              <w:rPr>
                <w:rFonts w:hint="eastAsia" w:cs="Times New Roman"/>
                <w:color w:val="auto"/>
                <w:kern w:val="0"/>
                <w:sz w:val="21"/>
                <w:szCs w:val="21"/>
              </w:rPr>
              <w:t>，</w:t>
            </w:r>
            <w:r>
              <w:rPr>
                <w:rFonts w:cs="Times New Roman"/>
                <w:color w:val="auto"/>
                <w:kern w:val="0"/>
                <w:sz w:val="21"/>
                <w:szCs w:val="21"/>
              </w:rPr>
              <w:t>电气及仪表设备防护等级不低于IP54</w:t>
            </w:r>
            <w:r>
              <w:rPr>
                <w:rFonts w:hint="eastAsia" w:cs="Times New Roman"/>
                <w:color w:val="auto"/>
                <w:kern w:val="0"/>
                <w:sz w:val="21"/>
                <w:szCs w:val="21"/>
              </w:rPr>
              <w:t>，</w:t>
            </w:r>
            <w:r>
              <w:rPr>
                <w:rFonts w:cs="Times New Roman"/>
                <w:color w:val="auto"/>
                <w:kern w:val="0"/>
                <w:sz w:val="21"/>
                <w:szCs w:val="21"/>
              </w:rPr>
              <w:t>远传仪表设备防护等级不低于IP65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设计采用装设在建筑物上的接闪带进行直击雷防护，接闪带网格尺寸不大于10*10m或12*8m</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建筑物内的设备、管道、构架等主要金属物，应就近接到接地装置上，不另设接地装置。</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平行敷设的管道、构架等净距小于100mm时应采用金属跨接，跨接点的间距不应大于30m。</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当低压线路采用电缆直接埋地敷设时，入户端应将电缆金属外皮、金属线槽与防雷的接地装置相连。</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架空线进出线，在进出处装设避雷器，避雷器应与绝缘子铁脚、金具连接并接入接地装置上。</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架空和直接埋地的金属管道在进出建筑物处就近与防雷接地装置相连。</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8</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采用柱内四角主筋（不小于Ф12 圆钢）、钢柱作防雷引下线。引下线上与接闪带可靠焊接，下与基础接地装置可靠焊接。引下线间距≦18m。</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利用基础内主筋作接地极。本设计防雷接地、防静电接地、工作接地、保护接地联合接地，火灾报警系统接地和弱电系统接地采用单独接地系统，其接地电阻分别不大于4欧，若实测达不到要求，增打人工接地极。人工接地极采用热镀锌角钢L50×50×5×2500，人工接地极水平间距不小于5米。</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联合接地</w:t>
            </w:r>
            <w:r>
              <w:rPr>
                <w:rFonts w:hint="eastAsia" w:cs="Times New Roman"/>
                <w:color w:val="auto"/>
                <w:kern w:val="0"/>
                <w:sz w:val="21"/>
                <w:szCs w:val="21"/>
              </w:rPr>
              <w:t>，</w:t>
            </w:r>
            <w:r>
              <w:rPr>
                <w:rFonts w:cs="Times New Roman"/>
                <w:color w:val="auto"/>
                <w:kern w:val="0"/>
                <w:sz w:val="21"/>
                <w:szCs w:val="21"/>
              </w:rPr>
              <w:t>电阻不大于4欧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所有防雷及接地构件均热镀锌,焊接处须防腐处理。上述建筑中低压配电系统设计采用TN-S系统，在爆炸危险区域设置重复接地。</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采用TN-S系统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11</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为防止雷电流沿架空线侵入，在10kV进线引下线杆及高压进线柜处装设阀式避雷器</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依据相关规范要求：独立的防雷接地电阻应小于等于10欧，独立的保护接地电阻应小于等于4欧，独立的工作接地电阻应小于等于4欧，独立的直流工作接地电阻应小于等于4欧，独立的火灾报警系统接地电阻应小于等于4欧，防静电接地电阻一般要求小于等于100欧，重复接地电阻应不大于10欧。由于本建设项目的防雷接地、防静电接地、工作接地、保护接地联合接地，火灾报警系统接地和弱电系统接地采用单独接地系统，其接地电阻分别不大于4欧，如施工未达到要求应增打角钢接地极。</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有合格的防雷报告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13</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本项目106甲类仓库存在爆炸危险环境，需设置防静电接地。</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14</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使用及储存可燃液体的设备和管道设计防静电接地（法兰间要进行跨接，法兰间的接触电阻值应不大于0.03欧姆），其接地电阻不大于100Ω，并通过BVR6、40*4热镀锌扁钢可靠接地。</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15</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在汽车装卸区设置静电接地设施</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设置静电接地设施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16</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出入口需设置人体静电释放仪并可靠接地</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设置人体静电释放仪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17</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在总配电低压母线上及进建筑物总配电箱上装Ⅰ级试验电涌保护器（SPD）。各弱电进出建筑物接线箱内安装相应弱电浪涌保护器。</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依托厂区，已装有</w:t>
            </w:r>
            <w:r>
              <w:rPr>
                <w:rFonts w:cs="Times New Roman"/>
                <w:color w:val="auto"/>
                <w:kern w:val="0"/>
                <w:sz w:val="21"/>
                <w:szCs w:val="21"/>
              </w:rPr>
              <w:t>电涌保护器（SPD）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18</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照明为单独的回路供电，所有的灯具均为PE线,本项目仅采用节能型LED灯具，所有灯具功率因数不小于0.9。仓库的照度值不低于100lx，照明功率密度值为3.5W/m</w:t>
            </w:r>
            <w:r>
              <w:rPr>
                <w:rFonts w:cs="Times New Roman"/>
                <w:color w:val="auto"/>
                <w:kern w:val="0"/>
                <w:sz w:val="21"/>
                <w:szCs w:val="21"/>
                <w:vertAlign w:val="superscript"/>
              </w:rPr>
              <w:t>2</w:t>
            </w:r>
            <w:r>
              <w:rPr>
                <w:rFonts w:cs="Times New Roman"/>
                <w:color w:val="auto"/>
                <w:kern w:val="0"/>
                <w:sz w:val="21"/>
                <w:szCs w:val="21"/>
              </w:rPr>
              <w:t>，显色指数为60Ra。</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color w:val="auto"/>
                <w:kern w:val="0"/>
                <w:sz w:val="21"/>
                <w:szCs w:val="21"/>
              </w:rPr>
              <w:t>单独的回路供电，所有的灯具均为PE线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19</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配电箱针对该项目各电机负荷以及照明线路的要求，按《电力装置的继电保护和自动装置设计规范》GB/T50062-2008设计设置了空气开关、热继电器、马达保护器、漏电保护器进行相关的短路保护、过电压保护、欠电压保护、过载保护、漏电保护。</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依托厂区，已</w:t>
            </w:r>
            <w:r>
              <w:rPr>
                <w:rFonts w:cs="Times New Roman"/>
                <w:color w:val="auto"/>
                <w:kern w:val="0"/>
                <w:sz w:val="21"/>
                <w:szCs w:val="21"/>
              </w:rPr>
              <w:t>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该项目采用电源系统中性点直接接地方式，配电系统接地型式采用TN-S保护系统。</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color w:val="auto"/>
                <w:kern w:val="0"/>
                <w:sz w:val="21"/>
                <w:szCs w:val="21"/>
              </w:rPr>
              <w:t>采用TN-S保护系统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21</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低压配电室的门上设“有电危险”的警示牌；高、低压开关柜前铺设相应橡胶绝缘垫。变配电间配置高压绝缘手套、绝缘靴等辅助绝缘用具，对操作人员配绝缘鞋、护目镜等。</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22</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依据《化工企业腐蚀环境电力设计规程》（HG/T20666-1999），以及其他类似企业的设备防腐设计情况，该项目的作业场所“化学腐蚀性物质释放严酷度分级”为“2级”，为“强腐蚀环境”，设计选择“F2级/WF2级防腐型”电气设备。</w:t>
            </w:r>
          </w:p>
        </w:tc>
        <w:tc>
          <w:tcPr>
            <w:tcW w:w="516" w:type="pct"/>
            <w:vAlign w:val="center"/>
          </w:tcPr>
          <w:p>
            <w:pPr>
              <w:wordWrap w:val="0"/>
              <w:adjustRightInd w:val="0"/>
              <w:snapToGrid w:val="0"/>
              <w:spacing w:line="260" w:lineRule="exact"/>
              <w:jc w:val="center"/>
              <w:textAlignment w:val="center"/>
              <w:rPr>
                <w:rFonts w:cs="Times New Roman"/>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color w:val="auto"/>
                <w:kern w:val="0"/>
                <w:sz w:val="21"/>
                <w:szCs w:val="21"/>
              </w:rPr>
              <w:t>选择“F2级/WF2级防腐型”电气设备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23</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配电室门采用防火门，长度超过7m开两个门，并且朝外开启。配电屏长度超过6m时，屏后通道设2个出口，并布置在通道的两端；当两出口之间的距离超过15m时，尚应增加出口。</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24</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落地式配电箱的底部需抬高，高出地面的高度室内不低于50mm，室外不低于200mm；其底座周围应采取封闭措施，能防止鼠、蛇类等小动物进入箱内</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25</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配电室门采用防火门，并且朝外开启。电气室、操作室等电缆出入口处采用防火隔板或防火堵料加以封堵，穿墙、穿楼板电缆及管道四周的孔洞采用防火材料堵塞，以防止一旦有火灾引起蔓延</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26</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配电室的门，窗与室外相通的洞、通风孔设防小动物侵入的网罩，其防护等级不低于《外壳防护等级》（GB4208-2017）的IP3X级</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hint="eastAsia" w:cs="Times New Roman"/>
                <w:bCs/>
                <w:color w:val="auto"/>
                <w:kern w:val="0"/>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27</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所有电缆及电线选用铜芯，信号电缆选用带屏蔽层型</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color w:val="auto"/>
                <w:kern w:val="0"/>
                <w:sz w:val="21"/>
                <w:szCs w:val="21"/>
              </w:rPr>
              <w:t>选用带屏蔽层型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hint="eastAsia" w:cs="Times New Roman"/>
                <w:b/>
                <w:bCs/>
                <w:color w:val="auto"/>
                <w:kern w:val="0"/>
                <w:sz w:val="21"/>
                <w:szCs w:val="21"/>
              </w:rPr>
              <w:t>五</w:t>
            </w:r>
          </w:p>
        </w:tc>
        <w:tc>
          <w:tcPr>
            <w:tcW w:w="4549" w:type="pct"/>
            <w:gridSpan w:val="3"/>
            <w:vAlign w:val="center"/>
          </w:tcPr>
          <w:p>
            <w:pPr>
              <w:wordWrap w:val="0"/>
              <w:adjustRightInd w:val="0"/>
              <w:snapToGrid w:val="0"/>
              <w:spacing w:line="260" w:lineRule="exact"/>
              <w:jc w:val="center"/>
              <w:textAlignment w:val="center"/>
              <w:rPr>
                <w:rFonts w:cs="Times New Roman"/>
                <w:b/>
                <w:bCs/>
                <w:color w:val="auto"/>
                <w:kern w:val="0"/>
                <w:sz w:val="21"/>
                <w:szCs w:val="21"/>
              </w:rPr>
            </w:pPr>
            <w:r>
              <w:rPr>
                <w:rFonts w:cs="Times New Roman"/>
                <w:b/>
                <w:bCs/>
                <w:color w:val="auto"/>
                <w:kern w:val="0"/>
                <w:sz w:val="21"/>
                <w:szCs w:val="21"/>
              </w:rPr>
              <w:t>自控仪表及火灾报警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2528" w:type="pct"/>
            <w:vAlign w:val="center"/>
          </w:tcPr>
          <w:p>
            <w:pPr>
              <w:wordWrap w:val="0"/>
              <w:adjustRightInd w:val="0"/>
              <w:snapToGrid w:val="0"/>
              <w:spacing w:line="260" w:lineRule="exact"/>
              <w:textAlignment w:val="center"/>
              <w:rPr>
                <w:rFonts w:cs="Times New Roman"/>
                <w:color w:val="auto"/>
                <w:kern w:val="0"/>
                <w:sz w:val="21"/>
                <w:szCs w:val="21"/>
              </w:rPr>
            </w:pPr>
            <w:r>
              <w:rPr>
                <w:rFonts w:cs="Times New Roman"/>
                <w:color w:val="auto"/>
                <w:kern w:val="0"/>
                <w:sz w:val="21"/>
                <w:szCs w:val="21"/>
              </w:rPr>
              <w:t>控制室设置两台3kVA的UPS不间断电源给GDS、视频监控系统单独供电，电池放电时间1h；火灾自动报警系统由消控室UPS供电，电池放电时间不少于8h。UPS电源的容量按照使用总量的150%进行考虑。UPS电源为220VAC、50Hz，切换时间≤2ms</w:t>
            </w:r>
          </w:p>
        </w:tc>
        <w:tc>
          <w:tcPr>
            <w:tcW w:w="516"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60" w:lineRule="exact"/>
              <w:jc w:val="center"/>
              <w:textAlignment w:val="center"/>
              <w:rPr>
                <w:rFonts w:cs="Times New Roman"/>
                <w:bCs/>
                <w:color w:val="auto"/>
                <w:kern w:val="0"/>
                <w:sz w:val="21"/>
                <w:szCs w:val="21"/>
              </w:rPr>
            </w:pPr>
            <w:r>
              <w:rPr>
                <w:rFonts w:hint="eastAsia" w:cs="Times New Roman"/>
                <w:color w:val="auto"/>
                <w:kern w:val="0"/>
                <w:sz w:val="21"/>
                <w:szCs w:val="21"/>
              </w:rPr>
              <w:t>依托厂区，已</w:t>
            </w:r>
            <w:r>
              <w:rPr>
                <w:rFonts w:cs="Times New Roman"/>
                <w:color w:val="auto"/>
                <w:kern w:val="0"/>
                <w:sz w:val="21"/>
                <w:szCs w:val="21"/>
              </w:rPr>
              <w:t>设置UPS不间断电电源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可燃气体探测器均自带声光报警器，爆炸危险场所选用防爆型。可燃气体探测器信号通过电缆引入GDS，并设两级报警。可燃气体报警设定值为一级25%LEL，二级50%LEL。当可燃气体探测器达到二级报警值时由GDS联动风机排风，二级报警信号和故障信号上传至消防火灾报警控制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带声光报警器</w:t>
            </w:r>
            <w:r>
              <w:rPr>
                <w:rFonts w:hint="eastAsia" w:cs="Times New Roman"/>
                <w:color w:val="auto"/>
                <w:kern w:val="0"/>
                <w:sz w:val="21"/>
                <w:szCs w:val="21"/>
              </w:rPr>
              <w:t>，</w:t>
            </w:r>
            <w:r>
              <w:rPr>
                <w:rFonts w:cs="Times New Roman"/>
                <w:color w:val="auto"/>
                <w:kern w:val="0"/>
                <w:sz w:val="21"/>
                <w:szCs w:val="21"/>
              </w:rPr>
              <w:t>爆炸危险场所选用防爆型</w:t>
            </w:r>
            <w:r>
              <w:rPr>
                <w:rFonts w:hint="eastAsia" w:cs="Times New Roman"/>
                <w:color w:val="auto"/>
                <w:kern w:val="0"/>
                <w:sz w:val="21"/>
                <w:szCs w:val="21"/>
              </w:rPr>
              <w:t>，</w:t>
            </w:r>
            <w:r>
              <w:rPr>
                <w:rFonts w:cs="Times New Roman"/>
                <w:color w:val="auto"/>
                <w:kern w:val="0"/>
                <w:sz w:val="21"/>
                <w:szCs w:val="21"/>
              </w:rPr>
              <w:t>联动风机排风</w:t>
            </w:r>
            <w:r>
              <w:rPr>
                <w:rFonts w:hint="eastAsia" w:cs="Times New Roman"/>
                <w:color w:val="auto"/>
                <w:kern w:val="0"/>
                <w:sz w:val="21"/>
                <w:szCs w:val="21"/>
              </w:rPr>
              <w:t>，</w:t>
            </w:r>
            <w:r>
              <w:rPr>
                <w:rFonts w:cs="Times New Roman"/>
                <w:color w:val="auto"/>
                <w:kern w:val="0"/>
                <w:sz w:val="21"/>
                <w:szCs w:val="21"/>
              </w:rPr>
              <w:t>上传至消防火灾报警控制器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可燃气体和有毒气体检测报警系统应独立于其他系统单独设置。且其气体探测器、报警控制单元、现场警报器等的供电负荷，应按照一级用电负荷中特别重要的负荷考虑，宜采用UPS电源装置供电。</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依托厂区，</w:t>
            </w:r>
            <w:r>
              <w:rPr>
                <w:rFonts w:cs="Times New Roman"/>
                <w:color w:val="auto"/>
                <w:kern w:val="0"/>
                <w:sz w:val="21"/>
                <w:szCs w:val="21"/>
              </w:rPr>
              <w:t>单独设置</w:t>
            </w:r>
            <w:r>
              <w:rPr>
                <w:rFonts w:hint="eastAsia" w:cs="Times New Roman"/>
                <w:color w:val="auto"/>
                <w:kern w:val="0"/>
                <w:sz w:val="21"/>
                <w:szCs w:val="21"/>
              </w:rPr>
              <w:t>，</w:t>
            </w:r>
            <w:r>
              <w:rPr>
                <w:rFonts w:cs="Times New Roman"/>
                <w:color w:val="auto"/>
                <w:kern w:val="0"/>
                <w:sz w:val="21"/>
                <w:szCs w:val="21"/>
              </w:rPr>
              <w:t>采用UPS电源装置供电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可燃气体和有毒气体检测报警系统需按照各可燃气体和有毒气体检测报警系统的警戒范围将装置和单元进行分区，各报警分区宜设置现场区域警报器，现场报警器由探测器的第二级报警信号启动，区域警报器需采用声音和旋光报警，区域警报器的数量应使在该报警区域内任何地点的现场人员都能发觉报警信号。当报警分区内的探测器数量小于10个，现场噪声低于85dBA且现场探测器带有一体化的声、光警报器时，不需设区域警报器；当现场噪声高85dBA时，现场需设区域警报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现场采用声音和旋光报警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可燃气体探测器均立杆、挂墙/柱距地/楼面0.5m安装。可燃气体探测器在通风良好的区域保护范围为10m、在通风不良好的区域保护范围为5m</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按设计要求安装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本项目利用原有控制室（兼消防控制室），与门卫合建。控制室设置GDS、视频监控等；消防控制室设置火灾自动报警控制器、联动控制器、消防电话总机、消防广播总机、火灾报警图形显示装置等。</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w:t>
            </w:r>
            <w:r>
              <w:rPr>
                <w:rFonts w:hint="eastAsia" w:cs="Times New Roman"/>
                <w:color w:val="auto"/>
                <w:kern w:val="0"/>
                <w:sz w:val="21"/>
                <w:szCs w:val="21"/>
              </w:rPr>
              <w:t>可燃气体报警系统</w:t>
            </w:r>
            <w:r>
              <w:rPr>
                <w:rFonts w:cs="Times New Roman"/>
                <w:color w:val="auto"/>
                <w:kern w:val="0"/>
                <w:sz w:val="21"/>
                <w:szCs w:val="21"/>
              </w:rPr>
              <w:t>、视频监控</w:t>
            </w:r>
            <w:r>
              <w:rPr>
                <w:rFonts w:hint="eastAsia" w:cs="Times New Roman"/>
                <w:color w:val="auto"/>
                <w:kern w:val="0"/>
                <w:sz w:val="21"/>
                <w:szCs w:val="21"/>
              </w:rPr>
              <w:t>，</w:t>
            </w:r>
            <w:r>
              <w:rPr>
                <w:rFonts w:cs="Times New Roman"/>
                <w:color w:val="auto"/>
                <w:kern w:val="0"/>
                <w:sz w:val="21"/>
                <w:szCs w:val="21"/>
              </w:rPr>
              <w:t>设置火灾自动报警控制器、联动控制器、消防电话总机、消防广播总机、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仪表控制室内设防静电地板及吊顶，防静电地板基础高出室外地坪300mm；控制室设置了一个安全出口；控制室内单独设置的机柜间未直接对室外开启的门</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依托厂区，不涉及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Cs/>
                <w:color w:val="auto"/>
                <w:kern w:val="0"/>
                <w:sz w:val="21"/>
                <w:szCs w:val="21"/>
              </w:rPr>
              <w:t>8</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控制室主要负责对厂区内重要工艺参数及火灾情况进行监控，当工艺装置生产过程中出现异常情况时，通过PLC系统、气体报警系统和火灾报警系统等及时对危险情况作出反应，并通知现场操作人员及时处理异常状况，从而预防和控制安全事故的发生。</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未</w:t>
            </w: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依托厂区，不涉及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9</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火灾自动报警系统采用集中报警型，火灾报警联动控制器及相关配套设备依托原有，安装在控制室内。火灾自动报警系统包括感烟探测器、手动报警按钮、声光报警器、消火栓按钮和火灾报警联动控制器、直接控制盘、消防控制室图形显示装置、消防电话总机等。当有手动或自动报警信号进入火灾报警控制器时，消防控制室和现场均会通过声光报警器发出声光报警信号，继而采取相应处理措施。在106仓库内装设了防爆手动报警按钮、防爆火灾声光报警器、防爆消防应急广播、防爆消火栓按钮等；当火灾发生时能及时有效提醒人员疏散撤离。在消防控制室内设置了消防专用电话总机，控制室和配电间设置消防电话分机，消防控制室设置外线电话。本项目室内消防系统电线电缆选用耐火型铜芯线缆。消防线缆均穿热镀锌焊接钢管保护明敷设，线缆保护管均外涂防火涂料进行保护。</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依托厂区，</w:t>
            </w:r>
            <w:r>
              <w:rPr>
                <w:rFonts w:cs="Times New Roman"/>
                <w:color w:val="auto"/>
                <w:kern w:val="0"/>
                <w:sz w:val="21"/>
                <w:szCs w:val="21"/>
              </w:rPr>
              <w:t>采用集中报警型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在消防控制室另设消防广播系统，现场106仓库设置防爆消防广播音响。当消防控制室检测到火灾及其他异常情况，可人工广播从而提早安全撤离危险场所</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设置防爆消防广播音响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b/>
                <w:color w:val="auto"/>
                <w:kern w:val="0"/>
                <w:sz w:val="21"/>
                <w:szCs w:val="21"/>
              </w:rPr>
              <w:t>六</w:t>
            </w:r>
          </w:p>
        </w:tc>
        <w:tc>
          <w:tcPr>
            <w:tcW w:w="4549" w:type="pct"/>
            <w:gridSpan w:val="3"/>
            <w:vAlign w:val="center"/>
          </w:tcPr>
          <w:p>
            <w:pPr>
              <w:wordWrap w:val="0"/>
              <w:adjustRightInd w:val="0"/>
              <w:snapToGrid w:val="0"/>
              <w:spacing w:line="240" w:lineRule="auto"/>
              <w:jc w:val="center"/>
              <w:textAlignment w:val="center"/>
              <w:rPr>
                <w:rFonts w:cs="Times New Roman"/>
                <w:b/>
                <w:color w:val="auto"/>
                <w:kern w:val="0"/>
                <w:sz w:val="21"/>
                <w:szCs w:val="21"/>
              </w:rPr>
            </w:pPr>
            <w:r>
              <w:rPr>
                <w:rFonts w:cs="Times New Roman"/>
                <w:b/>
                <w:color w:val="auto"/>
                <w:kern w:val="0"/>
                <w:sz w:val="21"/>
                <w:szCs w:val="21"/>
              </w:rPr>
              <w:t>建构筑物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该项目仓库防火分区隔墙设计为防火墙，墙体采用不小于4.00小时的烧结实心砖，达到防火墙要求。</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采用</w:t>
            </w:r>
            <w:r>
              <w:rPr>
                <w:rFonts w:cs="Times New Roman"/>
                <w:color w:val="auto"/>
                <w:kern w:val="0"/>
                <w:sz w:val="21"/>
                <w:szCs w:val="21"/>
              </w:rPr>
              <w:t>防火墙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涉及有爆炸危险性的甲、乙类厂房（仓库）为106甲类仓库。全封闭的框架结构，墙面安装了通风设施，如：防爆型轴流风机等，使结构具备良好的通风条件，便于易燃物质能够很快的稀释扩散。并设置了必要的泄压设施，泄压设施包括易于泄压的门窗、轻质墙体及屋面等作为泄压面积。泄压设施的设置避开人员集中的场所和主要交通道路，并宜靠近容易发生爆炸的部位。</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设置必要的泄压设施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库房室内地坪高于室外地面0.2m以上，堆垛时地上设置20cm高垫板，保持货物、地面的清洁，减小表面水珠形成。用干抹布、干拖把清洁地面。库内设置湿度检测仪，并采用强制通风，通过打开通风窗、通风槽或风机等加强通风换气；同时阴雨天可用布料或干水泥等吸水材料放置于库内各处，使室内空气保持干燥。仓库设置有飘檐，防止雨水飘进库内。</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color w:val="auto"/>
                <w:kern w:val="0"/>
                <w:sz w:val="21"/>
                <w:szCs w:val="21"/>
              </w:rPr>
              <w:t>部分采纳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库房室内地坪高于室外地面0.2m以上</w:t>
            </w:r>
            <w:r>
              <w:rPr>
                <w:rFonts w:hint="eastAsia" w:cs="Times New Roman"/>
                <w:color w:val="auto"/>
                <w:kern w:val="0"/>
                <w:sz w:val="21"/>
                <w:szCs w:val="21"/>
              </w:rPr>
              <w:t>，</w:t>
            </w:r>
            <w:r>
              <w:rPr>
                <w:rFonts w:cs="Times New Roman"/>
                <w:color w:val="auto"/>
                <w:kern w:val="0"/>
                <w:sz w:val="21"/>
                <w:szCs w:val="21"/>
              </w:rPr>
              <w:t>设置20cm高垫板</w:t>
            </w:r>
            <w:r>
              <w:rPr>
                <w:rFonts w:hint="eastAsia" w:cs="Times New Roman"/>
                <w:color w:val="auto"/>
                <w:kern w:val="0"/>
                <w:sz w:val="21"/>
                <w:szCs w:val="21"/>
              </w:rPr>
              <w:t>，未</w:t>
            </w:r>
            <w:r>
              <w:rPr>
                <w:rFonts w:cs="Times New Roman"/>
                <w:color w:val="auto"/>
                <w:kern w:val="0"/>
                <w:sz w:val="21"/>
                <w:szCs w:val="21"/>
              </w:rPr>
              <w:t>设置湿度检测仪</w:t>
            </w:r>
            <w:r>
              <w:rPr>
                <w:rFonts w:hint="eastAsia" w:cs="Times New Roman"/>
                <w:color w:val="auto"/>
                <w:kern w:val="0"/>
                <w:sz w:val="21"/>
                <w:szCs w:val="21"/>
              </w:rPr>
              <w:t>，设有</w:t>
            </w:r>
            <w:r>
              <w:rPr>
                <w:rFonts w:cs="Times New Roman"/>
                <w:color w:val="auto"/>
                <w:kern w:val="0"/>
                <w:sz w:val="21"/>
                <w:szCs w:val="21"/>
              </w:rPr>
              <w:t>通风换气</w:t>
            </w:r>
            <w:r>
              <w:rPr>
                <w:rFonts w:hint="eastAsia" w:cs="Times New Roman"/>
                <w:color w:val="auto"/>
                <w:kern w:val="0"/>
                <w:sz w:val="21"/>
                <w:szCs w:val="21"/>
              </w:rPr>
              <w:t>设施，</w:t>
            </w:r>
            <w:r>
              <w:rPr>
                <w:rFonts w:cs="Times New Roman"/>
                <w:color w:val="auto"/>
                <w:kern w:val="0"/>
                <w:sz w:val="21"/>
                <w:szCs w:val="21"/>
              </w:rPr>
              <w:t>设置有飘檐，防止雨水飘进库内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对于所有钢筋混凝土结构的地下部分（包括桩）外表面的混凝土保护层厚度均采用50mm。对于生产过程中的介质可能对地面基础产生腐蚀时，按照《工业建筑防腐蚀设计标准》GB50046-2018确定埋置深度、防护措施等。</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按照《工业建筑防腐蚀设计标准》GB50046-2018确定埋置深度、防护措施等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车间窗均采用塑钢窗，门采用钢木大门，钢木大门油漆采用除锈后，刷环氧富锌防腐底漆（两遍）、环氧防腐面漆（两遍）进行防腐。生产车间地面设计采用不发火细石砼地面，特点为：不易产生静电，且防尘、抗爆性能优良，耐磨损。其他建筑物地面均设计采用细石砼地面，特点为：耐磨损。</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采用除锈后，刷环氧富锌防腐底漆（两遍）、环氧防腐面漆（两遍）进行防腐</w:t>
            </w:r>
            <w:r>
              <w:rPr>
                <w:rFonts w:hint="eastAsia" w:cs="Times New Roman"/>
                <w:color w:val="auto"/>
                <w:kern w:val="0"/>
                <w:sz w:val="21"/>
                <w:szCs w:val="21"/>
              </w:rPr>
              <w:t>，</w:t>
            </w:r>
            <w:r>
              <w:rPr>
                <w:rFonts w:cs="Times New Roman"/>
                <w:color w:val="auto"/>
                <w:kern w:val="0"/>
                <w:sz w:val="21"/>
                <w:szCs w:val="21"/>
              </w:rPr>
              <w:t>采用不发火细石砼地面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对有防渗漏要求的污水池内地面或部分墙体进行防渗漏设计。要求辗压夯实地基减小岩土层的渗漏系数，基础使用双层HDPE膜防渗</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使用双层HDPE膜防渗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7</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本项目106甲类仓库为框架结构，设计为二级耐火等级建筑材料选用如下：柱采用钢筋混凝土，保护层厚度大于25mm，耐火极限3.00h以上；屋面采用轻质屋面，耐火极限1.5h。满足二级耐火等级建筑要求。</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满足二级耐火等级建筑要求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七</w:t>
            </w:r>
          </w:p>
        </w:tc>
        <w:tc>
          <w:tcPr>
            <w:tcW w:w="4549" w:type="pct"/>
            <w:gridSpan w:val="3"/>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通</w:t>
            </w:r>
            <w:r>
              <w:rPr>
                <w:rFonts w:cs="Times New Roman"/>
                <w:b/>
                <w:color w:val="auto"/>
                <w:kern w:val="0"/>
                <w:sz w:val="21"/>
                <w:szCs w:val="21"/>
              </w:rPr>
              <w:t>风、排烟、除尘、降温等设施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仓库：采用轴流风机进行通风，室外设置手动启停开关，正常情况下排气次数为8~14次/h。</w:t>
            </w:r>
          </w:p>
        </w:tc>
        <w:tc>
          <w:tcPr>
            <w:tcW w:w="516"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hint="eastAsia" w:cs="Times New Roman"/>
                <w:bCs/>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bCs/>
                <w:color w:val="auto"/>
                <w:kern w:val="0"/>
                <w:sz w:val="21"/>
                <w:szCs w:val="21"/>
              </w:rPr>
            </w:pPr>
            <w:r>
              <w:rPr>
                <w:rFonts w:cs="Times New Roman"/>
                <w:color w:val="auto"/>
                <w:kern w:val="0"/>
                <w:sz w:val="21"/>
                <w:szCs w:val="21"/>
              </w:rPr>
              <w:t>采用轴流风机进行通风</w:t>
            </w:r>
            <w:r>
              <w:rPr>
                <w:rFonts w:hint="eastAsia" w:cs="Times New Roman"/>
                <w:color w:val="auto"/>
                <w:kern w:val="0"/>
                <w:sz w:val="21"/>
                <w:szCs w:val="21"/>
              </w:rPr>
              <w:t>，</w:t>
            </w:r>
            <w:r>
              <w:rPr>
                <w:rFonts w:cs="Times New Roman"/>
                <w:color w:val="auto"/>
                <w:kern w:val="0"/>
                <w:sz w:val="21"/>
                <w:szCs w:val="21"/>
              </w:rPr>
              <w:t>室外设置手动启停开关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2528" w:type="pct"/>
            <w:vAlign w:val="center"/>
          </w:tcPr>
          <w:p>
            <w:pPr>
              <w:wordWrap w:val="0"/>
              <w:adjustRightInd w:val="0"/>
              <w:snapToGrid w:val="0"/>
              <w:spacing w:line="240" w:lineRule="auto"/>
              <w:textAlignment w:val="center"/>
              <w:rPr>
                <w:rFonts w:cs="Times New Roman"/>
                <w:color w:val="auto"/>
                <w:kern w:val="0"/>
                <w:sz w:val="21"/>
                <w:szCs w:val="21"/>
              </w:rPr>
            </w:pPr>
            <w:r>
              <w:rPr>
                <w:rFonts w:cs="Times New Roman"/>
                <w:color w:val="auto"/>
                <w:kern w:val="0"/>
                <w:sz w:val="21"/>
                <w:szCs w:val="21"/>
              </w:rPr>
              <w:t>仓库设有事故通风系统，事故通风的换气次数按12~14次/h计算。事故通风由正常使用的通风系统和事故通风系统共同保证。轴流风机与可燃或有毒气体报警装置进行联锁，当报警装置报警时，联锁控制风机启停，事故风机在室外便于操作的地点设置手动开关。</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设有事故通风系统</w:t>
            </w:r>
            <w:r>
              <w:rPr>
                <w:rFonts w:hint="eastAsia" w:cs="Times New Roman"/>
                <w:color w:val="auto"/>
                <w:kern w:val="0"/>
                <w:sz w:val="21"/>
                <w:szCs w:val="21"/>
              </w:rPr>
              <w:t>，</w:t>
            </w:r>
            <w:r>
              <w:rPr>
                <w:rFonts w:cs="Times New Roman"/>
                <w:color w:val="auto"/>
                <w:kern w:val="0"/>
                <w:sz w:val="21"/>
                <w:szCs w:val="21"/>
              </w:rPr>
              <w:t>与可燃气体报警装置进行联锁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八</w:t>
            </w:r>
          </w:p>
        </w:tc>
        <w:tc>
          <w:tcPr>
            <w:tcW w:w="4549" w:type="pct"/>
            <w:gridSpan w:val="3"/>
            <w:vAlign w:val="center"/>
          </w:tcPr>
          <w:p>
            <w:pPr>
              <w:wordWrap w:val="0"/>
              <w:adjustRightInd w:val="0"/>
              <w:snapToGrid w:val="0"/>
              <w:spacing w:line="240" w:lineRule="auto"/>
              <w:jc w:val="center"/>
              <w:textAlignment w:val="center"/>
              <w:rPr>
                <w:rFonts w:cs="Times New Roman"/>
                <w:b/>
                <w:color w:val="auto"/>
                <w:kern w:val="0"/>
                <w:sz w:val="21"/>
                <w:szCs w:val="21"/>
              </w:rPr>
            </w:pPr>
            <w:r>
              <w:rPr>
                <w:rFonts w:hint="eastAsia" w:cs="Times New Roman"/>
                <w:b/>
                <w:color w:val="auto"/>
                <w:kern w:val="0"/>
                <w:sz w:val="21"/>
                <w:szCs w:val="21"/>
              </w:rPr>
              <w:t>其他安全措施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在仓库区建议设置消防沙、灭火毯等简易实用的灭火设施。</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设置消防沙、灭火毯等简易实用的灭火设施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cs="Times New Roman"/>
                <w:color w:val="auto"/>
                <w:kern w:val="0"/>
                <w:sz w:val="21"/>
                <w:szCs w:val="21"/>
              </w:rPr>
              <w:t>仓库门口设置高度为150mm的水泥慢坡，防止液体流散并设置导液设施</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设置防止液体流散并设置导液设施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3</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危险品仓库的储存按照《常用化学危险品储存通则》的要求，根据不同物质的特性和储存禁忌分别采用“隔离”、“隔开”、“分离”的储存方式。</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根据不同物质的特性和储存禁忌分别采用防火墙隔开的储存方式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4</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仓库的安全出口应分散布置。每个防火分区或一个防火分区的每个楼层，其相邻2个安全出考最近边缘之间的水平距离不应小于5m。</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安全出口分散布置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5</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每座仓库的安全出口不应少于2个，当一座仓库的占地面积不大于300m²时，可设置1个安全出口。仓库内每个防火分区通向疏散走道、楼梯或室外的出口不宜少于2个，当防火分区的建筑面积不大于100m²时，可设置1个出口。通向疏散走道或楼梯的门应为乙级防火门。</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安全出口不少于2个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6</w:t>
            </w:r>
          </w:p>
        </w:tc>
        <w:tc>
          <w:tcPr>
            <w:tcW w:w="2528" w:type="pct"/>
            <w:vAlign w:val="center"/>
          </w:tcPr>
          <w:p>
            <w:pPr>
              <w:wordWrap w:val="0"/>
              <w:adjustRightInd w:val="0"/>
              <w:snapToGrid w:val="0"/>
              <w:spacing w:line="240" w:lineRule="auto"/>
              <w:jc w:val="left"/>
              <w:textAlignment w:val="center"/>
              <w:rPr>
                <w:rFonts w:cs="Times New Roman"/>
                <w:color w:val="auto"/>
                <w:kern w:val="0"/>
                <w:sz w:val="21"/>
                <w:szCs w:val="21"/>
              </w:rPr>
            </w:pPr>
            <w:r>
              <w:rPr>
                <w:rFonts w:hint="eastAsia" w:cs="Times New Roman"/>
                <w:color w:val="auto"/>
                <w:kern w:val="0"/>
                <w:sz w:val="21"/>
                <w:szCs w:val="21"/>
              </w:rPr>
              <w:t>防火墙从楼地面基层隔断至顶板底面基层，高出屋面0.5m以上。防火墙上不开设门窗洞口。所有物料管道及排气管道设计在厂房外墙，防火墙不穿管道。</w:t>
            </w:r>
          </w:p>
        </w:tc>
        <w:tc>
          <w:tcPr>
            <w:tcW w:w="516"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采纳</w:t>
            </w:r>
          </w:p>
        </w:tc>
        <w:tc>
          <w:tcPr>
            <w:tcW w:w="1504" w:type="pct"/>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防火墙上不开设门窗洞口，不穿管道</w:t>
            </w:r>
          </w:p>
        </w:tc>
      </w:tr>
    </w:tbl>
    <w:p>
      <w:pPr>
        <w:wordWrap w:val="0"/>
        <w:adjustRightInd w:val="0"/>
        <w:snapToGrid w:val="0"/>
        <w:ind w:firstLine="560" w:firstLineChars="200"/>
        <w:textAlignment w:val="center"/>
        <w:rPr>
          <w:color w:val="auto"/>
          <w:kern w:val="0"/>
        </w:rPr>
      </w:pPr>
      <w:r>
        <w:rPr>
          <w:rFonts w:hint="eastAsia"/>
          <w:color w:val="auto"/>
          <w:kern w:val="0"/>
        </w:rPr>
        <w:t>依据上表分析，本项目总体采纳了安全设施设计提出的主要安全设施和措施，部分未采纳需整改内容如下：</w:t>
      </w:r>
    </w:p>
    <w:p>
      <w:pPr>
        <w:wordWrap w:val="0"/>
        <w:adjustRightInd w:val="0"/>
        <w:snapToGrid w:val="0"/>
        <w:ind w:firstLine="560" w:firstLineChars="200"/>
        <w:textAlignment w:val="center"/>
        <w:rPr>
          <w:color w:val="auto"/>
          <w:kern w:val="0"/>
        </w:rPr>
      </w:pPr>
      <w:r>
        <w:rPr>
          <w:rFonts w:hint="eastAsia"/>
          <w:color w:val="auto"/>
          <w:kern w:val="0"/>
        </w:rPr>
        <w:t>1、未建立防泄漏安全管理制度；</w:t>
      </w:r>
    </w:p>
    <w:p>
      <w:pPr>
        <w:wordWrap w:val="0"/>
        <w:adjustRightInd w:val="0"/>
        <w:snapToGrid w:val="0"/>
        <w:ind w:firstLine="560" w:firstLineChars="200"/>
        <w:textAlignment w:val="center"/>
        <w:rPr>
          <w:color w:val="auto"/>
          <w:kern w:val="0"/>
        </w:rPr>
      </w:pPr>
      <w:r>
        <w:rPr>
          <w:rFonts w:hint="eastAsia"/>
          <w:color w:val="auto"/>
          <w:kern w:val="0"/>
        </w:rPr>
        <w:t>2、未设置温湿度计；</w:t>
      </w:r>
    </w:p>
    <w:p>
      <w:pPr>
        <w:wordWrap w:val="0"/>
        <w:adjustRightInd w:val="0"/>
        <w:snapToGrid w:val="0"/>
        <w:ind w:firstLine="560" w:firstLineChars="200"/>
        <w:textAlignment w:val="center"/>
        <w:rPr>
          <w:color w:val="auto"/>
          <w:kern w:val="0"/>
        </w:rPr>
      </w:pPr>
      <w:r>
        <w:rPr>
          <w:rFonts w:hint="eastAsia"/>
          <w:color w:val="auto"/>
          <w:kern w:val="0"/>
        </w:rPr>
        <w:t>3、未设置限速标牌和警示标牌；</w:t>
      </w:r>
    </w:p>
    <w:p>
      <w:pPr>
        <w:wordWrap w:val="0"/>
        <w:adjustRightInd w:val="0"/>
        <w:snapToGrid w:val="0"/>
        <w:ind w:firstLine="560" w:firstLineChars="200"/>
        <w:textAlignment w:val="center"/>
        <w:rPr>
          <w:color w:val="auto"/>
          <w:kern w:val="0"/>
        </w:rPr>
      </w:pPr>
      <w:r>
        <w:rPr>
          <w:rFonts w:hint="eastAsia"/>
          <w:color w:val="auto"/>
          <w:kern w:val="0"/>
        </w:rPr>
        <w:t>企业针对以上问题进行了整改，详情见附件-现场整改回复。</w:t>
      </w:r>
    </w:p>
    <w:p>
      <w:pPr>
        <w:wordWrap w:val="0"/>
        <w:adjustRightInd w:val="0"/>
        <w:snapToGrid w:val="0"/>
        <w:textAlignment w:val="center"/>
        <w:outlineLvl w:val="2"/>
        <w:rPr>
          <w:b/>
          <w:bCs/>
          <w:color w:val="auto"/>
          <w:kern w:val="0"/>
        </w:rPr>
      </w:pPr>
      <w:bookmarkStart w:id="253" w:name="_Toc21963"/>
      <w:r>
        <w:rPr>
          <w:rFonts w:hint="eastAsia"/>
          <w:b/>
          <w:bCs/>
          <w:color w:val="auto"/>
          <w:kern w:val="0"/>
        </w:rPr>
        <w:t>6.2.2 安全生产管理情况</w:t>
      </w:r>
      <w:bookmarkEnd w:id="253"/>
    </w:p>
    <w:p>
      <w:pPr>
        <w:wordWrap w:val="0"/>
        <w:adjustRightInd w:val="0"/>
        <w:snapToGrid w:val="0"/>
        <w:ind w:firstLine="560" w:firstLineChars="200"/>
        <w:textAlignment w:val="center"/>
        <w:rPr>
          <w:color w:val="auto"/>
          <w:kern w:val="0"/>
        </w:rPr>
      </w:pPr>
      <w:r>
        <w:rPr>
          <w:rFonts w:hint="eastAsia"/>
          <w:color w:val="auto"/>
          <w:kern w:val="0"/>
        </w:rPr>
        <w:t>1、安全生产责任制的建立和执行情况</w:t>
      </w:r>
    </w:p>
    <w:p>
      <w:pPr>
        <w:wordWrap w:val="0"/>
        <w:adjustRightInd w:val="0"/>
        <w:snapToGrid w:val="0"/>
        <w:ind w:firstLine="560" w:firstLineChars="200"/>
        <w:textAlignment w:val="center"/>
        <w:rPr>
          <w:color w:val="auto"/>
          <w:kern w:val="0"/>
        </w:rPr>
      </w:pPr>
      <w:r>
        <w:rPr>
          <w:rFonts w:hint="eastAsia"/>
          <w:color w:val="auto"/>
          <w:kern w:val="0"/>
        </w:rPr>
        <w:t>本项目公司已在“安全第一，预防为主，综合治理”的安全生产方针指导下，执行厂级、车间级、班组级三级安全管理体制，明确公司主要负责人为安全生产的第一责任者，对安全生产工作负全面领导责任；各级主管为安全生产的具体责任人，对安全生产工作负具体领导责任；并配备专职、兼职安全员，协助厂领导对车间、班组的安全生产工作实施监督、检查、协调与领导，建立了“纵到底、横到边”的安全生产保证体系。该公司根据企业实际制定各级部门、人员安全生产责任制。</w:t>
      </w:r>
    </w:p>
    <w:p>
      <w:pPr>
        <w:wordWrap w:val="0"/>
        <w:adjustRightInd w:val="0"/>
        <w:snapToGrid w:val="0"/>
        <w:ind w:firstLine="560" w:firstLineChars="200"/>
        <w:textAlignment w:val="center"/>
        <w:rPr>
          <w:color w:val="auto"/>
          <w:kern w:val="0"/>
        </w:rPr>
      </w:pPr>
      <w:r>
        <w:rPr>
          <w:rFonts w:hint="eastAsia"/>
          <w:color w:val="auto"/>
          <w:kern w:val="0"/>
        </w:rPr>
        <w:t>该公司安全生产责任制的建立情况符合安全生产法的要求，满足安全生产需要。</w:t>
      </w:r>
    </w:p>
    <w:p>
      <w:pPr>
        <w:wordWrap w:val="0"/>
        <w:adjustRightInd w:val="0"/>
        <w:snapToGrid w:val="0"/>
        <w:ind w:firstLine="560" w:firstLineChars="200"/>
        <w:textAlignment w:val="center"/>
        <w:rPr>
          <w:color w:val="auto"/>
          <w:kern w:val="0"/>
        </w:rPr>
      </w:pPr>
      <w:r>
        <w:rPr>
          <w:rFonts w:hint="eastAsia"/>
          <w:color w:val="auto"/>
          <w:kern w:val="0"/>
        </w:rPr>
        <w:t>2、安全生产管理制度的制定和执行情况</w:t>
      </w:r>
    </w:p>
    <w:p>
      <w:pPr>
        <w:wordWrap w:val="0"/>
        <w:adjustRightInd w:val="0"/>
        <w:snapToGrid w:val="0"/>
        <w:ind w:firstLine="560" w:firstLineChars="200"/>
        <w:jc w:val="left"/>
        <w:textAlignment w:val="center"/>
        <w:rPr>
          <w:bCs/>
          <w:color w:val="auto"/>
          <w:kern w:val="24"/>
          <w:szCs w:val="28"/>
        </w:rPr>
      </w:pPr>
      <w:r>
        <w:rPr>
          <w:rFonts w:hint="eastAsia"/>
          <w:color w:val="auto"/>
          <w:kern w:val="0"/>
        </w:rPr>
        <w:t>公司已根据企业实际现已建立一整套比较健全的安全生产管理规章制度，</w:t>
      </w:r>
      <w:r>
        <w:rPr>
          <w:rFonts w:hint="eastAsia"/>
          <w:bCs/>
          <w:color w:val="auto"/>
          <w:kern w:val="24"/>
          <w:szCs w:val="28"/>
        </w:rPr>
        <w:t>主要包括安全法律、法规、标准及其他政府要求识别的制度、安全生产目标管理制度、安全生产责任制管理制度、安全生产责任制、安全责任考核制度、安全奖惩与考核制度、领导干部带班制度、安全生产领导小组制度、安全生产会议管理制度、安全生产费用管理制度、风险评价管理制度、隐患排查治理管理制度、重大危险源管理制度、变更管理制度、风险信息更新管理制度、供应商管理制度、安全培训教育管理制度、特种作业人员管理制度、建设项目三同时管理制度、生产设备、设施安全管理制度、生产设施安全检维修制度、生产设施拆除与报废制度、生产装置、仓库安全管理制度、安全设施管理制度、生产装置开停车管理制度、关键装置、重点部位安全管理制度、检维修管理制度、警示标志和安全防护管理制度、电气安全管理制度、公用工程管理制度、火灾、爆炸管理制度、禁火、禁烟管理制度、消防管理制度、危险化学品出入库安全管理制度、危险化学品运输、装卸安全管理制度、危险性作业环节管理规定、个体劳动防护用品发放管理制度、劳护用品与保健品管理制度、危险化学品安全管理制度、危险化学品储存管理制度、危险化学品废弃物处理制度、应急救援管理制度、应急设施、装备、物资管理制度、事故隐患报告管理制度、安全风险分级管控制度等。。</w:t>
      </w:r>
    </w:p>
    <w:p>
      <w:pPr>
        <w:wordWrap w:val="0"/>
        <w:adjustRightInd w:val="0"/>
        <w:snapToGrid w:val="0"/>
        <w:ind w:firstLine="560" w:firstLineChars="200"/>
        <w:textAlignment w:val="center"/>
        <w:rPr>
          <w:color w:val="auto"/>
          <w:kern w:val="0"/>
        </w:rPr>
      </w:pPr>
      <w:r>
        <w:rPr>
          <w:rFonts w:hint="eastAsia"/>
          <w:color w:val="auto"/>
          <w:kern w:val="0"/>
        </w:rPr>
        <w:t>通过现场询问、查阅全员安全教育培训记录及考核记录，该公司安全管理人员、操作员工及其他人员对该公司的安全管理制度较全面和熟悉。</w:t>
      </w:r>
    </w:p>
    <w:p>
      <w:pPr>
        <w:wordWrap w:val="0"/>
        <w:adjustRightInd w:val="0"/>
        <w:snapToGrid w:val="0"/>
        <w:ind w:firstLine="560" w:firstLineChars="200"/>
        <w:textAlignment w:val="center"/>
        <w:rPr>
          <w:color w:val="auto"/>
          <w:kern w:val="0"/>
        </w:rPr>
      </w:pPr>
      <w:r>
        <w:rPr>
          <w:rFonts w:hint="eastAsia"/>
          <w:color w:val="auto"/>
          <w:kern w:val="0"/>
        </w:rPr>
        <w:t>该公司该公司安全生产管理规章制度的建立和试生产执行情况符合安全生产法的要求，满足安全生产需要。</w:t>
      </w:r>
    </w:p>
    <w:p>
      <w:pPr>
        <w:wordWrap w:val="0"/>
        <w:adjustRightInd w:val="0"/>
        <w:snapToGrid w:val="0"/>
        <w:ind w:firstLine="560" w:firstLineChars="200"/>
        <w:textAlignment w:val="center"/>
        <w:rPr>
          <w:color w:val="auto"/>
          <w:kern w:val="0"/>
        </w:rPr>
      </w:pPr>
      <w:r>
        <w:rPr>
          <w:rFonts w:hint="eastAsia"/>
          <w:color w:val="auto"/>
          <w:kern w:val="0"/>
        </w:rPr>
        <w:t>3、安全技术操作规程的制定和执行情况</w:t>
      </w:r>
    </w:p>
    <w:p>
      <w:pPr>
        <w:wordWrap w:val="0"/>
        <w:adjustRightInd w:val="0"/>
        <w:snapToGrid w:val="0"/>
        <w:ind w:firstLine="560" w:firstLineChars="200"/>
        <w:textAlignment w:val="center"/>
        <w:rPr>
          <w:color w:val="auto"/>
          <w:kern w:val="0"/>
        </w:rPr>
      </w:pPr>
      <w:r>
        <w:rPr>
          <w:rFonts w:hint="eastAsia"/>
          <w:color w:val="auto"/>
          <w:kern w:val="0"/>
        </w:rPr>
        <w:t>公司已制定了安全技术操作规程，</w:t>
      </w:r>
      <w:r>
        <w:rPr>
          <w:rFonts w:hint="eastAsia"/>
          <w:bCs/>
          <w:color w:val="auto"/>
          <w:kern w:val="24"/>
          <w:szCs w:val="28"/>
        </w:rPr>
        <w:t>主要</w:t>
      </w:r>
      <w:r>
        <w:rPr>
          <w:bCs/>
          <w:color w:val="auto"/>
          <w:kern w:val="24"/>
          <w:szCs w:val="28"/>
        </w:rPr>
        <w:t>安全操作规程</w:t>
      </w:r>
      <w:r>
        <w:rPr>
          <w:rFonts w:hint="eastAsia"/>
          <w:bCs/>
          <w:color w:val="auto"/>
          <w:kern w:val="24"/>
          <w:szCs w:val="28"/>
        </w:rPr>
        <w:t>有半自动灌装机岗位安全操作规程、变频分散机岗位安全操作规程、维修电工岗位安全操作规程、配料岗位安全操作规程、分散岗位安全操作规程、调漆釜岗位安全操作规程、漆釜岗位安全操作规程、包装岗位安全操作规程、电焊工岗位安全操作规程、化验室岗位安全操作规程、厂内叉车岗位安全操作规程、危险化学品安全技术操作规程、液压升降平台操作规程、仓库装卸操作规程等</w:t>
      </w:r>
      <w:r>
        <w:rPr>
          <w:rFonts w:hint="eastAsia"/>
          <w:color w:val="auto"/>
          <w:kern w:val="0"/>
        </w:rPr>
        <w:t>。</w:t>
      </w:r>
    </w:p>
    <w:p>
      <w:pPr>
        <w:wordWrap w:val="0"/>
        <w:adjustRightInd w:val="0"/>
        <w:snapToGrid w:val="0"/>
        <w:ind w:firstLine="560" w:firstLineChars="200"/>
        <w:textAlignment w:val="center"/>
        <w:rPr>
          <w:color w:val="auto"/>
          <w:kern w:val="0"/>
        </w:rPr>
      </w:pPr>
      <w:r>
        <w:rPr>
          <w:rFonts w:hint="eastAsia"/>
          <w:color w:val="auto"/>
          <w:kern w:val="0"/>
        </w:rPr>
        <w:t>通过现场询问、查阅安全教育培训记录及考核记录，该公司更为操作工对本岗位的安全操作规程较全面和熟悉。</w:t>
      </w:r>
    </w:p>
    <w:p>
      <w:pPr>
        <w:wordWrap w:val="0"/>
        <w:adjustRightInd w:val="0"/>
        <w:snapToGrid w:val="0"/>
        <w:ind w:firstLine="560" w:firstLineChars="200"/>
        <w:textAlignment w:val="center"/>
        <w:rPr>
          <w:color w:val="auto"/>
          <w:kern w:val="0"/>
        </w:rPr>
      </w:pPr>
      <w:r>
        <w:rPr>
          <w:rFonts w:hint="eastAsia"/>
          <w:color w:val="auto"/>
          <w:kern w:val="0"/>
        </w:rPr>
        <w:t>该公司安全技术规程的建立和执行情况符合安全生产法的要求，满足安全生产需要。</w:t>
      </w:r>
    </w:p>
    <w:p>
      <w:pPr>
        <w:wordWrap w:val="0"/>
        <w:adjustRightInd w:val="0"/>
        <w:snapToGrid w:val="0"/>
        <w:ind w:firstLine="560" w:firstLineChars="200"/>
        <w:textAlignment w:val="center"/>
        <w:rPr>
          <w:color w:val="auto"/>
          <w:kern w:val="0"/>
        </w:rPr>
      </w:pPr>
      <w:r>
        <w:rPr>
          <w:rFonts w:hint="eastAsia"/>
          <w:color w:val="auto"/>
          <w:kern w:val="0"/>
        </w:rPr>
        <w:t>4、安全生产管理机构的设置和专职安全生产管理人员的配备情况</w:t>
      </w:r>
    </w:p>
    <w:p>
      <w:pPr>
        <w:wordWrap w:val="0"/>
        <w:adjustRightInd w:val="0"/>
        <w:snapToGrid w:val="0"/>
        <w:ind w:firstLine="560" w:firstLineChars="200"/>
        <w:textAlignment w:val="center"/>
        <w:rPr>
          <w:color w:val="auto"/>
          <w:kern w:val="0"/>
        </w:rPr>
      </w:pPr>
      <w:r>
        <w:rPr>
          <w:rFonts w:hint="eastAsia"/>
          <w:color w:val="auto"/>
          <w:kern w:val="0"/>
        </w:rPr>
        <w:t>公司设置安全管理部，公司现有人员约50人，安全管理部现设有专职安全管理人员1人，各车间配置兼职安全管理人员，配备有注册安全工程师1名；安全管理部对全厂安全生产实施综合监督管理；该公司主要负责人、安全管理人员的安全管理人员已报名参加培训，并经考核合格取得证书；安全生产管理机构的设置和专职安全生产管理人员满足《江西省安全生产条例》的要求。</w:t>
      </w:r>
    </w:p>
    <w:p>
      <w:pPr>
        <w:wordWrap w:val="0"/>
        <w:adjustRightInd w:val="0"/>
        <w:snapToGrid w:val="0"/>
        <w:ind w:firstLine="560" w:firstLineChars="200"/>
        <w:textAlignment w:val="center"/>
        <w:rPr>
          <w:color w:val="auto"/>
          <w:kern w:val="0"/>
        </w:rPr>
      </w:pPr>
      <w:r>
        <w:rPr>
          <w:rFonts w:hint="eastAsia"/>
          <w:color w:val="auto"/>
          <w:kern w:val="0"/>
        </w:rPr>
        <w:t>5、其他从业人员掌握安全知识、专业技术、职业卫生防护和应急救援知识的情况</w:t>
      </w:r>
    </w:p>
    <w:p>
      <w:pPr>
        <w:wordWrap w:val="0"/>
        <w:adjustRightInd w:val="0"/>
        <w:snapToGrid w:val="0"/>
        <w:ind w:firstLine="560" w:firstLineChars="200"/>
        <w:textAlignment w:val="center"/>
        <w:rPr>
          <w:color w:val="auto"/>
          <w:kern w:val="0"/>
        </w:rPr>
      </w:pPr>
      <w:r>
        <w:rPr>
          <w:rFonts w:hint="eastAsia"/>
          <w:color w:val="auto"/>
          <w:kern w:val="0"/>
        </w:rPr>
        <w:t>该公司的从业人员均经过厂、车间、班组三级培训；职业、职能技术培训；职业卫生防护和应急救援知识教育，并考试合格。</w:t>
      </w:r>
    </w:p>
    <w:p>
      <w:pPr>
        <w:wordWrap w:val="0"/>
        <w:adjustRightInd w:val="0"/>
        <w:snapToGrid w:val="0"/>
        <w:ind w:firstLine="560" w:firstLineChars="200"/>
        <w:textAlignment w:val="center"/>
        <w:rPr>
          <w:color w:val="auto"/>
          <w:kern w:val="0"/>
        </w:rPr>
      </w:pPr>
      <w:r>
        <w:rPr>
          <w:rFonts w:hint="eastAsia"/>
          <w:color w:val="auto"/>
          <w:kern w:val="0"/>
        </w:rPr>
        <w:t>本项目涉及的特种作业人员、特种设备作业人员取得了作业资格证，符合《特种作业人员安全技术培训考核管理规定》和《特种设备作业人员监督管理办法》的要求。</w:t>
      </w:r>
    </w:p>
    <w:p>
      <w:pPr>
        <w:wordWrap w:val="0"/>
        <w:adjustRightInd w:val="0"/>
        <w:snapToGrid w:val="0"/>
        <w:ind w:firstLine="560" w:firstLineChars="200"/>
        <w:textAlignment w:val="center"/>
        <w:rPr>
          <w:color w:val="auto"/>
          <w:kern w:val="0"/>
        </w:rPr>
      </w:pPr>
      <w:r>
        <w:rPr>
          <w:rFonts w:hint="eastAsia"/>
          <w:color w:val="auto"/>
          <w:kern w:val="0"/>
        </w:rPr>
        <w:t>6、安全生产的检查情况</w:t>
      </w:r>
    </w:p>
    <w:p>
      <w:pPr>
        <w:wordWrap w:val="0"/>
        <w:adjustRightInd w:val="0"/>
        <w:snapToGrid w:val="0"/>
        <w:ind w:firstLine="560" w:firstLineChars="200"/>
        <w:textAlignment w:val="center"/>
        <w:rPr>
          <w:color w:val="auto"/>
          <w:kern w:val="0"/>
        </w:rPr>
      </w:pPr>
      <w:r>
        <w:rPr>
          <w:rFonts w:hint="eastAsia"/>
          <w:color w:val="auto"/>
          <w:kern w:val="0"/>
        </w:rPr>
        <w:t>该企业制定有安全生产检查制度，安全检查采取的形式有日常检查、每周检查、专项检查、月度检查、重大节假日检查等</w:t>
      </w:r>
    </w:p>
    <w:p>
      <w:pPr>
        <w:wordWrap w:val="0"/>
        <w:adjustRightInd w:val="0"/>
        <w:snapToGrid w:val="0"/>
        <w:ind w:firstLine="560" w:firstLineChars="200"/>
        <w:textAlignment w:val="center"/>
        <w:rPr>
          <w:color w:val="auto"/>
          <w:kern w:val="0"/>
        </w:rPr>
      </w:pPr>
      <w:r>
        <w:rPr>
          <w:rFonts w:hint="eastAsia"/>
          <w:color w:val="auto"/>
          <w:kern w:val="0"/>
        </w:rPr>
        <w:t>安全生产检查项目和内容包括：安全生产管理制度、安全规程、技术规程、操作规程的贯彻执行情况；各部门（车间）安全生产、交通安全、防火、雨季三防、冬季防冻等项工作，安全防护设施的完好状况；安全技术措施和易燃、易爆、危险区域以及要害岗位防范措施的执行情况；生产现场工业卫生的状况；事故隐患整改措施的完成情况；逐级安全活动记录的状况；安全学习、教育、宣传等活动的开展情况；劳动环境和劳动条件状况等。</w:t>
      </w:r>
    </w:p>
    <w:p>
      <w:pPr>
        <w:wordWrap w:val="0"/>
        <w:adjustRightInd w:val="0"/>
        <w:snapToGrid w:val="0"/>
        <w:ind w:firstLine="560" w:firstLineChars="200"/>
        <w:textAlignment w:val="center"/>
        <w:rPr>
          <w:color w:val="auto"/>
          <w:kern w:val="0"/>
        </w:rPr>
      </w:pPr>
      <w:r>
        <w:rPr>
          <w:rFonts w:hint="eastAsia"/>
          <w:color w:val="auto"/>
          <w:kern w:val="0"/>
        </w:rPr>
        <w:t>7、安全生产投入</w:t>
      </w:r>
    </w:p>
    <w:p>
      <w:pPr>
        <w:wordWrap w:val="0"/>
        <w:adjustRightInd w:val="0"/>
        <w:snapToGrid w:val="0"/>
        <w:ind w:firstLine="560" w:firstLineChars="200"/>
        <w:textAlignment w:val="center"/>
        <w:rPr>
          <w:color w:val="auto"/>
          <w:kern w:val="0"/>
        </w:rPr>
      </w:pPr>
      <w:r>
        <w:rPr>
          <w:rFonts w:hint="eastAsia"/>
          <w:color w:val="auto"/>
          <w:kern w:val="0"/>
        </w:rPr>
        <w:t>本项目为安全设施提升项目，安全生产总投入440万元。</w:t>
      </w:r>
    </w:p>
    <w:p>
      <w:pPr>
        <w:wordWrap w:val="0"/>
        <w:adjustRightInd w:val="0"/>
        <w:snapToGrid w:val="0"/>
        <w:ind w:firstLine="560" w:firstLineChars="200"/>
        <w:textAlignment w:val="center"/>
        <w:rPr>
          <w:color w:val="auto"/>
          <w:kern w:val="0"/>
        </w:rPr>
      </w:pPr>
      <w:r>
        <w:rPr>
          <w:rFonts w:hint="eastAsia"/>
          <w:color w:val="auto"/>
          <w:kern w:val="0"/>
        </w:rPr>
        <w:t>8、工伤保险</w:t>
      </w:r>
    </w:p>
    <w:p>
      <w:pPr>
        <w:wordWrap w:val="0"/>
        <w:adjustRightInd w:val="0"/>
        <w:snapToGrid w:val="0"/>
        <w:ind w:firstLine="560" w:firstLineChars="200"/>
        <w:textAlignment w:val="center"/>
        <w:rPr>
          <w:color w:val="auto"/>
          <w:kern w:val="0"/>
        </w:rPr>
      </w:pPr>
      <w:r>
        <w:rPr>
          <w:rFonts w:hint="eastAsia"/>
          <w:color w:val="auto"/>
          <w:kern w:val="0"/>
        </w:rPr>
        <w:t>本项目为全体员工购买了工伤保险，具体工伤保险单据见附件。</w:t>
      </w:r>
    </w:p>
    <w:p>
      <w:pPr>
        <w:wordWrap w:val="0"/>
        <w:adjustRightInd w:val="0"/>
        <w:snapToGrid w:val="0"/>
        <w:ind w:firstLine="560" w:firstLineChars="200"/>
        <w:textAlignment w:val="center"/>
        <w:rPr>
          <w:color w:val="auto"/>
          <w:kern w:val="0"/>
        </w:rPr>
      </w:pPr>
      <w:r>
        <w:rPr>
          <w:rFonts w:hint="eastAsia"/>
          <w:color w:val="auto"/>
          <w:kern w:val="0"/>
        </w:rPr>
        <w:t>9、从业人员劳动防护用品的配备及其检修、维护和法定检验、检测情况</w:t>
      </w:r>
    </w:p>
    <w:p>
      <w:pPr>
        <w:wordWrap w:val="0"/>
        <w:adjustRightInd w:val="0"/>
        <w:snapToGrid w:val="0"/>
        <w:ind w:firstLine="560" w:firstLineChars="200"/>
        <w:textAlignment w:val="center"/>
        <w:rPr>
          <w:color w:val="auto"/>
          <w:kern w:val="0"/>
        </w:rPr>
      </w:pPr>
      <w:r>
        <w:rPr>
          <w:rFonts w:hint="eastAsia"/>
          <w:color w:val="auto"/>
          <w:kern w:val="0"/>
        </w:rPr>
        <w:t>该公司建立健全劳动防护用品的采购、验收、保管、发放、使用、检测、更换、报废等管理制度。给从业人员配备劳动防护用品有防护面罩、防护眼镜、工作服、安全带、高空作业、安全帽、紧急洗眼淋浴器、工作服及鞋、工厂急救箱等。动防护用品采购后均经安全生产管理部门检查验收，并应按照劳动防护用品的使用要求，在使用前对其防护功能进行必要的检验。劳动防护用品使用单位安全生产管理部门配备具备劳动防护用品知识的劳动防护用品监管员。</w:t>
      </w:r>
    </w:p>
    <w:p>
      <w:pPr>
        <w:wordWrap w:val="0"/>
        <w:adjustRightInd w:val="0"/>
        <w:snapToGrid w:val="0"/>
        <w:ind w:firstLine="560" w:firstLineChars="200"/>
        <w:textAlignment w:val="center"/>
        <w:rPr>
          <w:color w:val="auto"/>
          <w:kern w:val="0"/>
        </w:rPr>
      </w:pPr>
      <w:r>
        <w:rPr>
          <w:rFonts w:hint="eastAsia"/>
          <w:color w:val="auto"/>
          <w:kern w:val="0"/>
        </w:rPr>
        <w:t>本项目的职业防护设施的维护由安全管理部主要负责，由操作员工在作业前进行自查确认；在办公楼内设有应急物资柜，应急物资柜由行政负责维护，柜内的空气呼吸器、过滤式防毒面具等防护应急用品由安全管理员定期检查和维护，并负责更换。安全管理定期不定期进行检查，并将检查结果记录，发现失效或超过有效期的产品立即责令更换，确保各产品设施均处于有效状态下；</w:t>
      </w:r>
    </w:p>
    <w:p>
      <w:pPr>
        <w:wordWrap w:val="0"/>
        <w:adjustRightInd w:val="0"/>
        <w:snapToGrid w:val="0"/>
        <w:ind w:firstLine="560" w:firstLineChars="200"/>
        <w:textAlignment w:val="center"/>
        <w:rPr>
          <w:color w:val="auto"/>
          <w:kern w:val="0"/>
        </w:rPr>
      </w:pPr>
      <w:r>
        <w:rPr>
          <w:rFonts w:hint="eastAsia"/>
          <w:color w:val="auto"/>
          <w:kern w:val="0"/>
        </w:rPr>
        <w:t>该公司的法定检测设备设施（如：泄漏气体探测器、灭火器等）均检测或处于合格有效期内，保证合格使用。</w:t>
      </w:r>
    </w:p>
    <w:p>
      <w:pPr>
        <w:wordWrap w:val="0"/>
        <w:adjustRightInd w:val="0"/>
        <w:snapToGrid w:val="0"/>
        <w:textAlignment w:val="center"/>
        <w:outlineLvl w:val="2"/>
        <w:rPr>
          <w:b/>
          <w:bCs/>
          <w:color w:val="auto"/>
          <w:kern w:val="0"/>
        </w:rPr>
      </w:pPr>
      <w:bookmarkStart w:id="254" w:name="_Toc4396"/>
      <w:r>
        <w:rPr>
          <w:rFonts w:hint="eastAsia"/>
          <w:b/>
          <w:bCs/>
          <w:color w:val="auto"/>
          <w:kern w:val="0"/>
        </w:rPr>
        <w:t>6.2.3 装置、设备和设施</w:t>
      </w:r>
      <w:bookmarkEnd w:id="254"/>
    </w:p>
    <w:p>
      <w:pPr>
        <w:wordWrap w:val="0"/>
        <w:adjustRightInd w:val="0"/>
        <w:snapToGrid w:val="0"/>
        <w:ind w:firstLine="560" w:firstLineChars="200"/>
        <w:textAlignment w:val="center"/>
        <w:rPr>
          <w:color w:val="auto"/>
          <w:kern w:val="0"/>
        </w:rPr>
      </w:pPr>
      <w:r>
        <w:rPr>
          <w:rFonts w:hint="eastAsia"/>
          <w:color w:val="auto"/>
          <w:kern w:val="0"/>
        </w:rPr>
        <w:t>本项目在试运行前对本项目设备、气体检测报警装置、火灾探测及报警系统等进行了调试运行；现场设置声光报警设施；设备调试过程中由技术提供方、生产厂家、设计单位及安装单位人员共同配合情况下进行，运行状况平稳、符合设计要求。</w:t>
      </w:r>
    </w:p>
    <w:p>
      <w:pPr>
        <w:wordWrap w:val="0"/>
        <w:adjustRightInd w:val="0"/>
        <w:snapToGrid w:val="0"/>
        <w:ind w:firstLine="560" w:firstLineChars="200"/>
        <w:textAlignment w:val="center"/>
        <w:rPr>
          <w:color w:val="auto"/>
          <w:kern w:val="0"/>
        </w:rPr>
      </w:pPr>
      <w:r>
        <w:rPr>
          <w:rFonts w:hint="eastAsia"/>
          <w:color w:val="auto"/>
          <w:kern w:val="0"/>
        </w:rPr>
        <w:t>本项目在调试期间，装置、设备和设施运转良好，表现出来一定的安全可靠性。</w:t>
      </w:r>
    </w:p>
    <w:p>
      <w:pPr>
        <w:wordWrap w:val="0"/>
        <w:adjustRightInd w:val="0"/>
        <w:snapToGrid w:val="0"/>
        <w:ind w:firstLine="560" w:firstLineChars="200"/>
        <w:textAlignment w:val="center"/>
        <w:rPr>
          <w:color w:val="auto"/>
          <w:kern w:val="0"/>
        </w:rPr>
      </w:pPr>
      <w:r>
        <w:rPr>
          <w:rFonts w:hint="eastAsia"/>
          <w:color w:val="auto"/>
          <w:kern w:val="0"/>
        </w:rPr>
        <w:t>公司按照法规要求，防雷防静电设施均经过具有相关资质的单位检验、检测，结论合格。</w:t>
      </w:r>
    </w:p>
    <w:p>
      <w:pPr>
        <w:wordWrap w:val="0"/>
        <w:adjustRightInd w:val="0"/>
        <w:snapToGrid w:val="0"/>
        <w:ind w:firstLine="560" w:firstLineChars="200"/>
        <w:textAlignment w:val="center"/>
        <w:rPr>
          <w:color w:val="auto"/>
          <w:kern w:val="0"/>
        </w:rPr>
      </w:pPr>
      <w:r>
        <w:rPr>
          <w:rFonts w:hint="eastAsia"/>
          <w:color w:val="auto"/>
          <w:kern w:val="0"/>
        </w:rPr>
        <w:t>本项目叉车等均经当地市场监督管理局检测合格，并办理了使用登记证。</w:t>
      </w:r>
    </w:p>
    <w:p>
      <w:pPr>
        <w:wordWrap w:val="0"/>
        <w:adjustRightInd w:val="0"/>
        <w:snapToGrid w:val="0"/>
        <w:textAlignment w:val="center"/>
        <w:outlineLvl w:val="2"/>
        <w:rPr>
          <w:b/>
          <w:bCs/>
          <w:color w:val="auto"/>
          <w:kern w:val="0"/>
        </w:rPr>
      </w:pPr>
      <w:bookmarkStart w:id="255" w:name="_Toc13465"/>
      <w:r>
        <w:rPr>
          <w:rFonts w:hint="eastAsia"/>
          <w:b/>
          <w:bCs/>
          <w:color w:val="auto"/>
          <w:kern w:val="0"/>
        </w:rPr>
        <w:t>6.2.4 作业场所</w:t>
      </w:r>
      <w:bookmarkEnd w:id="255"/>
    </w:p>
    <w:p>
      <w:pPr>
        <w:wordWrap w:val="0"/>
        <w:adjustRightInd w:val="0"/>
        <w:snapToGrid w:val="0"/>
        <w:ind w:firstLine="560" w:firstLineChars="200"/>
        <w:textAlignment w:val="center"/>
        <w:rPr>
          <w:color w:val="auto"/>
          <w:kern w:val="0"/>
        </w:rPr>
      </w:pPr>
      <w:r>
        <w:rPr>
          <w:rFonts w:hint="eastAsia"/>
          <w:color w:val="auto"/>
          <w:kern w:val="0"/>
        </w:rPr>
        <w:t>1、职业危害防护设施的设置情况</w:t>
      </w:r>
    </w:p>
    <w:p>
      <w:pPr>
        <w:wordWrap w:val="0"/>
        <w:adjustRightInd w:val="0"/>
        <w:snapToGrid w:val="0"/>
        <w:ind w:firstLine="560" w:firstLineChars="200"/>
        <w:textAlignment w:val="center"/>
        <w:rPr>
          <w:color w:val="auto"/>
          <w:kern w:val="0"/>
        </w:rPr>
      </w:pPr>
      <w:r>
        <w:rPr>
          <w:rFonts w:hint="eastAsia"/>
          <w:color w:val="auto"/>
          <w:kern w:val="0"/>
        </w:rPr>
        <w:t>1）职业危害防护措施及设施的情况</w:t>
      </w:r>
    </w:p>
    <w:p>
      <w:pPr>
        <w:wordWrap w:val="0"/>
        <w:adjustRightInd w:val="0"/>
        <w:snapToGrid w:val="0"/>
        <w:ind w:firstLine="560" w:firstLineChars="200"/>
        <w:textAlignment w:val="center"/>
        <w:rPr>
          <w:color w:val="auto"/>
          <w:kern w:val="0"/>
        </w:rPr>
      </w:pPr>
      <w:r>
        <w:rPr>
          <w:rFonts w:hint="eastAsia"/>
          <w:color w:val="auto"/>
          <w:kern w:val="0"/>
        </w:rPr>
        <w:t>本项目在正常储存过程中，存在部分的有毒有害物质，可能发生有毒有害物质的泄漏。生产作业人员定期巡检，对物料包装的密封性进行检查、维护，也能提前防范大规模泄露现象的发生。</w:t>
      </w:r>
    </w:p>
    <w:p>
      <w:pPr>
        <w:wordWrap w:val="0"/>
        <w:adjustRightInd w:val="0"/>
        <w:snapToGrid w:val="0"/>
        <w:ind w:firstLine="560" w:firstLineChars="200"/>
        <w:textAlignment w:val="center"/>
        <w:rPr>
          <w:color w:val="auto"/>
          <w:kern w:val="0"/>
        </w:rPr>
      </w:pPr>
      <w:r>
        <w:rPr>
          <w:rFonts w:hint="eastAsia"/>
          <w:color w:val="auto"/>
          <w:kern w:val="0"/>
        </w:rPr>
        <w:t>本项目仓库内设有放流散措施，设有泄楼收集措施；仓库内设置有事故通风联锁系统等措施能够有效降低作业环境中有毒有害物质的浓度，能够防范有害气体浓度超标对操作人员造成危害。</w:t>
      </w:r>
    </w:p>
    <w:p>
      <w:pPr>
        <w:wordWrap w:val="0"/>
        <w:adjustRightInd w:val="0"/>
        <w:snapToGrid w:val="0"/>
        <w:ind w:firstLine="560" w:firstLineChars="200"/>
        <w:textAlignment w:val="center"/>
        <w:rPr>
          <w:color w:val="auto"/>
          <w:kern w:val="0"/>
        </w:rPr>
      </w:pPr>
      <w:r>
        <w:rPr>
          <w:rFonts w:hint="eastAsia"/>
          <w:color w:val="auto"/>
          <w:kern w:val="0"/>
        </w:rPr>
        <w:t>公司已按规定建立了职业危害防治制度和操作规程，为从业人员提供符合国家标准、行业标准的职业危害防护用品，并督促、教育、指导从业人员按照使用规则正确佩戴、使用，对职业危害防护用品、设施进行经常性的维护、检修和保养，定期检测其性能和效果，确保其处于正常状态。按照国家有关规定组织上岗前、在岗期间和离岗时的职业健康检查，并将检查结果如实告知从业人员。本项目为职工提供职业健康检查，费用由生产经营单位承担。为从业人员建立了职业健康监护档案，并按照规定的期限妥善保存。</w:t>
      </w:r>
    </w:p>
    <w:p>
      <w:pPr>
        <w:wordWrap w:val="0"/>
        <w:adjustRightInd w:val="0"/>
        <w:snapToGrid w:val="0"/>
        <w:ind w:firstLine="560" w:firstLineChars="200"/>
        <w:textAlignment w:val="center"/>
        <w:rPr>
          <w:color w:val="auto"/>
          <w:kern w:val="0"/>
        </w:rPr>
      </w:pPr>
      <w:r>
        <w:rPr>
          <w:rFonts w:hint="eastAsia"/>
          <w:color w:val="auto"/>
          <w:kern w:val="0"/>
        </w:rPr>
        <w:t>本项目突发性、群发性及意外事故的急救事宜由当地医疗机构负责。</w:t>
      </w:r>
    </w:p>
    <w:p>
      <w:pPr>
        <w:wordWrap w:val="0"/>
        <w:adjustRightInd w:val="0"/>
        <w:snapToGrid w:val="0"/>
        <w:ind w:firstLine="560" w:firstLineChars="200"/>
        <w:textAlignment w:val="center"/>
        <w:rPr>
          <w:color w:val="auto"/>
          <w:kern w:val="0"/>
        </w:rPr>
      </w:pPr>
      <w:r>
        <w:rPr>
          <w:rFonts w:hint="eastAsia"/>
          <w:color w:val="auto"/>
          <w:kern w:val="0"/>
        </w:rPr>
        <w:t>2）生产现场、个人防护用品</w:t>
      </w:r>
    </w:p>
    <w:p>
      <w:pPr>
        <w:wordWrap w:val="0"/>
        <w:adjustRightInd w:val="0"/>
        <w:snapToGrid w:val="0"/>
        <w:ind w:firstLine="560" w:firstLineChars="200"/>
        <w:textAlignment w:val="center"/>
        <w:rPr>
          <w:color w:val="auto"/>
          <w:kern w:val="0"/>
        </w:rPr>
      </w:pPr>
      <w:r>
        <w:rPr>
          <w:rFonts w:hint="eastAsia"/>
          <w:color w:val="auto"/>
          <w:kern w:val="0"/>
        </w:rPr>
        <w:t>本项目根据工作场所、物料特性、接触程度、危险情况等，在设计和管理中，在工作地点配备相应的安全设施，为操作人员配备相应的个人防护用品，并在全厂内配置必要的医疗急救设施，制定完善的医疗救援措施。该公司在接触有毒有害物质的工作岗位配备空气呼吸器、防毒面具、防腐工作服等安全防护器材；在接触腐蚀性物质的岗位设置事故冲洗装置。</w:t>
      </w:r>
    </w:p>
    <w:p>
      <w:pPr>
        <w:wordWrap w:val="0"/>
        <w:adjustRightInd w:val="0"/>
        <w:snapToGrid w:val="0"/>
        <w:ind w:firstLine="560" w:firstLineChars="200"/>
        <w:textAlignment w:val="center"/>
        <w:rPr>
          <w:color w:val="auto"/>
          <w:kern w:val="0"/>
        </w:rPr>
      </w:pPr>
      <w:r>
        <w:rPr>
          <w:rFonts w:hint="eastAsia"/>
          <w:color w:val="auto"/>
          <w:kern w:val="0"/>
        </w:rPr>
        <w:t>该公司作业人员均配备防护服、防护鞋、防护手套等个人防护用品，防护用品按工种分月、季、年足额发放。</w:t>
      </w:r>
    </w:p>
    <w:p>
      <w:pPr>
        <w:wordWrap w:val="0"/>
        <w:adjustRightInd w:val="0"/>
        <w:snapToGrid w:val="0"/>
        <w:ind w:firstLine="560" w:firstLineChars="200"/>
        <w:textAlignment w:val="center"/>
        <w:rPr>
          <w:color w:val="auto"/>
          <w:kern w:val="0"/>
        </w:rPr>
      </w:pPr>
      <w:r>
        <w:rPr>
          <w:rFonts w:hint="eastAsia"/>
          <w:color w:val="auto"/>
          <w:kern w:val="0"/>
        </w:rPr>
        <w:t>2、职业危害防护设施的检修、维护情况</w:t>
      </w:r>
    </w:p>
    <w:p>
      <w:pPr>
        <w:wordWrap w:val="0"/>
        <w:adjustRightInd w:val="0"/>
        <w:snapToGrid w:val="0"/>
        <w:ind w:firstLine="560" w:firstLineChars="200"/>
        <w:textAlignment w:val="center"/>
        <w:rPr>
          <w:color w:val="auto"/>
          <w:kern w:val="0"/>
        </w:rPr>
      </w:pPr>
      <w:r>
        <w:rPr>
          <w:rFonts w:hint="eastAsia"/>
          <w:color w:val="auto"/>
          <w:kern w:val="0"/>
        </w:rPr>
        <w:t>该公司按规定建立了职业危害防治制度，为从业人员提供符合国家标准、行业标准的职业危害防护用品，并督促、教育、指导从业人员按照使用规则正确佩戴、使用，对职业危害防护用品、设施进行经常性的维护、检修和保养，定期检测其性能和效果，确保其处于正常状态。</w:t>
      </w:r>
    </w:p>
    <w:p>
      <w:pPr>
        <w:wordWrap w:val="0"/>
        <w:adjustRightInd w:val="0"/>
        <w:snapToGrid w:val="0"/>
        <w:ind w:firstLine="560" w:firstLineChars="200"/>
        <w:textAlignment w:val="center"/>
        <w:rPr>
          <w:color w:val="auto"/>
          <w:kern w:val="0"/>
        </w:rPr>
      </w:pPr>
      <w:r>
        <w:rPr>
          <w:rFonts w:hint="eastAsia"/>
          <w:color w:val="auto"/>
          <w:kern w:val="0"/>
        </w:rPr>
        <w:t>该公司配置的职业危害防护用品、设施均选择有资质厂家生产的产品，在采购后安全科制定人员对产品进行常规检查，常规检查合格后方可配置到各岗位人员。</w:t>
      </w:r>
    </w:p>
    <w:p>
      <w:pPr>
        <w:wordWrap w:val="0"/>
        <w:adjustRightInd w:val="0"/>
        <w:snapToGrid w:val="0"/>
        <w:ind w:firstLine="560" w:firstLineChars="200"/>
        <w:textAlignment w:val="center"/>
        <w:rPr>
          <w:color w:val="auto"/>
          <w:kern w:val="0"/>
        </w:rPr>
      </w:pPr>
      <w:r>
        <w:rPr>
          <w:rFonts w:hint="eastAsia"/>
          <w:color w:val="auto"/>
          <w:kern w:val="0"/>
        </w:rPr>
        <w:t>本项目的职业防护设施的维护由安全管理部主要负责，由操作员工在作业前进行自查确认；在办公楼内设应急物资柜，应急物资柜由安全管理部负责维护，柜内的空气呼吸器、过滤式防毒面具等防护应急用品由安全管理员定期检查和维护，并负责更换。安全管理员定期不定期进行检查，并将检查结果记录，发现失效或超过有效期的产品立即责令更换，确保各产品设施均处于有效状态下；</w:t>
      </w:r>
    </w:p>
    <w:p>
      <w:pPr>
        <w:wordWrap w:val="0"/>
        <w:adjustRightInd w:val="0"/>
        <w:snapToGrid w:val="0"/>
        <w:textAlignment w:val="center"/>
        <w:outlineLvl w:val="2"/>
        <w:rPr>
          <w:b/>
          <w:bCs/>
          <w:color w:val="auto"/>
          <w:kern w:val="0"/>
        </w:rPr>
      </w:pPr>
      <w:bookmarkStart w:id="256" w:name="_Toc12499"/>
      <w:r>
        <w:rPr>
          <w:rFonts w:hint="eastAsia"/>
          <w:b/>
          <w:bCs/>
          <w:color w:val="auto"/>
          <w:kern w:val="0"/>
        </w:rPr>
        <w:t>6.2.5 事故及应急处理</w:t>
      </w:r>
      <w:bookmarkEnd w:id="256"/>
    </w:p>
    <w:p>
      <w:pPr>
        <w:wordWrap w:val="0"/>
        <w:adjustRightInd w:val="0"/>
        <w:snapToGrid w:val="0"/>
        <w:ind w:firstLine="560" w:firstLineChars="200"/>
        <w:textAlignment w:val="center"/>
        <w:rPr>
          <w:color w:val="auto"/>
          <w:kern w:val="0"/>
        </w:rPr>
      </w:pPr>
      <w:r>
        <w:rPr>
          <w:rFonts w:hint="eastAsia"/>
          <w:color w:val="auto"/>
          <w:kern w:val="0"/>
        </w:rPr>
        <w:t>1、事故救援预案的编制情况</w:t>
      </w:r>
    </w:p>
    <w:p>
      <w:pPr>
        <w:wordWrap w:val="0"/>
        <w:adjustRightInd w:val="0"/>
        <w:snapToGrid w:val="0"/>
        <w:ind w:firstLine="560" w:firstLineChars="200"/>
        <w:textAlignment w:val="center"/>
        <w:rPr>
          <w:color w:val="auto"/>
          <w:kern w:val="0"/>
        </w:rPr>
      </w:pPr>
      <w:r>
        <w:rPr>
          <w:rFonts w:hint="eastAsia"/>
          <w:color w:val="auto"/>
          <w:kern w:val="0"/>
        </w:rPr>
        <w:t>公司已建立了应急救援体系，编制了事故应急预案并报丰城市应急管理局进行备案。该公司编制的事故应急预案分为综合预案、现场处置方案。</w:t>
      </w:r>
    </w:p>
    <w:p>
      <w:pPr>
        <w:wordWrap w:val="0"/>
        <w:adjustRightInd w:val="0"/>
        <w:snapToGrid w:val="0"/>
        <w:ind w:firstLine="560" w:firstLineChars="200"/>
        <w:textAlignment w:val="center"/>
        <w:rPr>
          <w:color w:val="auto"/>
          <w:kern w:val="0"/>
        </w:rPr>
      </w:pPr>
      <w:r>
        <w:rPr>
          <w:rFonts w:hint="eastAsia"/>
          <w:color w:val="auto"/>
          <w:kern w:val="0"/>
        </w:rPr>
        <w:t>公司依据本项目作业的实际情况，针对存在的危险源及危险程度，编制了综合预案及现场处置方案，其中现场处置方案有一般火灾事故现场处置方案、化学品泄漏现场处置方案、机械伤害场处置方案以及其它生产安全事故现场处置方案（触电、车辆伤害、中暑、高处坠落、物体打击）。</w:t>
      </w:r>
    </w:p>
    <w:p>
      <w:pPr>
        <w:wordWrap w:val="0"/>
        <w:adjustRightInd w:val="0"/>
        <w:snapToGrid w:val="0"/>
        <w:ind w:firstLine="560" w:firstLineChars="200"/>
        <w:textAlignment w:val="center"/>
        <w:rPr>
          <w:color w:val="auto"/>
          <w:kern w:val="0"/>
        </w:rPr>
      </w:pPr>
      <w:r>
        <w:rPr>
          <w:rFonts w:hint="eastAsia"/>
          <w:color w:val="auto"/>
          <w:kern w:val="0"/>
        </w:rPr>
        <w:t>2、应急救援组织的建立和人员的配备情况</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该公司应急组织机构由应急指挥部来承担。指挥部由总指挥、副总指挥及各应急工作小组组成，下设应急救援组、警戒疏散组、医疗救护组、污染控制组、后勤保障组。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公司总指挥同时担任现场指挥工作，当总指挥和副总指挥不在时，由作业现场的最高领导者担任现场指挥工作。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现场最高职务者有权在遇到险情时，进行力所能及的初期处理后，组织停产撤人。</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夜间、节假日由值班领导行使应急总指挥职责。</w:t>
      </w:r>
    </w:p>
    <w:p>
      <w:pPr>
        <w:wordWrap w:val="0"/>
        <w:adjustRightInd w:val="0"/>
        <w:snapToGrid w:val="0"/>
        <w:spacing w:line="240" w:lineRule="auto"/>
        <w:jc w:val="center"/>
        <w:textAlignment w:val="center"/>
        <w:rPr>
          <w:rFonts w:cs="宋体"/>
          <w:color w:val="auto"/>
          <w:kern w:val="0"/>
          <w:szCs w:val="28"/>
        </w:rPr>
      </w:pPr>
      <w:r>
        <w:rPr>
          <w:color w:val="auto"/>
          <w:sz w:val="20"/>
        </w:rPr>
        <mc:AlternateContent>
          <mc:Choice Requires="wpg">
            <w:drawing>
              <wp:inline distT="0" distB="0" distL="114935" distR="114935">
                <wp:extent cx="5173980" cy="3740785"/>
                <wp:effectExtent l="7620" t="7620" r="19050" b="23495"/>
                <wp:docPr id="10" name="组合 10"/>
                <wp:cNvGraphicFramePr/>
                <a:graphic xmlns:a="http://schemas.openxmlformats.org/drawingml/2006/main">
                  <a:graphicData uri="http://schemas.microsoft.com/office/word/2010/wordprocessingGroup">
                    <wpg:wgp>
                      <wpg:cNvGrpSpPr/>
                      <wpg:grpSpPr>
                        <a:xfrm>
                          <a:off x="0" y="0"/>
                          <a:ext cx="5173980" cy="3740785"/>
                          <a:chOff x="9621" y="824306"/>
                          <a:chExt cx="8148" cy="5891"/>
                        </a:xfrm>
                      </wpg:grpSpPr>
                      <wps:wsp>
                        <wps:cNvPr id="144" name="矩形 144"/>
                        <wps:cNvSpPr/>
                        <wps:spPr>
                          <a:xfrm>
                            <a:off x="12477" y="824306"/>
                            <a:ext cx="2184" cy="64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jc w:val="center"/>
                                <w:rPr>
                                  <w:rFonts w:ascii="宋体" w:hAnsi="宋体"/>
                                </w:rPr>
                              </w:pPr>
                              <w:r>
                                <w:rPr>
                                  <w:rFonts w:ascii="宋体" w:hAnsi="宋体"/>
                                </w:rPr>
                                <w:t>总指挥</w:t>
                              </w:r>
                            </w:p>
                          </w:txbxContent>
                        </wps:txbx>
                        <wps:bodyPr upright="1"/>
                      </wps:wsp>
                      <wps:wsp>
                        <wps:cNvPr id="139" name="直接箭头连接符 139"/>
                        <wps:cNvCnPr/>
                        <wps:spPr>
                          <a:xfrm>
                            <a:off x="13562" y="824960"/>
                            <a:ext cx="0" cy="350"/>
                          </a:xfrm>
                          <a:prstGeom prst="straightConnector1">
                            <a:avLst/>
                          </a:prstGeom>
                          <a:ln w="15875" cap="flat" cmpd="sng">
                            <a:solidFill>
                              <a:srgbClr val="000000"/>
                            </a:solidFill>
                            <a:prstDash val="solid"/>
                            <a:headEnd type="none" w="med" len="med"/>
                            <a:tailEnd type="triangle" w="med" len="med"/>
                          </a:ln>
                        </wps:spPr>
                        <wps:bodyPr/>
                      </wps:wsp>
                      <wps:wsp>
                        <wps:cNvPr id="149" name="矩形 149"/>
                        <wps:cNvSpPr/>
                        <wps:spPr>
                          <a:xfrm>
                            <a:off x="12609" y="825335"/>
                            <a:ext cx="1872" cy="68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jc w:val="center"/>
                                <w:rPr>
                                  <w:rFonts w:ascii="宋体" w:hAnsi="宋体"/>
                                </w:rPr>
                              </w:pPr>
                              <w:r>
                                <w:rPr>
                                  <w:rFonts w:ascii="宋体" w:hAnsi="宋体"/>
                                </w:rPr>
                                <w:t>副总指挥</w:t>
                              </w:r>
                            </w:p>
                          </w:txbxContent>
                        </wps:txbx>
                        <wps:bodyPr upright="1"/>
                      </wps:wsp>
                      <wps:wsp>
                        <wps:cNvPr id="138" name="直接箭头连接符 138"/>
                        <wps:cNvCnPr/>
                        <wps:spPr>
                          <a:xfrm flipH="1">
                            <a:off x="9981" y="826630"/>
                            <a:ext cx="7404" cy="1"/>
                          </a:xfrm>
                          <a:prstGeom prst="straightConnector1">
                            <a:avLst/>
                          </a:prstGeom>
                          <a:ln w="15875" cap="flat" cmpd="sng">
                            <a:solidFill>
                              <a:srgbClr val="000000"/>
                            </a:solidFill>
                            <a:prstDash val="solid"/>
                            <a:headEnd type="none" w="med" len="med"/>
                            <a:tailEnd type="none" w="med" len="med"/>
                          </a:ln>
                        </wps:spPr>
                        <wps:bodyPr/>
                      </wps:wsp>
                      <wps:wsp>
                        <wps:cNvPr id="141" name="直接箭头连接符 141"/>
                        <wps:cNvCnPr/>
                        <wps:spPr>
                          <a:xfrm>
                            <a:off x="12357" y="826631"/>
                            <a:ext cx="0" cy="1296"/>
                          </a:xfrm>
                          <a:prstGeom prst="straightConnector1">
                            <a:avLst/>
                          </a:prstGeom>
                          <a:ln w="15875" cap="flat" cmpd="sng">
                            <a:solidFill>
                              <a:srgbClr val="000000"/>
                            </a:solidFill>
                            <a:prstDash val="solid"/>
                            <a:headEnd type="none" w="med" len="med"/>
                            <a:tailEnd type="triangle" w="med" len="med"/>
                          </a:ln>
                        </wps:spPr>
                        <wps:bodyPr/>
                      </wps:wsp>
                      <wps:wsp>
                        <wps:cNvPr id="142" name="直接箭头连接符 142"/>
                        <wps:cNvCnPr/>
                        <wps:spPr>
                          <a:xfrm>
                            <a:off x="13701" y="826630"/>
                            <a:ext cx="0" cy="1296"/>
                          </a:xfrm>
                          <a:prstGeom prst="straightConnector1">
                            <a:avLst/>
                          </a:prstGeom>
                          <a:ln w="15875" cap="flat" cmpd="sng">
                            <a:solidFill>
                              <a:srgbClr val="000000"/>
                            </a:solidFill>
                            <a:prstDash val="solid"/>
                            <a:headEnd type="none" w="med" len="med"/>
                            <a:tailEnd type="triangle" w="med" len="med"/>
                          </a:ln>
                        </wps:spPr>
                        <wps:bodyPr/>
                      </wps:wsp>
                      <wps:wsp>
                        <wps:cNvPr id="145" name="直接箭头连接符 145"/>
                        <wps:cNvCnPr/>
                        <wps:spPr>
                          <a:xfrm>
                            <a:off x="11121" y="826630"/>
                            <a:ext cx="0" cy="1296"/>
                          </a:xfrm>
                          <a:prstGeom prst="straightConnector1">
                            <a:avLst/>
                          </a:prstGeom>
                          <a:ln w="15875" cap="flat" cmpd="sng">
                            <a:solidFill>
                              <a:srgbClr val="000000"/>
                            </a:solidFill>
                            <a:prstDash val="solid"/>
                            <a:headEnd type="none" w="med" len="med"/>
                            <a:tailEnd type="triangle" w="med" len="med"/>
                          </a:ln>
                        </wps:spPr>
                        <wps:bodyPr/>
                      </wps:wsp>
                      <wps:wsp>
                        <wps:cNvPr id="148" name="直接箭头连接符 148"/>
                        <wps:cNvCnPr/>
                        <wps:spPr>
                          <a:xfrm>
                            <a:off x="9981" y="826630"/>
                            <a:ext cx="0" cy="1296"/>
                          </a:xfrm>
                          <a:prstGeom prst="straightConnector1">
                            <a:avLst/>
                          </a:prstGeom>
                          <a:ln w="15875" cap="flat" cmpd="sng">
                            <a:solidFill>
                              <a:srgbClr val="000000"/>
                            </a:solidFill>
                            <a:prstDash val="solid"/>
                            <a:headEnd type="none" w="med" len="med"/>
                            <a:tailEnd type="triangle" w="med" len="med"/>
                          </a:ln>
                        </wps:spPr>
                        <wps:bodyPr/>
                      </wps:wsp>
                      <wps:wsp>
                        <wps:cNvPr id="140" name="直接箭头连接符 140"/>
                        <wps:cNvCnPr/>
                        <wps:spPr>
                          <a:xfrm>
                            <a:off x="15105" y="826631"/>
                            <a:ext cx="0" cy="1296"/>
                          </a:xfrm>
                          <a:prstGeom prst="straightConnector1">
                            <a:avLst/>
                          </a:prstGeom>
                          <a:ln w="15875" cap="flat" cmpd="sng">
                            <a:solidFill>
                              <a:srgbClr val="000000"/>
                            </a:solidFill>
                            <a:prstDash val="solid"/>
                            <a:headEnd type="none" w="med" len="med"/>
                            <a:tailEnd type="triangle" w="med" len="med"/>
                          </a:ln>
                        </wps:spPr>
                        <wps:bodyPr/>
                      </wps:wsp>
                      <wps:wsp>
                        <wps:cNvPr id="135" name="矩形 135"/>
                        <wps:cNvSpPr/>
                        <wps:spPr>
                          <a:xfrm>
                            <a:off x="9621"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sz w:val="15"/>
                                  <w:szCs w:val="13"/>
                                </w:rPr>
                              </w:pPr>
                              <w:r>
                                <w:rPr>
                                  <w:rFonts w:ascii="宋体" w:hAnsi="宋体"/>
                                  <w:b/>
                                  <w:bCs/>
                                </w:rPr>
                                <w:t>应急抢险组</w:t>
                              </w:r>
                            </w:p>
                          </w:txbxContent>
                        </wps:txbx>
                        <wps:bodyPr upright="1"/>
                      </wps:wsp>
                      <wps:wsp>
                        <wps:cNvPr id="134" name="矩形 134"/>
                        <wps:cNvSpPr/>
                        <wps:spPr>
                          <a:xfrm>
                            <a:off x="10797"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rPr>
                              </w:pPr>
                              <w:r>
                                <w:rPr>
                                  <w:rFonts w:ascii="宋体" w:hAnsi="宋体"/>
                                  <w:b/>
                                  <w:bCs/>
                                </w:rPr>
                                <w:t>警戒疏散组</w:t>
                              </w:r>
                            </w:p>
                          </w:txbxContent>
                        </wps:txbx>
                        <wps:bodyPr upright="1"/>
                      </wps:wsp>
                      <wps:wsp>
                        <wps:cNvPr id="133" name="矩形 133"/>
                        <wps:cNvSpPr/>
                        <wps:spPr>
                          <a:xfrm>
                            <a:off x="12069"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rPr>
                              </w:pPr>
                              <w:r>
                                <w:rPr>
                                  <w:rFonts w:ascii="宋体" w:hAnsi="宋体"/>
                                  <w:b/>
                                  <w:bCs/>
                                </w:rPr>
                                <w:t>医疗救护组</w:t>
                              </w:r>
                            </w:p>
                          </w:txbxContent>
                        </wps:txbx>
                        <wps:bodyPr upright="1"/>
                      </wps:wsp>
                      <wps:wsp>
                        <wps:cNvPr id="150" name="矩形 150"/>
                        <wps:cNvSpPr/>
                        <wps:spPr>
                          <a:xfrm>
                            <a:off x="13437"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rPr>
                              </w:pPr>
                              <w:r>
                                <w:rPr>
                                  <w:rFonts w:ascii="宋体" w:hAnsi="宋体"/>
                                  <w:b/>
                                  <w:bCs/>
                                </w:rPr>
                                <w:t>污染控制组</w:t>
                              </w:r>
                            </w:p>
                          </w:txbxContent>
                        </wps:txbx>
                        <wps:bodyPr upright="1"/>
                      </wps:wsp>
                      <wps:wsp>
                        <wps:cNvPr id="132" name="矩形 132"/>
                        <wps:cNvSpPr/>
                        <wps:spPr>
                          <a:xfrm>
                            <a:off x="14841"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rPr>
                              </w:pPr>
                              <w:r>
                                <w:rPr>
                                  <w:rFonts w:ascii="宋体" w:hAnsi="宋体"/>
                                  <w:b/>
                                  <w:bCs/>
                                </w:rPr>
                                <w:t>后勤保障组</w:t>
                              </w:r>
                            </w:p>
                          </w:txbxContent>
                        </wps:txbx>
                        <wps:bodyPr upright="1"/>
                      </wps:wsp>
                      <wps:wsp>
                        <wps:cNvPr id="137" name="直接箭头连接符 137"/>
                        <wps:cNvCnPr/>
                        <wps:spPr>
                          <a:xfrm>
                            <a:off x="13587" y="826047"/>
                            <a:ext cx="0" cy="538"/>
                          </a:xfrm>
                          <a:prstGeom prst="straightConnector1">
                            <a:avLst/>
                          </a:prstGeom>
                          <a:ln w="15875" cap="flat" cmpd="sng">
                            <a:solidFill>
                              <a:srgbClr val="000000"/>
                            </a:solidFill>
                            <a:prstDash val="solid"/>
                            <a:headEnd type="none" w="med" len="med"/>
                            <a:tailEnd type="triangle" w="med" len="med"/>
                          </a:ln>
                        </wps:spPr>
                        <wps:bodyPr/>
                      </wps:wsp>
                      <wps:wsp>
                        <wps:cNvPr id="147" name="直接箭头连接符 147"/>
                        <wps:cNvCnPr/>
                        <wps:spPr>
                          <a:xfrm>
                            <a:off x="16281" y="826631"/>
                            <a:ext cx="0" cy="1296"/>
                          </a:xfrm>
                          <a:prstGeom prst="straightConnector1">
                            <a:avLst/>
                          </a:prstGeom>
                          <a:ln w="15875" cap="flat" cmpd="sng">
                            <a:solidFill>
                              <a:srgbClr val="000000"/>
                            </a:solidFill>
                            <a:prstDash val="solid"/>
                            <a:headEnd type="none" w="med" len="med"/>
                            <a:tailEnd type="triangle" w="med" len="med"/>
                          </a:ln>
                        </wps:spPr>
                        <wps:bodyPr/>
                      </wps:wsp>
                      <wps:wsp>
                        <wps:cNvPr id="136" name="直接箭头连接符 136"/>
                        <wps:cNvCnPr/>
                        <wps:spPr>
                          <a:xfrm>
                            <a:off x="17385" y="826631"/>
                            <a:ext cx="0" cy="1296"/>
                          </a:xfrm>
                          <a:prstGeom prst="straightConnector1">
                            <a:avLst/>
                          </a:prstGeom>
                          <a:ln w="15875" cap="flat" cmpd="sng">
                            <a:solidFill>
                              <a:srgbClr val="000000"/>
                            </a:solidFill>
                            <a:prstDash val="solid"/>
                            <a:headEnd type="none" w="med" len="med"/>
                            <a:tailEnd type="triangle" w="med" len="med"/>
                          </a:ln>
                        </wps:spPr>
                        <wps:bodyPr/>
                      </wps:wsp>
                      <wps:wsp>
                        <wps:cNvPr id="143" name="矩形 143"/>
                        <wps:cNvSpPr/>
                        <wps:spPr>
                          <a:xfrm>
                            <a:off x="17145"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hint="eastAsia" w:ascii="宋体" w:hAnsi="宋体"/>
                                  <w:b/>
                                  <w:bCs/>
                                </w:rPr>
                              </w:pPr>
                              <w:r>
                                <w:rPr>
                                  <w:rFonts w:ascii="宋体" w:hAnsi="宋体"/>
                                  <w:b/>
                                  <w:bCs/>
                                </w:rPr>
                                <w:t>善后处理组</w:t>
                              </w:r>
                            </w:p>
                          </w:txbxContent>
                        </wps:txbx>
                        <wps:bodyPr upright="1"/>
                      </wps:wsp>
                      <wps:wsp>
                        <wps:cNvPr id="146" name="矩形 146"/>
                        <wps:cNvSpPr/>
                        <wps:spPr>
                          <a:xfrm>
                            <a:off x="16041" y="827689"/>
                            <a:ext cx="624" cy="2508"/>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rPr>
                                  <w:rFonts w:ascii="宋体" w:hAnsi="宋体"/>
                                  <w:b/>
                                  <w:bCs/>
                                </w:rPr>
                              </w:pPr>
                              <w:r>
                                <w:rPr>
                                  <w:rFonts w:ascii="宋体" w:hAnsi="宋体"/>
                                  <w:b/>
                                  <w:bCs/>
                                </w:rPr>
                                <w:t>通讯联络组</w:t>
                              </w:r>
                            </w:p>
                          </w:txbxContent>
                        </wps:txbx>
                        <wps:bodyPr upright="1"/>
                      </wps:wsp>
                    </wpg:wgp>
                  </a:graphicData>
                </a:graphic>
              </wp:inline>
            </w:drawing>
          </mc:Choice>
          <mc:Fallback>
            <w:pict>
              <v:group id="_x0000_s1026" o:spid="_x0000_s1026" o:spt="203" style="height:294.55pt;width:407.4pt;" coordorigin="9621,824306" coordsize="8148,5891" o:gfxdata="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">
                <o:lock v:ext="edit" aspectratio="f"/>
                <v:rect id="_x0000_s1026" o:spid="_x0000_s1026" o:spt="1" style="position:absolute;left:12477;top:824306;height:648;width:2184;" fillcolor="#FFFFFF" filled="t" stroked="t" coordsize="21600,21600" o:gfxdata="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oi8+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jc w:val="center"/>
                          <w:rPr>
                            <w:rFonts w:ascii="宋体" w:hAnsi="宋体"/>
                          </w:rPr>
                        </w:pPr>
                        <w:r>
                          <w:rPr>
                            <w:rFonts w:ascii="宋体" w:hAnsi="宋体"/>
                          </w:rPr>
                          <w:t>总指挥</w:t>
                        </w:r>
                      </w:p>
                    </w:txbxContent>
                  </v:textbox>
                </v:rect>
                <v:shape id="_x0000_s1026" o:spid="_x0000_s1026" o:spt="32" type="#_x0000_t32" style="position:absolute;left:13562;top:824960;height:350;width:0;" filled="f" stroked="t" coordsize="21600,21600" o:gfxdata="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G1o2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rect id="_x0000_s1026" o:spid="_x0000_s1026" o:spt="1" style="position:absolute;left:12609;top:825335;height:684;width:1872;" fillcolor="#FFFFFF" filled="t" stroked="t" coordsize="21600,21600" o:gfxdata="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o4Cg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jc w:val="center"/>
                          <w:rPr>
                            <w:rFonts w:ascii="宋体" w:hAnsi="宋体"/>
                          </w:rPr>
                        </w:pPr>
                        <w:r>
                          <w:rPr>
                            <w:rFonts w:ascii="宋体" w:hAnsi="宋体"/>
                          </w:rPr>
                          <w:t>副总指挥</w:t>
                        </w:r>
                      </w:p>
                    </w:txbxContent>
                  </v:textbox>
                </v:rect>
                <v:shape id="_x0000_s1026" o:spid="_x0000_s1026" o:spt="32" type="#_x0000_t32" style="position:absolute;left:9981;top:826630;flip:x;height:1;width:7404;" filled="f" stroked="t" coordsize="21600,21600" o:gfxdata="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Ty0a&#10;wAAAANwAAAAPAAAAAAAAAAEAIAAAACIAAABkcnMvZG93bnJldi54bWxQSwECFAAUAAAACACHTuJA&#10;My8FnjsAAAA5AAAAEAAAAAAAAAABACAAAAAPAQAAZHJzL3NoYXBleG1sLnhtbFBLBQYAAAAABgAG&#10;AFsBAAC5AwAAAAA=&#10;">
                  <v:fill on="f" focussize="0,0"/>
                  <v:stroke weight="1.25pt" color="#000000" joinstyle="round"/>
                  <v:imagedata o:title=""/>
                  <o:lock v:ext="edit" aspectratio="f"/>
                </v:shape>
                <v:shape id="_x0000_s1026" o:spid="_x0000_s1026" o:spt="32" type="#_x0000_t32" style="position:absolute;left:12357;top:826631;height:1296;width:0;" filled="f" stroked="t" coordsize="21600,21600" o:gfxdata="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2qfa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32" type="#_x0000_t32" style="position:absolute;left:13701;top:826630;height:1296;width:0;" filled="f" stroked="t" coordsize="21600,21600" o:gfxdata="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kN4G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32" type="#_x0000_t32" style="position:absolute;left:11121;top:826630;height:1296;width:0;" filled="f" stroked="t" coordsize="21600,21600" o:gfxdata="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Nr/W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32" type="#_x0000_t32" style="position:absolute;left:9981;top:826630;height:1296;width:0;" filled="f" stroked="t" coordsize="21600,21600" o:gfxdata="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eMAGu/&#10;AAAA3A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shape id="_x0000_s1026" o:spid="_x0000_s1026" o:spt="32" type="#_x0000_t32" style="position:absolute;left:15105;top:826631;height:1296;width:0;" filled="f" stroked="t" coordsize="21600,21600" o:gfxdata="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6DG2/&#10;AAAA3A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rect id="_x0000_s1026" o:spid="_x0000_s1026" o:spt="1" style="position:absolute;left:9621;top:827689;height:2508;width:624;" fillcolor="#FFFFFF" filled="t" stroked="t" coordsize="21600,21600" o:gfxdata="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6PnY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sz w:val="15"/>
                            <w:szCs w:val="13"/>
                          </w:rPr>
                        </w:pPr>
                        <w:r>
                          <w:rPr>
                            <w:rFonts w:ascii="宋体" w:hAnsi="宋体"/>
                            <w:b/>
                            <w:bCs/>
                          </w:rPr>
                          <w:t>应急抢险组</w:t>
                        </w:r>
                      </w:p>
                    </w:txbxContent>
                  </v:textbox>
                </v:rect>
                <v:rect id="_x0000_s1026" o:spid="_x0000_s1026" o:spt="1" style="position:absolute;left:10797;top:827689;height:2508;width:624;" fillcolor="#FFFFFF" filled="t" stroked="t" coordsize="21600,21600" o:gfxdata="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FxD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rPr>
                        </w:pPr>
                        <w:r>
                          <w:rPr>
                            <w:rFonts w:ascii="宋体" w:hAnsi="宋体"/>
                            <w:b/>
                            <w:bCs/>
                          </w:rPr>
                          <w:t>警戒疏散组</w:t>
                        </w:r>
                      </w:p>
                    </w:txbxContent>
                  </v:textbox>
                </v:rect>
                <v:rect id="_x0000_s1026" o:spid="_x0000_s1026" o:spt="1" style="position:absolute;left:12069;top:827689;height:2508;width:624;" fillcolor="#FFFFFF" filled="t" stroked="t" coordsize="21600,21600" o:gfxdata="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TcQ3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rPr>
                        </w:pPr>
                        <w:r>
                          <w:rPr>
                            <w:rFonts w:ascii="宋体" w:hAnsi="宋体"/>
                            <w:b/>
                            <w:bCs/>
                          </w:rPr>
                          <w:t>医疗救护组</w:t>
                        </w:r>
                      </w:p>
                    </w:txbxContent>
                  </v:textbox>
                </v:rect>
                <v:rect id="_x0000_s1026" o:spid="_x0000_s1026" o:spt="1" style="position:absolute;left:13437;top:827689;height:2508;width:624;" fillcolor="#FFFFFF" filled="t" stroked="t" coordsize="21600,21600" o:gfxdata="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Av+C/&#10;AAAA3AAAAA8AAAAAAAAAAQAgAAAAIgAAAGRycy9kb3ducmV2LnhtbFBLAQIUABQAAAAIAIdO4kAz&#10;LwWeOwAAADkAAAAQAAAAAAAAAAEAIAAAAA4BAABkcnMvc2hhcGV4bWwueG1sUEsFBgAAAAAGAAYA&#10;WwEAALgDA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rPr>
                        </w:pPr>
                        <w:r>
                          <w:rPr>
                            <w:rFonts w:ascii="宋体" w:hAnsi="宋体"/>
                            <w:b/>
                            <w:bCs/>
                          </w:rPr>
                          <w:t>污染控制组</w:t>
                        </w:r>
                      </w:p>
                    </w:txbxContent>
                  </v:textbox>
                </v:rect>
                <v:rect id="_x0000_s1026" o:spid="_x0000_s1026" o:spt="1" style="position:absolute;left:14841;top:827689;height:2508;width:624;" fillcolor="#FFFFFF" filled="t" stroked="t" coordsize="21600,21600" o:gfxdata="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BYay8AAAA&#10;3AAAAA8AAAAAAAAAAQAgAAAAIgAAAGRycy9kb3ducmV2LnhtbFBLAQIUABQAAAAIAIdO4kAzLwWe&#10;OwAAADkAAAAQAAAAAAAAAAEAIAAAAAsBAABkcnMvc2hhcGV4bWwueG1sUEsFBgAAAAAGAAYAWwEA&#10;ALUDA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rPr>
                        </w:pPr>
                        <w:r>
                          <w:rPr>
                            <w:rFonts w:ascii="宋体" w:hAnsi="宋体"/>
                            <w:b/>
                            <w:bCs/>
                          </w:rPr>
                          <w:t>后勤保障组</w:t>
                        </w:r>
                      </w:p>
                    </w:txbxContent>
                  </v:textbox>
                </v:rect>
                <v:shape id="_x0000_s1026" o:spid="_x0000_s1026" o:spt="32" type="#_x0000_t32" style="position:absolute;left:13587;top:826047;height:538;width:0;" filled="f" stroked="t" coordsize="21600,21600" o:gfxdata="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4V52S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32" type="#_x0000_t32" style="position:absolute;left:16281;top:826631;height:1296;width:0;" filled="f" stroked="t" coordsize="21600,21600" o:gfxdata="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TlBm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32" type="#_x0000_t32" style="position:absolute;left:17385;top:826631;height:1296;width:0;" filled="f" stroked="t" coordsize="21600,21600" o:gfxdata="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ZQv+8AAAA&#10;3A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rect id="_x0000_s1026" o:spid="_x0000_s1026" o:spt="1" style="position:absolute;left:17145;top:827689;height:2508;width:624;" fillcolor="#FFFFFF" filled="t" stroked="t" coordsize="21600,21600" o:gfxdata="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S7dK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hint="eastAsia" w:ascii="宋体" w:hAnsi="宋体"/>
                            <w:b/>
                            <w:bCs/>
                          </w:rPr>
                        </w:pPr>
                        <w:r>
                          <w:rPr>
                            <w:rFonts w:ascii="宋体" w:hAnsi="宋体"/>
                            <w:b/>
                            <w:bCs/>
                          </w:rPr>
                          <w:t>善后处理组</w:t>
                        </w:r>
                      </w:p>
                    </w:txbxContent>
                  </v:textbox>
                </v:rect>
                <v:rect id="_x0000_s1026" o:spid="_x0000_s1026" o:spt="1" style="position:absolute;left:16041;top:827689;height:2508;width:624;" fillcolor="#FFFFFF" filled="t" stroked="t" coordsize="21600,21600" o:gfxdata="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zwU0rsAAADc&#10;AAAADwAAAAAAAAABACAAAAAiAAAAZHJzL2Rvd25yZXYueG1sUEsBAhQAFAAAAAgAh07iQDMvBZ47&#10;AAAAOQAAABAAAAAAAAAAAQAgAAAACgEAAGRycy9zaGFwZXhtbC54bWxQSwUGAAAAAAYABgBbAQAA&#10;tAM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rPr>
                            <w:rFonts w:ascii="宋体" w:hAnsi="宋体"/>
                            <w:b/>
                            <w:bCs/>
                          </w:rPr>
                        </w:pPr>
                        <w:r>
                          <w:rPr>
                            <w:rFonts w:ascii="宋体" w:hAnsi="宋体"/>
                            <w:b/>
                            <w:bCs/>
                          </w:rPr>
                          <w:t>通讯联络组</w:t>
                        </w:r>
                      </w:p>
                    </w:txbxContent>
                  </v:textbox>
                </v:rect>
                <w10:wrap type="none"/>
                <w10:anchorlock/>
              </v:group>
            </w:pict>
          </mc:Fallback>
        </mc:AlternateContent>
      </w:r>
    </w:p>
    <w:p>
      <w:pPr>
        <w:wordWrap w:val="0"/>
        <w:adjustRightInd w:val="0"/>
        <w:snapToGrid w:val="0"/>
        <w:jc w:val="center"/>
        <w:textAlignment w:val="center"/>
        <w:rPr>
          <w:color w:val="auto"/>
          <w:kern w:val="0"/>
          <w:szCs w:val="28"/>
        </w:rPr>
      </w:pPr>
      <w:r>
        <w:rPr>
          <w:rFonts w:hint="eastAsia" w:cs="宋体"/>
          <w:color w:val="auto"/>
          <w:kern w:val="0"/>
          <w:szCs w:val="28"/>
        </w:rPr>
        <w:t>图6.2</w:t>
      </w:r>
      <w:r>
        <w:rPr>
          <w:color w:val="auto"/>
          <w:kern w:val="0"/>
          <w:szCs w:val="28"/>
        </w:rPr>
        <w:t xml:space="preserve">-1  </w:t>
      </w:r>
      <w:r>
        <w:rPr>
          <w:rFonts w:hint="eastAsia" w:cs="宋体"/>
          <w:color w:val="auto"/>
          <w:kern w:val="0"/>
          <w:szCs w:val="28"/>
        </w:rPr>
        <w:t>应急救援组织机构及应急职责架构图</w:t>
      </w:r>
    </w:p>
    <w:p>
      <w:pPr>
        <w:wordWrap w:val="0"/>
        <w:adjustRightInd w:val="0"/>
        <w:snapToGrid w:val="0"/>
        <w:ind w:firstLine="560" w:firstLineChars="200"/>
        <w:textAlignment w:val="center"/>
        <w:rPr>
          <w:rFonts w:cs="宋体"/>
          <w:color w:val="auto"/>
          <w:kern w:val="0"/>
          <w:szCs w:val="28"/>
        </w:rPr>
      </w:pPr>
      <w:bookmarkStart w:id="257" w:name="_Toc75637693"/>
      <w:bookmarkStart w:id="258" w:name="_Toc28112"/>
      <w:r>
        <w:rPr>
          <w:rFonts w:hint="eastAsia" w:cs="宋体"/>
          <w:color w:val="auto"/>
          <w:kern w:val="0"/>
          <w:szCs w:val="28"/>
        </w:rPr>
        <w:t>3、职责：</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1）总指挥</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（1）负责启动和终止本企业应急救援预案；</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（2）负责组织指挥本企业应急小组现场救援工作；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（3）负责本企业应急救援行动中物资及人员调配；</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（4）负责第一时间或指定它人如实向上级主管部门报告事故情况；</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（5）当上级主管部门到达事故现场后，负责汇报事故及企业自救等情况，移交指挥权并协助指挥；</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（6）负责组织事故善后处理工作。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2）副总指挥</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（1）协助总指挥；</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（2）总指挥不在公司时，自动承担总指挥职责。</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3）应急救援指挥部成员</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积极参加应急预案的学习和演练，接受指挥部的指令和调动，积极参加事故现场的抢险救灾，抢救伤员。做好安全保护用具、消防设备的保养工作，负责维护现场，认真收集相关数据。</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4）各组职责</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（一）应急抢险组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（1）负责现场应急救援抢险工作；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（2）负责现场消防灭火、冷却等工作；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（3）负责采取技术措施处置事故；</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（4）负责现场被困人员、受伤人员抢救工作。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（二）警戒疏散组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（1）负责对事故区域进行封锁设置警戒区域，严禁无关人员进入事故现场；</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（2）负责组织人员疏散至安全地带、核点人数，如对周边单位有影响,应及时通知周边单位人员进行疏散；</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（3）负责内外部通讯联络；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（4）负责消防通道畅通，引导救援人员、消防、救护等进入事故现场；</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（5）完成总指挥交给的临时任务。</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（三）医疗救护组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（1）事故发生后负责对受伤人员尽可能进行有效救治，对重伤者及时送医院抢救和治疗；</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（2）负责与有关的医疗单位、医院进行联系；</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（3）完成总指挥交给的临时任务。</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（四）污染控制组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（1）配合事故区域大气环境监测、提供警戒范围依据；</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（2）负责将泄漏或处置产生的污水引流至废水处理系统或事故池；</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（3）负责与外部环境监测机构联系协助对公司周边和事故区域大气环境质量进行监测；</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（4）负责关闭雨排阀门，防止事故水进入外环境。</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（五）后勤保障组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（1）按总指挥指示，开设现场指挥部；</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（2）在事故发生时，提供工具、防护用品等应急器材协助救援，提供突发情况下救援人员的生活保障；</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（3）根据事故程度及影响范围，及时向周边单位联系，及时调用救援设备、器材等；</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（4）完成总指挥交给的临时任务。</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（六）通讯联络组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携带通讯设备，确保各专业队与指挥部和领导小组之间通讯的畅通，协调各专业队应急救援行动。</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（七）善后处理组</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负责伤亡人员善后处理工作，包括伤员的后续治疗、索赔等。遇难人员亲属的安置、补偿，救援费用的支付；灾后重建，污染物收集、清理与处理等事项。</w:t>
      </w:r>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4、应急资源</w:t>
      </w:r>
      <w:bookmarkEnd w:id="257"/>
      <w:bookmarkEnd w:id="258"/>
    </w:p>
    <w:p>
      <w:pPr>
        <w:wordWrap w:val="0"/>
        <w:adjustRightInd w:val="0"/>
        <w:snapToGrid w:val="0"/>
        <w:ind w:firstLine="560" w:firstLineChars="200"/>
        <w:textAlignment w:val="center"/>
        <w:rPr>
          <w:rFonts w:cs="宋体"/>
          <w:color w:val="auto"/>
          <w:kern w:val="0"/>
          <w:szCs w:val="28"/>
        </w:rPr>
      </w:pPr>
      <w:r>
        <w:rPr>
          <w:rFonts w:hint="eastAsia" w:cs="宋体"/>
          <w:color w:val="auto"/>
          <w:kern w:val="0"/>
          <w:szCs w:val="28"/>
        </w:rPr>
        <w:t>本项目配备了必要的应急救援器材与设备，主要分为两类：个人救生器材、公用救灾器材与设备。个人救生器材主要包括消防服、防毒面具、空气呼吸器等。公用救灾器材与设备主要包括灭火器、急救药品等。个人救生器材通常由个人保管，取用方便。公用器材存放在消防站和应急箱内，指定专人保管，定期进行维护，做到定人、定点、定位，使救援器材始终保持良好的状态，确保取得出、连得通、用得上。同时，救援器材要按照灾害的等级进行相应的储备，满足不同灾害应急救援的需要，以提高抢险救灾的速度与效率。</w:t>
      </w:r>
    </w:p>
    <w:p>
      <w:pPr>
        <w:wordWrap w:val="0"/>
        <w:adjustRightInd w:val="0"/>
        <w:snapToGrid w:val="0"/>
        <w:jc w:val="center"/>
        <w:textAlignment w:val="center"/>
        <w:rPr>
          <w:color w:val="auto"/>
          <w:kern w:val="0"/>
          <w:szCs w:val="28"/>
        </w:rPr>
      </w:pPr>
      <w:r>
        <w:rPr>
          <w:rFonts w:hint="eastAsia"/>
          <w:color w:val="auto"/>
          <w:kern w:val="0"/>
        </w:rPr>
        <w:t xml:space="preserve">表6.2-2  </w:t>
      </w:r>
      <w:r>
        <w:rPr>
          <w:rFonts w:hint="eastAsia" w:cs="宋体"/>
          <w:color w:val="auto"/>
          <w:kern w:val="0"/>
          <w:szCs w:val="28"/>
        </w:rPr>
        <w:t>公司周边应急人力资源调查表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6"/>
        <w:gridCol w:w="2085"/>
        <w:gridCol w:w="4265"/>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1" w:type="dxa"/>
            <w:gridSpan w:val="2"/>
            <w:vAlign w:val="center"/>
          </w:tcPr>
          <w:p>
            <w:pPr>
              <w:wordWrap w:val="0"/>
              <w:adjustRightInd w:val="0"/>
              <w:snapToGrid w:val="0"/>
              <w:spacing w:line="240" w:lineRule="auto"/>
              <w:jc w:val="center"/>
              <w:textAlignment w:val="center"/>
              <w:rPr>
                <w:b/>
                <w:bCs/>
                <w:color w:val="auto"/>
                <w:kern w:val="0"/>
                <w:sz w:val="21"/>
                <w:szCs w:val="21"/>
              </w:rPr>
            </w:pPr>
            <w:r>
              <w:rPr>
                <w:rFonts w:hint="eastAsia" w:cs="宋体"/>
                <w:b/>
                <w:bCs/>
                <w:color w:val="auto"/>
                <w:kern w:val="0"/>
                <w:sz w:val="21"/>
                <w:szCs w:val="21"/>
              </w:rPr>
              <w:t>类别</w:t>
            </w:r>
          </w:p>
        </w:tc>
        <w:tc>
          <w:tcPr>
            <w:tcW w:w="4265" w:type="dxa"/>
            <w:vAlign w:val="center"/>
          </w:tcPr>
          <w:p>
            <w:pPr>
              <w:wordWrap w:val="0"/>
              <w:adjustRightInd w:val="0"/>
              <w:snapToGrid w:val="0"/>
              <w:spacing w:line="240" w:lineRule="auto"/>
              <w:jc w:val="center"/>
              <w:textAlignment w:val="center"/>
              <w:rPr>
                <w:b/>
                <w:bCs/>
                <w:color w:val="auto"/>
                <w:kern w:val="0"/>
                <w:sz w:val="21"/>
                <w:szCs w:val="21"/>
              </w:rPr>
            </w:pPr>
            <w:r>
              <w:rPr>
                <w:rFonts w:hint="eastAsia" w:cs="宋体"/>
                <w:b/>
                <w:bCs/>
                <w:color w:val="auto"/>
                <w:kern w:val="0"/>
                <w:sz w:val="21"/>
                <w:szCs w:val="21"/>
              </w:rPr>
              <w:t>队伍名称</w:t>
            </w:r>
          </w:p>
        </w:tc>
        <w:tc>
          <w:tcPr>
            <w:tcW w:w="1165" w:type="dxa"/>
            <w:vAlign w:val="center"/>
          </w:tcPr>
          <w:p>
            <w:pPr>
              <w:wordWrap w:val="0"/>
              <w:adjustRightInd w:val="0"/>
              <w:snapToGrid w:val="0"/>
              <w:spacing w:line="240" w:lineRule="auto"/>
              <w:jc w:val="center"/>
              <w:textAlignment w:val="center"/>
              <w:rPr>
                <w:b/>
                <w:bCs/>
                <w:color w:val="auto"/>
                <w:kern w:val="0"/>
                <w:sz w:val="21"/>
                <w:szCs w:val="21"/>
              </w:rPr>
            </w:pPr>
            <w:r>
              <w:rPr>
                <w:rFonts w:hint="eastAsia" w:cs="宋体"/>
                <w:b/>
                <w:bCs/>
                <w:color w:val="auto"/>
                <w:kern w:val="0"/>
                <w:sz w:val="21"/>
                <w:szCs w:val="21"/>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restart"/>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应急救援队伍</w:t>
            </w:r>
          </w:p>
        </w:tc>
        <w:tc>
          <w:tcPr>
            <w:tcW w:w="208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内部救援队伍</w:t>
            </w:r>
          </w:p>
        </w:tc>
        <w:tc>
          <w:tcPr>
            <w:tcW w:w="42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江西景新漆业股份有限公司应急救援队伍</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2085" w:type="dxa"/>
            <w:vMerge w:val="restart"/>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周边企业救援队伍</w:t>
            </w:r>
          </w:p>
        </w:tc>
        <w:tc>
          <w:tcPr>
            <w:tcW w:w="426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丰城市水泥制品厂民建</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2085"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426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泰山石膏江西有限公司民建</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2085"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4265" w:type="dxa"/>
            <w:vAlign w:val="center"/>
          </w:tcPr>
          <w:p>
            <w:pPr>
              <w:tabs>
                <w:tab w:val="left" w:pos="2655"/>
              </w:tabs>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江西酷客新型建材有限公司厂房（丁类）</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208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政府救援力量</w:t>
            </w:r>
          </w:p>
        </w:tc>
        <w:tc>
          <w:tcPr>
            <w:tcW w:w="42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丰城市消防大队</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6" w:type="dxa"/>
            <w:vMerge w:val="continue"/>
            <w:vAlign w:val="center"/>
          </w:tcPr>
          <w:p>
            <w:pPr>
              <w:wordWrap w:val="0"/>
              <w:adjustRightInd w:val="0"/>
              <w:snapToGrid w:val="0"/>
              <w:spacing w:line="240" w:lineRule="auto"/>
              <w:jc w:val="center"/>
              <w:textAlignment w:val="center"/>
              <w:rPr>
                <w:color w:val="auto"/>
                <w:kern w:val="0"/>
                <w:sz w:val="21"/>
                <w:szCs w:val="21"/>
              </w:rPr>
            </w:pPr>
          </w:p>
        </w:tc>
        <w:tc>
          <w:tcPr>
            <w:tcW w:w="208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志愿者队伍</w:t>
            </w:r>
          </w:p>
        </w:tc>
        <w:tc>
          <w:tcPr>
            <w:tcW w:w="42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公司志愿者</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1" w:type="dxa"/>
            <w:gridSpan w:val="2"/>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应急管理人员</w:t>
            </w:r>
          </w:p>
        </w:tc>
        <w:tc>
          <w:tcPr>
            <w:tcW w:w="42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江西景新漆业股份有限公司应急管理人员</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1" w:type="dxa"/>
            <w:gridSpan w:val="2"/>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应急专家</w:t>
            </w:r>
          </w:p>
        </w:tc>
        <w:tc>
          <w:tcPr>
            <w:tcW w:w="42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丰城市应急管理局专家库</w:t>
            </w:r>
          </w:p>
        </w:tc>
        <w:tc>
          <w:tcPr>
            <w:tcW w:w="1165" w:type="dxa"/>
            <w:vAlign w:val="center"/>
          </w:tcPr>
          <w:p>
            <w:pPr>
              <w:wordWrap w:val="0"/>
              <w:adjustRightInd w:val="0"/>
              <w:snapToGrid w:val="0"/>
              <w:spacing w:line="240" w:lineRule="auto"/>
              <w:jc w:val="center"/>
              <w:textAlignment w:val="center"/>
              <w:rPr>
                <w:color w:val="auto"/>
                <w:kern w:val="0"/>
                <w:sz w:val="21"/>
                <w:szCs w:val="21"/>
              </w:rPr>
            </w:pPr>
            <w:r>
              <w:rPr>
                <w:rFonts w:hint="eastAsia" w:cs="宋体"/>
                <w:color w:val="auto"/>
                <w:kern w:val="0"/>
                <w:sz w:val="21"/>
                <w:szCs w:val="21"/>
              </w:rPr>
              <w:t>若干</w:t>
            </w:r>
          </w:p>
        </w:tc>
      </w:tr>
    </w:tbl>
    <w:p>
      <w:pPr>
        <w:wordWrap w:val="0"/>
        <w:adjustRightInd w:val="0"/>
        <w:snapToGrid w:val="0"/>
        <w:jc w:val="center"/>
        <w:textAlignment w:val="center"/>
        <w:rPr>
          <w:color w:val="auto"/>
          <w:kern w:val="0"/>
          <w:szCs w:val="28"/>
        </w:rPr>
      </w:pPr>
      <w:r>
        <w:rPr>
          <w:rFonts w:hint="eastAsia"/>
          <w:color w:val="auto"/>
          <w:kern w:val="0"/>
        </w:rPr>
        <w:t xml:space="preserve">表6.2-3  </w:t>
      </w:r>
      <w:r>
        <w:rPr>
          <w:rFonts w:hint="eastAsia" w:cs="宋体"/>
          <w:color w:val="auto"/>
          <w:kern w:val="0"/>
          <w:szCs w:val="28"/>
        </w:rPr>
        <w:t>本项目作业场所救援物资配备清单</w:t>
      </w:r>
    </w:p>
    <w:tbl>
      <w:tblPr>
        <w:tblStyle w:val="24"/>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2"/>
        <w:gridCol w:w="1831"/>
        <w:gridCol w:w="2907"/>
        <w:gridCol w:w="1318"/>
        <w:gridCol w:w="2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1831"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名称</w:t>
            </w:r>
          </w:p>
        </w:tc>
        <w:tc>
          <w:tcPr>
            <w:tcW w:w="2907"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主要用途</w:t>
            </w:r>
          </w:p>
        </w:tc>
        <w:tc>
          <w:tcPr>
            <w:tcW w:w="1318" w:type="dxa"/>
            <w:tcBorders>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配备</w:t>
            </w:r>
            <w:r>
              <w:rPr>
                <w:rFonts w:hint="eastAsia" w:cs="Times New Roman"/>
                <w:b/>
                <w:bCs/>
                <w:color w:val="auto"/>
                <w:kern w:val="0"/>
                <w:sz w:val="21"/>
                <w:szCs w:val="21"/>
              </w:rPr>
              <w:t>数量</w:t>
            </w:r>
          </w:p>
        </w:tc>
        <w:tc>
          <w:tcPr>
            <w:tcW w:w="2253" w:type="dxa"/>
            <w:tcBorders>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消防头盔</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头部、面部及颈部的安全防护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1顶/人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10个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二级化学防护服装</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化学灾害现场作业时的躯体防护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1套/10人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配备</w:t>
            </w:r>
            <w:r>
              <w:rPr>
                <w:rFonts w:hint="eastAsia" w:cs="Times New Roman"/>
                <w:color w:val="auto"/>
                <w:kern w:val="0"/>
                <w:sz w:val="21"/>
                <w:szCs w:val="21"/>
              </w:rPr>
              <w:t>2</w:t>
            </w:r>
            <w:r>
              <w:rPr>
                <w:rFonts w:cs="Times New Roman"/>
                <w:color w:val="auto"/>
                <w:kern w:val="0"/>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灭火防护服</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灭火救援作业时的身体防护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选配消防指挥服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防静电内衣</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可燃气体等易燃易爆场所作业时的躯体内层防护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易燃易爆场所配备防静电靴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防化手套</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手部及腕部防护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2副/人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20</w:t>
            </w:r>
            <w:r>
              <w:rPr>
                <w:rFonts w:cs="Times New Roman"/>
                <w:color w:val="auto"/>
                <w:kern w:val="0"/>
                <w:sz w:val="21"/>
                <w:szCs w:val="21"/>
              </w:rPr>
              <w:t>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防化靴</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事故现场作业时的脚部和小腿部防护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1双/人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易燃易爆场所配备防静电靴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7</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安全腰带</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登梯作业和逃生自救</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1根/人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8</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正压式空气呼吸器</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缺氧或有毒现场作业时的呼吸防护</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1具/人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9</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佩戴式照明灯</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单人作业照明</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1个/人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轻型安全绳</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救援人员的救生、自救和逃生</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1根/人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11</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消防腰斧</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破拆和自救</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1把/人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62" w:type="dxa"/>
            <w:tcBorders>
              <w:top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12</w:t>
            </w:r>
          </w:p>
        </w:tc>
        <w:tc>
          <w:tcPr>
            <w:tcW w:w="1831"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便携式有毒气体检测仪</w:t>
            </w:r>
          </w:p>
        </w:tc>
        <w:tc>
          <w:tcPr>
            <w:tcW w:w="2907"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检测现场有毒气体浓度含量，帮助逃生</w:t>
            </w:r>
          </w:p>
        </w:tc>
        <w:tc>
          <w:tcPr>
            <w:tcW w:w="1318" w:type="dxa"/>
            <w:tcBorders>
              <w:top w:val="single" w:color="000000" w:sz="6" w:space="0"/>
              <w:left w:val="single" w:color="000000" w:sz="6" w:space="0"/>
              <w:bottom w:val="single" w:color="000000" w:sz="6" w:space="0"/>
              <w:right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1套/人</w:t>
            </w:r>
          </w:p>
        </w:tc>
        <w:tc>
          <w:tcPr>
            <w:tcW w:w="2253" w:type="dxa"/>
            <w:tcBorders>
              <w:top w:val="single" w:color="000000" w:sz="6" w:space="0"/>
              <w:left w:val="single" w:color="000000" w:sz="6" w:space="0"/>
              <w:bottom w:val="single" w:color="000000" w:sz="6" w:space="0"/>
            </w:tcBorders>
            <w:vAlign w:val="center"/>
          </w:tcPr>
          <w:p>
            <w:pPr>
              <w:wordWrap w:val="0"/>
              <w:adjustRightInd w:val="0"/>
              <w:snapToGrid w:val="0"/>
              <w:spacing w:line="240" w:lineRule="auto"/>
              <w:jc w:val="center"/>
              <w:textAlignment w:val="center"/>
              <w:rPr>
                <w:rFonts w:cs="Times New Roman"/>
                <w:color w:val="auto"/>
                <w:kern w:val="0"/>
                <w:sz w:val="21"/>
                <w:szCs w:val="21"/>
              </w:rPr>
            </w:pPr>
            <w:r>
              <w:rPr>
                <w:rFonts w:hint="eastAsia" w:cs="Times New Roman"/>
                <w:color w:val="auto"/>
                <w:kern w:val="0"/>
                <w:sz w:val="21"/>
                <w:szCs w:val="21"/>
              </w:rPr>
              <w:t>2</w:t>
            </w:r>
            <w:r>
              <w:rPr>
                <w:rFonts w:cs="Times New Roman"/>
                <w:color w:val="auto"/>
                <w:kern w:val="0"/>
                <w:sz w:val="21"/>
                <w:szCs w:val="21"/>
              </w:rPr>
              <w:t>套</w:t>
            </w:r>
          </w:p>
        </w:tc>
      </w:tr>
    </w:tbl>
    <w:p>
      <w:pPr>
        <w:wordWrap w:val="0"/>
        <w:adjustRightInd w:val="0"/>
        <w:snapToGrid w:val="0"/>
        <w:jc w:val="center"/>
        <w:textAlignment w:val="center"/>
        <w:rPr>
          <w:color w:val="auto"/>
          <w:kern w:val="0"/>
          <w:szCs w:val="28"/>
        </w:rPr>
      </w:pPr>
      <w:r>
        <w:rPr>
          <w:rFonts w:hint="eastAsia"/>
          <w:color w:val="auto"/>
          <w:kern w:val="0"/>
        </w:rPr>
        <w:t xml:space="preserve">表6.2-4  </w:t>
      </w:r>
      <w:r>
        <w:rPr>
          <w:rFonts w:hint="eastAsia" w:cs="宋体"/>
          <w:color w:val="auto"/>
          <w:kern w:val="0"/>
          <w:szCs w:val="28"/>
        </w:rPr>
        <w:t>应急救援人员个体防护装备配备清单</w:t>
      </w:r>
    </w:p>
    <w:tbl>
      <w:tblPr>
        <w:tblStyle w:val="24"/>
        <w:tblW w:w="90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7"/>
        <w:gridCol w:w="1864"/>
        <w:gridCol w:w="3476"/>
        <w:gridCol w:w="1850"/>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序号</w:t>
            </w:r>
          </w:p>
        </w:tc>
        <w:tc>
          <w:tcPr>
            <w:tcW w:w="1864"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职业危害防治以及应急救援设施名称</w:t>
            </w:r>
          </w:p>
        </w:tc>
        <w:tc>
          <w:tcPr>
            <w:tcW w:w="3476"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技术要求</w:t>
            </w:r>
          </w:p>
        </w:tc>
        <w:tc>
          <w:tcPr>
            <w:tcW w:w="1850"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设施位置</w:t>
            </w:r>
          </w:p>
        </w:tc>
        <w:tc>
          <w:tcPr>
            <w:tcW w:w="1221" w:type="dxa"/>
            <w:vAlign w:val="center"/>
          </w:tcPr>
          <w:p>
            <w:pPr>
              <w:wordWrap w:val="0"/>
              <w:adjustRightInd w:val="0"/>
              <w:snapToGrid w:val="0"/>
              <w:spacing w:line="240" w:lineRule="auto"/>
              <w:jc w:val="center"/>
              <w:textAlignment w:val="center"/>
              <w:rPr>
                <w:rFonts w:cs="Times New Roman"/>
                <w:b/>
                <w:bCs/>
                <w:color w:val="auto"/>
                <w:kern w:val="0"/>
                <w:sz w:val="21"/>
                <w:szCs w:val="21"/>
              </w:rPr>
            </w:pPr>
            <w:r>
              <w:rPr>
                <w:rFonts w:cs="Times New Roman"/>
                <w:b/>
                <w:bCs/>
                <w:color w:val="auto"/>
                <w:kern w:val="0"/>
                <w:sz w:val="21"/>
                <w:szCs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安全帽</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符合国家标准：《头部防护安全帽》</w:t>
            </w:r>
          </w:p>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（GB2811—2019）；应是阻燃型</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全厂员工</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2</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洗眼器</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按照工业企业卫生设计规范进行设置，应选用同时满足能洗眼、全身冲洗要求的复合式洗眼器—既有洗眼喷头，也有喷淋系统的。</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共2套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3</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自吸过滤式防毒面具</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符合国家标准：《呼吸防护</w:t>
            </w:r>
            <w:r>
              <w:rPr>
                <w:rFonts w:hint="eastAsia" w:cs="Times New Roman"/>
                <w:color w:val="auto"/>
                <w:kern w:val="0"/>
                <w:sz w:val="21"/>
                <w:szCs w:val="21"/>
              </w:rPr>
              <w:t xml:space="preserve"> </w:t>
            </w:r>
            <w:r>
              <w:rPr>
                <w:rFonts w:cs="Times New Roman"/>
                <w:color w:val="auto"/>
                <w:kern w:val="0"/>
                <w:sz w:val="21"/>
                <w:szCs w:val="21"/>
              </w:rPr>
              <w:t>自吸过滤式防毒面具》（GB2890—2009）</w:t>
            </w:r>
          </w:p>
        </w:tc>
        <w:tc>
          <w:tcPr>
            <w:tcW w:w="1850"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仓库操作人员</w:t>
            </w:r>
          </w:p>
        </w:tc>
        <w:tc>
          <w:tcPr>
            <w:tcW w:w="1221" w:type="dxa"/>
            <w:vMerge w:val="restart"/>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w:t>
            </w:r>
            <w:r>
              <w:rPr>
                <w:rFonts w:hint="eastAsia" w:cs="Times New Roman"/>
                <w:color w:val="auto"/>
                <w:kern w:val="0"/>
                <w:sz w:val="21"/>
                <w:szCs w:val="21"/>
              </w:rPr>
              <w:t>1</w:t>
            </w:r>
            <w:r>
              <w:rPr>
                <w:rFonts w:cs="Times New Roman"/>
                <w:color w:val="auto"/>
                <w:kern w:val="0"/>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A型过滤件</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符合国家标准：《过滤式防毒面具通用技术条件》（GB2890—2009）；</w:t>
            </w:r>
          </w:p>
        </w:tc>
        <w:tc>
          <w:tcPr>
            <w:tcW w:w="1850"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c>
          <w:tcPr>
            <w:tcW w:w="1221" w:type="dxa"/>
            <w:vMerge w:val="continue"/>
            <w:vAlign w:val="center"/>
          </w:tcPr>
          <w:p>
            <w:pPr>
              <w:wordWrap w:val="0"/>
              <w:adjustRightInd w:val="0"/>
              <w:snapToGrid w:val="0"/>
              <w:spacing w:line="240" w:lineRule="auto"/>
              <w:jc w:val="center"/>
              <w:textAlignment w:val="center"/>
              <w:rPr>
                <w:rFonts w:cs="Times New Roman"/>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4</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防爆级手电筒</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为各种易燃易爆场所、水下工作以及其它工作现场提供移动照明</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106甲类仓库</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每个岗位1套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防静电手套</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符合防静电要求</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106甲类仓库</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每个岗位2双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5</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防静电胶靴</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符合国家标准：《足部防护 安全鞋》（GB21148-2020）</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仓库操作人员</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每人2双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607"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6</w:t>
            </w:r>
          </w:p>
        </w:tc>
        <w:tc>
          <w:tcPr>
            <w:tcW w:w="1864"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工作服</w:t>
            </w:r>
          </w:p>
        </w:tc>
        <w:tc>
          <w:tcPr>
            <w:tcW w:w="3476"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符合防静电要求</w:t>
            </w:r>
          </w:p>
        </w:tc>
        <w:tc>
          <w:tcPr>
            <w:tcW w:w="1850"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仓库</w:t>
            </w:r>
          </w:p>
        </w:tc>
        <w:tc>
          <w:tcPr>
            <w:tcW w:w="1221" w:type="dxa"/>
            <w:vAlign w:val="center"/>
          </w:tcPr>
          <w:p>
            <w:pPr>
              <w:wordWrap w:val="0"/>
              <w:adjustRightInd w:val="0"/>
              <w:snapToGrid w:val="0"/>
              <w:spacing w:line="240" w:lineRule="auto"/>
              <w:jc w:val="center"/>
              <w:textAlignment w:val="center"/>
              <w:rPr>
                <w:rFonts w:cs="Times New Roman"/>
                <w:color w:val="auto"/>
                <w:kern w:val="0"/>
                <w:sz w:val="21"/>
                <w:szCs w:val="21"/>
              </w:rPr>
            </w:pPr>
            <w:r>
              <w:rPr>
                <w:rFonts w:cs="Times New Roman"/>
                <w:color w:val="auto"/>
                <w:kern w:val="0"/>
                <w:sz w:val="21"/>
                <w:szCs w:val="21"/>
              </w:rPr>
              <w:t>每人两套</w:t>
            </w:r>
          </w:p>
        </w:tc>
      </w:tr>
    </w:tbl>
    <w:p>
      <w:pPr>
        <w:wordWrap w:val="0"/>
        <w:adjustRightInd w:val="0"/>
        <w:snapToGrid w:val="0"/>
        <w:ind w:firstLine="560" w:firstLineChars="200"/>
        <w:textAlignment w:val="center"/>
        <w:rPr>
          <w:color w:val="auto"/>
          <w:kern w:val="0"/>
        </w:rPr>
      </w:pPr>
      <w:r>
        <w:rPr>
          <w:rFonts w:hint="eastAsia"/>
          <w:color w:val="auto"/>
          <w:kern w:val="0"/>
        </w:rPr>
        <w:t>4、应急救援预案的演练情况</w:t>
      </w:r>
    </w:p>
    <w:p>
      <w:pPr>
        <w:wordWrap w:val="0"/>
        <w:adjustRightInd w:val="0"/>
        <w:snapToGrid w:val="0"/>
        <w:ind w:firstLine="560" w:firstLineChars="200"/>
        <w:textAlignment w:val="center"/>
        <w:rPr>
          <w:color w:val="auto"/>
          <w:kern w:val="0"/>
        </w:rPr>
      </w:pPr>
      <w:r>
        <w:rPr>
          <w:rFonts w:hint="eastAsia"/>
          <w:color w:val="auto"/>
          <w:kern w:val="0"/>
        </w:rPr>
        <w:t>该公司依据生产作业情况，每年对预案进行一次修订，不断对预案的内容进行完善，保证预案的实际可操作性。该公司采用多种形式对应急预案进行演练，并对演练结果做了记录，并根据演练过程中存在的问题，不断修订和完善预案完善应急救援预案。</w:t>
      </w:r>
    </w:p>
    <w:p>
      <w:pPr>
        <w:wordWrap w:val="0"/>
        <w:adjustRightInd w:val="0"/>
        <w:snapToGrid w:val="0"/>
        <w:ind w:firstLine="560" w:firstLineChars="200"/>
        <w:textAlignment w:val="center"/>
        <w:rPr>
          <w:color w:val="auto"/>
          <w:kern w:val="0"/>
        </w:rPr>
      </w:pPr>
      <w:r>
        <w:rPr>
          <w:rFonts w:hint="eastAsia"/>
          <w:color w:val="auto"/>
          <w:kern w:val="0"/>
        </w:rPr>
        <w:t>202</w:t>
      </w:r>
      <w:r>
        <w:rPr>
          <w:color w:val="auto"/>
          <w:kern w:val="0"/>
        </w:rPr>
        <w:t>3</w:t>
      </w:r>
      <w:r>
        <w:rPr>
          <w:rFonts w:hint="eastAsia"/>
          <w:color w:val="auto"/>
          <w:kern w:val="0"/>
        </w:rPr>
        <w:t>年</w:t>
      </w:r>
      <w:r>
        <w:rPr>
          <w:color w:val="auto"/>
          <w:kern w:val="0"/>
        </w:rPr>
        <w:t>6</w:t>
      </w:r>
      <w:r>
        <w:rPr>
          <w:rFonts w:hint="eastAsia"/>
          <w:color w:val="auto"/>
          <w:kern w:val="0"/>
        </w:rPr>
        <w:t>月</w:t>
      </w:r>
      <w:r>
        <w:rPr>
          <w:color w:val="auto"/>
          <w:kern w:val="0"/>
        </w:rPr>
        <w:t>8</w:t>
      </w:r>
      <w:r>
        <w:rPr>
          <w:rFonts w:hint="eastAsia"/>
          <w:color w:val="auto"/>
          <w:kern w:val="0"/>
        </w:rPr>
        <w:t>日进行了消防疏散逃生与灭火演练，并对演练结果做了记录，并根据演练过程中存在的问题进行了总结和改进措施。</w:t>
      </w:r>
    </w:p>
    <w:p>
      <w:pPr>
        <w:wordWrap w:val="0"/>
        <w:adjustRightInd w:val="0"/>
        <w:snapToGrid w:val="0"/>
        <w:ind w:firstLine="560" w:firstLineChars="200"/>
        <w:textAlignment w:val="center"/>
        <w:rPr>
          <w:color w:val="auto"/>
          <w:kern w:val="0"/>
        </w:rPr>
      </w:pPr>
      <w:r>
        <w:rPr>
          <w:rFonts w:hint="eastAsia"/>
          <w:color w:val="auto"/>
          <w:kern w:val="0"/>
        </w:rPr>
        <w:t>该公司定期开展安全教育培训工作，针对同行业发生的事故，作为培训学习案例，在全公司范围内采用多种形式进行宣传教育。</w:t>
      </w:r>
    </w:p>
    <w:p>
      <w:pPr>
        <w:wordWrap w:val="0"/>
        <w:adjustRightInd w:val="0"/>
        <w:snapToGrid w:val="0"/>
        <w:textAlignment w:val="center"/>
        <w:outlineLvl w:val="2"/>
        <w:rPr>
          <w:b/>
          <w:bCs/>
          <w:color w:val="auto"/>
          <w:kern w:val="0"/>
        </w:rPr>
      </w:pPr>
      <w:bookmarkStart w:id="259" w:name="_Toc4885"/>
      <w:r>
        <w:rPr>
          <w:rFonts w:hint="eastAsia"/>
          <w:b/>
          <w:bCs/>
          <w:color w:val="auto"/>
          <w:kern w:val="0"/>
        </w:rPr>
        <w:t>6.2.6 现场检查不符合项对策措施及整改情况</w:t>
      </w:r>
      <w:bookmarkEnd w:id="259"/>
    </w:p>
    <w:p>
      <w:pPr>
        <w:wordWrap w:val="0"/>
        <w:adjustRightInd w:val="0"/>
        <w:snapToGrid w:val="0"/>
        <w:ind w:firstLine="560" w:firstLineChars="200"/>
        <w:textAlignment w:val="center"/>
        <w:rPr>
          <w:color w:val="auto"/>
          <w:kern w:val="0"/>
        </w:rPr>
      </w:pPr>
      <w:r>
        <w:rPr>
          <w:rFonts w:hint="eastAsia"/>
          <w:color w:val="auto"/>
          <w:kern w:val="0"/>
        </w:rPr>
        <w:t>1、现场不符合要求项</w:t>
      </w:r>
    </w:p>
    <w:p>
      <w:pPr>
        <w:wordWrap w:val="0"/>
        <w:adjustRightInd w:val="0"/>
        <w:snapToGrid w:val="0"/>
        <w:ind w:firstLine="560" w:firstLineChars="200"/>
        <w:textAlignment w:val="center"/>
        <w:rPr>
          <w:color w:val="auto"/>
          <w:kern w:val="0"/>
        </w:rPr>
      </w:pPr>
      <w:r>
        <w:rPr>
          <w:rFonts w:hint="eastAsia"/>
          <w:color w:val="auto"/>
          <w:kern w:val="0"/>
        </w:rPr>
        <w:t>受江西景新漆业股份有限公司的委托，江西赣安安全生产科学技术咨询服务中心评价组于2023年5月，对本项目的进行了安全设施竣工收评价现场检查。现将检查中发现的安全不合格项和整改措施及建议具体内容如下表（本报告将部分不符合项进行了归类合并）。</w:t>
      </w:r>
    </w:p>
    <w:p>
      <w:pPr>
        <w:wordWrap w:val="0"/>
        <w:adjustRightInd w:val="0"/>
        <w:snapToGrid w:val="0"/>
        <w:jc w:val="center"/>
        <w:textAlignment w:val="center"/>
        <w:rPr>
          <w:color w:val="auto"/>
          <w:kern w:val="0"/>
        </w:rPr>
      </w:pPr>
      <w:r>
        <w:rPr>
          <w:rFonts w:hint="eastAsia"/>
          <w:color w:val="auto"/>
          <w:kern w:val="0"/>
        </w:rPr>
        <w:t>表6.2-5  检查中发现的安全不合格项和整改措施及建议一览表</w:t>
      </w:r>
    </w:p>
    <w:tbl>
      <w:tblPr>
        <w:tblStyle w:val="24"/>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4"/>
        <w:gridCol w:w="4173"/>
        <w:gridCol w:w="42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序号</w:t>
            </w:r>
          </w:p>
        </w:tc>
        <w:tc>
          <w:tcPr>
            <w:tcW w:w="417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安全隐患项</w:t>
            </w:r>
          </w:p>
        </w:tc>
        <w:tc>
          <w:tcPr>
            <w:tcW w:w="42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整改措施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1</w:t>
            </w:r>
          </w:p>
        </w:tc>
        <w:tc>
          <w:tcPr>
            <w:tcW w:w="417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未建立防泄漏安全管理制度；</w:t>
            </w:r>
          </w:p>
        </w:tc>
        <w:tc>
          <w:tcPr>
            <w:tcW w:w="42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补充设置防泄漏安全管理制度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2</w:t>
            </w:r>
          </w:p>
        </w:tc>
        <w:tc>
          <w:tcPr>
            <w:tcW w:w="417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未设置温湿度计</w:t>
            </w:r>
          </w:p>
        </w:tc>
        <w:tc>
          <w:tcPr>
            <w:tcW w:w="42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补充设置温湿度计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3</w:t>
            </w:r>
          </w:p>
        </w:tc>
        <w:tc>
          <w:tcPr>
            <w:tcW w:w="417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未设置限速标牌和警示标牌</w:t>
            </w:r>
          </w:p>
        </w:tc>
        <w:tc>
          <w:tcPr>
            <w:tcW w:w="42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补充设置限速标牌和警示标牌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4</w:t>
            </w:r>
          </w:p>
        </w:tc>
        <w:tc>
          <w:tcPr>
            <w:tcW w:w="417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可燃气体报警器缺少现场探头指示点位图</w:t>
            </w:r>
          </w:p>
        </w:tc>
        <w:tc>
          <w:tcPr>
            <w:tcW w:w="420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240" w:lineRule="auto"/>
              <w:jc w:val="center"/>
              <w:textAlignment w:val="center"/>
              <w:rPr>
                <w:color w:val="auto"/>
                <w:kern w:val="0"/>
                <w:sz w:val="21"/>
                <w:szCs w:val="21"/>
              </w:rPr>
            </w:pPr>
            <w:r>
              <w:rPr>
                <w:rFonts w:hint="eastAsia"/>
                <w:color w:val="auto"/>
                <w:kern w:val="0"/>
                <w:sz w:val="21"/>
                <w:szCs w:val="21"/>
              </w:rPr>
              <w:t>补充设置可燃气体报警器现场探头指示点位图</w:t>
            </w:r>
          </w:p>
        </w:tc>
      </w:tr>
    </w:tbl>
    <w:p>
      <w:pPr>
        <w:wordWrap w:val="0"/>
        <w:adjustRightInd w:val="0"/>
        <w:snapToGrid w:val="0"/>
        <w:ind w:firstLine="560" w:firstLineChars="200"/>
        <w:textAlignment w:val="center"/>
        <w:rPr>
          <w:color w:val="auto"/>
          <w:kern w:val="0"/>
        </w:rPr>
      </w:pPr>
      <w:r>
        <w:rPr>
          <w:rFonts w:hint="eastAsia"/>
          <w:color w:val="auto"/>
          <w:kern w:val="0"/>
        </w:rPr>
        <w:t>2、现场检查不符合项整改结果</w:t>
      </w:r>
    </w:p>
    <w:p>
      <w:pPr>
        <w:wordWrap w:val="0"/>
        <w:adjustRightInd w:val="0"/>
        <w:snapToGrid w:val="0"/>
        <w:ind w:firstLine="560" w:firstLineChars="200"/>
        <w:textAlignment w:val="center"/>
        <w:rPr>
          <w:color w:val="auto"/>
          <w:kern w:val="0"/>
        </w:rPr>
      </w:pPr>
      <w:r>
        <w:rPr>
          <w:rFonts w:hint="eastAsia"/>
          <w:color w:val="auto"/>
          <w:kern w:val="0"/>
        </w:rPr>
        <w:t>该公司对检查组提出的安全不合格项极为重视，立即报告公司领导，组织相关人员对安全不合格项进行了整改，并将整改情况进行了回复；具体内容见附件。</w:t>
      </w:r>
    </w:p>
    <w:p>
      <w:pPr>
        <w:wordWrap w:val="0"/>
        <w:adjustRightInd w:val="0"/>
        <w:snapToGrid w:val="0"/>
        <w:jc w:val="center"/>
        <w:textAlignment w:val="center"/>
        <w:outlineLvl w:val="1"/>
        <w:rPr>
          <w:b/>
          <w:bCs/>
          <w:color w:val="auto"/>
          <w:kern w:val="0"/>
        </w:rPr>
      </w:pPr>
      <w:bookmarkStart w:id="260" w:name="_Toc2095"/>
      <w:bookmarkStart w:id="261" w:name="_Toc25152"/>
      <w:bookmarkStart w:id="262" w:name="_Toc16897"/>
      <w:r>
        <w:rPr>
          <w:rFonts w:hint="eastAsia"/>
          <w:b/>
          <w:bCs/>
          <w:color w:val="auto"/>
          <w:kern w:val="0"/>
        </w:rPr>
        <w:t>6.3 事故案例分析</w:t>
      </w:r>
      <w:bookmarkEnd w:id="260"/>
      <w:bookmarkEnd w:id="261"/>
      <w:bookmarkEnd w:id="262"/>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天津港</w:t>
      </w:r>
      <w:r>
        <w:rPr>
          <w:rFonts w:hint="eastAsia" w:cs="Times New Roman"/>
          <w:snapToGrid w:val="0"/>
          <w:color w:val="auto"/>
          <w:kern w:val="0"/>
          <w:szCs w:val="28"/>
        </w:rPr>
        <w:t>“</w:t>
      </w:r>
      <w:r>
        <w:rPr>
          <w:rFonts w:cs="Times New Roman"/>
          <w:snapToGrid w:val="0"/>
          <w:color w:val="auto"/>
          <w:kern w:val="0"/>
          <w:szCs w:val="28"/>
        </w:rPr>
        <w:t>8</w:t>
      </w:r>
      <w:r>
        <w:rPr>
          <w:rFonts w:hint="eastAsia" w:cs="Times New Roman"/>
          <w:snapToGrid w:val="0"/>
          <w:color w:val="auto"/>
          <w:kern w:val="0"/>
          <w:szCs w:val="28"/>
        </w:rPr>
        <w:t>.</w:t>
      </w:r>
      <w:r>
        <w:rPr>
          <w:rFonts w:cs="Times New Roman"/>
          <w:snapToGrid w:val="0"/>
          <w:color w:val="auto"/>
          <w:kern w:val="0"/>
          <w:szCs w:val="28"/>
        </w:rPr>
        <w:t>12</w:t>
      </w:r>
      <w:r>
        <w:rPr>
          <w:rFonts w:hint="eastAsia" w:cs="Times New Roman"/>
          <w:snapToGrid w:val="0"/>
          <w:color w:val="auto"/>
          <w:kern w:val="0"/>
          <w:szCs w:val="28"/>
        </w:rPr>
        <w:t>”</w:t>
      </w:r>
      <w:r>
        <w:rPr>
          <w:rFonts w:cs="Times New Roman"/>
          <w:snapToGrid w:val="0"/>
          <w:color w:val="auto"/>
          <w:kern w:val="0"/>
          <w:szCs w:val="28"/>
        </w:rPr>
        <w:t>瑞海公司危险品仓库特别重大火灾爆炸事故</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8月18日，依据《安全生产法》</w:t>
      </w:r>
      <w:r>
        <w:rPr>
          <w:rFonts w:hint="eastAsia" w:cs="Times New Roman"/>
          <w:snapToGrid w:val="0"/>
          <w:color w:val="auto"/>
          <w:kern w:val="0"/>
          <w:szCs w:val="28"/>
        </w:rPr>
        <w:t>、</w:t>
      </w:r>
      <w:r>
        <w:rPr>
          <w:rFonts w:cs="Times New Roman"/>
          <w:snapToGrid w:val="0"/>
          <w:color w:val="auto"/>
          <w:kern w:val="0"/>
          <w:szCs w:val="28"/>
        </w:rPr>
        <w:t>《危险化学品安全管理条例》和《生产安全事故报告和调查处理条例》等有关法律法规，经国务院批准，成立国务院天津港</w:t>
      </w:r>
      <w:r>
        <w:rPr>
          <w:rFonts w:hint="eastAsia" w:cs="Times New Roman"/>
          <w:snapToGrid w:val="0"/>
          <w:color w:val="auto"/>
          <w:kern w:val="0"/>
          <w:szCs w:val="28"/>
        </w:rPr>
        <w:t>“</w:t>
      </w:r>
      <w:r>
        <w:rPr>
          <w:rFonts w:cs="Times New Roman"/>
          <w:snapToGrid w:val="0"/>
          <w:color w:val="auto"/>
          <w:kern w:val="0"/>
          <w:szCs w:val="28"/>
        </w:rPr>
        <w:t>8</w:t>
      </w:r>
      <w:r>
        <w:rPr>
          <w:rFonts w:hint="eastAsia" w:cs="Times New Roman"/>
          <w:snapToGrid w:val="0"/>
          <w:color w:val="auto"/>
          <w:kern w:val="0"/>
          <w:szCs w:val="28"/>
        </w:rPr>
        <w:t>.</w:t>
      </w:r>
      <w:r>
        <w:rPr>
          <w:rFonts w:cs="Times New Roman"/>
          <w:snapToGrid w:val="0"/>
          <w:color w:val="auto"/>
          <w:kern w:val="0"/>
          <w:szCs w:val="28"/>
        </w:rPr>
        <w:t>12</w:t>
      </w:r>
      <w:r>
        <w:rPr>
          <w:rFonts w:hint="eastAsia" w:cs="Times New Roman"/>
          <w:snapToGrid w:val="0"/>
          <w:color w:val="auto"/>
          <w:kern w:val="0"/>
          <w:szCs w:val="28"/>
        </w:rPr>
        <w:t>”</w:t>
      </w:r>
      <w:r>
        <w:rPr>
          <w:rFonts w:cs="Times New Roman"/>
          <w:snapToGrid w:val="0"/>
          <w:color w:val="auto"/>
          <w:kern w:val="0"/>
          <w:szCs w:val="28"/>
        </w:rPr>
        <w:t>瑞海公司危险品仓库特别重大火灾爆炸事故调查组（以下简称事故调查组），事故调查组由杨焕宁同志（时任公安部常务副部长，现任安全监管总局局长）任组长，公安部、安全监管总局、监察部、交通运输部、环境保护部、全国总工会和天津市人民政府为成员单位，全面负责事故调查工作。同时，邀请最高人民检察院派员参加，并聘请爆炸、消防、刑侦、化工、环保等方面的专家参与事故调查工作。</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调查认定，天津港“8·12”瑞海公司危险品仓库火灾爆炸事故是一起特别重大生产安全责任事故。</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一、事故基本情况</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（一）事故发生的时间和地点。</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2015年8月12日22时51分46秒，位于天津市滨海新区吉运二道95号的瑞海公司危险品仓库（北纬39°02’22.98”，东经117°44’11.64”。地理方位示意图见图1）运抵区（“待申报装船出口货物运抵区”的简称，属海关监管场所，用金属栅栏与外界隔离。由经营企业申请设立，海关批准，主要用于出口集装箱货物的运抵和报关监管）最先起火，23时34分06秒发生</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第一次爆炸，23时34分37秒发生第二次更剧烈的爆炸。事故现场形成6处大火点及数十个小火点，8月14日16时40分，现场明火被扑灭。</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（二）事故现场情况。</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事故现场按受损程度，分为事故中心区、爆炸冲击波波及区。事故中心区为此次事故中受损最严重区域，该区域东至跃进路、西至海滨高速、南至顺安仓储有限公司、北至吉运三道，面积约为54万平方米。两次爆炸分别形成一个直径15米、深1.1米的月牙形小爆坑和一个直径97米、深2.7米的圆形大爆坑。以大爆坑为爆炸中心，150米范围内的建筑被摧毁，东侧的瑞海公司综合楼和南侧的中联建通公司办公楼只剩下钢筋混凝土框架；堆场内大量普通集装箱和罐式集装箱被掀翻、解体、炸飞，形成由南至北的3座巨大堆垛，一个罐式集装箱被抛进中联建通公司办公楼4层房间内，多个集装箱被抛到该建筑楼顶；参与救援的消防车、警车和位于爆炸中心南侧的吉运一道和北侧吉运三道附近的顺安仓储有限公司、安邦国际贸易有限公司储存的7641辆商品汽车和现场灭火的30辆消防车在事故中全部损毁，邻近中心区的贵龙实业、新东物流、港湾物流等公司的4787辆汽车受损。</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爆炸冲击波波及区分为严重受损区、中度受损区。严重受损区是指建筑结构、外墙、吊顶受损的区域，受损建筑部分主体承重构件（柱、梁、楼板）的钢筋外露，失去承重能力，不再满足安全使用条件。中度受损区是指建筑幕墙及门、窗受损的区域，受损建筑局部幕墙及部分门、窗变形、破裂。严重受损区在不同方向距爆炸中心最远距离为：东3公里（亚实履带天津有限公司），西3.6公里（联通公司办公楼），南2.5公里（天津振华国际货运有限公司），北2.8公里（天津丰田通商钢业公司）。中度受损区在不同方向距爆炸中心最远距离为：东3.42公里（国际物流验放中心二场），西5.4公里（中国检验检疫集团办公楼），南5公里（天津港物流大厦），北5.4公里（天津海运职业学院）。受地形地貌、建筑位置和结构等因素影响，同等距离范围内的建筑受损程度并不一致。</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爆炸冲击波波及区以外的部分建筑，虽没有受到爆炸冲击波直接作用，但由于爆炸产生地面震动，造成建筑物接近地面部位的门、窗玻璃受损，东侧最远达8.5公里（东疆港宾馆），西侧最远达8.3公里（正德里居民楼），南侧最远达8公里（和丽苑居民小区），北侧最远达13.3公里（海滨大道永定新河收费站）。</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（三）人员伤亡和财产损失情况。</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事故造成165人遇难（参与救援处置的公安现役消防人员24人、天津港消防人员75人、公安民警11人，事故企业、周边企业员工和周边居民55人），8人失踪（天津港消防人员5人，周边企业员工、天津港消防人员家属3人），798人受伤住院治疗（伤情重及较重的伤员58人、轻伤员740人）；304幢建筑物（其中办公楼宇、厂房及仓库等单位建筑73幢，居民1类住宅91幢、2类住宅129幢、居民公寓11幢）、12428辆商品汽车、7533个集装箱受损。</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截至2015年12月10日，事故调查组依据《企业职工伤亡事故经济损失统计标准》（GB6721-1986）等标准和规定统计，已核定直接经济损失68.66亿元人民币，其他损失尚需最终核定。</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（四）环境污染情况。</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通过分析事发时瑞海公司储存的111种危险货物的化学组分，确定至少有129种化学物质发生爆炸燃烧或泄漏扩散，其中，氢氧化钠、硝酸钾、硝酸铵、氯化钠、金属镁和硫化钠这6种物质的重量占到总重量的50%。同时，爆炸还引燃了周边建筑物以及大量汽车、焦炭等普通货物。本次事故残留的化学品与产生的二次污染物逾百种，对局部区域的大气环境、水环境和土壤环境造成了不同程度的污染。</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二、事故直接原因</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瑞海公司危险品仓库运抵区南侧集装箱内的硝化棉由于湿润剂散失出现局部干燥，在高温（天气）等因素的作用下加速分解放热，积热自燃，引起相邻集装箱内的硝化棉和其他危险化学品长时间大面积燃烧，导致堆放于运抵区的硝酸铵等危险化学品发生爆炸。</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瑞海公司违法违规经营和储存危险货物，安全管理极其混乱，未履行安全生产主体责任，致使大量安全隐患长期存在。</w:t>
      </w:r>
    </w:p>
    <w:p>
      <w:pPr>
        <w:wordWrap w:val="0"/>
        <w:adjustRightInd w:val="0"/>
        <w:snapToGrid w:val="0"/>
        <w:ind w:firstLine="560" w:firstLineChars="200"/>
        <w:textAlignment w:val="center"/>
        <w:rPr>
          <w:rFonts w:cs="Times New Roman"/>
          <w:snapToGrid w:val="0"/>
          <w:color w:val="auto"/>
          <w:kern w:val="0"/>
          <w:szCs w:val="28"/>
        </w:rPr>
      </w:pPr>
      <w:r>
        <w:rPr>
          <w:rFonts w:cs="Times New Roman"/>
          <w:snapToGrid w:val="0"/>
          <w:color w:val="auto"/>
          <w:kern w:val="0"/>
          <w:szCs w:val="28"/>
        </w:rPr>
        <w:t>1</w:t>
      </w:r>
      <w:r>
        <w:rPr>
          <w:rFonts w:hint="eastAsia" w:cs="Times New Roman"/>
          <w:snapToGrid w:val="0"/>
          <w:color w:val="auto"/>
          <w:kern w:val="0"/>
          <w:szCs w:val="28"/>
        </w:rPr>
        <w:t>、</w:t>
      </w:r>
      <w:r>
        <w:rPr>
          <w:rFonts w:cs="Times New Roman"/>
          <w:snapToGrid w:val="0"/>
          <w:color w:val="auto"/>
          <w:kern w:val="0"/>
          <w:szCs w:val="28"/>
        </w:rPr>
        <w:t>严重违反天津市城市总体规划和滨海新区控制性详细规划，未批先建、边建边经营危险货物堆场。</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2、无证违法经营。</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3、以不正当手段获得经营危险货物批复。</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4、违规存放硝酸铵。</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5、严重超负荷经营、超量存储。</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6、违规混存、超高堆码危险货物。</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7、违规开展拆箱、搬运、装卸等作业。</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8、未按要求进行重大危险源登记备案。</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9、安全生产教育培训严重缺失。</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10、未按规定制定应急预案并组织演练。</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三、</w:t>
      </w:r>
      <w:r>
        <w:rPr>
          <w:rFonts w:cs="Times New Roman"/>
          <w:snapToGrid w:val="0"/>
          <w:color w:val="auto"/>
          <w:kern w:val="0"/>
          <w:szCs w:val="28"/>
        </w:rPr>
        <w:t>主要教训</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w:t>
      </w:r>
      <w:r>
        <w:rPr>
          <w:rFonts w:cs="Times New Roman"/>
          <w:snapToGrid w:val="0"/>
          <w:color w:val="auto"/>
          <w:kern w:val="0"/>
          <w:szCs w:val="28"/>
        </w:rPr>
        <w:t>事故企业严重违法违规经营。瑞海公司无视安全生产主体责任，置国家法律法规、标准于不顾，只顾经济利益、不顾生命安全，不择手段变更及扩展经营范围，长期违法违规经营。</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w:t>
      </w:r>
      <w:r>
        <w:rPr>
          <w:rFonts w:cs="Times New Roman"/>
          <w:snapToGrid w:val="0"/>
          <w:color w:val="auto"/>
          <w:kern w:val="0"/>
          <w:szCs w:val="28"/>
        </w:rPr>
        <w:t>有关地方政府安全发展意识不强。瑞海公司长时间违法违规经营，有关政府部门在瑞海公司经营问题上一再违法违规审批、监管失职，最终</w:t>
      </w:r>
      <w:r>
        <w:rPr>
          <w:rFonts w:cs="Times New Roman"/>
          <w:snapToGrid w:val="0"/>
          <w:color w:val="auto"/>
          <w:spacing w:val="-6"/>
          <w:kern w:val="0"/>
          <w:szCs w:val="28"/>
        </w:rPr>
        <w:t>导致天津港“8·12”事故的发生，造成严重的生命财产损失和恶劣的社会影响</w:t>
      </w:r>
      <w:r>
        <w:rPr>
          <w:rFonts w:cs="Times New Roman"/>
          <w:snapToGrid w:val="0"/>
          <w:color w:val="auto"/>
          <w:kern w:val="0"/>
          <w:szCs w:val="28"/>
        </w:rPr>
        <w:t>。</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3、</w:t>
      </w:r>
      <w:r>
        <w:rPr>
          <w:rFonts w:cs="Times New Roman"/>
          <w:snapToGrid w:val="0"/>
          <w:color w:val="auto"/>
          <w:kern w:val="0"/>
          <w:szCs w:val="28"/>
        </w:rPr>
        <w:t>有关地方和部门违反法定城市规划。天津市政府和滨海新区政府严格执行城市规划法规意识不强，对违反规划的行为失察。天津市规划、国土资源管理部门和天津港（集团）有限公司严重不负责任、玩忽职守。</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4、</w:t>
      </w:r>
      <w:r>
        <w:rPr>
          <w:rFonts w:cs="Times New Roman"/>
          <w:snapToGrid w:val="0"/>
          <w:color w:val="auto"/>
          <w:kern w:val="0"/>
          <w:szCs w:val="28"/>
        </w:rPr>
        <w:t>有关职能部门有法不依、执法不严，有的人员甚至贪赃枉法。天津市涉及瑞海公司行政许可审批的交通运输等部门，没有严格执行国家和地方的法律法规、工作规定，没有严格履行职责，甚至与企业相互串通，以批复的形式代替许可，行政许可形同虚设。</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5、</w:t>
      </w:r>
      <w:r>
        <w:rPr>
          <w:rFonts w:cs="Times New Roman"/>
          <w:snapToGrid w:val="0"/>
          <w:color w:val="auto"/>
          <w:kern w:val="0"/>
          <w:szCs w:val="28"/>
        </w:rPr>
        <w:t>港口管理体制不顺、安全管理不到位。天津港已移交天津市管理，但是天津港公安局及消防支队仍以交通运输部公安局管理为主。同时，天津市交通运输委员会、天津市建设管理委员会、滨海新区规划和国土资源管理局违法将多项行政职能委托天津港集团公司行使，客观上造成交通运输部、天津市政府以及天津港集团公司对港区管理职责交叉、责任不明。</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6、</w:t>
      </w:r>
      <w:r>
        <w:rPr>
          <w:rFonts w:cs="Times New Roman"/>
          <w:snapToGrid w:val="0"/>
          <w:color w:val="auto"/>
          <w:kern w:val="0"/>
          <w:szCs w:val="28"/>
        </w:rPr>
        <w:t>危险化学品安全监管体制不顺、机制不完善。危险化学品生产、储存、使用、经营、运输和进出口等环节涉及部门多，地区之间、部门之间的相关行政审批、资质管理、行政处罚等未形成完整的监管“链条”。同时，全国缺乏统一的危险化学品信息管理平台，难以实现对危险化学品全时段、全流程、全覆盖的安全监管。</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7、</w:t>
      </w:r>
      <w:r>
        <w:rPr>
          <w:rFonts w:cs="Times New Roman"/>
          <w:snapToGrid w:val="0"/>
          <w:color w:val="auto"/>
          <w:kern w:val="0"/>
          <w:szCs w:val="28"/>
        </w:rPr>
        <w:t>危险化学品安全管理法律法规标准不健全。国家缺乏统一的危险化学品安全管理、环境风险防控的专门法律；《危险化学品安全管理条例》对危险化学品流通、使用等环节要求不明确、不具体，现行有关法规对危险化学品安全管理违法行为处罚偏轻，单位和个人违法成本很低，不足以起到惩戒和震慑作用。</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8、</w:t>
      </w:r>
      <w:r>
        <w:rPr>
          <w:rFonts w:cs="Times New Roman"/>
          <w:snapToGrid w:val="0"/>
          <w:color w:val="auto"/>
          <w:kern w:val="0"/>
          <w:szCs w:val="28"/>
        </w:rPr>
        <w:t>危险化学品事故应急处置能力不足。瑞海公司没有开展风险评估和危险源辨识评估工作，应急预案流于形式，应急处置力量、装备严重缺乏，不具备初起火灾的扑救能力。天津港公安局消防支队没有针对不同性质的危险化学品准备相应的预案、灭火救援装备和物资，消防队员缺乏专业训练演练，危险化学品事故处置能力不强；天津市公安消防部队也缺乏处置重大危险化学品事故的预案以及相应的装备；天津市政府在应急处置中的信息发布工作一度安排不周、应对不妥。</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四、事故</w:t>
      </w:r>
      <w:r>
        <w:rPr>
          <w:rFonts w:cs="Times New Roman"/>
          <w:snapToGrid w:val="0"/>
          <w:color w:val="auto"/>
          <w:kern w:val="0"/>
          <w:szCs w:val="28"/>
        </w:rPr>
        <w:t>防范建议</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1、推动生产经营单位切实落实安全生产主体责任。</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2、危险货物仓储物流功能区，根据危险货物的性质分类储存，严格限定危险货物周转总量。</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3、着力提高危险化学品安全监管法治化水平。</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4、建立健全危险化学品安全监管体制机制。</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5、建立全国统一的危险化学品监管信息平台。</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6、科学规划合理布局，严格安全准入条件。</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7、加强生产安全事故应急处置能力建设。</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8、严格安全评价、环境影响评价等中介机构的监管。</w:t>
      </w:r>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9、集中开展危险化学品安全专项整治行动。</w:t>
      </w:r>
    </w:p>
    <w:p>
      <w:pPr>
        <w:pStyle w:val="4"/>
        <w:keepNext w:val="0"/>
        <w:keepLines w:val="0"/>
        <w:wordWrap w:val="0"/>
        <w:adjustRightInd w:val="0"/>
        <w:snapToGrid w:val="0"/>
        <w:jc w:val="center"/>
        <w:textAlignment w:val="center"/>
        <w:rPr>
          <w:color w:val="auto"/>
          <w:kern w:val="0"/>
        </w:rPr>
      </w:pPr>
      <w:bookmarkStart w:id="263" w:name="_Toc12887"/>
      <w:bookmarkStart w:id="264" w:name="_Toc28951"/>
      <w:bookmarkStart w:id="265" w:name="_Toc13108"/>
      <w:r>
        <w:rPr>
          <w:rFonts w:hint="eastAsia"/>
          <w:color w:val="auto"/>
          <w:kern w:val="0"/>
        </w:rPr>
        <w:t>6.4 建议补充的安全对策措施</w:t>
      </w:r>
      <w:bookmarkEnd w:id="263"/>
      <w:bookmarkEnd w:id="264"/>
      <w:bookmarkEnd w:id="265"/>
    </w:p>
    <w:p>
      <w:pPr>
        <w:wordWrap w:val="0"/>
        <w:adjustRightInd w:val="0"/>
        <w:snapToGrid w:val="0"/>
        <w:ind w:firstLine="560" w:firstLineChars="200"/>
        <w:textAlignment w:val="center"/>
        <w:rPr>
          <w:color w:val="auto"/>
          <w:kern w:val="0"/>
        </w:rPr>
      </w:pPr>
      <w:r>
        <w:rPr>
          <w:color w:val="auto"/>
          <w:kern w:val="0"/>
        </w:rPr>
        <w:t>1、依据《可燃气体检测报警使用规范》7检查与维护，可燃气体检测报警器的管理应由专人负责。责任人应接受过专门培训，负责日常检查和维护。应对可燃气体检测报警器进行定期检查，做好检查记录，必要时进行维护。每周按动报警器自检试验系统按钮一次，检查指示系统运行状况。每两周进行一次外观检查，涉及安装在高处的检测器，检查周期可适当延长，但需保证正常运行。每半年用标准气体对可燃气体检测报警器进行检定，观察报警情况和稳定值，不满足要求时应修理，并作好检测记录。</w:t>
      </w:r>
    </w:p>
    <w:p>
      <w:pPr>
        <w:wordWrap w:val="0"/>
        <w:adjustRightInd w:val="0"/>
        <w:snapToGrid w:val="0"/>
        <w:ind w:firstLine="560" w:firstLineChars="200"/>
        <w:textAlignment w:val="center"/>
        <w:rPr>
          <w:color w:val="auto"/>
          <w:kern w:val="0"/>
        </w:rPr>
      </w:pPr>
      <w:r>
        <w:rPr>
          <w:color w:val="auto"/>
          <w:kern w:val="0"/>
        </w:rPr>
        <w:t>依据《可燃气体检测报警使用规范》8维修与标定，维修和标定工作由有资质的单位承担。经维修的可燃气体检测报警器应按要求进行全项标定。新安装的应经标定验收，并出具检验合格报告，方能投入使用。传感器应根据使用寿命及时更换。已投入使用的可燃气体检测报警器应进行每年不少于一次的定期标定。</w:t>
      </w:r>
    </w:p>
    <w:p>
      <w:pPr>
        <w:wordWrap w:val="0"/>
        <w:adjustRightInd w:val="0"/>
        <w:snapToGrid w:val="0"/>
        <w:ind w:firstLine="560" w:firstLineChars="200"/>
        <w:textAlignment w:val="center"/>
        <w:rPr>
          <w:color w:val="auto"/>
          <w:kern w:val="0"/>
        </w:rPr>
      </w:pPr>
      <w:r>
        <w:rPr>
          <w:rFonts w:hint="eastAsia"/>
          <w:color w:val="auto"/>
          <w:kern w:val="0"/>
        </w:rPr>
        <w:t>2</w:t>
      </w:r>
      <w:r>
        <w:rPr>
          <w:color w:val="auto"/>
          <w:kern w:val="0"/>
        </w:rPr>
        <w:t>、应注意检查和维护仓库设置的防雷、防静电接地系统，并应按规定进行定期检测检验合格，保证其接地的可靠性。</w:t>
      </w:r>
    </w:p>
    <w:p>
      <w:pPr>
        <w:wordWrap w:val="0"/>
        <w:adjustRightInd w:val="0"/>
        <w:snapToGrid w:val="0"/>
        <w:ind w:firstLine="560" w:firstLineChars="200"/>
        <w:textAlignment w:val="center"/>
        <w:rPr>
          <w:color w:val="auto"/>
          <w:kern w:val="0"/>
        </w:rPr>
      </w:pPr>
      <w:r>
        <w:rPr>
          <w:rFonts w:hint="eastAsia"/>
          <w:color w:val="auto"/>
          <w:kern w:val="0"/>
        </w:rPr>
        <w:t>3</w:t>
      </w:r>
      <w:r>
        <w:rPr>
          <w:color w:val="auto"/>
          <w:kern w:val="0"/>
        </w:rPr>
        <w:t>、在防爆区域内的所有金属设备都必须设计静电接地，不允许设备及设备内部结构有静电产生。</w:t>
      </w:r>
    </w:p>
    <w:p>
      <w:pPr>
        <w:wordWrap w:val="0"/>
        <w:adjustRightInd w:val="0"/>
        <w:snapToGrid w:val="0"/>
        <w:ind w:firstLine="560" w:firstLineChars="200"/>
        <w:textAlignment w:val="center"/>
        <w:rPr>
          <w:color w:val="auto"/>
          <w:kern w:val="0"/>
        </w:rPr>
      </w:pPr>
      <w:r>
        <w:rPr>
          <w:rFonts w:hint="eastAsia"/>
          <w:color w:val="auto"/>
          <w:kern w:val="0"/>
        </w:rPr>
        <w:t>4</w:t>
      </w:r>
      <w:r>
        <w:rPr>
          <w:color w:val="auto"/>
          <w:kern w:val="0"/>
        </w:rPr>
        <w:t>、依据《中华人民共和国消防法》，配置消防设施、器材应设置消防安全标志，并定期组织检验、维修，确保完好有效。</w:t>
      </w:r>
    </w:p>
    <w:p>
      <w:pPr>
        <w:wordWrap w:val="0"/>
        <w:adjustRightInd w:val="0"/>
        <w:snapToGrid w:val="0"/>
        <w:ind w:firstLine="560" w:firstLineChars="200"/>
        <w:textAlignment w:val="center"/>
        <w:rPr>
          <w:color w:val="auto"/>
          <w:kern w:val="0"/>
        </w:rPr>
      </w:pPr>
      <w:r>
        <w:rPr>
          <w:rFonts w:hint="eastAsia"/>
          <w:color w:val="auto"/>
          <w:kern w:val="0"/>
        </w:rPr>
        <w:t>5</w:t>
      </w:r>
      <w:r>
        <w:rPr>
          <w:color w:val="auto"/>
          <w:kern w:val="0"/>
        </w:rPr>
        <w:t>、对存在火灾爆炸危险的区域和生产装置应配置完善的消防设施，并按规定配置消防灭火器材。</w:t>
      </w:r>
    </w:p>
    <w:p>
      <w:pPr>
        <w:wordWrap w:val="0"/>
        <w:adjustRightInd w:val="0"/>
        <w:snapToGrid w:val="0"/>
        <w:ind w:firstLine="560" w:firstLineChars="200"/>
        <w:textAlignment w:val="center"/>
        <w:rPr>
          <w:color w:val="auto"/>
          <w:kern w:val="0"/>
        </w:rPr>
      </w:pPr>
      <w:r>
        <w:rPr>
          <w:rFonts w:hint="eastAsia"/>
          <w:color w:val="auto"/>
          <w:kern w:val="0"/>
        </w:rPr>
        <w:t>6</w:t>
      </w:r>
      <w:r>
        <w:rPr>
          <w:color w:val="auto"/>
          <w:kern w:val="0"/>
        </w:rPr>
        <w:t>、对安全防护设备、消防灭火设施、应急救援设施和防护用品的性能和效果应定期进行检查和维护，确保其有效、可靠运行。</w:t>
      </w:r>
    </w:p>
    <w:p>
      <w:pPr>
        <w:wordWrap w:val="0"/>
        <w:adjustRightInd w:val="0"/>
        <w:snapToGrid w:val="0"/>
        <w:ind w:firstLine="560" w:firstLineChars="200"/>
        <w:textAlignment w:val="center"/>
        <w:rPr>
          <w:color w:val="auto"/>
          <w:kern w:val="0"/>
        </w:rPr>
      </w:pPr>
      <w:r>
        <w:rPr>
          <w:rFonts w:hint="eastAsia"/>
          <w:color w:val="auto"/>
          <w:kern w:val="0"/>
        </w:rPr>
        <w:t>7</w:t>
      </w:r>
      <w:r>
        <w:rPr>
          <w:color w:val="auto"/>
          <w:kern w:val="0"/>
        </w:rPr>
        <w:t>、该公司应当具备的安全生产条件所必需的资金投入，由主要负责人予以保证，并对由于安全生产所必需的资金投入不足导致的后果承担责任。</w:t>
      </w:r>
    </w:p>
    <w:p>
      <w:pPr>
        <w:wordWrap w:val="0"/>
        <w:adjustRightInd w:val="0"/>
        <w:snapToGrid w:val="0"/>
        <w:ind w:firstLine="560" w:firstLineChars="200"/>
        <w:textAlignment w:val="center"/>
        <w:rPr>
          <w:color w:val="auto"/>
          <w:kern w:val="0"/>
        </w:rPr>
      </w:pPr>
      <w:r>
        <w:rPr>
          <w:rFonts w:hint="eastAsia"/>
          <w:color w:val="auto"/>
          <w:kern w:val="0"/>
        </w:rPr>
        <w:t>8</w:t>
      </w:r>
      <w:r>
        <w:rPr>
          <w:color w:val="auto"/>
          <w:kern w:val="0"/>
        </w:rPr>
        <w:t>、应根据危险化学品的危险特性制订安全操作规程，督促操作人员严格按安全操作规程进行操作，避免因不了解危化品及工艺过程的危险性、误操作或处理不当发生灼烫事故。</w:t>
      </w:r>
    </w:p>
    <w:p>
      <w:pPr>
        <w:wordWrap w:val="0"/>
        <w:adjustRightInd w:val="0"/>
        <w:snapToGrid w:val="0"/>
        <w:ind w:firstLine="560" w:firstLineChars="200"/>
        <w:textAlignment w:val="center"/>
        <w:rPr>
          <w:color w:val="auto"/>
          <w:kern w:val="0"/>
        </w:rPr>
      </w:pPr>
      <w:r>
        <w:rPr>
          <w:rFonts w:hint="eastAsia"/>
          <w:color w:val="auto"/>
          <w:kern w:val="0"/>
        </w:rPr>
        <w:t>9</w:t>
      </w:r>
      <w:r>
        <w:rPr>
          <w:color w:val="auto"/>
          <w:kern w:val="0"/>
        </w:rPr>
        <w:t>、在生产区应按《个体防护装备选用规范》为从业人员配备工作服、安全帽、橡胶手套、胶鞋、防护眼镜、防毒面具及自给式呼吸器等劳动防护用品；有毒有害作业环境中，应设置必要的淋洗器、洗眼器等防护设施，其服务半径小于15m。</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0</w:t>
      </w:r>
      <w:r>
        <w:rPr>
          <w:color w:val="auto"/>
          <w:kern w:val="0"/>
        </w:rPr>
        <w:t>、企业应不断完善安全生产管理制度、岗位安全操作规程。</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1</w:t>
      </w:r>
      <w:r>
        <w:rPr>
          <w:color w:val="auto"/>
          <w:kern w:val="0"/>
        </w:rPr>
        <w:t>、事故应急救援</w:t>
      </w:r>
    </w:p>
    <w:p>
      <w:pPr>
        <w:wordWrap w:val="0"/>
        <w:adjustRightInd w:val="0"/>
        <w:snapToGrid w:val="0"/>
        <w:ind w:firstLine="560" w:firstLineChars="200"/>
        <w:textAlignment w:val="center"/>
        <w:rPr>
          <w:color w:val="auto"/>
          <w:kern w:val="0"/>
        </w:rPr>
      </w:pPr>
      <w:r>
        <w:rPr>
          <w:color w:val="auto"/>
          <w:kern w:val="0"/>
        </w:rPr>
        <w:t>1）为了能把新技术和新方法运用到应急救援中去，并与不断变化的具体情况保持一致，事故应急救援预案应及时更新改进。</w:t>
      </w:r>
    </w:p>
    <w:p>
      <w:pPr>
        <w:wordWrap w:val="0"/>
        <w:adjustRightInd w:val="0"/>
        <w:snapToGrid w:val="0"/>
        <w:ind w:firstLine="536" w:firstLineChars="200"/>
        <w:textAlignment w:val="center"/>
        <w:rPr>
          <w:color w:val="auto"/>
          <w:spacing w:val="-6"/>
          <w:kern w:val="0"/>
        </w:rPr>
      </w:pPr>
      <w:r>
        <w:rPr>
          <w:color w:val="auto"/>
          <w:spacing w:val="-6"/>
          <w:kern w:val="0"/>
        </w:rPr>
        <w:t>2）对危险源和厂内新增装置、人员变化进行定期检查，对预案及时更新。</w:t>
      </w:r>
    </w:p>
    <w:p>
      <w:pPr>
        <w:wordWrap w:val="0"/>
        <w:adjustRightInd w:val="0"/>
        <w:snapToGrid w:val="0"/>
        <w:ind w:firstLine="560" w:firstLineChars="200"/>
        <w:textAlignment w:val="center"/>
        <w:rPr>
          <w:color w:val="auto"/>
          <w:kern w:val="0"/>
        </w:rPr>
      </w:pPr>
      <w:r>
        <w:rPr>
          <w:color w:val="auto"/>
          <w:kern w:val="0"/>
        </w:rPr>
        <w:t>3）根据实践和演练结果进行补充和改进，使预案更加合理、更加完善、更具有操作性。</w:t>
      </w:r>
    </w:p>
    <w:p>
      <w:pPr>
        <w:wordWrap w:val="0"/>
        <w:adjustRightInd w:val="0"/>
        <w:snapToGrid w:val="0"/>
        <w:ind w:firstLine="560" w:firstLineChars="200"/>
        <w:textAlignment w:val="center"/>
        <w:rPr>
          <w:color w:val="auto"/>
          <w:kern w:val="0"/>
        </w:rPr>
      </w:pPr>
      <w:r>
        <w:rPr>
          <w:color w:val="auto"/>
          <w:kern w:val="0"/>
        </w:rPr>
        <w:t>4）企业的应急预案要与周边相关企业（单位）和当地政府应急预案相互衔接，形成应急联动机制。</w:t>
      </w:r>
    </w:p>
    <w:p>
      <w:pPr>
        <w:wordWrap w:val="0"/>
        <w:adjustRightInd w:val="0"/>
        <w:snapToGrid w:val="0"/>
        <w:ind w:firstLine="560" w:firstLineChars="200"/>
        <w:textAlignment w:val="center"/>
        <w:rPr>
          <w:color w:val="auto"/>
          <w:kern w:val="0"/>
        </w:rPr>
      </w:pPr>
      <w:r>
        <w:rPr>
          <w:color w:val="auto"/>
          <w:kern w:val="0"/>
        </w:rPr>
        <w:t>5）针对应急演练活动可能发生的意外情况制定演练保障方案或应急预案，并进行演练，做到相关人员应知应会，熟练掌握。演练保障方案应包括应急演练可能发生的意外情况、应急处置措施及责任部门，应急演练意外情况中止条件与程序等。</w:t>
      </w:r>
    </w:p>
    <w:p>
      <w:pPr>
        <w:wordWrap w:val="0"/>
        <w:adjustRightInd w:val="0"/>
        <w:snapToGrid w:val="0"/>
        <w:ind w:firstLine="560" w:firstLineChars="200"/>
        <w:textAlignment w:val="center"/>
        <w:rPr>
          <w:color w:val="auto"/>
          <w:kern w:val="0"/>
        </w:rPr>
      </w:pPr>
      <w:r>
        <w:rPr>
          <w:color w:val="auto"/>
          <w:kern w:val="0"/>
        </w:rPr>
        <w:t>6）根据演练评估报告中对应急预案的改进建议，由应急预案编制部门按程序对预案进行修订完善。应急演练活动结束后，将应急演练工作方案以及应急演练评估、总结报告等文字资料，以及记录演练实施过程的相关图片、视频、音频等资料归档保存。</w:t>
      </w:r>
    </w:p>
    <w:p>
      <w:pPr>
        <w:wordWrap w:val="0"/>
        <w:adjustRightInd w:val="0"/>
        <w:snapToGrid w:val="0"/>
        <w:ind w:firstLine="560" w:firstLineChars="200"/>
        <w:textAlignment w:val="center"/>
        <w:rPr>
          <w:color w:val="auto"/>
          <w:kern w:val="0"/>
        </w:rPr>
      </w:pPr>
      <w:r>
        <w:rPr>
          <w:color w:val="auto"/>
          <w:kern w:val="0"/>
        </w:rPr>
        <w:t>8）应急演练结束后，组织应急演练的部门（单位）应根据应急演练评估报告、总结报告提出的问题和建议对应急管理工作（包括应急演练工作）进行持续改进。组织应急演练的部门（单位）应督促相关部门和人员，制定整改计划，明确整改目标，制定整改措施，落实整改资金，并应跟踪督查整改情况。</w:t>
      </w:r>
    </w:p>
    <w:p>
      <w:pPr>
        <w:wordWrap w:val="0"/>
        <w:adjustRightInd w:val="0"/>
        <w:snapToGrid w:val="0"/>
        <w:ind w:firstLine="560" w:firstLineChars="200"/>
        <w:textAlignment w:val="center"/>
        <w:rPr>
          <w:color w:val="auto"/>
          <w:kern w:val="0"/>
        </w:rPr>
      </w:pPr>
      <w:r>
        <w:rPr>
          <w:color w:val="auto"/>
          <w:kern w:val="0"/>
        </w:rPr>
        <w:t>9）对主管部门要求备案的应急演练资料，演练组织部门（单位）应将相关资料报主管部门备案。</w:t>
      </w:r>
    </w:p>
    <w:p>
      <w:pPr>
        <w:wordWrap w:val="0"/>
        <w:adjustRightInd w:val="0"/>
        <w:snapToGrid w:val="0"/>
        <w:ind w:firstLine="560" w:firstLineChars="200"/>
        <w:textAlignment w:val="center"/>
        <w:rPr>
          <w:color w:val="auto"/>
          <w:kern w:val="0"/>
        </w:rPr>
      </w:pPr>
      <w:r>
        <w:rPr>
          <w:color w:val="auto"/>
          <w:kern w:val="0"/>
        </w:rPr>
        <w:t>10）每三年应对应急预案进行修订并聘请相关专家进行评审，将相关资料报主管部门备案。</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2</w:t>
      </w:r>
      <w:r>
        <w:rPr>
          <w:color w:val="auto"/>
          <w:kern w:val="0"/>
        </w:rPr>
        <w:t>、安全标准化工作建议</w:t>
      </w:r>
    </w:p>
    <w:p>
      <w:pPr>
        <w:wordWrap w:val="0"/>
        <w:adjustRightInd w:val="0"/>
        <w:snapToGrid w:val="0"/>
        <w:ind w:firstLine="560" w:firstLineChars="200"/>
        <w:textAlignment w:val="center"/>
        <w:rPr>
          <w:color w:val="auto"/>
          <w:kern w:val="0"/>
        </w:rPr>
      </w:pPr>
      <w:r>
        <w:rPr>
          <w:color w:val="auto"/>
          <w:kern w:val="0"/>
        </w:rPr>
        <w:t>1）企业</w:t>
      </w:r>
      <w:r>
        <w:rPr>
          <w:rFonts w:hint="eastAsia"/>
          <w:color w:val="auto"/>
          <w:kern w:val="0"/>
        </w:rPr>
        <w:t>应当开展安全生产标准化工作，</w:t>
      </w:r>
      <w:r>
        <w:rPr>
          <w:color w:val="auto"/>
          <w:kern w:val="0"/>
        </w:rPr>
        <w:t>今后要全面贯彻落实《企业安全生产标准化基本规范》（GB/T33000-2016）、《危险化学品从业单位安全标准化通用规范》（AQ3013-2008），将</w:t>
      </w:r>
      <w:r>
        <w:rPr>
          <w:rFonts w:hint="eastAsia"/>
          <w:color w:val="auto"/>
          <w:kern w:val="0"/>
        </w:rPr>
        <w:t>本项目</w:t>
      </w:r>
      <w:r>
        <w:rPr>
          <w:color w:val="auto"/>
          <w:kern w:val="0"/>
        </w:rPr>
        <w:t>列入标准化管理范畴，并持续开展安全生产标准化工作。</w:t>
      </w:r>
    </w:p>
    <w:p>
      <w:pPr>
        <w:wordWrap w:val="0"/>
        <w:adjustRightInd w:val="0"/>
        <w:snapToGrid w:val="0"/>
        <w:ind w:firstLine="560" w:firstLineChars="200"/>
        <w:textAlignment w:val="center"/>
        <w:rPr>
          <w:color w:val="auto"/>
          <w:kern w:val="0"/>
        </w:rPr>
      </w:pPr>
      <w:r>
        <w:rPr>
          <w:color w:val="auto"/>
          <w:kern w:val="0"/>
        </w:rPr>
        <w:t xml:space="preserve">2）危险化学品从业单位开展安全标准化，应采用计划（P）、实施（D）、检查（C）、改进（A）动态循环、持续改进的管理模式。 </w:t>
      </w:r>
    </w:p>
    <w:p>
      <w:pPr>
        <w:wordWrap w:val="0"/>
        <w:adjustRightInd w:val="0"/>
        <w:snapToGrid w:val="0"/>
        <w:ind w:firstLine="560" w:firstLineChars="200"/>
        <w:textAlignment w:val="center"/>
        <w:rPr>
          <w:color w:val="auto"/>
          <w:kern w:val="0"/>
        </w:rPr>
      </w:pPr>
      <w:r>
        <w:rPr>
          <w:color w:val="auto"/>
          <w:kern w:val="0"/>
        </w:rPr>
        <w:t>3）企业应结合自身特点，依据规范的要求，开展安全标准化。</w:t>
      </w:r>
    </w:p>
    <w:p>
      <w:pPr>
        <w:wordWrap w:val="0"/>
        <w:adjustRightInd w:val="0"/>
        <w:snapToGrid w:val="0"/>
        <w:ind w:firstLine="560" w:firstLineChars="200"/>
        <w:textAlignment w:val="center"/>
        <w:rPr>
          <w:color w:val="auto"/>
          <w:kern w:val="0"/>
        </w:rPr>
      </w:pPr>
      <w:r>
        <w:rPr>
          <w:color w:val="auto"/>
          <w:kern w:val="0"/>
        </w:rPr>
        <w:t xml:space="preserve">4）安全标准化的建设，应当以危险、有害因素辨识和风险评价为基础，树立任何事故都是可以预防的理念，与企业其他方面的管理有机地结合起来，注重科学性、规范性和系统性。 </w:t>
      </w:r>
    </w:p>
    <w:p>
      <w:pPr>
        <w:wordWrap w:val="0"/>
        <w:adjustRightInd w:val="0"/>
        <w:snapToGrid w:val="0"/>
        <w:ind w:firstLine="560" w:firstLineChars="200"/>
        <w:textAlignment w:val="center"/>
        <w:rPr>
          <w:color w:val="auto"/>
          <w:kern w:val="0"/>
        </w:rPr>
      </w:pPr>
      <w:r>
        <w:rPr>
          <w:color w:val="auto"/>
          <w:kern w:val="0"/>
        </w:rPr>
        <w:t>5）安全标准化的实施，应体现全员、全过程、全方位、全天候的安全监督管理原则，通过有效方式实现信息的交流和沟通，不断提高安全意识和安全管理水平。</w:t>
      </w:r>
    </w:p>
    <w:p>
      <w:pPr>
        <w:wordWrap w:val="0"/>
        <w:adjustRightInd w:val="0"/>
        <w:snapToGrid w:val="0"/>
        <w:ind w:firstLine="560" w:firstLineChars="200"/>
        <w:textAlignment w:val="center"/>
        <w:rPr>
          <w:color w:val="auto"/>
          <w:kern w:val="0"/>
        </w:rPr>
      </w:pPr>
      <w:r>
        <w:rPr>
          <w:color w:val="auto"/>
          <w:kern w:val="0"/>
        </w:rPr>
        <w:t>6）安全标准化采取企业自主管理，安全标准化考核机构考评、政府</w:t>
      </w:r>
      <w:r>
        <w:rPr>
          <w:rFonts w:hint="eastAsia"/>
          <w:color w:val="auto"/>
          <w:kern w:val="0"/>
        </w:rPr>
        <w:t>应急管理部门</w:t>
      </w:r>
      <w:r>
        <w:rPr>
          <w:color w:val="auto"/>
          <w:kern w:val="0"/>
        </w:rPr>
        <w:t>监督的管理模式，持续改进企业的安全绩效，实现安全生产长效机制。</w:t>
      </w:r>
    </w:p>
    <w:p>
      <w:pPr>
        <w:wordWrap w:val="0"/>
        <w:adjustRightInd w:val="0"/>
        <w:snapToGrid w:val="0"/>
        <w:ind w:firstLine="560" w:firstLineChars="200"/>
        <w:textAlignment w:val="center"/>
        <w:rPr>
          <w:color w:val="auto"/>
          <w:kern w:val="0"/>
        </w:rPr>
      </w:pPr>
      <w:r>
        <w:rPr>
          <w:color w:val="auto"/>
          <w:kern w:val="0"/>
        </w:rPr>
        <w:t>7）高层领导、企业各级领导要高度承诺、支持、参与。</w:t>
      </w:r>
    </w:p>
    <w:p>
      <w:pPr>
        <w:wordWrap w:val="0"/>
        <w:adjustRightInd w:val="0"/>
        <w:snapToGrid w:val="0"/>
        <w:ind w:firstLine="560" w:firstLineChars="200"/>
        <w:textAlignment w:val="center"/>
        <w:rPr>
          <w:color w:val="auto"/>
          <w:kern w:val="0"/>
        </w:rPr>
      </w:pPr>
      <w:r>
        <w:rPr>
          <w:color w:val="auto"/>
          <w:kern w:val="0"/>
        </w:rPr>
        <w:t>8）加强宣传、教育及培训；提高安全意识、技能；全员参与风险评价，消除隐患及不安全行为。</w:t>
      </w:r>
    </w:p>
    <w:p>
      <w:pPr>
        <w:wordWrap w:val="0"/>
        <w:adjustRightInd w:val="0"/>
        <w:snapToGrid w:val="0"/>
        <w:ind w:firstLine="560" w:firstLineChars="200"/>
        <w:textAlignment w:val="center"/>
        <w:rPr>
          <w:color w:val="auto"/>
          <w:kern w:val="0"/>
        </w:rPr>
      </w:pPr>
      <w:r>
        <w:rPr>
          <w:rFonts w:hint="eastAsia"/>
          <w:color w:val="auto"/>
          <w:kern w:val="0"/>
        </w:rPr>
        <w:t>13、本项目106甲类仓库西北侧10m处原有一栋闲置建筑（已停用），与本项目106甲类仓库安全间距不足，虽然企业已废置停用，但考虑其位置及安全间距不符合相关法律法规要求，建议企业尽早对其进行拆除。</w:t>
      </w:r>
    </w:p>
    <w:p>
      <w:pPr>
        <w:wordWrap w:val="0"/>
        <w:adjustRightInd w:val="0"/>
        <w:snapToGrid w:val="0"/>
        <w:ind w:firstLine="560" w:firstLineChars="200"/>
        <w:textAlignment w:val="center"/>
        <w:rPr>
          <w:color w:val="auto"/>
          <w:kern w:val="0"/>
        </w:rPr>
      </w:pPr>
      <w:r>
        <w:rPr>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266" w:name="_Toc14680"/>
      <w:bookmarkStart w:id="267" w:name="_Toc14859"/>
      <w:bookmarkStart w:id="268" w:name="_Toc3700"/>
      <w:r>
        <w:rPr>
          <w:rFonts w:hint="eastAsia"/>
          <w:color w:val="auto"/>
          <w:kern w:val="0"/>
          <w:sz w:val="32"/>
          <w:szCs w:val="32"/>
        </w:rPr>
        <w:t>7 评价结论</w:t>
      </w:r>
      <w:bookmarkEnd w:id="266"/>
      <w:bookmarkEnd w:id="267"/>
      <w:bookmarkEnd w:id="268"/>
    </w:p>
    <w:p>
      <w:pPr>
        <w:wordWrap w:val="0"/>
        <w:adjustRightInd w:val="0"/>
        <w:snapToGrid w:val="0"/>
        <w:jc w:val="center"/>
        <w:textAlignment w:val="center"/>
        <w:outlineLvl w:val="1"/>
        <w:rPr>
          <w:b/>
          <w:bCs/>
          <w:color w:val="auto"/>
          <w:kern w:val="0"/>
        </w:rPr>
      </w:pPr>
      <w:bookmarkStart w:id="269" w:name="_Toc7923"/>
      <w:bookmarkStart w:id="270" w:name="_Toc24255"/>
      <w:bookmarkStart w:id="271" w:name="_Toc20919"/>
      <w:r>
        <w:rPr>
          <w:rFonts w:hint="eastAsia"/>
          <w:b/>
          <w:bCs/>
          <w:color w:val="auto"/>
          <w:kern w:val="0"/>
        </w:rPr>
        <w:t xml:space="preserve">7.1 </w:t>
      </w:r>
      <w:r>
        <w:rPr>
          <w:b/>
          <w:bCs/>
          <w:color w:val="auto"/>
          <w:kern w:val="0"/>
        </w:rPr>
        <w:t>危险、有害因素辨识结果</w:t>
      </w:r>
      <w:bookmarkEnd w:id="269"/>
      <w:bookmarkEnd w:id="270"/>
      <w:bookmarkEnd w:id="271"/>
    </w:p>
    <w:p>
      <w:pPr>
        <w:wordWrap w:val="0"/>
        <w:adjustRightInd w:val="0"/>
        <w:snapToGrid w:val="0"/>
        <w:ind w:firstLine="560" w:firstLineChars="200"/>
        <w:textAlignment w:val="center"/>
        <w:rPr>
          <w:color w:val="auto"/>
          <w:kern w:val="0"/>
        </w:rPr>
      </w:pPr>
      <w:r>
        <w:rPr>
          <w:rFonts w:hint="eastAsia"/>
          <w:color w:val="auto"/>
          <w:kern w:val="0"/>
        </w:rPr>
        <w:t>江西景新漆业股份有限公司安全生产设施技术改造项目（106甲类仓库）本次评价</w:t>
      </w:r>
      <w:r>
        <w:rPr>
          <w:color w:val="auto"/>
          <w:kern w:val="0"/>
        </w:rPr>
        <w:t>涉及的</w:t>
      </w:r>
      <w:r>
        <w:rPr>
          <w:rFonts w:hint="eastAsia"/>
          <w:color w:val="auto"/>
          <w:kern w:val="0"/>
        </w:rPr>
        <w:t>物料有丙烯酸乳液、环氧树脂、环氧树脂固化剂、溶剂型丙烯酸树脂、聚氨酯树脂、氟碳树脂、二甲苯、醋酸丁酯、正丁醇丙二醇、丙二醇单丁醚等；涉及的产品有：丙烯酸树脂涂料、聚氨酯树脂涂料、环氧树脂涂料、氟碳树脂涂料。根据《危险化学品目录》（20</w:t>
      </w:r>
      <w:r>
        <w:rPr>
          <w:color w:val="auto"/>
          <w:kern w:val="0"/>
        </w:rPr>
        <w:t>22</w:t>
      </w:r>
      <w:r>
        <w:rPr>
          <w:rFonts w:hint="eastAsia"/>
          <w:color w:val="auto"/>
          <w:kern w:val="0"/>
        </w:rPr>
        <w:t>版），涉及的主要危险化学品有：环氧树脂、环氧树脂固化剂、溶剂型丙烯酸树脂、聚氨酯树脂、氟碳树脂、二甲苯、醋酸丁酯、正丁醇、丙烯酸树脂涂料、聚氨酯树脂涂料、环氧树脂涂料、氟碳树脂涂料等。本项目</w:t>
      </w:r>
      <w:r>
        <w:rPr>
          <w:color w:val="auto"/>
          <w:kern w:val="0"/>
        </w:rPr>
        <w:t>的危险因素以火灾、爆炸等</w:t>
      </w:r>
      <w:r>
        <w:rPr>
          <w:rFonts w:hint="eastAsia"/>
          <w:color w:val="auto"/>
          <w:kern w:val="0"/>
        </w:rPr>
        <w:t>为主</w:t>
      </w:r>
      <w:r>
        <w:rPr>
          <w:color w:val="auto"/>
          <w:kern w:val="0"/>
        </w:rPr>
        <w:t>，此外还存在中毒窒息</w:t>
      </w:r>
      <w:r>
        <w:rPr>
          <w:rFonts w:hint="eastAsia"/>
          <w:color w:val="auto"/>
          <w:kern w:val="0"/>
        </w:rPr>
        <w:t>、灼烫</w:t>
      </w:r>
      <w:r>
        <w:rPr>
          <w:color w:val="auto"/>
          <w:kern w:val="0"/>
        </w:rPr>
        <w:t>、触电</w:t>
      </w:r>
      <w:r>
        <w:rPr>
          <w:rFonts w:hint="eastAsia"/>
          <w:color w:val="auto"/>
          <w:kern w:val="0"/>
        </w:rPr>
        <w:t>、</w:t>
      </w:r>
      <w:r>
        <w:rPr>
          <w:color w:val="auto"/>
          <w:kern w:val="0"/>
        </w:rPr>
        <w:t>车辆伤害</w:t>
      </w:r>
      <w:r>
        <w:rPr>
          <w:rFonts w:hint="eastAsia"/>
          <w:color w:val="auto"/>
          <w:kern w:val="0"/>
        </w:rPr>
        <w:t>、坍塌以及噪声、高温与热辐射</w:t>
      </w:r>
      <w:r>
        <w:rPr>
          <w:color w:val="auto"/>
          <w:kern w:val="0"/>
        </w:rPr>
        <w:t>等危险、有害因素。</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本项目不</w:t>
      </w:r>
      <w:r>
        <w:rPr>
          <w:color w:val="auto"/>
          <w:kern w:val="0"/>
        </w:rPr>
        <w:t>涉及重点监管危险化学品</w:t>
      </w:r>
      <w:r>
        <w:rPr>
          <w:rFonts w:hint="eastAsia"/>
          <w:color w:val="auto"/>
          <w:kern w:val="0"/>
        </w:rPr>
        <w:t>，不</w:t>
      </w:r>
      <w:r>
        <w:rPr>
          <w:color w:val="auto"/>
          <w:kern w:val="0"/>
        </w:rPr>
        <w:t>涉及重点监管的危险化工工艺。</w:t>
      </w:r>
      <w:r>
        <w:rPr>
          <w:rFonts w:hint="eastAsia"/>
          <w:color w:val="auto"/>
          <w:kern w:val="0"/>
        </w:rPr>
        <w:t>不</w:t>
      </w:r>
      <w:r>
        <w:rPr>
          <w:color w:val="auto"/>
          <w:kern w:val="0"/>
        </w:rPr>
        <w:t>涉及易制毒化学品</w:t>
      </w:r>
      <w:r>
        <w:rPr>
          <w:rFonts w:hint="eastAsia"/>
          <w:color w:val="auto"/>
          <w:kern w:val="0"/>
        </w:rPr>
        <w:t>、易制爆化学品、</w:t>
      </w:r>
      <w:r>
        <w:rPr>
          <w:color w:val="auto"/>
          <w:kern w:val="0"/>
        </w:rPr>
        <w:t>高毒物品</w:t>
      </w:r>
      <w:r>
        <w:rPr>
          <w:rFonts w:hint="eastAsia"/>
          <w:color w:val="auto"/>
          <w:kern w:val="0"/>
        </w:rPr>
        <w:t>、</w:t>
      </w:r>
      <w:r>
        <w:rPr>
          <w:color w:val="auto"/>
          <w:kern w:val="0"/>
        </w:rPr>
        <w:t>监控化学品、剧毒化学品。</w:t>
      </w:r>
    </w:p>
    <w:p>
      <w:pPr>
        <w:wordWrap w:val="0"/>
        <w:adjustRightInd w:val="0"/>
        <w:snapToGrid w:val="0"/>
        <w:ind w:firstLine="560" w:firstLineChars="200"/>
        <w:jc w:val="left"/>
        <w:textAlignment w:val="center"/>
        <w:rPr>
          <w:color w:val="auto"/>
          <w:kern w:val="0"/>
        </w:rPr>
      </w:pPr>
      <w:r>
        <w:rPr>
          <w:color w:val="auto"/>
          <w:kern w:val="0"/>
        </w:rPr>
        <w:t>3、根据《危险化学品重大危险源辩识》GB18218-2018辩识结果，</w:t>
      </w:r>
      <w:r>
        <w:rPr>
          <w:rFonts w:cs="Times New Roman"/>
          <w:color w:val="auto"/>
          <w:kern w:val="0"/>
          <w:szCs w:val="28"/>
        </w:rPr>
        <w:t>本项目不构成重大危险源</w:t>
      </w:r>
      <w:r>
        <w:rPr>
          <w:color w:val="auto"/>
          <w:kern w:val="0"/>
        </w:rPr>
        <w:t>。</w:t>
      </w:r>
    </w:p>
    <w:p>
      <w:pPr>
        <w:wordWrap w:val="0"/>
        <w:adjustRightInd w:val="0"/>
        <w:snapToGrid w:val="0"/>
        <w:ind w:firstLine="560" w:firstLineChars="200"/>
        <w:textAlignment w:val="center"/>
        <w:rPr>
          <w:color w:val="auto"/>
          <w:kern w:val="0"/>
        </w:rPr>
      </w:pPr>
      <w:r>
        <w:rPr>
          <w:color w:val="auto"/>
          <w:kern w:val="0"/>
        </w:rPr>
        <w:t>4、通过危险度评价可以看出</w:t>
      </w:r>
      <w:r>
        <w:rPr>
          <w:rFonts w:hint="eastAsia"/>
          <w:color w:val="auto"/>
          <w:kern w:val="0"/>
        </w:rPr>
        <w:t>本项目106甲类仓库的</w:t>
      </w:r>
      <w:r>
        <w:rPr>
          <w:color w:val="auto"/>
          <w:kern w:val="0"/>
        </w:rPr>
        <w:t>总分值为7分，为</w:t>
      </w:r>
      <w:r>
        <w:rPr>
          <w:rFonts w:hint="eastAsia"/>
          <w:color w:val="auto"/>
          <w:kern w:val="0"/>
        </w:rPr>
        <w:t>Ⅲ</w:t>
      </w:r>
      <w:r>
        <w:rPr>
          <w:color w:val="auto"/>
          <w:kern w:val="0"/>
        </w:rPr>
        <w:t>级，属</w:t>
      </w:r>
      <w:r>
        <w:rPr>
          <w:rFonts w:hint="eastAsia"/>
          <w:color w:val="auto"/>
          <w:kern w:val="0"/>
        </w:rPr>
        <w:t>低</w:t>
      </w:r>
      <w:r>
        <w:rPr>
          <w:color w:val="auto"/>
          <w:kern w:val="0"/>
        </w:rPr>
        <w:t>度危险</w:t>
      </w:r>
      <w:r>
        <w:rPr>
          <w:rFonts w:hint="eastAsia"/>
          <w:color w:val="auto"/>
          <w:kern w:val="0"/>
        </w:rPr>
        <w:t>。</w:t>
      </w:r>
    </w:p>
    <w:p>
      <w:pPr>
        <w:wordWrap w:val="0"/>
        <w:adjustRightInd w:val="0"/>
        <w:snapToGrid w:val="0"/>
        <w:ind w:firstLine="560" w:firstLineChars="200"/>
        <w:textAlignment w:val="center"/>
        <w:rPr>
          <w:color w:val="auto"/>
          <w:kern w:val="0"/>
        </w:rPr>
      </w:pPr>
      <w:r>
        <w:rPr>
          <w:color w:val="auto"/>
          <w:kern w:val="0"/>
        </w:rPr>
        <w:t>5、根据作业条件危险性分析结果：106甲类仓库内存在火灾爆炸、中毒窒息、灼烫、车辆伤害、触电、坍塌火灾、触电、车辆伤害等危险有害因素，其中火灾爆炸属于均属于“可能危险，需要注意”，应在生产作业过程中加强管理；其他作业相对比较安全。</w:t>
      </w:r>
    </w:p>
    <w:p>
      <w:pPr>
        <w:wordWrap w:val="0"/>
        <w:adjustRightInd w:val="0"/>
        <w:snapToGrid w:val="0"/>
        <w:jc w:val="center"/>
        <w:textAlignment w:val="center"/>
        <w:outlineLvl w:val="1"/>
        <w:rPr>
          <w:b/>
          <w:bCs/>
          <w:color w:val="auto"/>
          <w:kern w:val="0"/>
        </w:rPr>
      </w:pPr>
      <w:bookmarkStart w:id="272" w:name="_Toc7875"/>
      <w:bookmarkStart w:id="273" w:name="_Toc14942"/>
      <w:bookmarkStart w:id="274" w:name="_Toc31307"/>
      <w:r>
        <w:rPr>
          <w:rFonts w:hint="eastAsia"/>
          <w:b/>
          <w:bCs/>
          <w:color w:val="auto"/>
          <w:kern w:val="0"/>
        </w:rPr>
        <w:t xml:space="preserve">7.2 </w:t>
      </w:r>
      <w:r>
        <w:rPr>
          <w:b/>
          <w:bCs/>
          <w:color w:val="auto"/>
          <w:kern w:val="0"/>
        </w:rPr>
        <w:t>符合性评价结果</w:t>
      </w:r>
      <w:bookmarkEnd w:id="272"/>
      <w:bookmarkEnd w:id="273"/>
      <w:bookmarkEnd w:id="274"/>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按照建设项目安全设施“三同时”的要求，进行了立项，进行了</w:t>
      </w:r>
      <w:r>
        <w:rPr>
          <w:rFonts w:hint="eastAsia"/>
          <w:color w:val="auto"/>
          <w:kern w:val="0"/>
        </w:rPr>
        <w:t>安全预评价</w:t>
      </w:r>
      <w:r>
        <w:rPr>
          <w:color w:val="auto"/>
          <w:kern w:val="0"/>
        </w:rPr>
        <w:t>、安全设施设计，并已通过</w:t>
      </w:r>
      <w:r>
        <w:rPr>
          <w:rFonts w:hint="eastAsia"/>
          <w:color w:val="auto"/>
          <w:kern w:val="0"/>
        </w:rPr>
        <w:t>专家评审</w:t>
      </w:r>
      <w:r>
        <w:rPr>
          <w:color w:val="auto"/>
          <w:kern w:val="0"/>
        </w:rPr>
        <w:t>；由具有资质的单位设计、施工安装，在设计、施工过程中能够按照设立安全评价报告、安全设施设计的要求及国家相关法规、标准、规范的要求进行，对项目存在的危险因素采取了切实可行的安全对策措施，采用先进工艺，加上科学有效的安全管理，可以预防、控制危险、有害因素转化为事故。</w:t>
      </w:r>
    </w:p>
    <w:p>
      <w:pPr>
        <w:wordWrap w:val="0"/>
        <w:adjustRightInd w:val="0"/>
        <w:snapToGrid w:val="0"/>
        <w:ind w:firstLine="560" w:firstLineChars="200"/>
        <w:textAlignment w:val="center"/>
        <w:rPr>
          <w:color w:val="auto"/>
          <w:kern w:val="0"/>
        </w:rPr>
      </w:pPr>
      <w:r>
        <w:rPr>
          <w:color w:val="auto"/>
          <w:kern w:val="0"/>
        </w:rPr>
        <w:t>1、产业政策、规划、准入条件</w:t>
      </w:r>
    </w:p>
    <w:p>
      <w:pPr>
        <w:wordWrap w:val="0"/>
        <w:adjustRightInd w:val="0"/>
        <w:snapToGrid w:val="0"/>
        <w:ind w:firstLine="560" w:firstLineChars="200"/>
        <w:textAlignment w:val="center"/>
        <w:rPr>
          <w:color w:val="auto"/>
          <w:kern w:val="0"/>
        </w:rPr>
      </w:pPr>
      <w:r>
        <w:rPr>
          <w:color w:val="auto"/>
          <w:kern w:val="0"/>
        </w:rPr>
        <w:t>对比中华人民共和国国家发展和改革委员会令第29号《产业结构调整指导目录（</w:t>
      </w:r>
      <w:r>
        <w:rPr>
          <w:rFonts w:hint="eastAsia"/>
          <w:color w:val="auto"/>
          <w:kern w:val="0"/>
        </w:rPr>
        <w:t>2019</w:t>
      </w:r>
      <w:r>
        <w:rPr>
          <w:color w:val="auto"/>
          <w:kern w:val="0"/>
        </w:rPr>
        <w:t>年）》（20</w:t>
      </w:r>
      <w:r>
        <w:rPr>
          <w:rFonts w:hint="eastAsia"/>
          <w:color w:val="auto"/>
          <w:kern w:val="0"/>
        </w:rPr>
        <w:t>21</w:t>
      </w:r>
      <w:r>
        <w:rPr>
          <w:color w:val="auto"/>
          <w:kern w:val="0"/>
        </w:rPr>
        <w:t>年</w:t>
      </w:r>
      <w:r>
        <w:rPr>
          <w:rFonts w:hint="eastAsia"/>
          <w:color w:val="auto"/>
          <w:kern w:val="0"/>
        </w:rPr>
        <w:t>第4</w:t>
      </w:r>
      <w:r>
        <w:rPr>
          <w:color w:val="auto"/>
          <w:kern w:val="0"/>
        </w:rPr>
        <w:t>9</w:t>
      </w:r>
      <w:r>
        <w:rPr>
          <w:rFonts w:hint="eastAsia"/>
          <w:color w:val="auto"/>
          <w:kern w:val="0"/>
        </w:rPr>
        <w:t>号修改</w:t>
      </w:r>
      <w:r>
        <w:rPr>
          <w:color w:val="auto"/>
          <w:kern w:val="0"/>
        </w:rPr>
        <w:t>）的要求，</w:t>
      </w:r>
      <w:r>
        <w:rPr>
          <w:rFonts w:hint="eastAsia"/>
          <w:color w:val="auto"/>
          <w:kern w:val="0"/>
        </w:rPr>
        <w:t>本项目</w:t>
      </w:r>
      <w:r>
        <w:rPr>
          <w:color w:val="auto"/>
          <w:kern w:val="0"/>
        </w:rPr>
        <w:t>不属于限制和淘汰类。</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建设取得了发展和改革委员会立项批复、建设工程规划许可证，符合国家的行业政策。</w:t>
      </w:r>
      <w:r>
        <w:rPr>
          <w:rFonts w:hint="eastAsia"/>
          <w:color w:val="auto"/>
          <w:kern w:val="0"/>
        </w:rPr>
        <w:t>本项目</w:t>
      </w:r>
      <w:r>
        <w:rPr>
          <w:color w:val="auto"/>
          <w:kern w:val="0"/>
        </w:rPr>
        <w:t>建设符合国家和当地政府产业政策与布局。</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位于江西</w:t>
      </w:r>
      <w:r>
        <w:rPr>
          <w:rFonts w:hint="eastAsia"/>
          <w:color w:val="auto"/>
          <w:kern w:val="0"/>
        </w:rPr>
        <w:t>丰城市高新技术产业园区内</w:t>
      </w:r>
      <w:r>
        <w:rPr>
          <w:color w:val="auto"/>
          <w:kern w:val="0"/>
        </w:rPr>
        <w:t>，项目符合园区产业政策及园区安全规划。</w:t>
      </w:r>
    </w:p>
    <w:p>
      <w:pPr>
        <w:wordWrap w:val="0"/>
        <w:adjustRightInd w:val="0"/>
        <w:snapToGrid w:val="0"/>
        <w:ind w:firstLine="560" w:firstLineChars="200"/>
        <w:textAlignment w:val="center"/>
        <w:rPr>
          <w:color w:val="auto"/>
          <w:kern w:val="0"/>
        </w:rPr>
      </w:pPr>
      <w:r>
        <w:rPr>
          <w:color w:val="auto"/>
          <w:kern w:val="0"/>
        </w:rPr>
        <w:t>2、项目设计、施工、建设合法性</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按照建设项目安全设施“三同时”的要求，进行了立项，进行了</w:t>
      </w:r>
      <w:r>
        <w:rPr>
          <w:rFonts w:hint="eastAsia"/>
          <w:color w:val="auto"/>
          <w:kern w:val="0"/>
        </w:rPr>
        <w:t>安全预评价</w:t>
      </w:r>
      <w:r>
        <w:rPr>
          <w:color w:val="auto"/>
          <w:kern w:val="0"/>
        </w:rPr>
        <w:t>、安全设施设计，并已通过</w:t>
      </w:r>
      <w:r>
        <w:rPr>
          <w:rFonts w:hint="eastAsia"/>
          <w:color w:val="auto"/>
          <w:kern w:val="0"/>
        </w:rPr>
        <w:t>专家评审</w:t>
      </w:r>
      <w:r>
        <w:rPr>
          <w:color w:val="auto"/>
          <w:kern w:val="0"/>
        </w:rPr>
        <w:t>；由具有资质的单位设计、施工安装。</w:t>
      </w:r>
    </w:p>
    <w:p>
      <w:pPr>
        <w:wordWrap w:val="0"/>
        <w:adjustRightInd w:val="0"/>
        <w:snapToGrid w:val="0"/>
        <w:ind w:firstLine="560" w:firstLineChars="200"/>
        <w:textAlignment w:val="center"/>
        <w:rPr>
          <w:color w:val="auto"/>
          <w:kern w:val="0"/>
        </w:rPr>
      </w:pPr>
      <w:r>
        <w:rPr>
          <w:color w:val="auto"/>
          <w:kern w:val="0"/>
        </w:rPr>
        <w:t>3、选址及与厂外民居、公共设施、企业的间距</w:t>
      </w:r>
    </w:p>
    <w:p>
      <w:pPr>
        <w:wordWrap w:val="0"/>
        <w:adjustRightInd w:val="0"/>
        <w:snapToGrid w:val="0"/>
        <w:ind w:firstLine="560" w:firstLineChars="200"/>
        <w:textAlignment w:val="center"/>
        <w:rPr>
          <w:color w:val="auto"/>
          <w:kern w:val="0"/>
        </w:rPr>
      </w:pPr>
      <w:r>
        <w:rPr>
          <w:rFonts w:hint="eastAsia"/>
          <w:color w:val="auto"/>
          <w:kern w:val="0"/>
        </w:rPr>
        <w:t>本项目</w:t>
      </w:r>
      <w:r>
        <w:rPr>
          <w:color w:val="auto"/>
          <w:kern w:val="0"/>
        </w:rPr>
        <w:t>厂址与民居的</w:t>
      </w:r>
      <w:r>
        <w:rPr>
          <w:rFonts w:hint="eastAsia"/>
          <w:color w:val="auto"/>
          <w:kern w:val="0"/>
        </w:rPr>
        <w:t>外部安全防护</w:t>
      </w:r>
      <w:r>
        <w:rPr>
          <w:color w:val="auto"/>
          <w:kern w:val="0"/>
        </w:rPr>
        <w:t>距离满足距离的要求，与相邻的企业、道路、公共设施等的距离满足相关标准、规范的要求。</w:t>
      </w:r>
    </w:p>
    <w:p>
      <w:pPr>
        <w:wordWrap w:val="0"/>
        <w:adjustRightInd w:val="0"/>
        <w:snapToGrid w:val="0"/>
        <w:ind w:firstLine="560" w:firstLineChars="200"/>
        <w:textAlignment w:val="center"/>
        <w:rPr>
          <w:color w:val="auto"/>
          <w:kern w:val="0"/>
        </w:rPr>
      </w:pPr>
      <w:r>
        <w:rPr>
          <w:color w:val="auto"/>
          <w:kern w:val="0"/>
        </w:rPr>
        <w:t>4、总平面布置</w:t>
      </w:r>
    </w:p>
    <w:p>
      <w:pPr>
        <w:wordWrap w:val="0"/>
        <w:adjustRightInd w:val="0"/>
        <w:snapToGrid w:val="0"/>
        <w:ind w:firstLine="560" w:firstLineChars="200"/>
        <w:textAlignment w:val="center"/>
        <w:rPr>
          <w:color w:val="auto"/>
          <w:kern w:val="0"/>
        </w:rPr>
      </w:pPr>
      <w:r>
        <w:rPr>
          <w:color w:val="auto"/>
          <w:kern w:val="0"/>
        </w:rPr>
        <w:t>总平面布置、设备布置、厂内道路、消防车道、管道敷设等的布置符合规范规定，建构筑物之间的距离满足防火距离要求。</w:t>
      </w:r>
    </w:p>
    <w:p>
      <w:pPr>
        <w:wordWrap w:val="0"/>
        <w:adjustRightInd w:val="0"/>
        <w:snapToGrid w:val="0"/>
        <w:ind w:firstLine="560" w:firstLineChars="200"/>
        <w:textAlignment w:val="center"/>
        <w:rPr>
          <w:color w:val="auto"/>
          <w:kern w:val="0"/>
        </w:rPr>
      </w:pPr>
      <w:r>
        <w:rPr>
          <w:color w:val="auto"/>
          <w:kern w:val="0"/>
        </w:rPr>
        <w:t>5、建（构）筑物</w:t>
      </w:r>
    </w:p>
    <w:p>
      <w:pPr>
        <w:wordWrap w:val="0"/>
        <w:adjustRightInd w:val="0"/>
        <w:snapToGrid w:val="0"/>
        <w:ind w:firstLine="560" w:firstLineChars="200"/>
        <w:textAlignment w:val="center"/>
        <w:rPr>
          <w:color w:val="auto"/>
          <w:kern w:val="0"/>
        </w:rPr>
      </w:pPr>
      <w:r>
        <w:rPr>
          <w:rFonts w:hint="eastAsia"/>
          <w:color w:val="auto"/>
          <w:kern w:val="0"/>
        </w:rPr>
        <w:t>本项目106甲类仓库</w:t>
      </w:r>
      <w:r>
        <w:rPr>
          <w:color w:val="auto"/>
          <w:kern w:val="0"/>
        </w:rPr>
        <w:t>耐火等级</w:t>
      </w:r>
      <w:r>
        <w:rPr>
          <w:rFonts w:hint="eastAsia"/>
          <w:color w:val="auto"/>
          <w:kern w:val="0"/>
        </w:rPr>
        <w:t>为</w:t>
      </w:r>
      <w:r>
        <w:rPr>
          <w:color w:val="auto"/>
          <w:kern w:val="0"/>
        </w:rPr>
        <w:t>二级，充分利用自然采光、通风，设置相应的疏散通道，火灾爆炸环境采取了相应的防火防爆措施，符合相关规范、标准的要求。</w:t>
      </w:r>
    </w:p>
    <w:p>
      <w:pPr>
        <w:wordWrap w:val="0"/>
        <w:adjustRightInd w:val="0"/>
        <w:snapToGrid w:val="0"/>
        <w:ind w:firstLine="560" w:firstLineChars="200"/>
        <w:textAlignment w:val="center"/>
        <w:rPr>
          <w:color w:val="auto"/>
          <w:kern w:val="0"/>
        </w:rPr>
      </w:pPr>
      <w:r>
        <w:rPr>
          <w:color w:val="auto"/>
          <w:kern w:val="0"/>
        </w:rPr>
        <w:t>6、设备、设施</w:t>
      </w:r>
    </w:p>
    <w:p>
      <w:pPr>
        <w:wordWrap w:val="0"/>
        <w:adjustRightInd w:val="0"/>
        <w:snapToGrid w:val="0"/>
        <w:ind w:firstLine="560" w:firstLineChars="200"/>
        <w:textAlignment w:val="center"/>
        <w:rPr>
          <w:color w:val="auto"/>
          <w:kern w:val="0"/>
        </w:rPr>
      </w:pPr>
      <w:r>
        <w:rPr>
          <w:color w:val="auto"/>
          <w:kern w:val="0"/>
        </w:rPr>
        <w:t>无国家明令淘汰的设备，安全设备、设施齐全，检测仪器、仪表定期进行了校验，按规定设置了防雷、防静电接地，火灾、爆炸危险环境电机按要求采用防爆或隔爆型等。工艺管理及设备设施基本符合规范的要求。</w:t>
      </w:r>
    </w:p>
    <w:p>
      <w:pPr>
        <w:wordWrap w:val="0"/>
        <w:adjustRightInd w:val="0"/>
        <w:snapToGrid w:val="0"/>
        <w:ind w:firstLine="560" w:firstLineChars="200"/>
        <w:textAlignment w:val="center"/>
        <w:rPr>
          <w:color w:val="auto"/>
          <w:kern w:val="0"/>
        </w:rPr>
      </w:pPr>
      <w:r>
        <w:rPr>
          <w:color w:val="auto"/>
          <w:kern w:val="0"/>
        </w:rPr>
        <w:t>7、安全管理</w:t>
      </w:r>
    </w:p>
    <w:p>
      <w:pPr>
        <w:wordWrap w:val="0"/>
        <w:adjustRightInd w:val="0"/>
        <w:snapToGrid w:val="0"/>
        <w:ind w:firstLine="560" w:firstLineChars="200"/>
        <w:textAlignment w:val="center"/>
        <w:rPr>
          <w:color w:val="auto"/>
          <w:kern w:val="0"/>
        </w:rPr>
      </w:pPr>
      <w:r>
        <w:rPr>
          <w:color w:val="auto"/>
          <w:kern w:val="0"/>
        </w:rPr>
        <w:t>1）企业成立了安全管理组织机构，建立了较完善安全管理体系，制订了各级各类人员的安全生产责任制、各类安全管理制度和岗位安全操作规程；主要负责人、安全管理人员经</w:t>
      </w:r>
      <w:r>
        <w:rPr>
          <w:rFonts w:hint="eastAsia"/>
          <w:color w:val="auto"/>
          <w:kern w:val="0"/>
        </w:rPr>
        <w:t>应急管理部门</w:t>
      </w:r>
      <w:r>
        <w:rPr>
          <w:color w:val="auto"/>
          <w:kern w:val="0"/>
        </w:rPr>
        <w:t>培训考核合格，取得了安全生产管理资格证；领导安全意识较强，重视安全生产工作，注重提高员工素质，从业人员和特种作业人员经培训考核合格，持证上岗。</w:t>
      </w:r>
    </w:p>
    <w:p>
      <w:pPr>
        <w:wordWrap w:val="0"/>
        <w:adjustRightInd w:val="0"/>
        <w:snapToGrid w:val="0"/>
        <w:ind w:firstLine="560" w:firstLineChars="200"/>
        <w:textAlignment w:val="center"/>
        <w:rPr>
          <w:color w:val="auto"/>
          <w:kern w:val="0"/>
        </w:rPr>
      </w:pPr>
      <w:r>
        <w:rPr>
          <w:color w:val="auto"/>
          <w:kern w:val="0"/>
        </w:rPr>
        <w:t>2）安全生产管理制度执行基本到位，现场检查无违章现象。</w:t>
      </w:r>
    </w:p>
    <w:p>
      <w:pPr>
        <w:wordWrap w:val="0"/>
        <w:adjustRightInd w:val="0"/>
        <w:snapToGrid w:val="0"/>
        <w:ind w:firstLine="560" w:firstLineChars="200"/>
        <w:textAlignment w:val="center"/>
        <w:rPr>
          <w:color w:val="auto"/>
          <w:kern w:val="0"/>
        </w:rPr>
      </w:pPr>
      <w:r>
        <w:rPr>
          <w:color w:val="auto"/>
          <w:kern w:val="0"/>
        </w:rPr>
        <w:t>8、事故应急</w:t>
      </w:r>
    </w:p>
    <w:p>
      <w:pPr>
        <w:wordWrap w:val="0"/>
        <w:adjustRightInd w:val="0"/>
        <w:snapToGrid w:val="0"/>
        <w:ind w:firstLine="560" w:firstLineChars="200"/>
        <w:textAlignment w:val="center"/>
        <w:rPr>
          <w:color w:val="auto"/>
          <w:kern w:val="0"/>
        </w:rPr>
      </w:pPr>
      <w:r>
        <w:rPr>
          <w:color w:val="auto"/>
          <w:kern w:val="0"/>
        </w:rPr>
        <w:t>公司编制并印发了《</w:t>
      </w:r>
      <w:r>
        <w:rPr>
          <w:rFonts w:hint="eastAsia"/>
          <w:color w:val="auto"/>
          <w:kern w:val="0"/>
        </w:rPr>
        <w:t>江西景新漆业股份有限公司</w:t>
      </w:r>
      <w:r>
        <w:rPr>
          <w:color w:val="auto"/>
          <w:kern w:val="0"/>
        </w:rPr>
        <w:t>应急预案》。</w:t>
      </w:r>
      <w:r>
        <w:rPr>
          <w:rFonts w:hint="eastAsia"/>
          <w:color w:val="auto"/>
          <w:kern w:val="0"/>
        </w:rPr>
        <w:t>该</w:t>
      </w:r>
      <w:r>
        <w:rPr>
          <w:color w:val="auto"/>
          <w:kern w:val="0"/>
        </w:rPr>
        <w:t>预案于</w:t>
      </w:r>
      <w:r>
        <w:rPr>
          <w:rFonts w:hint="eastAsia"/>
          <w:color w:val="auto"/>
          <w:kern w:val="0"/>
        </w:rPr>
        <w:t>2023年3月8日在丰城市应急管理局备案，备案编号为3609812023C00002。</w:t>
      </w:r>
    </w:p>
    <w:p>
      <w:pPr>
        <w:wordWrap w:val="0"/>
        <w:adjustRightInd w:val="0"/>
        <w:snapToGrid w:val="0"/>
        <w:ind w:firstLine="560" w:firstLineChars="200"/>
        <w:textAlignment w:val="center"/>
        <w:rPr>
          <w:color w:val="auto"/>
          <w:kern w:val="0"/>
        </w:rPr>
      </w:pPr>
      <w:r>
        <w:rPr>
          <w:color w:val="auto"/>
          <w:kern w:val="0"/>
        </w:rPr>
        <w:t>企业根据预案要求，定期开展应急救援演练，并对演练效果进行评审，对演练中存在问题提出改进措施。</w:t>
      </w:r>
    </w:p>
    <w:p>
      <w:pPr>
        <w:wordWrap w:val="0"/>
        <w:adjustRightInd w:val="0"/>
        <w:snapToGrid w:val="0"/>
        <w:ind w:firstLine="560" w:firstLineChars="200"/>
        <w:textAlignment w:val="center"/>
        <w:rPr>
          <w:color w:val="auto"/>
          <w:kern w:val="0"/>
        </w:rPr>
      </w:pPr>
      <w:r>
        <w:rPr>
          <w:color w:val="auto"/>
          <w:kern w:val="0"/>
        </w:rPr>
        <w:t>三、评价结论</w:t>
      </w:r>
    </w:p>
    <w:p>
      <w:pPr>
        <w:wordWrap w:val="0"/>
        <w:adjustRightInd w:val="0"/>
        <w:snapToGrid w:val="0"/>
        <w:ind w:firstLine="560" w:firstLineChars="200"/>
        <w:textAlignment w:val="center"/>
        <w:rPr>
          <w:color w:val="auto"/>
          <w:kern w:val="0"/>
        </w:rPr>
      </w:pPr>
      <w:r>
        <w:rPr>
          <w:color w:val="auto"/>
          <w:kern w:val="0"/>
        </w:rPr>
        <w:t>1、</w:t>
      </w:r>
      <w:r>
        <w:rPr>
          <w:rFonts w:hint="eastAsia"/>
          <w:color w:val="auto"/>
          <w:kern w:val="0"/>
        </w:rPr>
        <w:t>本项目</w:t>
      </w:r>
      <w:r>
        <w:rPr>
          <w:color w:val="auto"/>
          <w:kern w:val="0"/>
        </w:rPr>
        <w:t>安全设施设计的安全设施</w:t>
      </w:r>
      <w:r>
        <w:rPr>
          <w:rFonts w:hint="eastAsia"/>
          <w:color w:val="auto"/>
          <w:kern w:val="0"/>
        </w:rPr>
        <w:t>总体</w:t>
      </w:r>
      <w:r>
        <w:rPr>
          <w:color w:val="auto"/>
          <w:kern w:val="0"/>
        </w:rPr>
        <w:t>落实，近期通过对存在的安全问题进行了整改，主要安全缺陷基本消除。建设项目厂址位于化工集中区，符合国家安全生产方面的法律、法规、标准、规范的要求。</w:t>
      </w:r>
    </w:p>
    <w:p>
      <w:pPr>
        <w:wordWrap w:val="0"/>
        <w:adjustRightInd w:val="0"/>
        <w:snapToGrid w:val="0"/>
        <w:ind w:firstLine="560" w:firstLineChars="200"/>
        <w:textAlignment w:val="center"/>
        <w:rPr>
          <w:color w:val="auto"/>
          <w:kern w:val="0"/>
        </w:rPr>
      </w:pPr>
      <w:r>
        <w:rPr>
          <w:color w:val="auto"/>
          <w:kern w:val="0"/>
        </w:rPr>
        <w:t>2、</w:t>
      </w:r>
      <w:r>
        <w:rPr>
          <w:rFonts w:hint="eastAsia"/>
          <w:color w:val="auto"/>
          <w:kern w:val="0"/>
        </w:rPr>
        <w:t>本项目</w:t>
      </w:r>
      <w:r>
        <w:rPr>
          <w:color w:val="auto"/>
          <w:kern w:val="0"/>
        </w:rPr>
        <w:t>设计、施工、监理、评价、检测</w:t>
      </w:r>
      <w:r>
        <w:rPr>
          <w:rFonts w:hint="eastAsia"/>
          <w:color w:val="auto"/>
          <w:kern w:val="0"/>
        </w:rPr>
        <w:t>单位</w:t>
      </w:r>
      <w:r>
        <w:rPr>
          <w:color w:val="auto"/>
          <w:kern w:val="0"/>
        </w:rPr>
        <w:t>的资质符合要求。</w:t>
      </w:r>
    </w:p>
    <w:p>
      <w:pPr>
        <w:wordWrap w:val="0"/>
        <w:adjustRightInd w:val="0"/>
        <w:snapToGrid w:val="0"/>
        <w:ind w:firstLine="560" w:firstLineChars="200"/>
        <w:textAlignment w:val="center"/>
        <w:rPr>
          <w:color w:val="auto"/>
          <w:kern w:val="0"/>
        </w:rPr>
      </w:pPr>
      <w:r>
        <w:rPr>
          <w:color w:val="auto"/>
          <w:kern w:val="0"/>
        </w:rPr>
        <w:t>3、</w:t>
      </w:r>
      <w:r>
        <w:rPr>
          <w:rFonts w:hint="eastAsia"/>
          <w:color w:val="auto"/>
          <w:kern w:val="0"/>
        </w:rPr>
        <w:t>本项目</w:t>
      </w:r>
      <w:r>
        <w:rPr>
          <w:color w:val="auto"/>
          <w:kern w:val="0"/>
        </w:rPr>
        <w:t>按</w:t>
      </w:r>
      <w:r>
        <w:rPr>
          <w:rFonts w:hint="eastAsia"/>
          <w:color w:val="auto"/>
          <w:kern w:val="0"/>
        </w:rPr>
        <w:t>6.2</w:t>
      </w:r>
      <w:r>
        <w:rPr>
          <w:color w:val="auto"/>
          <w:kern w:val="0"/>
        </w:rPr>
        <w:t>节中的要求完善安全对策措施，将提高</w:t>
      </w:r>
      <w:r>
        <w:rPr>
          <w:rFonts w:hint="eastAsia"/>
          <w:color w:val="auto"/>
          <w:kern w:val="0"/>
        </w:rPr>
        <w:t>本项目</w:t>
      </w:r>
      <w:r>
        <w:rPr>
          <w:color w:val="auto"/>
          <w:kern w:val="0"/>
        </w:rPr>
        <w:t>消除和控制各类风险的水平，实现安全生产的长期稳定。</w:t>
      </w:r>
    </w:p>
    <w:p>
      <w:pPr>
        <w:wordWrap w:val="0"/>
        <w:adjustRightInd w:val="0"/>
        <w:snapToGrid w:val="0"/>
        <w:ind w:firstLine="562" w:firstLineChars="200"/>
        <w:textAlignment w:val="center"/>
        <w:rPr>
          <w:b/>
          <w:bCs/>
          <w:color w:val="auto"/>
          <w:kern w:val="0"/>
        </w:rPr>
      </w:pPr>
      <w:r>
        <w:rPr>
          <w:b/>
          <w:bCs/>
          <w:color w:val="auto"/>
          <w:kern w:val="0"/>
        </w:rPr>
        <w:t>综上所述，</w:t>
      </w:r>
      <w:r>
        <w:rPr>
          <w:rFonts w:hint="eastAsia"/>
          <w:b/>
          <w:bCs/>
          <w:color w:val="auto"/>
          <w:kern w:val="0"/>
        </w:rPr>
        <w:t>江西景新漆业股份有限公司安全生产设施技术改造项目（106甲类仓库）项目</w:t>
      </w:r>
      <w:r>
        <w:rPr>
          <w:b/>
          <w:bCs/>
          <w:color w:val="auto"/>
          <w:kern w:val="0"/>
        </w:rPr>
        <w:t>，目前生产装置、安全设施运行正常、有效，具备安全生产验收申请条件。</w:t>
      </w:r>
    </w:p>
    <w:p>
      <w:pPr>
        <w:wordWrap w:val="0"/>
        <w:adjustRightInd w:val="0"/>
        <w:snapToGrid w:val="0"/>
        <w:textAlignment w:val="center"/>
        <w:rPr>
          <w:b/>
          <w:bCs/>
          <w:color w:val="auto"/>
          <w:kern w:val="0"/>
        </w:rPr>
      </w:pPr>
      <w:r>
        <w:rPr>
          <w:b/>
          <w:bCs/>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275" w:name="_Toc7223"/>
      <w:bookmarkStart w:id="276" w:name="_Toc1788"/>
      <w:bookmarkStart w:id="277" w:name="_Toc3862"/>
      <w:r>
        <w:rPr>
          <w:rFonts w:hint="eastAsia"/>
          <w:color w:val="auto"/>
          <w:kern w:val="0"/>
          <w:sz w:val="32"/>
          <w:szCs w:val="32"/>
        </w:rPr>
        <w:t xml:space="preserve">8 </w:t>
      </w:r>
      <w:bookmarkEnd w:id="275"/>
      <w:bookmarkStart w:id="278" w:name="_Toc25641"/>
      <w:r>
        <w:rPr>
          <w:rFonts w:hint="eastAsia"/>
          <w:color w:val="auto"/>
          <w:kern w:val="0"/>
          <w:sz w:val="32"/>
          <w:szCs w:val="32"/>
        </w:rPr>
        <w:t>危险化学品及其理化性能指标</w:t>
      </w:r>
      <w:bookmarkEnd w:id="276"/>
      <w:bookmarkEnd w:id="277"/>
      <w:bookmarkEnd w:id="278"/>
    </w:p>
    <w:p>
      <w:pPr>
        <w:wordWrap w:val="0"/>
        <w:adjustRightInd w:val="0"/>
        <w:snapToGrid w:val="0"/>
        <w:jc w:val="center"/>
        <w:textAlignment w:val="center"/>
        <w:outlineLvl w:val="1"/>
        <w:rPr>
          <w:rFonts w:cs="Times New Roman"/>
          <w:snapToGrid w:val="0"/>
          <w:color w:val="auto"/>
          <w:kern w:val="0"/>
          <w:szCs w:val="28"/>
        </w:rPr>
      </w:pPr>
      <w:bookmarkStart w:id="279" w:name="_Toc15641"/>
      <w:bookmarkStart w:id="280" w:name="_Toc27317"/>
      <w:bookmarkStart w:id="281" w:name="_Toc28868"/>
      <w:bookmarkStart w:id="282" w:name="_Toc13044"/>
      <w:r>
        <w:rPr>
          <w:rFonts w:hint="eastAsia" w:cs="Times New Roman"/>
          <w:b/>
          <w:bCs/>
          <w:snapToGrid w:val="0"/>
          <w:color w:val="auto"/>
          <w:kern w:val="0"/>
          <w:szCs w:val="28"/>
        </w:rPr>
        <w:t>8.1 环氧树脂</w:t>
      </w:r>
      <w:bookmarkEnd w:id="279"/>
      <w:bookmarkEnd w:id="280"/>
      <w:bookmarkEnd w:id="281"/>
      <w:bookmarkEnd w:id="282"/>
    </w:p>
    <w:p>
      <w:pPr>
        <w:wordWrap w:val="0"/>
        <w:adjustRightInd w:val="0"/>
        <w:snapToGrid w:val="0"/>
        <w:spacing w:line="240" w:lineRule="auto"/>
        <w:textAlignment w:val="center"/>
        <w:rPr>
          <w:rFonts w:cs="Times New Roman"/>
          <w:b/>
          <w:bCs/>
          <w:snapToGrid w:val="0"/>
          <w:color w:val="auto"/>
          <w:kern w:val="0"/>
          <w:szCs w:val="28"/>
        </w:rPr>
      </w:pPr>
      <w:r>
        <w:rPr>
          <w:rFonts w:hint="eastAsia" w:cs="Times New Roman"/>
          <w:b/>
          <w:bCs/>
          <w:snapToGrid w:val="0"/>
          <w:color w:val="auto"/>
          <w:kern w:val="0"/>
          <w:szCs w:val="28"/>
        </w:rPr>
        <w:drawing>
          <wp:inline distT="0" distB="0" distL="114300" distR="114300">
            <wp:extent cx="5755640" cy="7960360"/>
            <wp:effectExtent l="0" t="0" r="16510" b="2540"/>
            <wp:docPr id="11" name="图片 1" descr="SM601-75环氧树脂 MSD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SM601-75环氧树脂 MSDS_00"/>
                    <pic:cNvPicPr>
                      <a:picLocks noChangeAspect="1"/>
                    </pic:cNvPicPr>
                  </pic:nvPicPr>
                  <pic:blipFill>
                    <a:blip r:embed="rId14"/>
                    <a:stretch>
                      <a:fillRect/>
                    </a:stretch>
                  </pic:blipFill>
                  <pic:spPr>
                    <a:xfrm>
                      <a:off x="0" y="0"/>
                      <a:ext cx="5755640" cy="79603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150860"/>
            <wp:effectExtent l="0" t="0" r="16510" b="2540"/>
            <wp:docPr id="12" name="图片 2" descr="SM601-75环氧树脂 MSDS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SM601-75环氧树脂 MSDS_01"/>
                    <pic:cNvPicPr>
                      <a:picLocks noChangeAspect="1"/>
                    </pic:cNvPicPr>
                  </pic:nvPicPr>
                  <pic:blipFill>
                    <a:blip r:embed="rId15"/>
                    <a:stretch>
                      <a:fillRect/>
                    </a:stretch>
                  </pic:blipFill>
                  <pic:spPr>
                    <a:xfrm>
                      <a:off x="0" y="0"/>
                      <a:ext cx="5755640" cy="81508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150860"/>
            <wp:effectExtent l="0" t="0" r="16510" b="2540"/>
            <wp:docPr id="15" name="图片 3" descr="SM601-75环氧树脂 MSD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SM601-75环氧树脂 MSDS_02"/>
                    <pic:cNvPicPr>
                      <a:picLocks noChangeAspect="1"/>
                    </pic:cNvPicPr>
                  </pic:nvPicPr>
                  <pic:blipFill>
                    <a:blip r:embed="rId16"/>
                    <a:stretch>
                      <a:fillRect/>
                    </a:stretch>
                  </pic:blipFill>
                  <pic:spPr>
                    <a:xfrm>
                      <a:off x="0" y="0"/>
                      <a:ext cx="5755640" cy="81508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150860"/>
            <wp:effectExtent l="0" t="0" r="16510" b="2540"/>
            <wp:docPr id="37" name="图片 4" descr="SM601-75环氧树脂 MSDS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descr="SM601-75环氧树脂 MSDS_03"/>
                    <pic:cNvPicPr>
                      <a:picLocks noChangeAspect="1"/>
                    </pic:cNvPicPr>
                  </pic:nvPicPr>
                  <pic:blipFill>
                    <a:blip r:embed="rId17"/>
                    <a:stretch>
                      <a:fillRect/>
                    </a:stretch>
                  </pic:blipFill>
                  <pic:spPr>
                    <a:xfrm>
                      <a:off x="0" y="0"/>
                      <a:ext cx="5755640" cy="81508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150860"/>
            <wp:effectExtent l="0" t="0" r="16510" b="2540"/>
            <wp:docPr id="16" name="图片 5" descr="SM601-75环氧树脂 MSDS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descr="SM601-75环氧树脂 MSDS_04"/>
                    <pic:cNvPicPr>
                      <a:picLocks noChangeAspect="1"/>
                    </pic:cNvPicPr>
                  </pic:nvPicPr>
                  <pic:blipFill>
                    <a:blip r:embed="rId18"/>
                    <a:stretch>
                      <a:fillRect/>
                    </a:stretch>
                  </pic:blipFill>
                  <pic:spPr>
                    <a:xfrm>
                      <a:off x="0" y="0"/>
                      <a:ext cx="5755640" cy="81508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150860"/>
            <wp:effectExtent l="0" t="0" r="16510" b="2540"/>
            <wp:docPr id="33" name="图片 6" descr="SM601-75环氧树脂 MSDS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descr="SM601-75环氧树脂 MSDS_05"/>
                    <pic:cNvPicPr>
                      <a:picLocks noChangeAspect="1"/>
                    </pic:cNvPicPr>
                  </pic:nvPicPr>
                  <pic:blipFill>
                    <a:blip r:embed="rId19"/>
                    <a:stretch>
                      <a:fillRect/>
                    </a:stretch>
                  </pic:blipFill>
                  <pic:spPr>
                    <a:xfrm>
                      <a:off x="0" y="0"/>
                      <a:ext cx="5755640" cy="8150860"/>
                    </a:xfrm>
                    <a:prstGeom prst="rect">
                      <a:avLst/>
                    </a:prstGeom>
                    <a:noFill/>
                    <a:ln>
                      <a:noFill/>
                    </a:ln>
                  </pic:spPr>
                </pic:pic>
              </a:graphicData>
            </a:graphic>
          </wp:inline>
        </w:drawing>
      </w:r>
      <w:r>
        <w:rPr>
          <w:rFonts w:hint="eastAsia" w:cs="Times New Roman"/>
          <w:b/>
          <w:bCs/>
          <w:snapToGrid w:val="0"/>
          <w:color w:val="auto"/>
          <w:kern w:val="0"/>
          <w:szCs w:val="28"/>
        </w:rPr>
        <w:drawing>
          <wp:inline distT="0" distB="0" distL="114300" distR="114300">
            <wp:extent cx="5755640" cy="8324850"/>
            <wp:effectExtent l="0" t="0" r="16510" b="0"/>
            <wp:docPr id="34" name="图片 7" descr="SM601-75环氧树脂 MSDS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descr="SM601-75环氧树脂 MSDS_06"/>
                    <pic:cNvPicPr>
                      <a:picLocks noChangeAspect="1"/>
                    </pic:cNvPicPr>
                  </pic:nvPicPr>
                  <pic:blipFill>
                    <a:blip r:embed="rId20"/>
                    <a:stretch>
                      <a:fillRect/>
                    </a:stretch>
                  </pic:blipFill>
                  <pic:spPr>
                    <a:xfrm>
                      <a:off x="0" y="0"/>
                      <a:ext cx="5755640" cy="8324850"/>
                    </a:xfrm>
                    <a:prstGeom prst="rect">
                      <a:avLst/>
                    </a:prstGeom>
                    <a:noFill/>
                    <a:ln>
                      <a:noFill/>
                    </a:ln>
                  </pic:spPr>
                </pic:pic>
              </a:graphicData>
            </a:graphic>
          </wp:inline>
        </w:drawing>
      </w:r>
    </w:p>
    <w:p>
      <w:pPr>
        <w:wordWrap w:val="0"/>
        <w:adjustRightInd w:val="0"/>
        <w:snapToGrid w:val="0"/>
        <w:jc w:val="center"/>
        <w:textAlignment w:val="center"/>
        <w:outlineLvl w:val="1"/>
        <w:rPr>
          <w:rFonts w:cs="Times New Roman"/>
          <w:b/>
          <w:bCs/>
          <w:snapToGrid w:val="0"/>
          <w:color w:val="auto"/>
          <w:kern w:val="0"/>
          <w:szCs w:val="28"/>
        </w:rPr>
      </w:pPr>
      <w:r>
        <w:rPr>
          <w:rFonts w:hint="eastAsia" w:cs="Times New Roman"/>
          <w:b/>
          <w:bCs/>
          <w:snapToGrid w:val="0"/>
          <w:color w:val="auto"/>
          <w:kern w:val="0"/>
          <w:szCs w:val="28"/>
        </w:rPr>
        <w:br w:type="page"/>
      </w:r>
      <w:bookmarkStart w:id="283" w:name="_Toc10381"/>
      <w:bookmarkStart w:id="284" w:name="_Toc27739"/>
      <w:bookmarkStart w:id="285" w:name="_Toc27340"/>
      <w:bookmarkStart w:id="286" w:name="_Toc23675"/>
      <w:r>
        <w:rPr>
          <w:rFonts w:hint="eastAsia" w:cs="Times New Roman"/>
          <w:b/>
          <w:bCs/>
          <w:snapToGrid w:val="0"/>
          <w:color w:val="auto"/>
          <w:kern w:val="0"/>
          <w:szCs w:val="28"/>
        </w:rPr>
        <w:t>8.2 固化剂（环氧树脂）</w:t>
      </w:r>
      <w:bookmarkEnd w:id="283"/>
      <w:bookmarkEnd w:id="284"/>
      <w:bookmarkEnd w:id="285"/>
      <w:bookmarkEnd w:id="286"/>
    </w:p>
    <w:p>
      <w:pPr>
        <w:wordWrap w:val="0"/>
        <w:adjustRightInd w:val="0"/>
        <w:snapToGrid w:val="0"/>
        <w:spacing w:line="240" w:lineRule="auto"/>
        <w:textAlignment w:val="center"/>
        <w:rPr>
          <w:rFonts w:cs="Times New Roman"/>
          <w:snapToGrid w:val="0"/>
          <w:color w:val="auto"/>
          <w:kern w:val="0"/>
          <w:szCs w:val="28"/>
        </w:rPr>
      </w:pPr>
      <w:r>
        <w:rPr>
          <w:rFonts w:hint="eastAsia" w:cs="Times New Roman"/>
          <w:snapToGrid w:val="0"/>
          <w:color w:val="auto"/>
          <w:kern w:val="0"/>
          <w:szCs w:val="28"/>
        </w:rPr>
        <w:drawing>
          <wp:inline distT="0" distB="0" distL="114300" distR="114300">
            <wp:extent cx="5755640" cy="8150860"/>
            <wp:effectExtent l="0" t="0" r="16510" b="2540"/>
            <wp:docPr id="35" name="图片 8" descr="650环氧固化剂 MSD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descr="650环氧固化剂 MSDS_00"/>
                    <pic:cNvPicPr>
                      <a:picLocks noChangeAspect="1"/>
                    </pic:cNvPicPr>
                  </pic:nvPicPr>
                  <pic:blipFill>
                    <a:blip r:embed="rId21"/>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42" name="图片 9" descr="650环氧固化剂 MSDS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descr="650环氧固化剂 MSDS_01"/>
                    <pic:cNvPicPr>
                      <a:picLocks noChangeAspect="1"/>
                    </pic:cNvPicPr>
                  </pic:nvPicPr>
                  <pic:blipFill>
                    <a:blip r:embed="rId22"/>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41" name="图片 10" descr="650环氧固化剂 MSD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descr="650环氧固化剂 MSDS_02"/>
                    <pic:cNvPicPr>
                      <a:picLocks noChangeAspect="1"/>
                    </pic:cNvPicPr>
                  </pic:nvPicPr>
                  <pic:blipFill>
                    <a:blip r:embed="rId23"/>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40" name="图片 11" descr="650环氧固化剂 MSDS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descr="650环氧固化剂 MSDS_03"/>
                    <pic:cNvPicPr>
                      <a:picLocks noChangeAspect="1"/>
                    </pic:cNvPicPr>
                  </pic:nvPicPr>
                  <pic:blipFill>
                    <a:blip r:embed="rId24"/>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38" name="图片 12" descr="650环氧固化剂 MSDS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descr="650环氧固化剂 MSDS_04"/>
                    <pic:cNvPicPr>
                      <a:picLocks noChangeAspect="1"/>
                    </pic:cNvPicPr>
                  </pic:nvPicPr>
                  <pic:blipFill>
                    <a:blip r:embed="rId25"/>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39" name="图片 13" descr="650环氧固化剂 MSDS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descr="650环氧固化剂 MSDS_05"/>
                    <pic:cNvPicPr>
                      <a:picLocks noChangeAspect="1"/>
                    </pic:cNvPicPr>
                  </pic:nvPicPr>
                  <pic:blipFill>
                    <a:blip r:embed="rId26"/>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523605"/>
            <wp:effectExtent l="0" t="0" r="16510" b="10795"/>
            <wp:docPr id="45" name="图片 14" descr="650环氧固化剂 MSDS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4" descr="650环氧固化剂 MSDS_06"/>
                    <pic:cNvPicPr>
                      <a:picLocks noChangeAspect="1"/>
                    </pic:cNvPicPr>
                  </pic:nvPicPr>
                  <pic:blipFill>
                    <a:blip r:embed="rId27"/>
                    <a:stretch>
                      <a:fillRect/>
                    </a:stretch>
                  </pic:blipFill>
                  <pic:spPr>
                    <a:xfrm>
                      <a:off x="0" y="0"/>
                      <a:ext cx="5755640" cy="8523605"/>
                    </a:xfrm>
                    <a:prstGeom prst="rect">
                      <a:avLst/>
                    </a:prstGeom>
                    <a:noFill/>
                    <a:ln>
                      <a:noFill/>
                    </a:ln>
                  </pic:spPr>
                </pic:pic>
              </a:graphicData>
            </a:graphic>
          </wp:inline>
        </w:drawing>
      </w:r>
    </w:p>
    <w:p>
      <w:pPr>
        <w:wordWrap w:val="0"/>
        <w:adjustRightInd w:val="0"/>
        <w:snapToGrid w:val="0"/>
        <w:spacing w:line="240" w:lineRule="auto"/>
        <w:jc w:val="center"/>
        <w:textAlignment w:val="center"/>
        <w:outlineLvl w:val="1"/>
        <w:rPr>
          <w:rFonts w:cs="Times New Roman"/>
          <w:b/>
          <w:bCs/>
          <w:snapToGrid w:val="0"/>
          <w:color w:val="auto"/>
          <w:kern w:val="0"/>
          <w:szCs w:val="28"/>
        </w:rPr>
      </w:pPr>
      <w:r>
        <w:rPr>
          <w:rFonts w:hint="eastAsia" w:cs="Times New Roman"/>
          <w:snapToGrid w:val="0"/>
          <w:color w:val="auto"/>
          <w:kern w:val="0"/>
          <w:szCs w:val="28"/>
        </w:rPr>
        <w:br w:type="page"/>
      </w:r>
      <w:bookmarkStart w:id="287" w:name="_Toc8572"/>
      <w:bookmarkStart w:id="288" w:name="_Toc21762"/>
      <w:bookmarkStart w:id="289" w:name="_Toc10101"/>
      <w:bookmarkStart w:id="290" w:name="_Toc28402"/>
      <w:r>
        <w:rPr>
          <w:rFonts w:hint="eastAsia" w:cs="Times New Roman"/>
          <w:b/>
          <w:bCs/>
          <w:snapToGrid w:val="0"/>
          <w:color w:val="auto"/>
          <w:kern w:val="0"/>
          <w:szCs w:val="28"/>
        </w:rPr>
        <w:t>8.3 丙烯酸树脂</w:t>
      </w:r>
      <w:bookmarkEnd w:id="287"/>
      <w:bookmarkEnd w:id="288"/>
      <w:bookmarkEnd w:id="289"/>
      <w:bookmarkEnd w:id="290"/>
    </w:p>
    <w:p>
      <w:pPr>
        <w:wordWrap w:val="0"/>
        <w:adjustRightInd w:val="0"/>
        <w:snapToGrid w:val="0"/>
        <w:spacing w:line="240" w:lineRule="auto"/>
        <w:textAlignment w:val="center"/>
        <w:rPr>
          <w:rFonts w:cs="Times New Roman"/>
          <w:snapToGrid w:val="0"/>
          <w:color w:val="auto"/>
          <w:kern w:val="0"/>
          <w:szCs w:val="28"/>
        </w:rPr>
      </w:pPr>
      <w:r>
        <w:rPr>
          <w:rFonts w:cs="Times New Roman"/>
          <w:snapToGrid w:val="0"/>
          <w:color w:val="auto"/>
          <w:kern w:val="0"/>
          <w:szCs w:val="28"/>
        </w:rPr>
        <w:drawing>
          <wp:inline distT="0" distB="0" distL="114300" distR="114300">
            <wp:extent cx="5755640" cy="8150860"/>
            <wp:effectExtent l="0" t="0" r="16510" b="2540"/>
            <wp:docPr id="43" name="图片 15" descr="965 丙烯酸树脂MSD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5" descr="965 丙烯酸树脂MSDS_00"/>
                    <pic:cNvPicPr>
                      <a:picLocks noChangeAspect="1"/>
                    </pic:cNvPicPr>
                  </pic:nvPicPr>
                  <pic:blipFill>
                    <a:blip r:embed="rId28"/>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44" name="图片 16" descr="965 丙烯酸树脂MSDS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6" descr="965 丙烯酸树脂MSDS_01"/>
                    <pic:cNvPicPr>
                      <a:picLocks noChangeAspect="1"/>
                    </pic:cNvPicPr>
                  </pic:nvPicPr>
                  <pic:blipFill>
                    <a:blip r:embed="rId29"/>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48" name="图片 17" descr="965 丙烯酸树脂MSD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descr="965 丙烯酸树脂MSDS_02"/>
                    <pic:cNvPicPr>
                      <a:picLocks noChangeAspect="1"/>
                    </pic:cNvPicPr>
                  </pic:nvPicPr>
                  <pic:blipFill>
                    <a:blip r:embed="rId30"/>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46" name="图片 18" descr="965 丙烯酸树脂MSDS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8" descr="965 丙烯酸树脂MSDS_03"/>
                    <pic:cNvPicPr>
                      <a:picLocks noChangeAspect="1"/>
                    </pic:cNvPicPr>
                  </pic:nvPicPr>
                  <pic:blipFill>
                    <a:blip r:embed="rId31"/>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47" name="图片 19" descr="965 丙烯酸树脂MSDS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9" descr="965 丙烯酸树脂MSDS_04"/>
                    <pic:cNvPicPr>
                      <a:picLocks noChangeAspect="1"/>
                    </pic:cNvPicPr>
                  </pic:nvPicPr>
                  <pic:blipFill>
                    <a:blip r:embed="rId32"/>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49" name="图片 20" descr="965 丙烯酸树脂MSDS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0" descr="965 丙烯酸树脂MSDS_05"/>
                    <pic:cNvPicPr>
                      <a:picLocks noChangeAspect="1"/>
                    </pic:cNvPicPr>
                  </pic:nvPicPr>
                  <pic:blipFill>
                    <a:blip r:embed="rId33"/>
                    <a:stretch>
                      <a:fillRect/>
                    </a:stretch>
                  </pic:blipFill>
                  <pic:spPr>
                    <a:xfrm>
                      <a:off x="0" y="0"/>
                      <a:ext cx="5755640" cy="8150860"/>
                    </a:xfrm>
                    <a:prstGeom prst="rect">
                      <a:avLst/>
                    </a:prstGeom>
                    <a:noFill/>
                    <a:ln>
                      <a:noFill/>
                    </a:ln>
                  </pic:spPr>
                </pic:pic>
              </a:graphicData>
            </a:graphic>
          </wp:inline>
        </w:drawing>
      </w:r>
      <w:r>
        <w:rPr>
          <w:rFonts w:cs="Times New Roman"/>
          <w:snapToGrid w:val="0"/>
          <w:color w:val="auto"/>
          <w:kern w:val="0"/>
          <w:szCs w:val="28"/>
        </w:rPr>
        <w:drawing>
          <wp:inline distT="0" distB="0" distL="114300" distR="114300">
            <wp:extent cx="5755640" cy="8150860"/>
            <wp:effectExtent l="0" t="0" r="16510" b="2540"/>
            <wp:docPr id="50" name="图片 21" descr="965 丙烯酸树脂MSDS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1" descr="965 丙烯酸树脂MSDS_06"/>
                    <pic:cNvPicPr>
                      <a:picLocks noChangeAspect="1"/>
                    </pic:cNvPicPr>
                  </pic:nvPicPr>
                  <pic:blipFill>
                    <a:blip r:embed="rId34"/>
                    <a:stretch>
                      <a:fillRect/>
                    </a:stretch>
                  </pic:blipFill>
                  <pic:spPr>
                    <a:xfrm>
                      <a:off x="0" y="0"/>
                      <a:ext cx="5755640" cy="8150860"/>
                    </a:xfrm>
                    <a:prstGeom prst="rect">
                      <a:avLst/>
                    </a:prstGeom>
                    <a:noFill/>
                    <a:ln>
                      <a:noFill/>
                    </a:ln>
                  </pic:spPr>
                </pic:pic>
              </a:graphicData>
            </a:graphic>
          </wp:inline>
        </w:drawing>
      </w:r>
    </w:p>
    <w:p>
      <w:pPr>
        <w:wordWrap w:val="0"/>
        <w:adjustRightInd w:val="0"/>
        <w:snapToGrid w:val="0"/>
        <w:jc w:val="center"/>
        <w:textAlignment w:val="center"/>
        <w:outlineLvl w:val="1"/>
        <w:rPr>
          <w:rFonts w:cs="Times New Roman"/>
          <w:b/>
          <w:bCs/>
          <w:snapToGrid w:val="0"/>
          <w:color w:val="auto"/>
          <w:kern w:val="0"/>
          <w:szCs w:val="28"/>
        </w:rPr>
      </w:pPr>
      <w:r>
        <w:rPr>
          <w:rFonts w:hint="eastAsia" w:cs="Times New Roman"/>
          <w:snapToGrid w:val="0"/>
          <w:color w:val="auto"/>
          <w:kern w:val="0"/>
          <w:szCs w:val="28"/>
        </w:rPr>
        <w:br w:type="page"/>
      </w:r>
      <w:bookmarkStart w:id="291" w:name="_Toc5875"/>
      <w:bookmarkStart w:id="292" w:name="_Toc24342"/>
      <w:bookmarkStart w:id="293" w:name="_Toc16025"/>
      <w:bookmarkStart w:id="294" w:name="_Toc126"/>
      <w:r>
        <w:rPr>
          <w:rFonts w:hint="eastAsia" w:cs="Times New Roman"/>
          <w:b/>
          <w:bCs/>
          <w:snapToGrid w:val="0"/>
          <w:color w:val="auto"/>
          <w:kern w:val="0"/>
          <w:szCs w:val="28"/>
        </w:rPr>
        <w:t>8.4 聚氨酯树脂</w:t>
      </w:r>
      <w:bookmarkEnd w:id="291"/>
      <w:bookmarkEnd w:id="292"/>
      <w:bookmarkEnd w:id="293"/>
      <w:bookmarkEnd w:id="294"/>
    </w:p>
    <w:p>
      <w:pPr>
        <w:wordWrap w:val="0"/>
        <w:adjustRightInd w:val="0"/>
        <w:snapToGrid w:val="0"/>
        <w:spacing w:line="240" w:lineRule="auto"/>
        <w:jc w:val="center"/>
        <w:textAlignment w:val="center"/>
        <w:rPr>
          <w:rFonts w:cs="Times New Roman"/>
          <w:snapToGrid w:val="0"/>
          <w:color w:val="auto"/>
          <w:kern w:val="0"/>
          <w:szCs w:val="28"/>
        </w:rPr>
      </w:pPr>
      <w:r>
        <w:rPr>
          <w:rFonts w:hint="eastAsia" w:cs="Times New Roman"/>
          <w:snapToGrid w:val="0"/>
          <w:color w:val="auto"/>
          <w:kern w:val="0"/>
          <w:szCs w:val="28"/>
        </w:rPr>
        <w:drawing>
          <wp:inline distT="0" distB="0" distL="114300" distR="114300">
            <wp:extent cx="5755640" cy="8150860"/>
            <wp:effectExtent l="0" t="0" r="16510" b="2540"/>
            <wp:docPr id="51" name="图片 22" descr="聚氨酯树脂MSDS (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2" descr="聚氨酯树脂MSDS (1)_00"/>
                    <pic:cNvPicPr>
                      <a:picLocks noChangeAspect="1"/>
                    </pic:cNvPicPr>
                  </pic:nvPicPr>
                  <pic:blipFill>
                    <a:blip r:embed="rId35"/>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52" name="图片 23" descr="聚氨酯树脂MSDS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3" descr="聚氨酯树脂MSDS (1)_01"/>
                    <pic:cNvPicPr>
                      <a:picLocks noChangeAspect="1"/>
                    </pic:cNvPicPr>
                  </pic:nvPicPr>
                  <pic:blipFill>
                    <a:blip r:embed="rId36"/>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53" name="图片 24" descr="聚氨酯树脂MSDS (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4" descr="聚氨酯树脂MSDS (1)_02"/>
                    <pic:cNvPicPr>
                      <a:picLocks noChangeAspect="1"/>
                    </pic:cNvPicPr>
                  </pic:nvPicPr>
                  <pic:blipFill>
                    <a:blip r:embed="rId37"/>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54" name="图片 25" descr="聚氨酯树脂MSDS (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5" descr="聚氨酯树脂MSDS (1)_03"/>
                    <pic:cNvPicPr>
                      <a:picLocks noChangeAspect="1"/>
                    </pic:cNvPicPr>
                  </pic:nvPicPr>
                  <pic:blipFill>
                    <a:blip r:embed="rId38"/>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0" name="图片 26" descr="聚氨酯树脂MSDS (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6" descr="聚氨酯树脂MSDS (1)_04"/>
                    <pic:cNvPicPr>
                      <a:picLocks noChangeAspect="1"/>
                    </pic:cNvPicPr>
                  </pic:nvPicPr>
                  <pic:blipFill>
                    <a:blip r:embed="rId39"/>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56" name="图片 27" descr="聚氨酯树脂MSDS (1)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7" descr="聚氨酯树脂MSDS (1)_05"/>
                    <pic:cNvPicPr>
                      <a:picLocks noChangeAspect="1"/>
                    </pic:cNvPicPr>
                  </pic:nvPicPr>
                  <pic:blipFill>
                    <a:blip r:embed="rId40"/>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57" name="图片 28" descr="聚氨酯树脂MSDS (1)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8" descr="聚氨酯树脂MSDS (1)_06"/>
                    <pic:cNvPicPr>
                      <a:picLocks noChangeAspect="1"/>
                    </pic:cNvPicPr>
                  </pic:nvPicPr>
                  <pic:blipFill>
                    <a:blip r:embed="rId41"/>
                    <a:stretch>
                      <a:fillRect/>
                    </a:stretch>
                  </pic:blipFill>
                  <pic:spPr>
                    <a:xfrm>
                      <a:off x="0" y="0"/>
                      <a:ext cx="5755640" cy="8150860"/>
                    </a:xfrm>
                    <a:prstGeom prst="rect">
                      <a:avLst/>
                    </a:prstGeom>
                    <a:noFill/>
                    <a:ln>
                      <a:noFill/>
                    </a:ln>
                  </pic:spPr>
                </pic:pic>
              </a:graphicData>
            </a:graphic>
          </wp:inline>
        </w:drawing>
      </w:r>
    </w:p>
    <w:p>
      <w:pPr>
        <w:wordWrap w:val="0"/>
        <w:adjustRightInd w:val="0"/>
        <w:snapToGrid w:val="0"/>
        <w:jc w:val="center"/>
        <w:textAlignment w:val="center"/>
        <w:outlineLvl w:val="1"/>
        <w:rPr>
          <w:rFonts w:cs="Times New Roman"/>
          <w:b/>
          <w:bCs/>
          <w:snapToGrid w:val="0"/>
          <w:color w:val="auto"/>
          <w:kern w:val="0"/>
          <w:szCs w:val="28"/>
        </w:rPr>
      </w:pPr>
      <w:r>
        <w:rPr>
          <w:rFonts w:hint="eastAsia" w:cs="Times New Roman"/>
          <w:b/>
          <w:bCs/>
          <w:snapToGrid w:val="0"/>
          <w:color w:val="auto"/>
          <w:kern w:val="0"/>
          <w:szCs w:val="28"/>
        </w:rPr>
        <w:br w:type="page"/>
      </w:r>
      <w:bookmarkStart w:id="295" w:name="_Toc21244"/>
      <w:bookmarkStart w:id="296" w:name="_Toc23042"/>
      <w:bookmarkStart w:id="297" w:name="_Toc17921"/>
      <w:bookmarkStart w:id="298" w:name="_Toc29405"/>
      <w:r>
        <w:rPr>
          <w:rFonts w:hint="eastAsia" w:cs="Times New Roman"/>
          <w:b/>
          <w:bCs/>
          <w:snapToGrid w:val="0"/>
          <w:color w:val="auto"/>
          <w:kern w:val="0"/>
          <w:szCs w:val="28"/>
        </w:rPr>
        <w:t>8.5 溶剂型氟碳树脂</w:t>
      </w:r>
      <w:bookmarkEnd w:id="295"/>
      <w:bookmarkEnd w:id="296"/>
      <w:bookmarkEnd w:id="297"/>
      <w:bookmarkEnd w:id="298"/>
    </w:p>
    <w:p>
      <w:pPr>
        <w:wordWrap w:val="0"/>
        <w:adjustRightInd w:val="0"/>
        <w:snapToGrid w:val="0"/>
        <w:spacing w:line="240" w:lineRule="auto"/>
        <w:jc w:val="right"/>
        <w:textAlignment w:val="center"/>
        <w:rPr>
          <w:rFonts w:cs="Times New Roman"/>
          <w:snapToGrid w:val="0"/>
          <w:color w:val="auto"/>
          <w:kern w:val="0"/>
          <w:szCs w:val="28"/>
        </w:rPr>
      </w:pPr>
      <w:r>
        <w:rPr>
          <w:rFonts w:hint="eastAsia" w:cs="Times New Roman"/>
          <w:snapToGrid w:val="0"/>
          <w:color w:val="auto"/>
          <w:kern w:val="0"/>
          <w:szCs w:val="28"/>
        </w:rPr>
        <w:drawing>
          <wp:inline distT="0" distB="0" distL="114300" distR="114300">
            <wp:extent cx="5755640" cy="8150860"/>
            <wp:effectExtent l="0" t="0" r="16510" b="2540"/>
            <wp:docPr id="78" name="图片 29" descr="氟碳树脂MSDS (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9" descr="氟碳树脂MSDS (2)_00"/>
                    <pic:cNvPicPr>
                      <a:picLocks noChangeAspect="1"/>
                    </pic:cNvPicPr>
                  </pic:nvPicPr>
                  <pic:blipFill>
                    <a:blip r:embed="rId42"/>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1" name="图片 30" descr="氟碳树脂MSDS (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0" descr="氟碳树脂MSDS (2)_01"/>
                    <pic:cNvPicPr>
                      <a:picLocks noChangeAspect="1"/>
                    </pic:cNvPicPr>
                  </pic:nvPicPr>
                  <pic:blipFill>
                    <a:blip r:embed="rId43"/>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79" name="图片 31" descr="氟碳树脂MSDS (2)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1" descr="氟碳树脂MSDS (2)_02"/>
                    <pic:cNvPicPr>
                      <a:picLocks noChangeAspect="1"/>
                    </pic:cNvPicPr>
                  </pic:nvPicPr>
                  <pic:blipFill>
                    <a:blip r:embed="rId44"/>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2" name="图片 32" descr="氟碳树脂MSDS (2)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2" descr="氟碳树脂MSDS (2)_03"/>
                    <pic:cNvPicPr>
                      <a:picLocks noChangeAspect="1"/>
                    </pic:cNvPicPr>
                  </pic:nvPicPr>
                  <pic:blipFill>
                    <a:blip r:embed="rId45"/>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3" name="图片 33" descr="氟碳树脂MSDS (2)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3" descr="氟碳树脂MSDS (2)_04"/>
                    <pic:cNvPicPr>
                      <a:picLocks noChangeAspect="1"/>
                    </pic:cNvPicPr>
                  </pic:nvPicPr>
                  <pic:blipFill>
                    <a:blip r:embed="rId46"/>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5" name="图片 34" descr="氟碳树脂MSDS (2)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34" descr="氟碳树脂MSDS (2)_05"/>
                    <pic:cNvPicPr>
                      <a:picLocks noChangeAspect="1"/>
                    </pic:cNvPicPr>
                  </pic:nvPicPr>
                  <pic:blipFill>
                    <a:blip r:embed="rId47"/>
                    <a:stretch>
                      <a:fillRect/>
                    </a:stretch>
                  </pic:blipFill>
                  <pic:spPr>
                    <a:xfrm>
                      <a:off x="0" y="0"/>
                      <a:ext cx="5755640" cy="8150860"/>
                    </a:xfrm>
                    <a:prstGeom prst="rect">
                      <a:avLst/>
                    </a:prstGeom>
                    <a:noFill/>
                    <a:ln>
                      <a:noFill/>
                    </a:ln>
                  </pic:spPr>
                </pic:pic>
              </a:graphicData>
            </a:graphic>
          </wp:inline>
        </w:drawing>
      </w:r>
      <w:r>
        <w:rPr>
          <w:rFonts w:hint="eastAsia" w:cs="Times New Roman"/>
          <w:snapToGrid w:val="0"/>
          <w:color w:val="auto"/>
          <w:kern w:val="0"/>
          <w:szCs w:val="28"/>
        </w:rPr>
        <w:drawing>
          <wp:inline distT="0" distB="0" distL="114300" distR="114300">
            <wp:extent cx="5755640" cy="8150860"/>
            <wp:effectExtent l="0" t="0" r="16510" b="2540"/>
            <wp:docPr id="84" name="图片 35" descr="氟碳树脂MSDS (2)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35" descr="氟碳树脂MSDS (2)_06"/>
                    <pic:cNvPicPr>
                      <a:picLocks noChangeAspect="1"/>
                    </pic:cNvPicPr>
                  </pic:nvPicPr>
                  <pic:blipFill>
                    <a:blip r:embed="rId48"/>
                    <a:stretch>
                      <a:fillRect/>
                    </a:stretch>
                  </pic:blipFill>
                  <pic:spPr>
                    <a:xfrm>
                      <a:off x="0" y="0"/>
                      <a:ext cx="5755640" cy="8150860"/>
                    </a:xfrm>
                    <a:prstGeom prst="rect">
                      <a:avLst/>
                    </a:prstGeom>
                    <a:noFill/>
                    <a:ln>
                      <a:noFill/>
                    </a:ln>
                  </pic:spPr>
                </pic:pic>
              </a:graphicData>
            </a:graphic>
          </wp:inline>
        </w:drawing>
      </w:r>
    </w:p>
    <w:p>
      <w:pPr>
        <w:wordWrap w:val="0"/>
        <w:adjustRightInd w:val="0"/>
        <w:snapToGrid w:val="0"/>
        <w:jc w:val="center"/>
        <w:textAlignment w:val="center"/>
        <w:outlineLvl w:val="1"/>
        <w:rPr>
          <w:rFonts w:cs="Times New Roman"/>
          <w:snapToGrid w:val="0"/>
          <w:color w:val="auto"/>
          <w:kern w:val="0"/>
          <w:szCs w:val="28"/>
        </w:rPr>
      </w:pPr>
      <w:r>
        <w:rPr>
          <w:rFonts w:hint="eastAsia" w:cs="Times New Roman"/>
          <w:b/>
          <w:bCs/>
          <w:snapToGrid w:val="0"/>
          <w:color w:val="auto"/>
          <w:kern w:val="0"/>
          <w:szCs w:val="28"/>
        </w:rPr>
        <w:br w:type="page"/>
      </w:r>
      <w:bookmarkStart w:id="299" w:name="_Toc26148"/>
      <w:bookmarkStart w:id="300" w:name="_Toc27843"/>
      <w:bookmarkStart w:id="301" w:name="_Toc31133"/>
      <w:bookmarkStart w:id="302" w:name="_Toc358"/>
      <w:r>
        <w:rPr>
          <w:rFonts w:hint="eastAsia" w:cs="Times New Roman"/>
          <w:b/>
          <w:bCs/>
          <w:snapToGrid w:val="0"/>
          <w:color w:val="auto"/>
          <w:kern w:val="0"/>
          <w:szCs w:val="28"/>
        </w:rPr>
        <w:t>8.6 二甲苯</w:t>
      </w:r>
      <w:bookmarkEnd w:id="299"/>
      <w:bookmarkEnd w:id="300"/>
      <w:bookmarkEnd w:id="301"/>
      <w:bookmarkEnd w:id="302"/>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2384"/>
        <w:gridCol w:w="6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CAS：</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95-47-6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名称：</w:t>
            </w:r>
          </w:p>
        </w:tc>
        <w:tc>
          <w:tcPr>
            <w:tcW w:w="6687" w:type="dxa"/>
            <w:vAlign w:val="center"/>
          </w:tcPr>
          <w:p>
            <w:pPr>
              <w:widowControl/>
              <w:wordWrap w:val="0"/>
              <w:spacing w:line="240" w:lineRule="exact"/>
              <w:jc w:val="left"/>
              <w:rPr>
                <w:rFonts w:hint="eastAsia" w:eastAsia="宋体" w:cs="Times New Roman"/>
                <w:color w:val="auto"/>
                <w:kern w:val="0"/>
                <w:sz w:val="21"/>
                <w:szCs w:val="21"/>
                <w:lang w:eastAsia="zh-CN" w:bidi="ar"/>
              </w:rPr>
            </w:pPr>
            <w:r>
              <w:rPr>
                <w:rFonts w:cs="Times New Roman"/>
                <w:color w:val="auto"/>
                <w:kern w:val="0"/>
                <w:sz w:val="21"/>
                <w:szCs w:val="21"/>
                <w:lang w:bidi="ar"/>
              </w:rPr>
              <w:t>1,2-二甲苯</w:t>
            </w:r>
          </w:p>
          <w:p>
            <w:pPr>
              <w:widowControl/>
              <w:wordWrap w:val="0"/>
              <w:spacing w:line="240" w:lineRule="exact"/>
              <w:jc w:val="left"/>
              <w:rPr>
                <w:rFonts w:hint="eastAsia" w:eastAsia="宋体" w:cs="Times New Roman"/>
                <w:color w:val="auto"/>
                <w:kern w:val="0"/>
                <w:sz w:val="21"/>
                <w:szCs w:val="21"/>
                <w:lang w:eastAsia="zh-CN" w:bidi="ar"/>
              </w:rPr>
            </w:pPr>
            <w:r>
              <w:rPr>
                <w:rFonts w:cs="Times New Roman"/>
                <w:color w:val="auto"/>
                <w:kern w:val="0"/>
                <w:sz w:val="21"/>
                <w:szCs w:val="21"/>
                <w:lang w:bidi="ar"/>
              </w:rPr>
              <w:t>邻二甲苯</w:t>
            </w:r>
          </w:p>
          <w:p>
            <w:pPr>
              <w:widowControl/>
              <w:wordWrap w:val="0"/>
              <w:spacing w:line="240" w:lineRule="exact"/>
              <w:jc w:val="left"/>
              <w:rPr>
                <w:rFonts w:hint="eastAsia" w:eastAsia="宋体" w:cs="Times New Roman"/>
                <w:color w:val="auto"/>
                <w:kern w:val="0"/>
                <w:sz w:val="21"/>
                <w:szCs w:val="21"/>
                <w:lang w:eastAsia="zh-CN" w:bidi="ar"/>
              </w:rPr>
            </w:pPr>
            <w:r>
              <w:rPr>
                <w:rFonts w:cs="Times New Roman"/>
                <w:color w:val="auto"/>
                <w:kern w:val="0"/>
                <w:sz w:val="21"/>
                <w:szCs w:val="21"/>
                <w:lang w:bidi="ar"/>
              </w:rPr>
              <w:t>1,2-xylene</w:t>
            </w:r>
          </w:p>
          <w:p>
            <w:pPr>
              <w:widowControl/>
              <w:wordWrap w:val="0"/>
              <w:spacing w:line="240" w:lineRule="exact"/>
              <w:jc w:val="left"/>
              <w:rPr>
                <w:rFonts w:cs="Times New Roman"/>
                <w:color w:val="auto"/>
                <w:sz w:val="21"/>
                <w:szCs w:val="21"/>
              </w:rPr>
            </w:pPr>
            <w:r>
              <w:rPr>
                <w:rFonts w:cs="Times New Roman"/>
                <w:color w:val="auto"/>
                <w:kern w:val="0"/>
                <w:sz w:val="21"/>
                <w:szCs w:val="21"/>
                <w:lang w:bidi="ar"/>
              </w:rPr>
              <w:t>o-xylene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分子式：</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C8H10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分子量：</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有害物成分：</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1,2-二甲苯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健康危害：</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二甲苯对眼及上呼吸道有刺激作用，高浓度时对中枢神经系统有麻醉作用。急性中毒：短期内吸入较高浓度本品可出现眼及上呼吸道明显的刺激症状、眼结膜及咽充血、头晕、头痛、恶心、呕吐、胸闷、四肢无力、意识模糊、步态蹒跚。重者可有躁动、抽搐或昏迷。有的有癔病样发作。慢性影响：长期接触有神经衰弱综合征，女工有月经异常，工人常发生皮肤干燥、皲裂、皮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燃爆危险：</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本品易燃，具刺激性。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皮肤接触：</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脱去污染的衣着，用肥皂水和清水彻底冲洗皮肤。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眼睛接触：</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提起眼睑，用流动清水或生理盐水冲洗。就医。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吸入：</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食入：</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危险特性：</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易燃，其蒸气与空气可形成爆炸性混合物，遇明火、高热能引起燃烧爆炸。与氧化剂能发生强烈反应。流速过快，容易产生和积聚静电。其蒸气比空气重，能在较低处扩散到相当远的地方，遇火源会着火回燃。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有害燃烧产物：</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灭火方法：</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喷水冷却容器，可能的话将容器从火场移至空旷处。灭火剂：泡沫、二氧化碳、干粉、砂土。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应急处理：</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迅速撤离泄漏污染区人员至安全区，并进行隔离，严格限制出入。切断火源。建议应急处理人员戴自给正压式呼吸器，穿防毒服。尽可能切断泄漏源。防止流入下水道、排洪沟等限制性空间。小量泄漏：用活性炭或其它惰性材料吸收。也可以用不燃性分散剂制成的乳液刷洗，洗液稀释后放入废水系统。大量泄漏：构筑围堤或挖坑收容。用泡沫覆盖，抑制蒸发。用防爆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操作注意事项：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密闭操作，加强通风。操作人员必须经过专门培训，严格遵守操作规程。建议操作人员佩戴过滤式防毒面具（半面罩），戴化学安全防护眼镜，穿防毒物渗透工作服，戴橡胶耐油手套。远离火种、热源，工作场所严禁吸烟。使用防爆型的通风系统和设备。防止蒸气泄漏到工作场所空气中。避免与氧化剂接触。灌装时应控制流速，且有接地装置，防止静电积聚。搬运时要轻装轻卸，防止包装及容器损坏。配备相应品种和数量的消防器材及泄漏应急处理设备。倒空的容器可能残留有害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储存注意事项：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储存于阴凉、通风的库房。远离火种、热源。库温不宜超过30℃。保持容器密封。应与氧化剂分开存放，切忌混储。采用防爆型照明、通风设施。禁止使用易产生火花的机械设备和工具。储区应备有泄漏应急处理设备和合适的收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中国MAC(mg/m3)：</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前苏联MAC(mg/m3)：</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TLVTN：</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OSHA 100ppm,434mg/m3; ACGIH 100ppm,434mg/m3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TLVWN：</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ACGIH 150ppm,651mg/m3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监测方法：</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气相色谱法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工程控制：</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生产过程密闭，加强通风。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呼吸系统防护：</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空气中浓度超标时，佩戴过滤式防毒面具（半面罩）。紧急事态抢救或撤离时，建议佩戴空气呼吸器。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眼睛防护：</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身体防护：</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穿防毒物渗透工作服。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手防护：</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戴橡胶耐油手套。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其他防护：</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工作现场禁止吸烟、进食和饮水。工作完毕，淋浴更衣。保持良好的卫生习惯。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主要成分：</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含量≥96％。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外观与性状：</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无色透明液体，有类似甲苯的气味。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熔点(℃)：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沸点(℃)：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相对密度(水=1)：</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相对蒸气密度(空气=1)：</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饱和蒸气压(kPa)：</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1.33(32℃)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燃烧热(kJ/mol)：</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4563.3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临界温度(℃)：</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357.2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临界压力(MPa)：</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辛醇/水分配系数的对数值：</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闪点(℃)：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引燃温度(℃)：</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爆炸上限%(V/V)：</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爆炸下限%(V/V)：</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溶解性：</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不溶于水，可混溶于乙醇、乙醚、氯仿等多数有机溶剂。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主要用途：</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主要用作溶剂和用于合成油漆涂料。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禁配物：</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急性毒性：</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LD50：1364 mg/kg(小鼠静脉) LC50：无资料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其它有害作用：</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其环境污染行为主要体现在饮用水和大气中，残留和蓄积并不严重，在环境中可被生物降解和化学降解，但这种过程的速度比挥发过程的速度低得多，挥发到大气中的二甲苯也可能被光解。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废弃处置方法：</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用焚烧法处置。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危险货物编号：</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33535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UN编号：</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1307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包装类别：</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O53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包装方法：</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小开口钢桶；螺纹口玻璃瓶、铁盖压口玻璃瓶、塑料瓶或金属桶（罐）外普通木箱；螺纹口玻璃瓶、塑料瓶或镀锡薄钢板桶（罐）外满底板花格箱、纤维板箱或胶合板箱。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vAlign w:val="center"/>
          </w:tcPr>
          <w:p>
            <w:pPr>
              <w:widowControl/>
              <w:wordWrap w:val="0"/>
              <w:spacing w:line="240" w:lineRule="exact"/>
              <w:jc w:val="right"/>
              <w:textAlignment w:val="top"/>
              <w:rPr>
                <w:rFonts w:cs="Times New Roman"/>
                <w:color w:val="auto"/>
                <w:sz w:val="21"/>
                <w:szCs w:val="21"/>
              </w:rPr>
            </w:pPr>
            <w:r>
              <w:rPr>
                <w:rFonts w:cs="Times New Roman"/>
                <w:color w:val="auto"/>
                <w:kern w:val="0"/>
                <w:sz w:val="21"/>
                <w:szCs w:val="21"/>
                <w:lang w:bidi="ar"/>
              </w:rPr>
              <w:t>运输注意事项：</w:t>
            </w:r>
          </w:p>
        </w:tc>
        <w:tc>
          <w:tcPr>
            <w:tcW w:w="6687" w:type="dxa"/>
            <w:vAlign w:val="center"/>
          </w:tcPr>
          <w:p>
            <w:pPr>
              <w:widowControl/>
              <w:wordWrap w:val="0"/>
              <w:spacing w:line="240" w:lineRule="exact"/>
              <w:jc w:val="left"/>
              <w:rPr>
                <w:rFonts w:cs="Times New Roman"/>
                <w:color w:val="auto"/>
                <w:sz w:val="21"/>
                <w:szCs w:val="21"/>
              </w:rPr>
            </w:pPr>
            <w:r>
              <w:rPr>
                <w:rFonts w:cs="Times New Roman"/>
                <w:color w:val="auto"/>
                <w:kern w:val="0"/>
                <w:sz w:val="21"/>
                <w:szCs w:val="21"/>
                <w:lang w:bidi="ar"/>
              </w:rPr>
              <w:t>本品铁路运输时限使用钢制企业自备罐车装运，装运前需报有关部门批准。运输时运输车辆应配备相应品种和数量的消防器材及泄漏应急处理设备。夏季最好早晚运输。运输时所用的槽（罐）车应有接地链，槽内可设孔隔板以减少震荡产生静电。严禁与氧化剂、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p>
      <w:pPr>
        <w:rPr>
          <w:rFonts w:cs="Times New Roman"/>
          <w:b/>
          <w:bCs/>
          <w:snapToGrid w:val="0"/>
          <w:color w:val="auto"/>
          <w:kern w:val="0"/>
          <w:szCs w:val="28"/>
        </w:rPr>
      </w:pPr>
      <w:bookmarkStart w:id="303" w:name="_Toc22234"/>
      <w:bookmarkStart w:id="304" w:name="_Toc16693"/>
      <w:r>
        <w:rPr>
          <w:rFonts w:hint="eastAsia" w:cs="Times New Roman"/>
          <w:b/>
          <w:bCs/>
          <w:snapToGrid w:val="0"/>
          <w:color w:val="auto"/>
          <w:kern w:val="0"/>
          <w:szCs w:val="28"/>
        </w:rPr>
        <w:br w:type="page"/>
      </w:r>
    </w:p>
    <w:p>
      <w:pPr>
        <w:wordWrap w:val="0"/>
        <w:adjustRightInd w:val="0"/>
        <w:snapToGrid w:val="0"/>
        <w:jc w:val="center"/>
        <w:textAlignment w:val="center"/>
        <w:outlineLvl w:val="1"/>
        <w:rPr>
          <w:rFonts w:cs="Times New Roman"/>
          <w:snapToGrid w:val="0"/>
          <w:color w:val="auto"/>
          <w:kern w:val="0"/>
          <w:szCs w:val="28"/>
        </w:rPr>
      </w:pPr>
      <w:bookmarkStart w:id="305" w:name="_Toc5177"/>
      <w:bookmarkStart w:id="306" w:name="_Toc5951"/>
      <w:r>
        <w:rPr>
          <w:rFonts w:hint="eastAsia" w:cs="Times New Roman"/>
          <w:b/>
          <w:bCs/>
          <w:snapToGrid w:val="0"/>
          <w:color w:val="auto"/>
          <w:kern w:val="0"/>
          <w:szCs w:val="28"/>
        </w:rPr>
        <w:t>8.7 醋酸丁酯</w:t>
      </w:r>
      <w:bookmarkEnd w:id="303"/>
      <w:bookmarkEnd w:id="304"/>
      <w:bookmarkEnd w:id="305"/>
      <w:bookmarkEnd w:id="306"/>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2384"/>
        <w:gridCol w:w="6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CAS：</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123-86-4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名称：</w:t>
            </w:r>
          </w:p>
        </w:tc>
        <w:tc>
          <w:tcPr>
            <w:tcW w:w="6687" w:type="dxa"/>
            <w:vAlign w:val="center"/>
          </w:tcPr>
          <w:p>
            <w:pPr>
              <w:widowControl/>
              <w:wordWrap w:val="0"/>
              <w:spacing w:line="27" w:lineRule="atLeast"/>
              <w:jc w:val="left"/>
              <w:rPr>
                <w:rFonts w:hint="eastAsia" w:eastAsia="宋体" w:cs="Times New Roman"/>
                <w:color w:val="auto"/>
                <w:kern w:val="0"/>
                <w:sz w:val="21"/>
                <w:szCs w:val="21"/>
                <w:lang w:eastAsia="zh-CN" w:bidi="ar"/>
              </w:rPr>
            </w:pPr>
            <w:r>
              <w:rPr>
                <w:rFonts w:cs="Times New Roman"/>
                <w:color w:val="auto"/>
                <w:kern w:val="0"/>
                <w:sz w:val="21"/>
                <w:szCs w:val="21"/>
                <w:lang w:bidi="ar"/>
              </w:rPr>
              <w:t>醋酸正丁酯</w:t>
            </w:r>
          </w:p>
          <w:p>
            <w:pPr>
              <w:widowControl/>
              <w:wordWrap w:val="0"/>
              <w:spacing w:line="27" w:lineRule="atLeast"/>
              <w:jc w:val="left"/>
              <w:rPr>
                <w:rFonts w:hint="eastAsia" w:eastAsia="宋体" w:cs="Times New Roman"/>
                <w:color w:val="auto"/>
                <w:kern w:val="0"/>
                <w:sz w:val="21"/>
                <w:szCs w:val="21"/>
                <w:lang w:eastAsia="zh-CN" w:bidi="ar"/>
              </w:rPr>
            </w:pPr>
            <w:r>
              <w:rPr>
                <w:rFonts w:cs="Times New Roman"/>
                <w:color w:val="auto"/>
                <w:kern w:val="0"/>
                <w:sz w:val="21"/>
                <w:szCs w:val="21"/>
                <w:lang w:bidi="ar"/>
              </w:rPr>
              <w:t>乙酸丁酯</w:t>
            </w:r>
          </w:p>
          <w:p>
            <w:pPr>
              <w:widowControl/>
              <w:wordWrap w:val="0"/>
              <w:spacing w:line="27" w:lineRule="atLeast"/>
              <w:jc w:val="left"/>
              <w:rPr>
                <w:rFonts w:hint="eastAsia" w:eastAsia="宋体" w:cs="Times New Roman"/>
                <w:color w:val="auto"/>
                <w:kern w:val="0"/>
                <w:sz w:val="21"/>
                <w:szCs w:val="21"/>
                <w:lang w:eastAsia="zh-CN" w:bidi="ar"/>
              </w:rPr>
            </w:pPr>
            <w:r>
              <w:rPr>
                <w:rFonts w:cs="Times New Roman"/>
                <w:color w:val="auto"/>
                <w:kern w:val="0"/>
                <w:sz w:val="21"/>
                <w:szCs w:val="21"/>
                <w:lang w:bidi="ar"/>
              </w:rPr>
              <w:t>butyl acetate</w:t>
            </w:r>
          </w:p>
          <w:p>
            <w:pPr>
              <w:widowControl/>
              <w:wordWrap w:val="0"/>
              <w:spacing w:line="27" w:lineRule="atLeast"/>
              <w:jc w:val="left"/>
              <w:rPr>
                <w:rFonts w:cs="Times New Roman"/>
                <w:color w:val="auto"/>
                <w:sz w:val="21"/>
                <w:szCs w:val="21"/>
              </w:rPr>
            </w:pPr>
            <w:r>
              <w:rPr>
                <w:rFonts w:cs="Times New Roman"/>
                <w:color w:val="auto"/>
                <w:kern w:val="0"/>
                <w:sz w:val="21"/>
                <w:szCs w:val="21"/>
                <w:lang w:bidi="ar"/>
              </w:rPr>
              <w:t>butyl ethanoate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分子式：</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C6H12O2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分子量：</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116.16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有害物成分：</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乙酸丁酯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健康危害：</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对眼及上呼吸道均有强烈的刺激作用，有麻醉作用。吸入高浓度本品出现流泪、咽痛、咳嗽、胸闷、气短等，严重者出现心血管和神经系统的症状。可引起结膜炎、角膜炎，角膜上皮有空泡形成。皮肤接触可引起皮肤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燃爆危险：</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本品易燃，具强刺激性。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皮肤接触：</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脱去污染的衣着，用肥皂水和清水彻底冲洗皮肤。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眼睛接触：</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立即提起眼睑，用大量流动清水或生理盐水彻底冲洗至少15分钟。就医。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吸入：</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食入：</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饮足量温水，催吐。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危险特性：</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易燃，其蒸气与空气可形成爆炸性混合物，遇明火、高热能引起燃烧爆炸。与氧化剂能发生强烈反应。其蒸气比空气重，能在较低处扩散到相当远的地方，遇火源会着火回燃。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有害燃烧产物：</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灭火方法：</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采用抗溶性泡沫、二氧化碳、干粉、砂土灭火。用水灭火无效，但可用水保持火场中容器冷却。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应急处理：</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迅速撤离泄漏污染区人员至安全区，并进行隔离，严格限制出入。切断火源。建议应急处理人员戴自给正压式呼吸器，穿防静电工作服。尽可能切断泄漏源。防止流入下水道、排洪沟等限制性空间。小量泄漏：用活性炭或其它惰性材料吸收。也可以用大量水冲洗，洗水稀释后放入废水系统。大量泄漏：构筑围堤或挖坑收容。用泡沫覆盖，降低蒸气灾害。用防爆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操作注意事项：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密闭操作，全面通风。操作人员必须经过专门培训，严格遵守操作规程。建议操作人员佩戴自吸过滤式防毒面具（半面罩），戴化学安全防护眼镜，穿防静电工作服，戴橡胶耐油手套。远离火种、热源，工作场所严禁吸烟。使用防爆型的通风系统和设备。防止蒸气泄漏到工作场所空气中。避免与氧化剂、酸类、碱类接触。灌装时应控制流速，且有接地装置，防止静电积聚。搬运时要轻装轻卸，防止包装及容器损坏。配备相应品种和数量的消防器材及泄漏应急处理设备。倒空的容器可能残留有害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储存注意事项：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储存于阴凉、通风的库房。远离火种、热源。库温不宜超过30℃。保持容器密封。应与氧化剂、酸类、碱类分开存放，切忌混储。采用防爆型照明、通风设施。禁止使用易产生火花的机械设备和工具。储区应备有泄漏应急处理设备和合适的收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中国MAC(mg/m3)：</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前苏联MAC(mg/m3)：</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TLVTN：</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OSHA 150ppm,713mg/m3; ACGIH 20ppm,95mg/m3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监测方法：</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气相色谱法；羟胺－氯化铁分光光度法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工程控制：</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生产过程密闭，全面通风。提供安全淋浴和洗眼设备。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呼吸系统防护：</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可能接触其蒸气时，应该佩戴自吸过滤式防毒面具（半面罩）。紧急事态抢救或撤离时，建议佩戴空气呼吸器。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眼睛防护：</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身体防护：</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手防护：</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戴橡胶耐油手套。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其他防护：</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工作现场严禁吸烟。工作完毕，淋浴更衣。注意个人清洁卫生。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主要成分：</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外观与性状：</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无色透明液体，有果子香味。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熔点(℃)：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沸点(℃)：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126.1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相对密度(水=1)：</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相对蒸气密度(空气=1)：</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饱和蒸气压(kPa)：</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2.00(25℃)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燃烧热(kJ/mol)：</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3463.5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临界温度(℃)：</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305.9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闪点(℃)：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引燃温度(℃)：</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爆炸上限%(V/V)：</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爆炸下限%(V/V)：</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溶解性：</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微溶于水，溶于醇、醚等多数有机溶剂。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主要用途：</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用作喷漆、人造革、胶片、硝化棉、树胶等溶剂及用于调制香料和药物。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禁配物：</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强氧化剂、碱类、酸类。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急性毒性：</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LD50：13100 mg/kg(大鼠经口) LC50：9480 mg/kg(大鼠经口)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刺激性：</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家兔经眼：20mg，重度刺激。家兔经皮：500mg/24小时，中度刺激。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其它有害作用：</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该物质对环境可能有危害，对水体应给予特别注意。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废弃处置方法：</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用焚烧法处置。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危险货物编号：</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32130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UN编号：</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包装类别：</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O52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包装方法：</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小开口钢桶；安瓿瓶外普通木箱；螺纹口玻璃瓶、铁盖压口玻璃瓶、塑料瓶或金属桶（罐）外普通木箱。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2384" w:type="dxa"/>
          </w:tcPr>
          <w:p>
            <w:pPr>
              <w:widowControl/>
              <w:wordWrap w:val="0"/>
              <w:spacing w:line="27" w:lineRule="atLeast"/>
              <w:jc w:val="right"/>
              <w:textAlignment w:val="top"/>
              <w:rPr>
                <w:rFonts w:cs="Times New Roman"/>
                <w:color w:val="auto"/>
                <w:sz w:val="21"/>
                <w:szCs w:val="21"/>
              </w:rPr>
            </w:pPr>
            <w:r>
              <w:rPr>
                <w:rFonts w:cs="Times New Roman"/>
                <w:color w:val="auto"/>
                <w:kern w:val="0"/>
                <w:sz w:val="21"/>
                <w:szCs w:val="21"/>
                <w:lang w:bidi="ar"/>
              </w:rPr>
              <w:t>运输注意事项：</w:t>
            </w:r>
          </w:p>
        </w:tc>
        <w:tc>
          <w:tcPr>
            <w:tcW w:w="6687" w:type="dxa"/>
            <w:vAlign w:val="center"/>
          </w:tcPr>
          <w:p>
            <w:pPr>
              <w:widowControl/>
              <w:wordWrap w:val="0"/>
              <w:spacing w:line="27" w:lineRule="atLeast"/>
              <w:jc w:val="left"/>
              <w:rPr>
                <w:rFonts w:cs="Times New Roman"/>
                <w:color w:val="auto"/>
                <w:sz w:val="21"/>
                <w:szCs w:val="21"/>
              </w:rPr>
            </w:pPr>
            <w:r>
              <w:rPr>
                <w:rFonts w:cs="Times New Roman"/>
                <w:color w:val="auto"/>
                <w:kern w:val="0"/>
                <w:sz w:val="21"/>
                <w:szCs w:val="21"/>
                <w:lang w:bidi="ar"/>
              </w:rPr>
              <w:t>铁路运输时应严格按照铁道部《危险货物运输规则》中的危险货物配装表进行配装。运输时运输车辆应配备相应品种和数量的消防器材及泄漏应急处理设备。夏季最好早晚运输。运输时所用的槽（罐）车应有接地链，槽内可设孔隔板以减少震荡产生静电。严禁与氧化剂、酸类、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p>
      <w:pPr>
        <w:rPr>
          <w:rFonts w:cs="Times New Roman"/>
          <w:b/>
          <w:bCs/>
          <w:snapToGrid w:val="0"/>
          <w:color w:val="auto"/>
          <w:kern w:val="0"/>
          <w:szCs w:val="28"/>
        </w:rPr>
      </w:pPr>
      <w:bookmarkStart w:id="307" w:name="_Toc26587"/>
      <w:bookmarkStart w:id="308" w:name="_Toc5398"/>
      <w:r>
        <w:rPr>
          <w:rFonts w:hint="eastAsia" w:cs="Times New Roman"/>
          <w:b/>
          <w:bCs/>
          <w:snapToGrid w:val="0"/>
          <w:color w:val="auto"/>
          <w:kern w:val="0"/>
          <w:szCs w:val="28"/>
        </w:rPr>
        <w:br w:type="page"/>
      </w:r>
    </w:p>
    <w:p>
      <w:pPr>
        <w:wordWrap w:val="0"/>
        <w:adjustRightInd w:val="0"/>
        <w:snapToGrid w:val="0"/>
        <w:jc w:val="center"/>
        <w:textAlignment w:val="center"/>
        <w:outlineLvl w:val="1"/>
        <w:rPr>
          <w:rFonts w:cs="Times New Roman"/>
          <w:b/>
          <w:bCs/>
          <w:snapToGrid w:val="0"/>
          <w:color w:val="auto"/>
          <w:kern w:val="0"/>
          <w:szCs w:val="28"/>
        </w:rPr>
      </w:pPr>
      <w:bookmarkStart w:id="309" w:name="_Toc3186"/>
      <w:bookmarkStart w:id="310" w:name="_Toc31347"/>
      <w:r>
        <w:rPr>
          <w:rFonts w:hint="eastAsia" w:cs="Times New Roman"/>
          <w:b/>
          <w:bCs/>
          <w:snapToGrid w:val="0"/>
          <w:color w:val="auto"/>
          <w:kern w:val="0"/>
          <w:szCs w:val="28"/>
        </w:rPr>
        <w:t>8.8 正丁醇</w:t>
      </w:r>
      <w:bookmarkEnd w:id="307"/>
      <w:bookmarkEnd w:id="308"/>
      <w:bookmarkEnd w:id="309"/>
      <w:bookmarkEnd w:id="310"/>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1999"/>
        <w:gridCol w:w="7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CAS：</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71-36-3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名称：</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hint="eastAsia" w:eastAsia="宋体" w:cs="Times New Roman"/>
                <w:color w:val="auto"/>
                <w:kern w:val="0"/>
                <w:sz w:val="21"/>
                <w:szCs w:val="21"/>
                <w:lang w:eastAsia="zh-CN" w:bidi="ar"/>
              </w:rPr>
            </w:pPr>
            <w:r>
              <w:rPr>
                <w:rFonts w:cs="Times New Roman"/>
                <w:color w:val="auto"/>
                <w:kern w:val="0"/>
                <w:sz w:val="21"/>
                <w:szCs w:val="21"/>
                <w:lang w:bidi="ar"/>
              </w:rPr>
              <w:t>丁醇</w:t>
            </w:r>
          </w:p>
          <w:p>
            <w:pPr>
              <w:wordWrap w:val="0"/>
              <w:adjustRightInd w:val="0"/>
              <w:snapToGrid w:val="0"/>
              <w:spacing w:line="27" w:lineRule="atLeast"/>
              <w:jc w:val="left"/>
              <w:textAlignment w:val="center"/>
              <w:rPr>
                <w:rFonts w:hint="eastAsia" w:eastAsia="宋体" w:cs="Times New Roman"/>
                <w:color w:val="auto"/>
                <w:kern w:val="0"/>
                <w:sz w:val="21"/>
                <w:szCs w:val="21"/>
                <w:lang w:eastAsia="zh-CN" w:bidi="ar"/>
              </w:rPr>
            </w:pPr>
            <w:r>
              <w:rPr>
                <w:rFonts w:cs="Times New Roman"/>
                <w:color w:val="auto"/>
                <w:kern w:val="0"/>
                <w:sz w:val="21"/>
                <w:szCs w:val="21"/>
                <w:lang w:bidi="ar"/>
              </w:rPr>
              <w:t>正丁醇</w:t>
            </w:r>
          </w:p>
          <w:p>
            <w:pPr>
              <w:wordWrap w:val="0"/>
              <w:adjustRightInd w:val="0"/>
              <w:snapToGrid w:val="0"/>
              <w:spacing w:line="27" w:lineRule="atLeast"/>
              <w:jc w:val="left"/>
              <w:textAlignment w:val="center"/>
              <w:rPr>
                <w:rFonts w:hint="eastAsia" w:eastAsia="宋体" w:cs="Times New Roman"/>
                <w:color w:val="auto"/>
                <w:kern w:val="0"/>
                <w:sz w:val="21"/>
                <w:szCs w:val="21"/>
                <w:lang w:eastAsia="zh-CN" w:bidi="ar"/>
              </w:rPr>
            </w:pPr>
            <w:r>
              <w:rPr>
                <w:rFonts w:cs="Times New Roman"/>
                <w:color w:val="auto"/>
                <w:kern w:val="0"/>
                <w:sz w:val="21"/>
                <w:szCs w:val="21"/>
                <w:lang w:bidi="ar"/>
              </w:rPr>
              <w:t>1-butanol</w:t>
            </w:r>
          </w:p>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butyl alcohol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分子式：</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C4H10O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分子量：</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74.12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有害物成分：</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丁醇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健康危害：</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本品具有刺激和麻醉作用。主要症状为眼、鼻、喉部刺激，在角膜浅层形成半透明的空泡，头痛、头晕和嗜睡，手部可发生接触性皮炎。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燃爆危险：</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本品易燃，具刺激性。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皮肤接触：</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脱去污染的衣着，用肥皂水和清水彻底冲洗皮肤。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眼睛接触：</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立即提起眼睑，用大量流动清水或生理盐水彻底冲洗至少15分钟。就医。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吸入：</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食入：</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危险特性：</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易燃，其蒸气与空气可形成爆炸性混合物，遇明火、高热能引起燃烧爆炸。与氧化剂接触猛烈反应。在火场中，受热的容器有爆炸危险。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有害燃烧产物：</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灭火方法：</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用水喷射逸出液体，使其稀释成不燃性混合物，并用雾状水保护消防人员。灭火剂：抗溶性泡沫、干粉、二氧化碳、雾状水、1211灭火剂、砂土。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应急处理：</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迅速撤离泄漏污染区人员至安全区，并进行隔离，严格限制出入。切断火源。建议应急处理人员戴自给正压式呼吸器，穿防静电工作服。尽可能切断泄漏源。防止流入下水道、排洪沟等限制性空间。小量泄漏：用活性炭或其它惰性材料吸收。也可以用大量水冲洗，洗水稀释后放入废水系统。大量泄漏：构筑围堤或挖坑收容。用泡沫覆盖，降低蒸气灾害。用防爆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操作注意事项：</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密闭操作，全面通风。操作人员必须经过专门培训，严格遵守操作规程。建议操作人员佩戴自吸过滤式防毒面具（半面罩），戴安全防护眼镜，穿防静电工作服。远离火种、热源，工作场所严禁吸烟。使用防爆型的通风系统和设备。防止蒸气泄漏到工作场所空气中。避免与氧化剂、酸类接触。充装要控制流速，防止静电积聚。搬运时要轻装轻卸，防止包装及容器损坏。配备相应品种和数量的消防器材及泄漏应急处理设备。倒空的容器可能残留有害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储存注意事项：</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储存于阴凉、通风的库房。远离火种、热源。库温不宜超过30℃。保持容器密封。应与氧化剂、酸类等分开存放，切忌混储。采用防爆型照明、通风设施。禁止使用易产生火花的机械设备和工具。储区应备有泄漏应急处理设备和合适的收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中国MAC</w:t>
            </w:r>
            <w:r>
              <w:rPr>
                <w:rFonts w:hint="eastAsia" w:cs="Times New Roman"/>
                <w:color w:val="auto"/>
                <w:kern w:val="0"/>
                <w:sz w:val="21"/>
                <w:szCs w:val="21"/>
                <w:lang w:bidi="ar"/>
              </w:rPr>
              <w:t>（</w:t>
            </w:r>
            <w:r>
              <w:rPr>
                <w:rFonts w:cs="Times New Roman"/>
                <w:color w:val="auto"/>
                <w:kern w:val="0"/>
                <w:sz w:val="21"/>
                <w:szCs w:val="21"/>
                <w:lang w:bidi="ar"/>
              </w:rPr>
              <w:t>mg/m3</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前苏联MAC</w:t>
            </w:r>
            <w:r>
              <w:rPr>
                <w:rFonts w:hint="eastAsia" w:cs="Times New Roman"/>
                <w:color w:val="auto"/>
                <w:kern w:val="0"/>
                <w:sz w:val="21"/>
                <w:szCs w:val="21"/>
                <w:lang w:bidi="ar"/>
              </w:rPr>
              <w:t>（</w:t>
            </w:r>
            <w:r>
              <w:rPr>
                <w:rFonts w:cs="Times New Roman"/>
                <w:color w:val="auto"/>
                <w:kern w:val="0"/>
                <w:sz w:val="21"/>
                <w:szCs w:val="21"/>
                <w:lang w:bidi="ar"/>
              </w:rPr>
              <w:t>mg/m3</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TLVTN：</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OSHA 100ppm</w:t>
            </w:r>
            <w:r>
              <w:rPr>
                <w:rFonts w:hint="eastAsia" w:cs="Times New Roman"/>
                <w:color w:val="auto"/>
                <w:kern w:val="0"/>
                <w:sz w:val="21"/>
                <w:szCs w:val="21"/>
                <w:lang w:bidi="ar"/>
              </w:rPr>
              <w:t>，</w:t>
            </w:r>
            <w:r>
              <w:rPr>
                <w:rFonts w:cs="Times New Roman"/>
                <w:color w:val="auto"/>
                <w:kern w:val="0"/>
                <w:sz w:val="21"/>
                <w:szCs w:val="21"/>
                <w:lang w:bidi="ar"/>
              </w:rPr>
              <w:t>304mg/m3; ACGIH 50ppm[皮][上限值]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TLVWN：</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ACGIH 50ppm</w:t>
            </w:r>
            <w:r>
              <w:rPr>
                <w:rFonts w:hint="eastAsia" w:cs="Times New Roman"/>
                <w:color w:val="auto"/>
                <w:kern w:val="0"/>
                <w:sz w:val="21"/>
                <w:szCs w:val="21"/>
                <w:lang w:bidi="ar"/>
              </w:rPr>
              <w:t>，</w:t>
            </w:r>
            <w:r>
              <w:rPr>
                <w:rFonts w:cs="Times New Roman"/>
                <w:color w:val="auto"/>
                <w:kern w:val="0"/>
                <w:sz w:val="21"/>
                <w:szCs w:val="21"/>
                <w:lang w:bidi="ar"/>
              </w:rPr>
              <w:t>152mg/m3[皮]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工程控制：</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生产过程密闭，全面通风。提供安全淋浴和洗眼设备。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呼吸系统防护：</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一般不需要特殊防护，高浓度接触时可佩戴自吸过滤式防毒面具（半面罩）。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眼睛防护：</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戴安全防护眼镜。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身体防护：</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手防护：</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戴一般作业防护手套。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其他防护：</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工作现场严禁吸烟。保持良好的卫生习惯。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主要成分：</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外观与性状：</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无色透明液体，具有特殊气味。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熔点</w:t>
            </w:r>
            <w:r>
              <w:rPr>
                <w:rFonts w:hint="eastAsia" w:cs="Times New Roman"/>
                <w:color w:val="auto"/>
                <w:kern w:val="0"/>
                <w:sz w:val="21"/>
                <w:szCs w:val="21"/>
                <w:lang w:bidi="ar"/>
              </w:rPr>
              <w:t>（</w:t>
            </w:r>
            <w:r>
              <w:rPr>
                <w:rFonts w:cs="Times New Roman"/>
                <w:color w:val="auto"/>
                <w:kern w:val="0"/>
                <w:sz w:val="21"/>
                <w:szCs w:val="21"/>
                <w:lang w:bidi="ar"/>
              </w:rPr>
              <w:t>℃</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沸点</w:t>
            </w:r>
            <w:r>
              <w:rPr>
                <w:rFonts w:hint="eastAsia" w:cs="Times New Roman"/>
                <w:color w:val="auto"/>
                <w:kern w:val="0"/>
                <w:sz w:val="21"/>
                <w:szCs w:val="21"/>
                <w:lang w:bidi="ar"/>
              </w:rPr>
              <w:t>（</w:t>
            </w:r>
            <w:r>
              <w:rPr>
                <w:rFonts w:cs="Times New Roman"/>
                <w:color w:val="auto"/>
                <w:kern w:val="0"/>
                <w:sz w:val="21"/>
                <w:szCs w:val="21"/>
                <w:lang w:bidi="ar"/>
              </w:rPr>
              <w:t>℃</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相对密度</w:t>
            </w:r>
            <w:r>
              <w:rPr>
                <w:rFonts w:hint="eastAsia" w:cs="Times New Roman"/>
                <w:color w:val="auto"/>
                <w:kern w:val="0"/>
                <w:sz w:val="21"/>
                <w:szCs w:val="21"/>
                <w:lang w:bidi="ar"/>
              </w:rPr>
              <w:t>（</w:t>
            </w:r>
            <w:r>
              <w:rPr>
                <w:rFonts w:cs="Times New Roman"/>
                <w:color w:val="auto"/>
                <w:kern w:val="0"/>
                <w:sz w:val="21"/>
                <w:szCs w:val="21"/>
                <w:lang w:bidi="ar"/>
              </w:rPr>
              <w:t>水=1</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相对蒸气密度</w:t>
            </w:r>
            <w:r>
              <w:rPr>
                <w:rFonts w:hint="eastAsia" w:cs="Times New Roman"/>
                <w:color w:val="auto"/>
                <w:kern w:val="0"/>
                <w:sz w:val="21"/>
                <w:szCs w:val="21"/>
                <w:lang w:bidi="ar"/>
              </w:rPr>
              <w:t>（</w:t>
            </w:r>
            <w:r>
              <w:rPr>
                <w:rFonts w:cs="Times New Roman"/>
                <w:color w:val="auto"/>
                <w:kern w:val="0"/>
                <w:sz w:val="21"/>
                <w:szCs w:val="21"/>
                <w:lang w:bidi="ar"/>
              </w:rPr>
              <w:t>空气=1</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饱和蒸气压</w:t>
            </w:r>
            <w:r>
              <w:rPr>
                <w:rFonts w:hint="eastAsia" w:cs="Times New Roman"/>
                <w:color w:val="auto"/>
                <w:kern w:val="0"/>
                <w:sz w:val="21"/>
                <w:szCs w:val="21"/>
                <w:lang w:bidi="ar"/>
              </w:rPr>
              <w:t>（</w:t>
            </w:r>
            <w:r>
              <w:rPr>
                <w:rFonts w:cs="Times New Roman"/>
                <w:color w:val="auto"/>
                <w:kern w:val="0"/>
                <w:sz w:val="21"/>
                <w:szCs w:val="21"/>
                <w:lang w:bidi="ar"/>
              </w:rPr>
              <w:t>kPa</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0.82</w:t>
            </w:r>
            <w:r>
              <w:rPr>
                <w:rFonts w:hint="eastAsia" w:cs="Times New Roman"/>
                <w:color w:val="auto"/>
                <w:kern w:val="0"/>
                <w:sz w:val="21"/>
                <w:szCs w:val="21"/>
                <w:lang w:bidi="ar"/>
              </w:rPr>
              <w:t>（</w:t>
            </w:r>
            <w:r>
              <w:rPr>
                <w:rFonts w:cs="Times New Roman"/>
                <w:color w:val="auto"/>
                <w:kern w:val="0"/>
                <w:sz w:val="21"/>
                <w:szCs w:val="21"/>
                <w:lang w:bidi="ar"/>
              </w:rPr>
              <w:t>25℃</w:t>
            </w:r>
            <w:r>
              <w:rPr>
                <w:rFonts w:hint="eastAsia" w:cs="Times New Roman"/>
                <w:color w:val="auto"/>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燃烧热</w:t>
            </w:r>
            <w:r>
              <w:rPr>
                <w:rFonts w:hint="eastAsia" w:cs="Times New Roman"/>
                <w:color w:val="auto"/>
                <w:kern w:val="0"/>
                <w:sz w:val="21"/>
                <w:szCs w:val="21"/>
                <w:lang w:bidi="ar"/>
              </w:rPr>
              <w:t>（</w:t>
            </w:r>
            <w:r>
              <w:rPr>
                <w:rFonts w:cs="Times New Roman"/>
                <w:color w:val="auto"/>
                <w:kern w:val="0"/>
                <w:sz w:val="21"/>
                <w:szCs w:val="21"/>
                <w:lang w:bidi="ar"/>
              </w:rPr>
              <w:t>kJ/mol</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2673.2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临界温度</w:t>
            </w:r>
            <w:r>
              <w:rPr>
                <w:rFonts w:hint="eastAsia" w:cs="Times New Roman"/>
                <w:color w:val="auto"/>
                <w:kern w:val="0"/>
                <w:sz w:val="21"/>
                <w:szCs w:val="21"/>
                <w:lang w:bidi="ar"/>
              </w:rPr>
              <w:t>（</w:t>
            </w:r>
            <w:r>
              <w:rPr>
                <w:rFonts w:cs="Times New Roman"/>
                <w:color w:val="auto"/>
                <w:kern w:val="0"/>
                <w:sz w:val="21"/>
                <w:szCs w:val="21"/>
                <w:lang w:bidi="ar"/>
              </w:rPr>
              <w:t>℃</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临界压力</w:t>
            </w:r>
            <w:r>
              <w:rPr>
                <w:rFonts w:hint="eastAsia" w:cs="Times New Roman"/>
                <w:color w:val="auto"/>
                <w:kern w:val="0"/>
                <w:sz w:val="21"/>
                <w:szCs w:val="21"/>
                <w:lang w:bidi="ar"/>
              </w:rPr>
              <w:t>（</w:t>
            </w:r>
            <w:r>
              <w:rPr>
                <w:rFonts w:cs="Times New Roman"/>
                <w:color w:val="auto"/>
                <w:kern w:val="0"/>
                <w:sz w:val="21"/>
                <w:szCs w:val="21"/>
                <w:lang w:bidi="ar"/>
              </w:rPr>
              <w:t>MPa</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辛醇/水分配系数的对数值：</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闪点</w:t>
            </w:r>
            <w:r>
              <w:rPr>
                <w:rFonts w:hint="eastAsia" w:cs="Times New Roman"/>
                <w:color w:val="auto"/>
                <w:kern w:val="0"/>
                <w:sz w:val="21"/>
                <w:szCs w:val="21"/>
                <w:lang w:bidi="ar"/>
              </w:rPr>
              <w:t>（</w:t>
            </w:r>
            <w:r>
              <w:rPr>
                <w:rFonts w:cs="Times New Roman"/>
                <w:color w:val="auto"/>
                <w:kern w:val="0"/>
                <w:sz w:val="21"/>
                <w:szCs w:val="21"/>
                <w:lang w:bidi="ar"/>
              </w:rPr>
              <w:t>℃</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引燃温度</w:t>
            </w:r>
            <w:r>
              <w:rPr>
                <w:rFonts w:hint="eastAsia" w:cs="Times New Roman"/>
                <w:color w:val="auto"/>
                <w:kern w:val="0"/>
                <w:sz w:val="21"/>
                <w:szCs w:val="21"/>
                <w:lang w:bidi="ar"/>
              </w:rPr>
              <w:t>（</w:t>
            </w:r>
            <w:r>
              <w:rPr>
                <w:rFonts w:cs="Times New Roman"/>
                <w:color w:val="auto"/>
                <w:kern w:val="0"/>
                <w:sz w:val="21"/>
                <w:szCs w:val="21"/>
                <w:lang w:bidi="ar"/>
              </w:rPr>
              <w:t>℃</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爆炸上限%</w:t>
            </w:r>
            <w:r>
              <w:rPr>
                <w:rFonts w:hint="eastAsia" w:cs="Times New Roman"/>
                <w:color w:val="auto"/>
                <w:kern w:val="0"/>
                <w:sz w:val="21"/>
                <w:szCs w:val="21"/>
                <w:lang w:bidi="ar"/>
              </w:rPr>
              <w:t>（</w:t>
            </w:r>
            <w:r>
              <w:rPr>
                <w:rFonts w:cs="Times New Roman"/>
                <w:color w:val="auto"/>
                <w:kern w:val="0"/>
                <w:sz w:val="21"/>
                <w:szCs w:val="21"/>
                <w:lang w:bidi="ar"/>
              </w:rPr>
              <w:t>V/V</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爆炸下限%</w:t>
            </w:r>
            <w:r>
              <w:rPr>
                <w:rFonts w:hint="eastAsia" w:cs="Times New Roman"/>
                <w:color w:val="auto"/>
                <w:kern w:val="0"/>
                <w:sz w:val="21"/>
                <w:szCs w:val="21"/>
                <w:lang w:bidi="ar"/>
              </w:rPr>
              <w:t>（</w:t>
            </w:r>
            <w:r>
              <w:rPr>
                <w:rFonts w:cs="Times New Roman"/>
                <w:color w:val="auto"/>
                <w:kern w:val="0"/>
                <w:sz w:val="21"/>
                <w:szCs w:val="21"/>
                <w:lang w:bidi="ar"/>
              </w:rPr>
              <w:t>V/V</w:t>
            </w:r>
            <w:r>
              <w:rPr>
                <w:rFonts w:hint="eastAsia" w:cs="Times New Roman"/>
                <w:color w:val="auto"/>
                <w:kern w:val="0"/>
                <w:sz w:val="21"/>
                <w:szCs w:val="21"/>
                <w:lang w:bidi="ar"/>
              </w:rPr>
              <w:t>）</w:t>
            </w:r>
            <w:r>
              <w:rPr>
                <w:rFonts w:cs="Times New Roman"/>
                <w:color w:val="auto"/>
                <w:kern w:val="0"/>
                <w:sz w:val="21"/>
                <w:szCs w:val="21"/>
                <w:lang w:bidi="ar"/>
              </w:rPr>
              <w:t>：</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溶解性：</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微溶于水，溶于乙醇、醚、多数有机溶剂。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主要用途：</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用于制取酯类、塑料增塑剂、医药、喷漆，以及用作溶剂。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禁配物：</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强酸、酰基氯、酸酐、强氧化剂。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急性毒性：</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LD50：4360 mg/kg</w:t>
            </w:r>
            <w:r>
              <w:rPr>
                <w:rFonts w:hint="eastAsia" w:cs="Times New Roman"/>
                <w:color w:val="auto"/>
                <w:kern w:val="0"/>
                <w:sz w:val="21"/>
                <w:szCs w:val="21"/>
                <w:lang w:bidi="ar"/>
              </w:rPr>
              <w:t>（</w:t>
            </w:r>
            <w:r>
              <w:rPr>
                <w:rFonts w:cs="Times New Roman"/>
                <w:color w:val="auto"/>
                <w:kern w:val="0"/>
                <w:sz w:val="21"/>
                <w:szCs w:val="21"/>
                <w:lang w:bidi="ar"/>
              </w:rPr>
              <w:t>大鼠经口</w:t>
            </w:r>
            <w:r>
              <w:rPr>
                <w:rFonts w:hint="eastAsia" w:cs="Times New Roman"/>
                <w:color w:val="auto"/>
                <w:kern w:val="0"/>
                <w:sz w:val="21"/>
                <w:szCs w:val="21"/>
                <w:lang w:bidi="ar"/>
              </w:rPr>
              <w:t>）</w:t>
            </w:r>
            <w:r>
              <w:rPr>
                <w:rFonts w:cs="Times New Roman"/>
                <w:color w:val="auto"/>
                <w:kern w:val="0"/>
                <w:sz w:val="21"/>
                <w:szCs w:val="21"/>
                <w:lang w:bidi="ar"/>
              </w:rPr>
              <w:t>；3400 mg/kg</w:t>
            </w:r>
            <w:r>
              <w:rPr>
                <w:rFonts w:hint="eastAsia" w:cs="Times New Roman"/>
                <w:color w:val="auto"/>
                <w:kern w:val="0"/>
                <w:sz w:val="21"/>
                <w:szCs w:val="21"/>
                <w:lang w:bidi="ar"/>
              </w:rPr>
              <w:t>（</w:t>
            </w:r>
            <w:r>
              <w:rPr>
                <w:rFonts w:cs="Times New Roman"/>
                <w:color w:val="auto"/>
                <w:kern w:val="0"/>
                <w:sz w:val="21"/>
                <w:szCs w:val="21"/>
                <w:lang w:bidi="ar"/>
              </w:rPr>
              <w:t>兔经皮</w:t>
            </w:r>
            <w:r>
              <w:rPr>
                <w:rFonts w:hint="eastAsia" w:cs="Times New Roman"/>
                <w:color w:val="auto"/>
                <w:kern w:val="0"/>
                <w:sz w:val="21"/>
                <w:szCs w:val="21"/>
                <w:lang w:bidi="ar"/>
              </w:rPr>
              <w:t>）</w:t>
            </w:r>
            <w:r>
              <w:rPr>
                <w:rFonts w:cs="Times New Roman"/>
                <w:color w:val="auto"/>
                <w:kern w:val="0"/>
                <w:sz w:val="21"/>
                <w:szCs w:val="21"/>
                <w:lang w:bidi="ar"/>
              </w:rPr>
              <w:t xml:space="preserve"> LC50：24240mg/m3，4小时</w:t>
            </w:r>
            <w:r>
              <w:rPr>
                <w:rFonts w:hint="eastAsia" w:cs="Times New Roman"/>
                <w:color w:val="auto"/>
                <w:kern w:val="0"/>
                <w:sz w:val="21"/>
                <w:szCs w:val="21"/>
                <w:lang w:bidi="ar"/>
              </w:rPr>
              <w:t>（</w:t>
            </w:r>
            <w:r>
              <w:rPr>
                <w:rFonts w:cs="Times New Roman"/>
                <w:color w:val="auto"/>
                <w:kern w:val="0"/>
                <w:sz w:val="21"/>
                <w:szCs w:val="21"/>
                <w:lang w:bidi="ar"/>
              </w:rPr>
              <w:t>大鼠吸入</w:t>
            </w:r>
            <w:r>
              <w:rPr>
                <w:rFonts w:hint="eastAsia" w:cs="Times New Roman"/>
                <w:color w:val="auto"/>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其它有害作用：</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该物质对环境可能有危害，对水体应给予特别注意。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废弃处置方法：</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用焚烧法处置。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危险货物编号：</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33552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UN编号：</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包装类别：</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O53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包装方法：</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小开口钢桶；薄钢板桶或镀锡薄钢板桶（罐）外花格箱；安瓿瓶外普通木箱；螺纹口玻璃瓶、铁盖压口玻璃瓶、塑料瓶或金属桶（罐）外普通木箱；螺纹口玻璃瓶、塑料瓶或镀锡薄钢板桶（罐）外满底板花格箱、纤维板箱或胶合板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1999" w:type="dxa"/>
            <w:tcMar>
              <w:top w:w="75" w:type="dxa"/>
              <w:left w:w="0" w:type="dxa"/>
              <w:bottom w:w="75" w:type="dxa"/>
              <w:right w:w="0" w:type="dxa"/>
            </w:tcMar>
            <w:vAlign w:val="center"/>
          </w:tcPr>
          <w:p>
            <w:pPr>
              <w:wordWrap w:val="0"/>
              <w:adjustRightInd w:val="0"/>
              <w:snapToGrid w:val="0"/>
              <w:spacing w:line="27" w:lineRule="atLeast"/>
              <w:jc w:val="right"/>
              <w:textAlignment w:val="center"/>
              <w:rPr>
                <w:rFonts w:cs="Times New Roman"/>
                <w:color w:val="auto"/>
                <w:sz w:val="21"/>
                <w:szCs w:val="21"/>
              </w:rPr>
            </w:pPr>
            <w:r>
              <w:rPr>
                <w:rFonts w:cs="Times New Roman"/>
                <w:color w:val="auto"/>
                <w:kern w:val="0"/>
                <w:sz w:val="21"/>
                <w:szCs w:val="21"/>
                <w:lang w:bidi="ar"/>
              </w:rPr>
              <w:t>运输注意事项：</w:t>
            </w:r>
          </w:p>
        </w:tc>
        <w:tc>
          <w:tcPr>
            <w:tcW w:w="7072" w:type="dxa"/>
            <w:tcMar>
              <w:top w:w="75" w:type="dxa"/>
              <w:left w:w="150" w:type="dxa"/>
              <w:bottom w:w="75" w:type="dxa"/>
              <w:right w:w="75" w:type="dxa"/>
            </w:tcMar>
            <w:vAlign w:val="center"/>
          </w:tcPr>
          <w:p>
            <w:pPr>
              <w:wordWrap w:val="0"/>
              <w:adjustRightInd w:val="0"/>
              <w:snapToGrid w:val="0"/>
              <w:spacing w:line="27" w:lineRule="atLeast"/>
              <w:jc w:val="left"/>
              <w:textAlignment w:val="center"/>
              <w:rPr>
                <w:rFonts w:cs="Times New Roman"/>
                <w:color w:val="auto"/>
                <w:sz w:val="21"/>
                <w:szCs w:val="21"/>
              </w:rPr>
            </w:pPr>
            <w:r>
              <w:rPr>
                <w:rFonts w:cs="Times New Roman"/>
                <w:color w:val="auto"/>
                <w:kern w:val="0"/>
                <w:sz w:val="21"/>
                <w:szCs w:val="21"/>
                <w:lang w:bidi="ar"/>
              </w:rPr>
              <w:t>运输时运输车辆应配备相应品种和数量的消防器材及泄漏应急处理设备。夏季最好早晚运输。运输时所用的槽（罐）车应有接地链，槽内可设孔隔板以减少震荡产生静电。严禁与氧化剂、酸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p>
      <w:pPr>
        <w:wordWrap w:val="0"/>
        <w:adjustRightInd w:val="0"/>
        <w:snapToGrid w:val="0"/>
        <w:jc w:val="center"/>
        <w:textAlignment w:val="center"/>
        <w:outlineLvl w:val="1"/>
        <w:rPr>
          <w:rFonts w:cs="Times New Roman"/>
          <w:b/>
          <w:bCs/>
          <w:snapToGrid w:val="0"/>
          <w:color w:val="auto"/>
          <w:kern w:val="0"/>
          <w:szCs w:val="28"/>
        </w:rPr>
      </w:pPr>
      <w:r>
        <w:rPr>
          <w:rFonts w:hint="eastAsia" w:cs="Times New Roman"/>
          <w:snapToGrid w:val="0"/>
          <w:color w:val="auto"/>
          <w:kern w:val="0"/>
          <w:szCs w:val="28"/>
        </w:rPr>
        <w:br w:type="page"/>
      </w:r>
      <w:bookmarkStart w:id="311" w:name="_Toc11281"/>
      <w:bookmarkStart w:id="312" w:name="_Toc16932"/>
      <w:bookmarkStart w:id="313" w:name="_Toc801"/>
      <w:bookmarkStart w:id="314" w:name="_Toc28319"/>
      <w:r>
        <w:rPr>
          <w:rFonts w:hint="eastAsia" w:cs="Times New Roman"/>
          <w:b/>
          <w:bCs/>
          <w:snapToGrid w:val="0"/>
          <w:color w:val="auto"/>
          <w:kern w:val="0"/>
          <w:szCs w:val="28"/>
        </w:rPr>
        <w:t>8.9 丙烯酸树脂涂料</w:t>
      </w:r>
      <w:bookmarkEnd w:id="311"/>
      <w:bookmarkEnd w:id="312"/>
      <w:bookmarkEnd w:id="313"/>
      <w:bookmarkEnd w:id="314"/>
    </w:p>
    <w:p>
      <w:pPr>
        <w:wordWrap w:val="0"/>
        <w:adjustRightInd w:val="0"/>
        <w:snapToGrid w:val="0"/>
        <w:spacing w:line="240" w:lineRule="auto"/>
        <w:textAlignment w:val="center"/>
        <w:rPr>
          <w:rFonts w:cs="Times New Roman"/>
          <w:b/>
          <w:color w:val="auto"/>
          <w:sz w:val="21"/>
        </w:rPr>
      </w:pPr>
    </w:p>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1 化学品及企业标志</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0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62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化学品系列</w:t>
            </w:r>
          </w:p>
        </w:tc>
        <w:tc>
          <w:tcPr>
            <w:tcW w:w="306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化学品中文名</w:t>
            </w:r>
          </w:p>
        </w:tc>
        <w:tc>
          <w:tcPr>
            <w:tcW w:w="360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化学品英文名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62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建筑涂料系列</w:t>
            </w:r>
          </w:p>
        </w:tc>
        <w:tc>
          <w:tcPr>
            <w:tcW w:w="306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酷客丙烯酸树脂涂料</w:t>
            </w:r>
          </w:p>
        </w:tc>
        <w:tc>
          <w:tcPr>
            <w:tcW w:w="3600"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Oily Weather Exterior Coating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80" w:type="dxa"/>
            <w:gridSpan w:val="3"/>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企业名称：江西景新漆业有限公司</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地    址：江西省丰城市工业园区  邮编 331100</w:t>
            </w:r>
          </w:p>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企业电话：0795-6527777   传真: 0795-6599777</w:t>
            </w:r>
          </w:p>
        </w:tc>
      </w:tr>
    </w:tbl>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技术说明书编码</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生效日期：</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事故应急电话：0795-6527777</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注册号：</w:t>
      </w:r>
    </w:p>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2.成分/组成信息</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纯品         混合物√</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化学品名称：酷客全天候油性外墙保护漆</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5"/>
        <w:gridCol w:w="2705"/>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88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有害成分</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含量%</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CAS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二甲苯</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10-25</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1330-20-7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乙酸丁酯</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5-20</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123-86-4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滑石，硅酸镁</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5-25</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14807-96-6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合成丙烯酸树脂</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5-25</w:t>
            </w:r>
          </w:p>
        </w:tc>
        <w:tc>
          <w:tcPr>
            <w:tcW w:w="2705"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7631-86-9</w:t>
            </w:r>
          </w:p>
        </w:tc>
      </w:tr>
    </w:tbl>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3.危险性概述</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危险性识别：第3.3类高闪点易燃液体</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侵入途径：吸入、食入、经皮肤吸收</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健康危害：重复接触可能引致皮肤干燥或皲裂</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环境危害：请参阅第12部分</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燃爆危害：易燃。遇明火、高热、氧化剂易引燃</w:t>
      </w:r>
    </w:p>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4.急救措施：</w:t>
      </w:r>
    </w:p>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如有任何疑问或症状持续的情况，请寻求医生的帮助</w:t>
      </w:r>
    </w:p>
    <w:p>
      <w:pPr>
        <w:wordWrap w:val="0"/>
        <w:adjustRightInd w:val="0"/>
        <w:snapToGrid w:val="0"/>
        <w:spacing w:line="240" w:lineRule="auto"/>
        <w:ind w:left="1029" w:hanging="1029" w:hangingChars="490"/>
        <w:textAlignment w:val="center"/>
        <w:rPr>
          <w:rFonts w:cs="Times New Roman"/>
          <w:color w:val="auto"/>
          <w:sz w:val="21"/>
          <w:szCs w:val="21"/>
        </w:rPr>
      </w:pPr>
      <w:r>
        <w:rPr>
          <w:rFonts w:cs="Times New Roman"/>
          <w:color w:val="auto"/>
          <w:sz w:val="21"/>
          <w:szCs w:val="21"/>
        </w:rPr>
        <w:t>皮肤接触：脱下受污染的衣服，用肥皂和清水冲洗皮肤，或用个人皮肤清洁剂清洗。千万不要使用溶剂或稀释剂。如果症状持续请寻求医生的帮助。</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眼睛接触：用清洁、新鲜的水充分地冲洗至少15分钟，分开上下眼脸，并寻求医生的帮助</w:t>
      </w:r>
    </w:p>
    <w:p>
      <w:pPr>
        <w:wordWrap w:val="0"/>
        <w:adjustRightInd w:val="0"/>
        <w:snapToGrid w:val="0"/>
        <w:spacing w:line="240" w:lineRule="auto"/>
        <w:ind w:left="1029" w:hanging="1029" w:hangingChars="490"/>
        <w:textAlignment w:val="center"/>
        <w:rPr>
          <w:rFonts w:cs="Times New Roman"/>
          <w:color w:val="auto"/>
          <w:sz w:val="21"/>
          <w:szCs w:val="21"/>
        </w:rPr>
      </w:pPr>
      <w:r>
        <w:rPr>
          <w:rFonts w:cs="Times New Roman"/>
          <w:color w:val="auto"/>
          <w:sz w:val="21"/>
          <w:szCs w:val="21"/>
        </w:rPr>
        <w:t>吸    入：移到空气新鲜的地方，使病人保持温暖和休息状态，如呼吸不规则或停止，需给予人工呼吸急救法，并不要给病人服用任何东西。如不省人事请将病人置于复苏体位，并寻求医生的帮助。</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食    入：如意外吞下，</w:t>
      </w:r>
      <w:r>
        <w:rPr>
          <w:rFonts w:cs="Times New Roman"/>
          <w:b/>
          <w:color w:val="auto"/>
          <w:sz w:val="21"/>
          <w:szCs w:val="21"/>
        </w:rPr>
        <w:t>千万不要催吐</w:t>
      </w:r>
      <w:r>
        <w:rPr>
          <w:rFonts w:cs="Times New Roman"/>
          <w:color w:val="auto"/>
          <w:sz w:val="21"/>
          <w:szCs w:val="21"/>
        </w:rPr>
        <w:t>，保持休息状态并寻求医生的帮助。</w:t>
      </w:r>
    </w:p>
    <w:p>
      <w:pPr>
        <w:wordWrap w:val="0"/>
        <w:adjustRightInd w:val="0"/>
        <w:snapToGrid w:val="0"/>
        <w:spacing w:line="240" w:lineRule="auto"/>
        <w:textAlignment w:val="center"/>
        <w:rPr>
          <w:rFonts w:cs="Times New Roman"/>
          <w:b/>
          <w:color w:val="auto"/>
          <w:sz w:val="21"/>
          <w:szCs w:val="21"/>
        </w:rPr>
      </w:pPr>
      <w:r>
        <w:rPr>
          <w:rFonts w:cs="Times New Roman"/>
          <w:b/>
          <w:color w:val="auto"/>
          <w:sz w:val="21"/>
          <w:szCs w:val="21"/>
        </w:rPr>
        <w:t>5.消防措施</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危险特性：遇明火高热易燃，其蒸汽比空气重，能在较低处扩散到相当远的地方，遇明火易引着回燃。</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有害燃烧产物：一氧化碳、二氧化碳</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灭火方法及灭火剂：推荐-抗溶剂沫、二氧化碳或干粉，不要使用-水枪。</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灭火注意事项：火会引起浓厚的黑烟。暴露于分解的物质会对身体有害。消防人员必须使用自给式呼吸器。火场中的密闭容器必须用水冷却。切勿让灭火后产生的物质流入下水道或排水管。</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6.泄漏应急处理：</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应急处理：远离非工作人员远离火源并使空气畅通，避免吸入蒸气。参照第8节内有关防护措施。用不易燃烧的材料如：沙，土，蛭石，硅藻土等将漏出的油漆收集在容器中，并将容器按照当地的法规处理（见第13节），不允许倒入排水沟或下水道。最后选用清洁剂清洗，避免使用溶剂。如果产品污染湖泊、江河或下水道，通知有关机构根据当地法规处理。</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7.操作处置和存储：</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对此份安全技术说明书第二部分所列物质有皮肤过敏史的人只可以在有适当医疗监督的条件下被雇用。</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操作注意事项：蒸气密度大于空气，因此会沿着地面散播。蒸气还可能与空气形成易爆的混和气体。防止蒸气在空气中形成易燃易爆浓度，避免蒸气浓度高于职业暴露极限。此外，此产品只能在无裸露灯或其他火源的地方使用。电器设备必须按相应的标准作好保护。保持容器密闭。远离热源，火星以及明火。避免使用打火工具。避免皮肤和眼睛接触。避免吸入蒸气和雾。在储存和使用的区域禁止吸烟，饮食。有关个人防护用品请参阅第八部分。产品须存放于同原包装容器相同材料制成的容器中，或存放于其他同此产品兼容的容器中。受污染碎布的堆积物可能会引起自燃。良好的卫生标准加上经常并安全地清理废弃原材料会减少引起自燃和其他火灾的危险。</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储存注意事项：请参照标签指示。储存在凉爽，干燥通风的地方，远离热源，火源及阳光直射。禁止吸烟。禁止未经授权的使用。已开罐的容器要盖好罐口朝上放置以防泄漏。使用和储存时不可将油漆桶吊在吊钩上。</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8.接触控制/个人防护</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最高容许浓度</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5"/>
        <w:gridCol w:w="1352"/>
        <w:gridCol w:w="1353"/>
        <w:gridCol w:w="1352"/>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885" w:type="dxa"/>
            <w:vMerge w:val="restart"/>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有害成分</w:t>
            </w:r>
          </w:p>
        </w:tc>
        <w:tc>
          <w:tcPr>
            <w:tcW w:w="2705" w:type="dxa"/>
            <w:gridSpan w:val="2"/>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TLV-TWA</w:t>
            </w:r>
          </w:p>
        </w:tc>
        <w:tc>
          <w:tcPr>
            <w:tcW w:w="2705" w:type="dxa"/>
            <w:gridSpan w:val="2"/>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STEL</w:t>
            </w:r>
            <w:r>
              <w:rPr>
                <w:rFonts w:hint="eastAsia" w:cs="Times New Roman"/>
                <w:color w:val="auto"/>
                <w:sz w:val="21"/>
                <w:szCs w:val="21"/>
              </w:rPr>
              <w:t>（</w:t>
            </w:r>
            <w:r>
              <w:rPr>
                <w:rFonts w:cs="Times New Roman"/>
                <w:color w:val="auto"/>
                <w:sz w:val="21"/>
                <w:szCs w:val="21"/>
              </w:rPr>
              <w:t>15分钟</w:t>
            </w:r>
            <w:r>
              <w:rPr>
                <w:rFonts w:hint="eastAsia"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885" w:type="dxa"/>
            <w:vMerge w:val="continue"/>
            <w:vAlign w:val="center"/>
          </w:tcPr>
          <w:p>
            <w:pPr>
              <w:wordWrap w:val="0"/>
              <w:adjustRightInd w:val="0"/>
              <w:snapToGrid w:val="0"/>
              <w:spacing w:line="240" w:lineRule="auto"/>
              <w:textAlignment w:val="center"/>
              <w:rPr>
                <w:rFonts w:cs="Times New Roman"/>
                <w:color w:val="auto"/>
                <w:sz w:val="21"/>
                <w:szCs w:val="21"/>
              </w:rPr>
            </w:pP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ppm</w:t>
            </w: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mg/ m</w:t>
            </w:r>
            <w:r>
              <w:rPr>
                <w:rFonts w:cs="Times New Roman"/>
                <w:color w:val="auto"/>
                <w:sz w:val="21"/>
                <w:szCs w:val="21"/>
                <w:vertAlign w:val="superscript"/>
              </w:rPr>
              <w:t>3</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ppm</w:t>
            </w: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mg/ m</w:t>
            </w:r>
            <w:r>
              <w:rPr>
                <w:rFonts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二甲苯</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50</w:t>
            </w: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240</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乙酸丁酯</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100</w:t>
            </w: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525</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滑石，硅酸镁</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2</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88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合成丙烯酸树脂</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10</w:t>
            </w:r>
          </w:p>
        </w:tc>
        <w:tc>
          <w:tcPr>
            <w:tcW w:w="1352" w:type="dxa"/>
            <w:vAlign w:val="center"/>
          </w:tcPr>
          <w:p>
            <w:pPr>
              <w:wordWrap w:val="0"/>
              <w:adjustRightInd w:val="0"/>
              <w:snapToGrid w:val="0"/>
              <w:spacing w:line="240" w:lineRule="auto"/>
              <w:jc w:val="center"/>
              <w:textAlignment w:val="center"/>
              <w:rPr>
                <w:rFonts w:cs="Times New Roman"/>
                <w:color w:val="auto"/>
                <w:sz w:val="21"/>
                <w:szCs w:val="21"/>
              </w:rPr>
            </w:pPr>
          </w:p>
        </w:tc>
        <w:tc>
          <w:tcPr>
            <w:tcW w:w="1353" w:type="dxa"/>
            <w:vAlign w:val="center"/>
          </w:tcPr>
          <w:p>
            <w:pPr>
              <w:wordWrap w:val="0"/>
              <w:adjustRightInd w:val="0"/>
              <w:snapToGrid w:val="0"/>
              <w:spacing w:line="240" w:lineRule="auto"/>
              <w:jc w:val="center"/>
              <w:textAlignment w:val="center"/>
              <w:rPr>
                <w:rFonts w:cs="Times New Roman"/>
                <w:color w:val="auto"/>
                <w:sz w:val="21"/>
                <w:szCs w:val="21"/>
              </w:rPr>
            </w:pPr>
          </w:p>
        </w:tc>
      </w:tr>
    </w:tbl>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TLV-TWA：阀值-时间平均值</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STEL   ：短期暴露极限</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监测方法：气相色谱法</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工程控制：生产过程中容器保持密闭，生产车间保持良好通风。</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暴露控制：所有用于对有害物质进行暴露控制的个人防护设备包括呼吸防护设备必须根据当地法规要求选择。</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呼吸道防护：避免吸入蒸气、微粒和喷雾。合理且可行的方法是在工作场所使用排气系统并保护良好的通风。如果这还不足以将微粒和溶剂蒸气浓度保持在职业暴露极限以下则必须使用呼吸防护设备。呼吸器材的选择应该按照当地的法规。喷涂时，如果通风不足或操作程度要求，要使用供气式呼吸设备。并确保符合当地法规。</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眼睛防护：戴上可防止液体飞溅的眼罩。</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身体防护：通常穿戴全棉或人造棉的衣服。脱掉严重污染的衣服并用肥皂，清水或合适的皮肤清洁剂清洗。</w:t>
      </w:r>
    </w:p>
    <w:p>
      <w:pPr>
        <w:wordWrap w:val="0"/>
        <w:adjustRightInd w:val="0"/>
        <w:snapToGrid w:val="0"/>
        <w:spacing w:line="240" w:lineRule="auto"/>
        <w:ind w:left="945" w:hanging="945" w:hangingChars="450"/>
        <w:textAlignment w:val="center"/>
        <w:rPr>
          <w:rFonts w:cs="Times New Roman"/>
          <w:color w:val="auto"/>
          <w:sz w:val="21"/>
          <w:szCs w:val="21"/>
        </w:rPr>
      </w:pPr>
      <w:r>
        <w:rPr>
          <w:rFonts w:cs="Times New Roman"/>
          <w:color w:val="auto"/>
          <w:sz w:val="21"/>
          <w:szCs w:val="21"/>
        </w:rPr>
        <w:t>手防护： 穿戴适合的手套。当皮肤暴露时，应向手套供应商询问使用此产品所须佩戴的手套型号及可使用次数。必须遵循手套供应商提供的关于使用，储存，维护及更换方面的信息和指导。</w:t>
      </w:r>
    </w:p>
    <w:p>
      <w:pPr>
        <w:wordWrap w:val="0"/>
        <w:adjustRightInd w:val="0"/>
        <w:snapToGrid w:val="0"/>
        <w:spacing w:line="240" w:lineRule="auto"/>
        <w:ind w:left="945" w:hanging="945" w:hangingChars="450"/>
        <w:textAlignment w:val="center"/>
        <w:rPr>
          <w:rFonts w:cs="Times New Roman"/>
          <w:color w:val="auto"/>
          <w:sz w:val="21"/>
          <w:szCs w:val="21"/>
        </w:rPr>
      </w:pPr>
      <w:r>
        <w:rPr>
          <w:rFonts w:cs="Times New Roman"/>
          <w:color w:val="auto"/>
          <w:sz w:val="21"/>
          <w:szCs w:val="21"/>
        </w:rPr>
        <w:t>打磨：   必须戴防护手套以防止皮肤刺激。当打磨的表面是用来涂漆时，必须注意物件的年代及所上过的漆（可能为含有铅的油漆）。咽下或吸入处理工作中产生的碎屑或粉尘可能会影响健康。为了避免粉尘，请尽可能使用湿磨或化学剥离。当干磨不可避免且无良好的排气通风时，建议使用防尘口罩，此口罩必须被认可用于防止含铅的粉尘，其型号的选择必须基于职业卫生（COSHH）标准，并考虑到职业卫生暴露标准有关铅在空气中的规定。此外，必须有措施保证产生的粉尘被限制在一定的范围内，然后用可行的方法将受影响的区域及其周围的粉尘沉积物彻底清除。</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9.理化特性</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7"/>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外观和性状</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不透明液体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pH值</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熔点（℃）</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相对密度</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1.15-1.25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沸点（℃）</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相对蒸汽密度</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辛醇/水分配系数的对数值</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闪点（℃）</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爆炸上限%（V/V）</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引燃温度（℃）</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爆炸下限%（V/V）</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约0.8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147"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溶解性</w:t>
            </w:r>
          </w:p>
        </w:tc>
        <w:tc>
          <w:tcPr>
            <w:tcW w:w="4148"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不与水混容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295" w:type="dxa"/>
            <w:gridSpan w:val="2"/>
            <w:vAlign w:val="center"/>
          </w:tcPr>
          <w:p>
            <w:pPr>
              <w:wordWrap w:val="0"/>
              <w:adjustRightInd w:val="0"/>
              <w:snapToGrid w:val="0"/>
              <w:spacing w:line="240" w:lineRule="auto"/>
              <w:jc w:val="center"/>
              <w:textAlignment w:val="center"/>
              <w:rPr>
                <w:rFonts w:cs="Times New Roman"/>
                <w:color w:val="auto"/>
                <w:sz w:val="21"/>
                <w:szCs w:val="21"/>
              </w:rPr>
            </w:pPr>
            <w:r>
              <w:rPr>
                <w:rFonts w:cs="Times New Roman"/>
                <w:color w:val="auto"/>
                <w:sz w:val="21"/>
                <w:szCs w:val="21"/>
              </w:rPr>
              <w:t>主要用途：该产品适用于建筑表面的装饰，施工方法和使用领域请参考品的标签说明</w:t>
            </w:r>
          </w:p>
        </w:tc>
      </w:tr>
    </w:tbl>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10.稳定性和反应活性</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稳定性：稳定</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禁配物：氧化物，强酸或强碱</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避免接触的条件：极端的温度</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聚合危害：不会发生</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分解产物：暴露于高温处可能会产生危险的分解物如一氧化碳和二氧化碳，烟和氮的氧化物。</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声    明：为防止蒸气在空气中形成可燃的浓度，必须提供良好的自然通风，如有需要可排气通风。干的多余喷涂、受沾污的碎布等的堆积物可能会导致自燃。良好的卫生标准加上经常并安全地清理废物会减少此类危险的发生。</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11.毒理学资料</w:t>
      </w:r>
    </w:p>
    <w:p>
      <w:pPr>
        <w:wordWrap w:val="0"/>
        <w:adjustRightInd w:val="0"/>
        <w:snapToGrid w:val="0"/>
        <w:spacing w:line="240" w:lineRule="auto"/>
        <w:ind w:firstLine="420" w:firstLineChars="200"/>
        <w:textAlignment w:val="center"/>
        <w:rPr>
          <w:rFonts w:cs="Times New Roman"/>
          <w:color w:val="auto"/>
          <w:sz w:val="21"/>
          <w:szCs w:val="21"/>
        </w:rPr>
      </w:pPr>
      <w:r>
        <w:rPr>
          <w:rFonts w:cs="Times New Roman"/>
          <w:color w:val="auto"/>
          <w:sz w:val="21"/>
          <w:szCs w:val="21"/>
        </w:rPr>
        <w:t>此产品还不具备实验数据，但它已根据惯例被Dangerous Preparations Directive 进行评估并其对其毒性危险进行分类。此项评估考虑到由于长期或短期经口，吸入及皮肤暴露和眼睛接触此物质而造成的立即的，延时的以及慢性的影响。详细资料请参考第3部分的危险性分类。</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急性毒性：无资料。</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刺激性：过度接触蒸气会刺激眼睛和呼吸系统，浓度过高会影响中枢神经系统并产生睡意，在极端的情况下会失去知觉。长期接触浓度超过OELs的蒸气会对身体产生不利影响。溅入眼睛将会引致不适并可能造成伤害。长期接触皮肤会有脱脂反应导致皮肤刺激，有时还会引起皮炎。</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12.生态学资料</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生态毒性：此产品还不具备专门的资料。此产品按照环境保护法不允许倒入下水道或排水沟，也不可在可能影响土壤、地下水的地方弃置。单独高浓度使用下列物质对环境有害，简单说明如下：</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6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44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二甲苯</w:t>
            </w:r>
          </w:p>
        </w:tc>
        <w:tc>
          <w:tcPr>
            <w:tcW w:w="685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对水生物有毒，并对水生环境可能造成长期破坏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4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乙酸丁酯</w:t>
            </w:r>
          </w:p>
        </w:tc>
        <w:tc>
          <w:tcPr>
            <w:tcW w:w="685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对水生物有毒，并对水生环境可能造成长期破坏</w:t>
            </w:r>
          </w:p>
        </w:tc>
      </w:tr>
    </w:tbl>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生物降解性  ：无资料</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非生物降解性：无资料</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13.废弃处理：</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废弃物性质：危险废物</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废弃处理方法：用控制焚烧法处理</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废弃注意事项：废弃物和容器须按照国家固废法的一般要求弃置</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14.运输信息</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运输前提：运输时保证容器密闭，竖直和安全。保证运输产品的人知道发生事故及泄漏时怎样处理。</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gridCol w:w="5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06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危险货物编号</w:t>
            </w:r>
          </w:p>
        </w:tc>
        <w:tc>
          <w:tcPr>
            <w:tcW w:w="523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33646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06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UN编号</w:t>
            </w:r>
          </w:p>
        </w:tc>
        <w:tc>
          <w:tcPr>
            <w:tcW w:w="523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1263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06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包装标志</w:t>
            </w:r>
          </w:p>
        </w:tc>
        <w:tc>
          <w:tcPr>
            <w:tcW w:w="523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易燃液体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06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包装类别</w:t>
            </w:r>
          </w:p>
        </w:tc>
        <w:tc>
          <w:tcPr>
            <w:tcW w:w="523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060"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包装方法</w:t>
            </w:r>
          </w:p>
        </w:tc>
        <w:tc>
          <w:tcPr>
            <w:tcW w:w="5235" w:type="dxa"/>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金属罐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295" w:type="dxa"/>
            <w:gridSpan w:val="2"/>
            <w:vAlign w:val="center"/>
          </w:tcPr>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运输注意事项：远离火种、热源，防止阳光直射。轻装轻卸，防止容器泄漏。</w:t>
            </w:r>
          </w:p>
        </w:tc>
      </w:tr>
    </w:tbl>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15.法规信息</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法规信息：化学危险品安全管理条例</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 xml:space="preserve">          化学危险品安全管理条例实施细则（化劳发【1992】677号）</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 xml:space="preserve">          工作场所安全使用化学品规定（【1996】劳部发423号）</w:t>
      </w:r>
    </w:p>
    <w:p>
      <w:pPr>
        <w:wordWrap w:val="0"/>
        <w:adjustRightInd w:val="0"/>
        <w:snapToGrid w:val="0"/>
        <w:spacing w:line="240" w:lineRule="auto"/>
        <w:textAlignment w:val="center"/>
        <w:rPr>
          <w:rFonts w:cs="Times New Roman"/>
          <w:color w:val="auto"/>
          <w:sz w:val="21"/>
          <w:szCs w:val="21"/>
        </w:rPr>
      </w:pPr>
      <w:r>
        <w:rPr>
          <w:rFonts w:cs="Times New Roman"/>
          <w:color w:val="auto"/>
          <w:sz w:val="21"/>
          <w:szCs w:val="21"/>
        </w:rPr>
        <w:t>常用化学危险品的分类和标志（GB13690-92）</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 xml:space="preserve">          中华人民共和国固体废物污染环境防治法</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 xml:space="preserve">          危险货物运输包装通用技术条件（GB12463-90）</w:t>
      </w:r>
    </w:p>
    <w:p>
      <w:pPr>
        <w:wordWrap w:val="0"/>
        <w:adjustRightInd w:val="0"/>
        <w:snapToGrid w:val="0"/>
        <w:spacing w:line="240" w:lineRule="auto"/>
        <w:ind w:left="1054" w:hanging="1054" w:hangingChars="500"/>
        <w:textAlignment w:val="center"/>
        <w:rPr>
          <w:rFonts w:cs="Times New Roman"/>
          <w:b/>
          <w:color w:val="auto"/>
          <w:sz w:val="21"/>
          <w:szCs w:val="21"/>
        </w:rPr>
      </w:pPr>
      <w:r>
        <w:rPr>
          <w:rFonts w:cs="Times New Roman"/>
          <w:b/>
          <w:color w:val="auto"/>
          <w:sz w:val="21"/>
          <w:szCs w:val="21"/>
        </w:rPr>
        <w:t>16.其他信息</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填表时间：20/12/2010</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填表部门：江西景新漆业有限公司</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数据审核单位：</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修改说明：根据化学品安全技术说明书编写规定（GB16483-2000）修订编写。</w:t>
      </w:r>
    </w:p>
    <w:p>
      <w:pPr>
        <w:wordWrap w:val="0"/>
        <w:adjustRightInd w:val="0"/>
        <w:snapToGrid w:val="0"/>
        <w:spacing w:line="240" w:lineRule="auto"/>
        <w:ind w:left="1050" w:hanging="1050" w:hangingChars="500"/>
        <w:textAlignment w:val="center"/>
        <w:rPr>
          <w:rFonts w:cs="Times New Roman"/>
          <w:color w:val="auto"/>
          <w:sz w:val="21"/>
          <w:szCs w:val="21"/>
        </w:rPr>
      </w:pPr>
      <w:r>
        <w:rPr>
          <w:rFonts w:cs="Times New Roman"/>
          <w:color w:val="auto"/>
          <w:sz w:val="21"/>
          <w:szCs w:val="21"/>
        </w:rPr>
        <w:t>其他信息：此份资料所提供的信息并非产品指标：它对特定性质不做担保。所包含的信息是基于我们的产品的操作、储存和使用中的认识所提供的对健康和安全的一般指导。它不适用于本产品特殊或非标准以及不按指示和建议的使用。</w:t>
      </w:r>
    </w:p>
    <w:p>
      <w:pPr>
        <w:rPr>
          <w:rFonts w:cs="Times New Roman"/>
          <w:b/>
          <w:bCs/>
          <w:snapToGrid w:val="0"/>
          <w:color w:val="auto"/>
          <w:kern w:val="0"/>
          <w:szCs w:val="28"/>
        </w:rPr>
      </w:pPr>
      <w:bookmarkStart w:id="315" w:name="_Toc11553"/>
      <w:bookmarkStart w:id="316" w:name="_Toc31002"/>
      <w:r>
        <w:rPr>
          <w:rFonts w:hint="eastAsia" w:cs="Times New Roman"/>
          <w:b/>
          <w:bCs/>
          <w:snapToGrid w:val="0"/>
          <w:color w:val="auto"/>
          <w:kern w:val="0"/>
          <w:szCs w:val="28"/>
        </w:rPr>
        <w:br w:type="page"/>
      </w:r>
    </w:p>
    <w:p>
      <w:pPr>
        <w:wordWrap w:val="0"/>
        <w:adjustRightInd w:val="0"/>
        <w:snapToGrid w:val="0"/>
        <w:jc w:val="center"/>
        <w:textAlignment w:val="center"/>
        <w:outlineLvl w:val="1"/>
        <w:rPr>
          <w:rFonts w:cs="Times New Roman"/>
          <w:b/>
          <w:bCs/>
          <w:snapToGrid w:val="0"/>
          <w:color w:val="auto"/>
          <w:kern w:val="0"/>
          <w:szCs w:val="28"/>
        </w:rPr>
      </w:pPr>
      <w:bookmarkStart w:id="317" w:name="_Toc15352"/>
      <w:bookmarkStart w:id="318" w:name="_Toc4284"/>
      <w:r>
        <w:rPr>
          <w:rFonts w:hint="eastAsia" w:cs="Times New Roman"/>
          <w:b/>
          <w:bCs/>
          <w:snapToGrid w:val="0"/>
          <w:color w:val="auto"/>
          <w:kern w:val="0"/>
          <w:szCs w:val="28"/>
        </w:rPr>
        <w:t>8.10 聚氨酯树脂涂料</w:t>
      </w:r>
      <w:bookmarkEnd w:id="315"/>
      <w:bookmarkEnd w:id="316"/>
      <w:r>
        <w:rPr>
          <w:rFonts w:hint="eastAsia" w:cs="Times New Roman"/>
          <w:b/>
          <w:bCs/>
          <w:snapToGrid w:val="0"/>
          <w:color w:val="auto"/>
          <w:kern w:val="0"/>
          <w:szCs w:val="28"/>
        </w:rPr>
        <w:t>、环氧树脂涂料、氟碳树脂涂料溶剂油</w:t>
      </w:r>
      <w:bookmarkEnd w:id="317"/>
      <w:bookmarkEnd w:id="318"/>
    </w:p>
    <w:p>
      <w:pPr>
        <w:wordWrap w:val="0"/>
        <w:adjustRightInd w:val="0"/>
        <w:snapToGrid w:val="0"/>
        <w:ind w:firstLine="560" w:firstLineChars="200"/>
        <w:textAlignment w:val="center"/>
        <w:rPr>
          <w:rFonts w:cs="Times New Roman"/>
          <w:snapToGrid w:val="0"/>
          <w:color w:val="auto"/>
          <w:kern w:val="0"/>
          <w:szCs w:val="28"/>
        </w:rPr>
      </w:pPr>
      <w:r>
        <w:rPr>
          <w:rFonts w:hint="eastAsia" w:cs="Times New Roman"/>
          <w:snapToGrid w:val="0"/>
          <w:color w:val="auto"/>
          <w:kern w:val="0"/>
          <w:szCs w:val="28"/>
        </w:rPr>
        <w:t>聚氨酯树脂涂料msds同聚氨酯树脂；环氧树脂涂料msds同环氧树脂；氟碳树脂涂料msds同氟碳树脂。</w:t>
      </w:r>
    </w:p>
    <w:p>
      <w:pPr>
        <w:rPr>
          <w:color w:val="auto"/>
          <w:kern w:val="0"/>
        </w:rPr>
      </w:pPr>
      <w:bookmarkStart w:id="319" w:name="_Toc16670"/>
      <w:r>
        <w:rPr>
          <w:rFonts w:hint="eastAsia"/>
          <w:color w:val="auto"/>
          <w:kern w:val="0"/>
        </w:rPr>
        <w:br w:type="page"/>
      </w:r>
    </w:p>
    <w:p>
      <w:pPr>
        <w:pStyle w:val="3"/>
        <w:keepNext w:val="0"/>
        <w:keepLines w:val="0"/>
        <w:wordWrap w:val="0"/>
        <w:adjustRightInd w:val="0"/>
        <w:snapToGrid w:val="0"/>
        <w:jc w:val="center"/>
        <w:textAlignment w:val="center"/>
        <w:rPr>
          <w:color w:val="auto"/>
          <w:kern w:val="0"/>
          <w:sz w:val="32"/>
          <w:szCs w:val="32"/>
        </w:rPr>
      </w:pPr>
      <w:bookmarkStart w:id="320" w:name="_Toc15028"/>
      <w:bookmarkStart w:id="321" w:name="_Toc5347"/>
      <w:r>
        <w:rPr>
          <w:rFonts w:hint="eastAsia"/>
          <w:color w:val="auto"/>
          <w:kern w:val="0"/>
          <w:sz w:val="32"/>
          <w:szCs w:val="32"/>
        </w:rPr>
        <w:t>9 与建设单位交换意见情况</w:t>
      </w:r>
      <w:bookmarkEnd w:id="319"/>
      <w:bookmarkEnd w:id="320"/>
      <w:bookmarkEnd w:id="321"/>
    </w:p>
    <w:p>
      <w:pPr>
        <w:wordWrap w:val="0"/>
        <w:adjustRightInd w:val="0"/>
        <w:snapToGrid w:val="0"/>
        <w:spacing w:line="240" w:lineRule="auto"/>
        <w:textAlignment w:val="center"/>
        <w:rPr>
          <w:color w:val="auto"/>
        </w:rPr>
      </w:pPr>
    </w:p>
    <w:p>
      <w:pPr>
        <w:wordWrap w:val="0"/>
        <w:adjustRightInd w:val="0"/>
        <w:snapToGrid w:val="0"/>
        <w:spacing w:line="240" w:lineRule="auto"/>
        <w:textAlignment w:val="center"/>
        <w:rPr>
          <w:color w:val="auto"/>
          <w:kern w:val="0"/>
        </w:rPr>
      </w:pPr>
      <w:r>
        <w:rPr>
          <w:color w:val="auto"/>
        </w:rPr>
        <w:drawing>
          <wp:inline distT="0" distB="0" distL="0" distR="0">
            <wp:extent cx="5497830" cy="6720840"/>
            <wp:effectExtent l="0" t="0" r="7620" b="3810"/>
            <wp:docPr id="206075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75571" name="图片 1"/>
                    <pic:cNvPicPr>
                      <a:picLocks noChangeAspect="1" noChangeArrowheads="1"/>
                    </pic:cNvPicPr>
                  </pic:nvPicPr>
                  <pic:blipFill>
                    <a:blip r:embed="rId49">
                      <a:extLst>
                        <a:ext uri="{28A0092B-C50C-407E-A947-70E740481C1C}">
                          <a14:useLocalDpi xmlns:a14="http://schemas.microsoft.com/office/drawing/2010/main" val="0"/>
                        </a:ext>
                      </a:extLst>
                    </a:blip>
                    <a:srcRect l="2382" t="8652" r="2161" b="7950"/>
                    <a:stretch>
                      <a:fillRect/>
                    </a:stretch>
                  </pic:blipFill>
                  <pic:spPr>
                    <a:xfrm>
                      <a:off x="0" y="0"/>
                      <a:ext cx="5497830" cy="6720840"/>
                    </a:xfrm>
                    <a:prstGeom prst="rect">
                      <a:avLst/>
                    </a:prstGeom>
                    <a:noFill/>
                    <a:ln>
                      <a:noFill/>
                    </a:ln>
                  </pic:spPr>
                </pic:pic>
              </a:graphicData>
            </a:graphic>
          </wp:inline>
        </w:drawing>
      </w:r>
      <w:r>
        <w:rPr>
          <w:color w:val="auto"/>
          <w:kern w:val="0"/>
        </w:rPr>
        <w:t xml:space="preserve"> </w:t>
      </w:r>
      <w:r>
        <w:rPr>
          <w:color w:val="auto"/>
          <w:kern w:val="0"/>
        </w:rPr>
        <w:br w:type="page"/>
      </w:r>
    </w:p>
    <w:p>
      <w:pPr>
        <w:pStyle w:val="3"/>
        <w:keepNext w:val="0"/>
        <w:keepLines w:val="0"/>
        <w:wordWrap w:val="0"/>
        <w:adjustRightInd w:val="0"/>
        <w:snapToGrid w:val="0"/>
        <w:jc w:val="center"/>
        <w:textAlignment w:val="center"/>
        <w:rPr>
          <w:color w:val="auto"/>
          <w:kern w:val="0"/>
        </w:rPr>
      </w:pPr>
      <w:bookmarkStart w:id="322" w:name="_Toc15272"/>
      <w:bookmarkStart w:id="323" w:name="_Toc7450"/>
      <w:bookmarkStart w:id="324" w:name="_Toc4620"/>
      <w:r>
        <w:rPr>
          <w:rFonts w:hint="eastAsia"/>
          <w:color w:val="auto"/>
          <w:kern w:val="0"/>
        </w:rPr>
        <w:t>10 附件</w:t>
      </w:r>
      <w:bookmarkEnd w:id="322"/>
      <w:bookmarkEnd w:id="323"/>
      <w:bookmarkEnd w:id="324"/>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营业执照</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立项</w:t>
      </w:r>
      <w:r>
        <w:rPr>
          <w:rFonts w:hint="eastAsia" w:ascii="Times New Roman" w:hAnsi="Times New Roman" w:cs="Times New Roman"/>
          <w:color w:val="auto"/>
          <w:sz w:val="28"/>
          <w:szCs w:val="28"/>
        </w:rPr>
        <w:t>备案</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建设用地规划许可</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土地证</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危险化学品</w:t>
      </w:r>
      <w:r>
        <w:rPr>
          <w:rFonts w:hint="eastAsia" w:ascii="Times New Roman" w:hAnsi="Times New Roman" w:cs="Times New Roman"/>
          <w:color w:val="auto"/>
          <w:sz w:val="28"/>
          <w:szCs w:val="28"/>
        </w:rPr>
        <w:t>经营许可</w:t>
      </w:r>
      <w:r>
        <w:rPr>
          <w:rFonts w:ascii="Times New Roman" w:hAnsi="Times New Roman" w:cs="Times New Roman"/>
          <w:color w:val="auto"/>
          <w:sz w:val="28"/>
          <w:szCs w:val="28"/>
        </w:rPr>
        <w:t>证</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设计、施工、监理资质</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安全条件审查意见书</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安全设施设计审查意见书</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安全管理机构及安全管理人员任命文件</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安全生产责任制</w:t>
      </w:r>
      <w:r>
        <w:rPr>
          <w:rFonts w:hint="eastAsia" w:ascii="Times New Roman" w:hAnsi="Times New Roman" w:cs="Times New Roman"/>
          <w:color w:val="auto"/>
          <w:sz w:val="28"/>
          <w:szCs w:val="28"/>
        </w:rPr>
        <w:t>、</w:t>
      </w:r>
      <w:r>
        <w:rPr>
          <w:rFonts w:ascii="Times New Roman" w:hAnsi="Times New Roman" w:cs="Times New Roman"/>
          <w:color w:val="auto"/>
          <w:sz w:val="28"/>
          <w:szCs w:val="28"/>
        </w:rPr>
        <w:t>安全生产管理制度</w:t>
      </w:r>
      <w:r>
        <w:rPr>
          <w:rFonts w:hint="eastAsia" w:ascii="Times New Roman" w:hAnsi="Times New Roman" w:cs="Times New Roman"/>
          <w:color w:val="auto"/>
          <w:sz w:val="28"/>
          <w:szCs w:val="28"/>
        </w:rPr>
        <w:t>和安全操作规程</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安全教育</w:t>
      </w:r>
      <w:r>
        <w:rPr>
          <w:rFonts w:hint="eastAsia" w:ascii="Times New Roman" w:hAnsi="Times New Roman" w:cs="Times New Roman"/>
          <w:color w:val="auto"/>
          <w:sz w:val="28"/>
          <w:szCs w:val="28"/>
        </w:rPr>
        <w:t>培训记录、义务消防队成立文件</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风险分布图、应急救援队成立文件</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应急演练计划、</w:t>
      </w:r>
      <w:r>
        <w:rPr>
          <w:rFonts w:ascii="Times New Roman" w:hAnsi="Times New Roman" w:cs="Times New Roman"/>
          <w:color w:val="auto"/>
          <w:sz w:val="28"/>
          <w:szCs w:val="28"/>
        </w:rPr>
        <w:t>应急救援预案备案登记表及演练记录</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主要负责人和安全管理人员证书</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特种作业人员证书</w:t>
      </w:r>
      <w:r>
        <w:rPr>
          <w:rFonts w:hint="eastAsia" w:ascii="Times New Roman" w:hAnsi="Times New Roman" w:cs="Times New Roman"/>
          <w:color w:val="auto"/>
          <w:sz w:val="28"/>
          <w:szCs w:val="28"/>
        </w:rPr>
        <w:t>、注册安全工程师证书</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工伤保险缴纳</w:t>
      </w:r>
      <w:r>
        <w:rPr>
          <w:rFonts w:hint="eastAsia" w:ascii="Times New Roman" w:hAnsi="Times New Roman" w:cs="Times New Roman"/>
          <w:color w:val="auto"/>
          <w:sz w:val="28"/>
          <w:szCs w:val="28"/>
        </w:rPr>
        <w:t>证明、安责险缴纳证明</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气体报警探测器调试报告</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设计、施工、监理总结</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叉车检测报告、气体报警探测器检验报告</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hint="eastAsia" w:ascii="Times New Roman" w:hAnsi="Times New Roman" w:cs="Times New Roman"/>
          <w:color w:val="auto"/>
          <w:sz w:val="28"/>
          <w:szCs w:val="28"/>
        </w:rPr>
        <w:t>消防验收意见书</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防雷</w:t>
      </w:r>
      <w:r>
        <w:rPr>
          <w:rFonts w:hint="eastAsia" w:ascii="Times New Roman" w:hAnsi="Times New Roman" w:cs="Times New Roman"/>
          <w:color w:val="auto"/>
          <w:sz w:val="28"/>
          <w:szCs w:val="28"/>
        </w:rPr>
        <w:t>、防静电</w:t>
      </w:r>
      <w:r>
        <w:rPr>
          <w:rFonts w:ascii="Times New Roman" w:hAnsi="Times New Roman" w:cs="Times New Roman"/>
          <w:color w:val="auto"/>
          <w:sz w:val="28"/>
          <w:szCs w:val="28"/>
        </w:rPr>
        <w:t>检测报告</w:t>
      </w:r>
    </w:p>
    <w:p>
      <w:pPr>
        <w:pStyle w:val="34"/>
        <w:keepNext w:val="0"/>
        <w:keepLines w:val="0"/>
        <w:pageBreakBefore w:val="0"/>
        <w:widowControl w:val="0"/>
        <w:numPr>
          <w:ilvl w:val="0"/>
          <w:numId w:val="8"/>
        </w:numPr>
        <w:kinsoku/>
        <w:wordWrap w:val="0"/>
        <w:overflowPunct/>
        <w:topLinePunct w:val="0"/>
        <w:autoSpaceDE/>
        <w:autoSpaceDN/>
        <w:bidi w:val="0"/>
        <w:adjustRightInd w:val="0"/>
        <w:snapToGrid w:val="0"/>
        <w:spacing w:line="58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整改回复</w:t>
      </w:r>
    </w:p>
    <w:p>
      <w:pPr>
        <w:pStyle w:val="34"/>
        <w:numPr>
          <w:ilvl w:val="0"/>
          <w:numId w:val="8"/>
        </w:numPr>
        <w:wordWrap w:val="0"/>
        <w:autoSpaceDE/>
        <w:autoSpaceDN/>
        <w:snapToGrid w:val="0"/>
        <w:spacing w:line="600" w:lineRule="exact"/>
        <w:ind w:left="0" w:firstLine="560" w:firstLineChars="200"/>
        <w:textAlignment w:val="center"/>
        <w:rPr>
          <w:rFonts w:ascii="Times New Roman" w:hAnsi="Times New Roman" w:cs="Times New Roman"/>
          <w:color w:val="auto"/>
          <w:sz w:val="28"/>
          <w:szCs w:val="28"/>
        </w:rPr>
      </w:pPr>
      <w:r>
        <w:rPr>
          <w:rFonts w:ascii="Times New Roman" w:hAnsi="Times New Roman" w:cs="Times New Roman"/>
          <w:color w:val="auto"/>
          <w:sz w:val="28"/>
          <w:szCs w:val="28"/>
        </w:rPr>
        <w:t>竣工图</w:t>
      </w:r>
    </w:p>
    <w:p>
      <w:pPr>
        <w:pStyle w:val="34"/>
        <w:numPr>
          <w:ilvl w:val="0"/>
          <w:numId w:val="8"/>
        </w:numPr>
        <w:wordWrap w:val="0"/>
        <w:autoSpaceDE/>
        <w:autoSpaceDN/>
        <w:snapToGrid w:val="0"/>
        <w:spacing w:line="600" w:lineRule="exact"/>
        <w:ind w:left="0" w:firstLine="480" w:firstLineChars="200"/>
        <w:textAlignment w:val="center"/>
        <w:rPr>
          <w:color w:val="auto"/>
        </w:rPr>
      </w:pPr>
      <w:r>
        <w:rPr>
          <w:rFonts w:hint="eastAsia"/>
          <w:color w:val="auto"/>
        </w:rPr>
        <w:br w:type="page"/>
      </w:r>
    </w:p>
    <w:p>
      <w:pPr>
        <w:wordWrap w:val="0"/>
        <w:adjustRightInd w:val="0"/>
        <w:snapToGrid w:val="0"/>
        <w:jc w:val="center"/>
        <w:textAlignment w:val="center"/>
        <w:rPr>
          <w:b/>
          <w:bCs/>
          <w:color w:val="auto"/>
          <w:kern w:val="0"/>
        </w:rPr>
      </w:pPr>
      <w:r>
        <w:rPr>
          <w:rFonts w:hint="eastAsia"/>
          <w:b/>
          <w:bCs/>
          <w:color w:val="auto"/>
          <w:kern w:val="0"/>
        </w:rPr>
        <w:t>11 现场影像资料</w:t>
      </w:r>
    </w:p>
    <w:p>
      <w:pPr>
        <w:pStyle w:val="34"/>
        <w:wordWrap w:val="0"/>
        <w:autoSpaceDE/>
        <w:autoSpaceDN/>
        <w:snapToGrid w:val="0"/>
        <w:textAlignment w:val="center"/>
        <w:rPr>
          <w:color w:val="auto"/>
        </w:rPr>
      </w:pPr>
      <w:r>
        <w:rPr>
          <w:rFonts w:hint="eastAsia"/>
          <w:color w:val="auto"/>
        </w:rPr>
        <w:drawing>
          <wp:inline distT="0" distB="0" distL="114300" distR="114300">
            <wp:extent cx="5546725" cy="4162425"/>
            <wp:effectExtent l="0" t="0" r="15875" b="9525"/>
            <wp:docPr id="7" name="图片 7" descr="7b96a80efde6f5f53a61447c9c02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96a80efde6f5f53a61447c9c02681"/>
                    <pic:cNvPicPr>
                      <a:picLocks noChangeAspect="1"/>
                    </pic:cNvPicPr>
                  </pic:nvPicPr>
                  <pic:blipFill>
                    <a:blip r:embed="rId50"/>
                    <a:stretch>
                      <a:fillRect/>
                    </a:stretch>
                  </pic:blipFill>
                  <pic:spPr>
                    <a:xfrm>
                      <a:off x="0" y="0"/>
                      <a:ext cx="5546725" cy="4162425"/>
                    </a:xfrm>
                    <a:prstGeom prst="rect">
                      <a:avLst/>
                    </a:prstGeom>
                  </pic:spPr>
                </pic:pic>
              </a:graphicData>
            </a:graphic>
          </wp:inline>
        </w:drawing>
      </w:r>
      <w:r>
        <w:rPr>
          <w:rFonts w:hint="eastAsia"/>
          <w:color w:val="auto"/>
        </w:rPr>
        <w:drawing>
          <wp:inline distT="0" distB="0" distL="114300" distR="114300">
            <wp:extent cx="5562600" cy="4173855"/>
            <wp:effectExtent l="0" t="0" r="0" b="17145"/>
            <wp:docPr id="8" name="图片 8" descr="48d35626dccfbc1f0a0eb44474f9b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8d35626dccfbc1f0a0eb44474f9b38"/>
                    <pic:cNvPicPr>
                      <a:picLocks noChangeAspect="1"/>
                    </pic:cNvPicPr>
                  </pic:nvPicPr>
                  <pic:blipFill>
                    <a:blip r:embed="rId51"/>
                    <a:stretch>
                      <a:fillRect/>
                    </a:stretch>
                  </pic:blipFill>
                  <pic:spPr>
                    <a:xfrm>
                      <a:off x="0" y="0"/>
                      <a:ext cx="5562600" cy="4173855"/>
                    </a:xfrm>
                    <a:prstGeom prst="rect">
                      <a:avLst/>
                    </a:prstGeom>
                  </pic:spPr>
                </pic:pic>
              </a:graphicData>
            </a:graphic>
          </wp:inline>
        </w:drawing>
      </w:r>
    </w:p>
    <w:sectPr>
      <w:footerReference r:id="rId11" w:type="default"/>
      <w:pgSz w:w="11906" w:h="16838"/>
      <w:pgMar w:top="1417" w:right="1418" w:bottom="1417" w:left="1418" w:header="850" w:footer="794" w:gutter="0"/>
      <w:pgNumType w:start="1"/>
      <w:cols w:space="0" w:num="1"/>
      <w:docGrid w:type="lines" w:linePitch="39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
    <w:altName w:val="PMingLiU-ExtB"/>
    <w:panose1 w:val="02020500000000000000"/>
    <w:charset w:val="88"/>
    <w:family w:val="roman"/>
    <w:pitch w:val="default"/>
    <w:sig w:usb0="00000000" w:usb1="00000000" w:usb2="00000016"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STSongStd-Light-Acro">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single" w:color="auto" w:sz="4" w:space="0"/>
      </w:pBdr>
    </w:pPr>
    <w:r>
      <w:t xml:space="preserve">江西赣安安全生产科学技术咨询服务中心                                                  </w:t>
    </w:r>
    <w:r>
      <w:rPr>
        <w:rFonts w:hint="eastAsia"/>
      </w:rPr>
      <w:t xml:space="preserve"> </w:t>
    </w:r>
    <w:r>
      <w:rPr>
        <w:rStyle w:val="28"/>
      </w:rPr>
      <w:t>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109855</wp:posOffset>
              </wp:positionV>
              <wp:extent cx="5753100" cy="0"/>
              <wp:effectExtent l="0" t="0" r="0" b="0"/>
              <wp:wrapNone/>
              <wp:docPr id="2" name="直接连接符 2"/>
              <wp:cNvGraphicFramePr/>
              <a:graphic xmlns:a="http://schemas.openxmlformats.org/drawingml/2006/main">
                <a:graphicData uri="http://schemas.microsoft.com/office/word/2010/wordprocessingShape">
                  <wps:wsp>
                    <wps:cNvCnPr/>
                    <wps:spPr>
                      <a:xfrm>
                        <a:off x="903605" y="9785985"/>
                        <a:ext cx="5753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3pt;margin-top:8.65pt;height:0pt;width:453pt;z-index:251661312;mso-width-relative:page;mso-height-relative:page;" filled="f" stroked="t" coordsize="21600,21600" o:gfxdata="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Zls&#10;ptIAAAAGAQAADwAAAAAAAAABACAAAAAiAAAAZHJzL2Rvd25yZXYueG1sUEsBAhQAFAAAAAgAh07i&#10;QNxD0RrvAQAAvAMAAA4AAAAAAAAAAQAgAAAAIQEAAGRycy9lMm9Eb2MueG1sUEsFBgAAAAAGAAYA&#10;WQEAAIIFAAAA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江西赣安安全生产科学技术咨询服务中心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3360" behindDoc="0" locked="0" layoutInCell="1" allowOverlap="1">
              <wp:simplePos x="0" y="0"/>
              <wp:positionH relativeFrom="column">
                <wp:posOffset>32385</wp:posOffset>
              </wp:positionH>
              <wp:positionV relativeFrom="paragraph">
                <wp:posOffset>100330</wp:posOffset>
              </wp:positionV>
              <wp:extent cx="5695950" cy="0"/>
              <wp:effectExtent l="0" t="0" r="0" b="0"/>
              <wp:wrapNone/>
              <wp:docPr id="4" name="直接连接符 4"/>
              <wp:cNvGraphicFramePr/>
              <a:graphic xmlns:a="http://schemas.openxmlformats.org/drawingml/2006/main">
                <a:graphicData uri="http://schemas.microsoft.com/office/word/2010/wordprocessingShape">
                  <wps:wsp>
                    <wps:cNvCnPr/>
                    <wps:spPr>
                      <a:xfrm>
                        <a:off x="922655" y="9814560"/>
                        <a:ext cx="56959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5pt;margin-top:7.9pt;height:0pt;width:448.5pt;z-index:251663360;mso-width-relative:page;mso-height-relative:page;" filled="f" stroked="t" coordsize="21600,21600" o:gfxdata="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r9cZE&#10;0wAAAAcBAAAPAAAAAAAAAAEAIAAAACIAAABkcnMvZG93bnJldi54bWxQSwECFAAUAAAACACHTuJA&#10;9UnNLe0BAAC8AwAADgAAAAAAAAABACAAAAAiAQAAZHJzL2Uyb0RvYy54bWxQSwUGAAAAAAYABgBZ&#10;AQAAgQUAAAAA&#10;">
              <v:fill on="f" focussize="0,0"/>
              <v:stroke weight="0.5pt" color="#000000 [3213]" miterlimit="8" joinstyle="miter"/>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江西赣安安全生产科学技术咨询服务中心                                                     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109855</wp:posOffset>
              </wp:positionV>
              <wp:extent cx="5753100" cy="0"/>
              <wp:effectExtent l="0" t="4445" r="0" b="5080"/>
              <wp:wrapNone/>
              <wp:docPr id="1" name="直接连接符 1"/>
              <wp:cNvGraphicFramePr/>
              <a:graphic xmlns:a="http://schemas.openxmlformats.org/drawingml/2006/main">
                <a:graphicData uri="http://schemas.microsoft.com/office/word/2010/wordprocessingShape">
                  <wps:wsp>
                    <wps:cNvCnPr/>
                    <wps:spPr>
                      <a:xfrm>
                        <a:off x="903605" y="9785985"/>
                        <a:ext cx="5753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3pt;margin-top:8.65pt;height:0pt;width:453pt;z-index:251665408;mso-width-relative:page;mso-height-relative:page;" filled="f" stroked="t" coordsize="21600,21600" o:gfxdata="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WZ&#10;bKbSAAAABgEAAA8AAAAAAAAAAQAgAAAAIgAAAGRycy9kb3ducmV2LnhtbFBLAQIUABQAAAAIAIdO&#10;4kBlnsxB8AEAALwDAAAOAAAAAAAAAAEAIAAAACEBAABkcnMvZTJvRG9jLnhtbFBLBQYAAAAABgAG&#10;AFkBAACDBQAAA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江西赣安安全生产科学技术咨询服务中心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jc w:val="left"/>
    </w:pPr>
    <w:r>
      <w:rPr>
        <w:rFonts w:hint="eastAsia"/>
      </w:rPr>
      <w:t xml:space="preserve">江西景新漆业股份有限公司安全生产设施技术改造项目（106甲类仓库）安全验收评价    </w:t>
    </w:r>
    <w:r>
      <w:rPr>
        <w:rFonts w:hint="eastAsia" w:ascii="宋体" w:hAnsi="宋体"/>
      </w:rPr>
      <w:t xml:space="preserve">             </w:t>
    </w:r>
    <w:r>
      <w:rPr>
        <w:rFonts w:hint="eastAsia"/>
      </w:rPr>
      <w:t>GAAP[2022]0010号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jc w:val="left"/>
    </w:pPr>
    <w:r>
      <w:rPr>
        <w:rFonts w:hint="eastAsia"/>
      </w:rPr>
      <w:t>江西景新漆业股份有限公司安全验收评价报告                                           GAAP[2023]0566号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8B478F"/>
    <w:multiLevelType w:val="singleLevel"/>
    <w:tmpl w:val="AB8B478F"/>
    <w:lvl w:ilvl="0" w:tentative="0">
      <w:start w:val="1"/>
      <w:numFmt w:val="decimal"/>
      <w:lvlText w:val="%1."/>
      <w:lvlJc w:val="left"/>
      <w:pPr>
        <w:tabs>
          <w:tab w:val="left" w:pos="312"/>
        </w:tabs>
        <w:ind w:left="560"/>
      </w:pPr>
    </w:lvl>
  </w:abstractNum>
  <w:abstractNum w:abstractNumId="1">
    <w:nsid w:val="C2532347"/>
    <w:multiLevelType w:val="singleLevel"/>
    <w:tmpl w:val="C2532347"/>
    <w:lvl w:ilvl="0" w:tentative="0">
      <w:start w:val="1"/>
      <w:numFmt w:val="decimal"/>
      <w:suff w:val="nothing"/>
      <w:lvlText w:val="%1、"/>
      <w:lvlJc w:val="left"/>
    </w:lvl>
  </w:abstractNum>
  <w:abstractNum w:abstractNumId="2">
    <w:nsid w:val="F83C22ED"/>
    <w:multiLevelType w:val="singleLevel"/>
    <w:tmpl w:val="F83C22ED"/>
    <w:lvl w:ilvl="0" w:tentative="0">
      <w:start w:val="1"/>
      <w:numFmt w:val="chineseCounting"/>
      <w:suff w:val="nothing"/>
      <w:lvlText w:val="%1、"/>
      <w:lvlJc w:val="left"/>
      <w:rPr>
        <w:rFonts w:hint="eastAsia"/>
      </w:rPr>
    </w:lvl>
  </w:abstractNum>
  <w:abstractNum w:abstractNumId="3">
    <w:nsid w:val="0000001F"/>
    <w:multiLevelType w:val="multilevel"/>
    <w:tmpl w:val="0000001F"/>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9"/>
    <w:multiLevelType w:val="multilevel"/>
    <w:tmpl w:val="00000029"/>
    <w:lvl w:ilvl="0" w:tentative="0">
      <w:start w:val="1"/>
      <w:numFmt w:val="decimal"/>
      <w:lvlText w:val="%1"/>
      <w:lvlJc w:val="center"/>
      <w:pPr>
        <w:tabs>
          <w:tab w:val="left" w:pos="272"/>
        </w:tabs>
        <w:ind w:left="14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16EF07DD"/>
    <w:multiLevelType w:val="multilevel"/>
    <w:tmpl w:val="16EF07DD"/>
    <w:lvl w:ilvl="0" w:tentative="0">
      <w:start w:val="1"/>
      <w:numFmt w:val="decimal"/>
      <w:lvlText w:val="%1."/>
      <w:lvlJc w:val="left"/>
      <w:pPr>
        <w:tabs>
          <w:tab w:val="left" w:pos="562"/>
        </w:tabs>
        <w:ind w:left="562"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6D945F1"/>
    <w:multiLevelType w:val="multilevel"/>
    <w:tmpl w:val="46D945F1"/>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7D8B03D8"/>
    <w:multiLevelType w:val="multilevel"/>
    <w:tmpl w:val="7D8B03D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6"/>
  </w:num>
  <w:num w:numId="4">
    <w:abstractNumId w:val="3"/>
  </w:num>
  <w:num w:numId="5">
    <w:abstractNumId w:val="4"/>
  </w:num>
  <w:num w:numId="6">
    <w:abstractNumId w:val="5"/>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documentProtection w:enforcement="0"/>
  <w:defaultTabStop w:val="420"/>
  <w:drawingGridVerticalSpacing w:val="197"/>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1E6B78F2"/>
    <w:rsid w:val="000B30B7"/>
    <w:rsid w:val="000E4A5C"/>
    <w:rsid w:val="00145850"/>
    <w:rsid w:val="00225185"/>
    <w:rsid w:val="002B213C"/>
    <w:rsid w:val="002F1FAC"/>
    <w:rsid w:val="003A1569"/>
    <w:rsid w:val="00412306"/>
    <w:rsid w:val="0042393F"/>
    <w:rsid w:val="004A17D8"/>
    <w:rsid w:val="004D1DE9"/>
    <w:rsid w:val="00520F63"/>
    <w:rsid w:val="0059171F"/>
    <w:rsid w:val="005E4F41"/>
    <w:rsid w:val="00700F3F"/>
    <w:rsid w:val="00736829"/>
    <w:rsid w:val="007423E4"/>
    <w:rsid w:val="007A124A"/>
    <w:rsid w:val="007C0269"/>
    <w:rsid w:val="007E7110"/>
    <w:rsid w:val="008D3281"/>
    <w:rsid w:val="008F10E4"/>
    <w:rsid w:val="008F23F9"/>
    <w:rsid w:val="00914491"/>
    <w:rsid w:val="00947866"/>
    <w:rsid w:val="00984E2F"/>
    <w:rsid w:val="009E104C"/>
    <w:rsid w:val="00A64720"/>
    <w:rsid w:val="00AB1D71"/>
    <w:rsid w:val="00AB4037"/>
    <w:rsid w:val="00BB6AF9"/>
    <w:rsid w:val="00BD577F"/>
    <w:rsid w:val="00C17DBF"/>
    <w:rsid w:val="00C542E5"/>
    <w:rsid w:val="00CD1841"/>
    <w:rsid w:val="00CD5E62"/>
    <w:rsid w:val="00D33CF5"/>
    <w:rsid w:val="00E46A43"/>
    <w:rsid w:val="00E702A4"/>
    <w:rsid w:val="00E912A9"/>
    <w:rsid w:val="00EE6412"/>
    <w:rsid w:val="00F10CE3"/>
    <w:rsid w:val="00F557F5"/>
    <w:rsid w:val="01281D68"/>
    <w:rsid w:val="013C107F"/>
    <w:rsid w:val="018D5C96"/>
    <w:rsid w:val="01AF70E0"/>
    <w:rsid w:val="01BE2D4A"/>
    <w:rsid w:val="01EC2A4B"/>
    <w:rsid w:val="01F64027"/>
    <w:rsid w:val="020143B6"/>
    <w:rsid w:val="024A7CF6"/>
    <w:rsid w:val="02830E5D"/>
    <w:rsid w:val="02D303F1"/>
    <w:rsid w:val="03025C0E"/>
    <w:rsid w:val="030D1502"/>
    <w:rsid w:val="0316422E"/>
    <w:rsid w:val="036B3147"/>
    <w:rsid w:val="03992590"/>
    <w:rsid w:val="03C47D37"/>
    <w:rsid w:val="03FF434E"/>
    <w:rsid w:val="042E7B38"/>
    <w:rsid w:val="043942DE"/>
    <w:rsid w:val="04F200E8"/>
    <w:rsid w:val="057F74F5"/>
    <w:rsid w:val="05924D4E"/>
    <w:rsid w:val="05966074"/>
    <w:rsid w:val="05BE6146"/>
    <w:rsid w:val="05F356DD"/>
    <w:rsid w:val="06105000"/>
    <w:rsid w:val="062A178D"/>
    <w:rsid w:val="068F0E6C"/>
    <w:rsid w:val="06A450D2"/>
    <w:rsid w:val="06C53667"/>
    <w:rsid w:val="06DF1AFC"/>
    <w:rsid w:val="06F54315"/>
    <w:rsid w:val="06FC2DC7"/>
    <w:rsid w:val="07036758"/>
    <w:rsid w:val="07462294"/>
    <w:rsid w:val="07980770"/>
    <w:rsid w:val="07B73DFB"/>
    <w:rsid w:val="082C2F0D"/>
    <w:rsid w:val="084636E3"/>
    <w:rsid w:val="08A624FE"/>
    <w:rsid w:val="08C209C9"/>
    <w:rsid w:val="09007CB2"/>
    <w:rsid w:val="096D21C4"/>
    <w:rsid w:val="096F2396"/>
    <w:rsid w:val="09A85250"/>
    <w:rsid w:val="09D92F4C"/>
    <w:rsid w:val="09E51337"/>
    <w:rsid w:val="0A195637"/>
    <w:rsid w:val="0A2B3824"/>
    <w:rsid w:val="0A36214C"/>
    <w:rsid w:val="0A6712CB"/>
    <w:rsid w:val="0ABB4D47"/>
    <w:rsid w:val="0AC47FF6"/>
    <w:rsid w:val="0ADB0F46"/>
    <w:rsid w:val="0AE736FB"/>
    <w:rsid w:val="0AEF4A58"/>
    <w:rsid w:val="0B230AEE"/>
    <w:rsid w:val="0B305702"/>
    <w:rsid w:val="0B564D95"/>
    <w:rsid w:val="0BF573C0"/>
    <w:rsid w:val="0C2E1401"/>
    <w:rsid w:val="0CAE0940"/>
    <w:rsid w:val="0CB24706"/>
    <w:rsid w:val="0D2148FF"/>
    <w:rsid w:val="0D3D480F"/>
    <w:rsid w:val="0D67082F"/>
    <w:rsid w:val="0DE23A0C"/>
    <w:rsid w:val="0DEF3649"/>
    <w:rsid w:val="0E303356"/>
    <w:rsid w:val="0E467489"/>
    <w:rsid w:val="0E5246B4"/>
    <w:rsid w:val="0E9513F0"/>
    <w:rsid w:val="0EE41E3B"/>
    <w:rsid w:val="0EEC410D"/>
    <w:rsid w:val="0F2F2CF9"/>
    <w:rsid w:val="0F3865FD"/>
    <w:rsid w:val="0F604D66"/>
    <w:rsid w:val="0F73799F"/>
    <w:rsid w:val="0F784FB3"/>
    <w:rsid w:val="0F8C5F99"/>
    <w:rsid w:val="0F8E0A11"/>
    <w:rsid w:val="0FC66AD2"/>
    <w:rsid w:val="0FE52296"/>
    <w:rsid w:val="10362618"/>
    <w:rsid w:val="10DC2325"/>
    <w:rsid w:val="11130726"/>
    <w:rsid w:val="116A4897"/>
    <w:rsid w:val="11B41CA7"/>
    <w:rsid w:val="12256F37"/>
    <w:rsid w:val="122A2E5C"/>
    <w:rsid w:val="123553DF"/>
    <w:rsid w:val="1284666A"/>
    <w:rsid w:val="1321578D"/>
    <w:rsid w:val="13417B09"/>
    <w:rsid w:val="135A06B1"/>
    <w:rsid w:val="13CD72B1"/>
    <w:rsid w:val="14263231"/>
    <w:rsid w:val="145C30F7"/>
    <w:rsid w:val="14795EEB"/>
    <w:rsid w:val="149311EE"/>
    <w:rsid w:val="14A260C1"/>
    <w:rsid w:val="14D62507"/>
    <w:rsid w:val="14E135FC"/>
    <w:rsid w:val="15025355"/>
    <w:rsid w:val="15B50D0E"/>
    <w:rsid w:val="15FA2BC8"/>
    <w:rsid w:val="160E6673"/>
    <w:rsid w:val="16206E14"/>
    <w:rsid w:val="16901EAD"/>
    <w:rsid w:val="16EF1EF5"/>
    <w:rsid w:val="172D0F78"/>
    <w:rsid w:val="17B578E0"/>
    <w:rsid w:val="183402DA"/>
    <w:rsid w:val="188A4D1E"/>
    <w:rsid w:val="18AD4687"/>
    <w:rsid w:val="18BA751C"/>
    <w:rsid w:val="18C874D3"/>
    <w:rsid w:val="19060CFF"/>
    <w:rsid w:val="193000B2"/>
    <w:rsid w:val="19824352"/>
    <w:rsid w:val="1A1E49AB"/>
    <w:rsid w:val="1A424BBF"/>
    <w:rsid w:val="1A8F17E2"/>
    <w:rsid w:val="1A903402"/>
    <w:rsid w:val="1AF26175"/>
    <w:rsid w:val="1B320E36"/>
    <w:rsid w:val="1B740D26"/>
    <w:rsid w:val="1BCB59D7"/>
    <w:rsid w:val="1BD3395B"/>
    <w:rsid w:val="1BFD6B32"/>
    <w:rsid w:val="1C2C1518"/>
    <w:rsid w:val="1C356F07"/>
    <w:rsid w:val="1C6B2DF4"/>
    <w:rsid w:val="1C9607BE"/>
    <w:rsid w:val="1CEB326A"/>
    <w:rsid w:val="1D363725"/>
    <w:rsid w:val="1E081C9C"/>
    <w:rsid w:val="1E2507F6"/>
    <w:rsid w:val="1E6B78F2"/>
    <w:rsid w:val="1F77683B"/>
    <w:rsid w:val="1F7A4566"/>
    <w:rsid w:val="200B565D"/>
    <w:rsid w:val="20100BAC"/>
    <w:rsid w:val="203D5092"/>
    <w:rsid w:val="20413EB1"/>
    <w:rsid w:val="204F6D5E"/>
    <w:rsid w:val="209043BF"/>
    <w:rsid w:val="209F0117"/>
    <w:rsid w:val="21230EB0"/>
    <w:rsid w:val="21D60760"/>
    <w:rsid w:val="22B62F60"/>
    <w:rsid w:val="2308377A"/>
    <w:rsid w:val="238B0BBE"/>
    <w:rsid w:val="238E3245"/>
    <w:rsid w:val="23B92EEF"/>
    <w:rsid w:val="23C028FE"/>
    <w:rsid w:val="241C3417"/>
    <w:rsid w:val="24506AFA"/>
    <w:rsid w:val="245D7FA1"/>
    <w:rsid w:val="248E4762"/>
    <w:rsid w:val="24A82313"/>
    <w:rsid w:val="24A83830"/>
    <w:rsid w:val="24C04FDC"/>
    <w:rsid w:val="24F667D0"/>
    <w:rsid w:val="24FB5693"/>
    <w:rsid w:val="257644A7"/>
    <w:rsid w:val="25B91457"/>
    <w:rsid w:val="263E05DB"/>
    <w:rsid w:val="266D4A15"/>
    <w:rsid w:val="27191918"/>
    <w:rsid w:val="273F21B5"/>
    <w:rsid w:val="2752404C"/>
    <w:rsid w:val="276D74A8"/>
    <w:rsid w:val="278307DE"/>
    <w:rsid w:val="278C5045"/>
    <w:rsid w:val="278F5A4E"/>
    <w:rsid w:val="27E407C1"/>
    <w:rsid w:val="28162CCD"/>
    <w:rsid w:val="2820070C"/>
    <w:rsid w:val="28224F57"/>
    <w:rsid w:val="283D1271"/>
    <w:rsid w:val="28571B41"/>
    <w:rsid w:val="285E4CC9"/>
    <w:rsid w:val="28D14BAF"/>
    <w:rsid w:val="28FF7DAE"/>
    <w:rsid w:val="290C5084"/>
    <w:rsid w:val="29252223"/>
    <w:rsid w:val="29471643"/>
    <w:rsid w:val="294A6C18"/>
    <w:rsid w:val="29777FE4"/>
    <w:rsid w:val="299747D3"/>
    <w:rsid w:val="29A568FD"/>
    <w:rsid w:val="2A0276AA"/>
    <w:rsid w:val="2A090E9D"/>
    <w:rsid w:val="2A423D0C"/>
    <w:rsid w:val="2A434716"/>
    <w:rsid w:val="2ACB61AA"/>
    <w:rsid w:val="2AEA2BFD"/>
    <w:rsid w:val="2AEC23F4"/>
    <w:rsid w:val="2B6E4DF6"/>
    <w:rsid w:val="2BD233C6"/>
    <w:rsid w:val="2BF35C97"/>
    <w:rsid w:val="2C2A4017"/>
    <w:rsid w:val="2CC111FE"/>
    <w:rsid w:val="2CDA2011"/>
    <w:rsid w:val="2D2B4215"/>
    <w:rsid w:val="2D6E5691"/>
    <w:rsid w:val="2D7631FE"/>
    <w:rsid w:val="2E3144CE"/>
    <w:rsid w:val="2E3B280B"/>
    <w:rsid w:val="2E782127"/>
    <w:rsid w:val="2E7A444E"/>
    <w:rsid w:val="2E7F6359"/>
    <w:rsid w:val="2EBF1231"/>
    <w:rsid w:val="2EF92078"/>
    <w:rsid w:val="2F6C36BD"/>
    <w:rsid w:val="2FC21EDD"/>
    <w:rsid w:val="2FED6AEA"/>
    <w:rsid w:val="30E07E4F"/>
    <w:rsid w:val="30F16556"/>
    <w:rsid w:val="31265BB2"/>
    <w:rsid w:val="314667CE"/>
    <w:rsid w:val="315308E0"/>
    <w:rsid w:val="31686191"/>
    <w:rsid w:val="3175714F"/>
    <w:rsid w:val="325070D0"/>
    <w:rsid w:val="334B564F"/>
    <w:rsid w:val="337551E2"/>
    <w:rsid w:val="338A52A8"/>
    <w:rsid w:val="33E94E07"/>
    <w:rsid w:val="33FE4C18"/>
    <w:rsid w:val="342A4220"/>
    <w:rsid w:val="34AC0EF4"/>
    <w:rsid w:val="34F1263B"/>
    <w:rsid w:val="351C3EE2"/>
    <w:rsid w:val="35670FD5"/>
    <w:rsid w:val="35A1562C"/>
    <w:rsid w:val="36162CAE"/>
    <w:rsid w:val="36337C96"/>
    <w:rsid w:val="365437D6"/>
    <w:rsid w:val="36774593"/>
    <w:rsid w:val="36C23BCE"/>
    <w:rsid w:val="372E5DD5"/>
    <w:rsid w:val="372F3462"/>
    <w:rsid w:val="375673BC"/>
    <w:rsid w:val="37886837"/>
    <w:rsid w:val="37E43728"/>
    <w:rsid w:val="381961A3"/>
    <w:rsid w:val="38305FF9"/>
    <w:rsid w:val="3837515E"/>
    <w:rsid w:val="38771CDA"/>
    <w:rsid w:val="3877514A"/>
    <w:rsid w:val="387D4622"/>
    <w:rsid w:val="38B70D20"/>
    <w:rsid w:val="38C9290B"/>
    <w:rsid w:val="38D55BC4"/>
    <w:rsid w:val="38EB4F03"/>
    <w:rsid w:val="38EB5FBA"/>
    <w:rsid w:val="392775C1"/>
    <w:rsid w:val="39521DF8"/>
    <w:rsid w:val="398048E2"/>
    <w:rsid w:val="398441E4"/>
    <w:rsid w:val="39CD451A"/>
    <w:rsid w:val="3A1338A7"/>
    <w:rsid w:val="3B0E7D9C"/>
    <w:rsid w:val="3B622D94"/>
    <w:rsid w:val="3B9D2410"/>
    <w:rsid w:val="3BB33327"/>
    <w:rsid w:val="3C92596B"/>
    <w:rsid w:val="3D2B748E"/>
    <w:rsid w:val="3D3A7F52"/>
    <w:rsid w:val="3D5E6CDF"/>
    <w:rsid w:val="3D6353B4"/>
    <w:rsid w:val="3D697B6A"/>
    <w:rsid w:val="3D85472A"/>
    <w:rsid w:val="3D967835"/>
    <w:rsid w:val="3DC75ADC"/>
    <w:rsid w:val="3DFF103B"/>
    <w:rsid w:val="3E4177DA"/>
    <w:rsid w:val="3E503D7A"/>
    <w:rsid w:val="3E53385B"/>
    <w:rsid w:val="3E9E38F1"/>
    <w:rsid w:val="3EA66967"/>
    <w:rsid w:val="3EBF7C5B"/>
    <w:rsid w:val="3F2C5930"/>
    <w:rsid w:val="3F551B4E"/>
    <w:rsid w:val="3F5542B9"/>
    <w:rsid w:val="407C2437"/>
    <w:rsid w:val="41034556"/>
    <w:rsid w:val="413C0552"/>
    <w:rsid w:val="419F05D4"/>
    <w:rsid w:val="41C86C7B"/>
    <w:rsid w:val="426D56E3"/>
    <w:rsid w:val="42C33BA2"/>
    <w:rsid w:val="42C43A92"/>
    <w:rsid w:val="42DC7DD8"/>
    <w:rsid w:val="43070A72"/>
    <w:rsid w:val="43923B90"/>
    <w:rsid w:val="43DD129C"/>
    <w:rsid w:val="442930BB"/>
    <w:rsid w:val="443B5F5B"/>
    <w:rsid w:val="45177C05"/>
    <w:rsid w:val="454B72B1"/>
    <w:rsid w:val="45536ABE"/>
    <w:rsid w:val="4560539C"/>
    <w:rsid w:val="45745813"/>
    <w:rsid w:val="45886E67"/>
    <w:rsid w:val="45CE4BAD"/>
    <w:rsid w:val="45EA1A61"/>
    <w:rsid w:val="461B348E"/>
    <w:rsid w:val="462A7718"/>
    <w:rsid w:val="46CA56AE"/>
    <w:rsid w:val="4769137C"/>
    <w:rsid w:val="47AA2274"/>
    <w:rsid w:val="485C012A"/>
    <w:rsid w:val="4886072F"/>
    <w:rsid w:val="488B5B36"/>
    <w:rsid w:val="48B277A8"/>
    <w:rsid w:val="48F86243"/>
    <w:rsid w:val="49F62C64"/>
    <w:rsid w:val="4A15226D"/>
    <w:rsid w:val="4A417B50"/>
    <w:rsid w:val="4A757BAF"/>
    <w:rsid w:val="4AA67450"/>
    <w:rsid w:val="4AB80380"/>
    <w:rsid w:val="4AD3106C"/>
    <w:rsid w:val="4B36228A"/>
    <w:rsid w:val="4BDD0E60"/>
    <w:rsid w:val="4C1E706B"/>
    <w:rsid w:val="4C856040"/>
    <w:rsid w:val="4CC65B40"/>
    <w:rsid w:val="4D5148D5"/>
    <w:rsid w:val="4DF73F88"/>
    <w:rsid w:val="4E1B288C"/>
    <w:rsid w:val="4E851DAF"/>
    <w:rsid w:val="4ED27F7E"/>
    <w:rsid w:val="4ED72381"/>
    <w:rsid w:val="4F572D0A"/>
    <w:rsid w:val="4F5F21E8"/>
    <w:rsid w:val="4FAB04B3"/>
    <w:rsid w:val="4FDB798C"/>
    <w:rsid w:val="503A54F0"/>
    <w:rsid w:val="5078505C"/>
    <w:rsid w:val="50805FA2"/>
    <w:rsid w:val="50B15E60"/>
    <w:rsid w:val="50D77FE8"/>
    <w:rsid w:val="50EF7A5A"/>
    <w:rsid w:val="51082C51"/>
    <w:rsid w:val="521F36EF"/>
    <w:rsid w:val="5238305D"/>
    <w:rsid w:val="524F2800"/>
    <w:rsid w:val="527C4EF8"/>
    <w:rsid w:val="530103EA"/>
    <w:rsid w:val="532A7941"/>
    <w:rsid w:val="533F11AE"/>
    <w:rsid w:val="53471653"/>
    <w:rsid w:val="5348717C"/>
    <w:rsid w:val="539521B9"/>
    <w:rsid w:val="53DC45F3"/>
    <w:rsid w:val="547E0BA3"/>
    <w:rsid w:val="55837182"/>
    <w:rsid w:val="558E4849"/>
    <w:rsid w:val="55992B18"/>
    <w:rsid w:val="55D23B8E"/>
    <w:rsid w:val="55D32D53"/>
    <w:rsid w:val="55E36D98"/>
    <w:rsid w:val="562A5C6A"/>
    <w:rsid w:val="565276F5"/>
    <w:rsid w:val="566070FF"/>
    <w:rsid w:val="56C9121F"/>
    <w:rsid w:val="56ED12F4"/>
    <w:rsid w:val="570F696E"/>
    <w:rsid w:val="57351A35"/>
    <w:rsid w:val="574D14E4"/>
    <w:rsid w:val="57663768"/>
    <w:rsid w:val="58230D58"/>
    <w:rsid w:val="58272ED9"/>
    <w:rsid w:val="590C65DD"/>
    <w:rsid w:val="59917917"/>
    <w:rsid w:val="59C30AC0"/>
    <w:rsid w:val="59FF5663"/>
    <w:rsid w:val="5A175582"/>
    <w:rsid w:val="5A4237C2"/>
    <w:rsid w:val="5A810ED4"/>
    <w:rsid w:val="5A8D4603"/>
    <w:rsid w:val="5AA505A9"/>
    <w:rsid w:val="5AB24513"/>
    <w:rsid w:val="5B1169EE"/>
    <w:rsid w:val="5B552694"/>
    <w:rsid w:val="5BFF5C5E"/>
    <w:rsid w:val="5C9C4720"/>
    <w:rsid w:val="5C9F5693"/>
    <w:rsid w:val="5DA51106"/>
    <w:rsid w:val="5E402C31"/>
    <w:rsid w:val="5E4D0F70"/>
    <w:rsid w:val="5EC40777"/>
    <w:rsid w:val="5ED02797"/>
    <w:rsid w:val="5ED26E6A"/>
    <w:rsid w:val="5EDC4ABC"/>
    <w:rsid w:val="5F060E12"/>
    <w:rsid w:val="5F1C0CC5"/>
    <w:rsid w:val="5F2D2C93"/>
    <w:rsid w:val="5F392612"/>
    <w:rsid w:val="5F6E7A74"/>
    <w:rsid w:val="5F871574"/>
    <w:rsid w:val="603930DA"/>
    <w:rsid w:val="60687CFB"/>
    <w:rsid w:val="607020B5"/>
    <w:rsid w:val="60AB73E1"/>
    <w:rsid w:val="60E73B51"/>
    <w:rsid w:val="615A7ECA"/>
    <w:rsid w:val="61970898"/>
    <w:rsid w:val="61B7564F"/>
    <w:rsid w:val="62875458"/>
    <w:rsid w:val="62A019CE"/>
    <w:rsid w:val="62A33CEE"/>
    <w:rsid w:val="62D178AF"/>
    <w:rsid w:val="62FB3812"/>
    <w:rsid w:val="630F10F4"/>
    <w:rsid w:val="63182677"/>
    <w:rsid w:val="63FC1422"/>
    <w:rsid w:val="640B0355"/>
    <w:rsid w:val="645D462F"/>
    <w:rsid w:val="64612D8A"/>
    <w:rsid w:val="648B3707"/>
    <w:rsid w:val="64C37BF6"/>
    <w:rsid w:val="64D43A30"/>
    <w:rsid w:val="64D529D4"/>
    <w:rsid w:val="64E97F65"/>
    <w:rsid w:val="655103FA"/>
    <w:rsid w:val="6597729E"/>
    <w:rsid w:val="65FE25F7"/>
    <w:rsid w:val="6605645B"/>
    <w:rsid w:val="66145C56"/>
    <w:rsid w:val="66326DE1"/>
    <w:rsid w:val="66656DDA"/>
    <w:rsid w:val="667B1802"/>
    <w:rsid w:val="668F7D8F"/>
    <w:rsid w:val="674B2696"/>
    <w:rsid w:val="675A33BD"/>
    <w:rsid w:val="681A68F2"/>
    <w:rsid w:val="683F7123"/>
    <w:rsid w:val="68996CA3"/>
    <w:rsid w:val="68E51EE8"/>
    <w:rsid w:val="691F75E4"/>
    <w:rsid w:val="69291A80"/>
    <w:rsid w:val="6A7C07E7"/>
    <w:rsid w:val="6AAC45E1"/>
    <w:rsid w:val="6AEE057C"/>
    <w:rsid w:val="6B2429B6"/>
    <w:rsid w:val="6B3D28F6"/>
    <w:rsid w:val="6B3D5EF0"/>
    <w:rsid w:val="6B513865"/>
    <w:rsid w:val="6BC557F0"/>
    <w:rsid w:val="6BE74475"/>
    <w:rsid w:val="6C003FFF"/>
    <w:rsid w:val="6C1A634D"/>
    <w:rsid w:val="6CD87062"/>
    <w:rsid w:val="6D1C04EF"/>
    <w:rsid w:val="6D2D429D"/>
    <w:rsid w:val="6D383BAD"/>
    <w:rsid w:val="6D4C3CEE"/>
    <w:rsid w:val="6D54763D"/>
    <w:rsid w:val="6D6D5BF2"/>
    <w:rsid w:val="6E33502F"/>
    <w:rsid w:val="6E674ED4"/>
    <w:rsid w:val="6E98296A"/>
    <w:rsid w:val="6E9D78B3"/>
    <w:rsid w:val="6EE831C7"/>
    <w:rsid w:val="6F0427D6"/>
    <w:rsid w:val="6F744701"/>
    <w:rsid w:val="6FD7748A"/>
    <w:rsid w:val="6FF43359"/>
    <w:rsid w:val="7006118F"/>
    <w:rsid w:val="703674CE"/>
    <w:rsid w:val="7059768F"/>
    <w:rsid w:val="71172E77"/>
    <w:rsid w:val="715C7915"/>
    <w:rsid w:val="71C61E7E"/>
    <w:rsid w:val="71EC4700"/>
    <w:rsid w:val="72371F9A"/>
    <w:rsid w:val="72A52D8B"/>
    <w:rsid w:val="731536C0"/>
    <w:rsid w:val="73594887"/>
    <w:rsid w:val="73DB2D09"/>
    <w:rsid w:val="74623C1E"/>
    <w:rsid w:val="74E866BC"/>
    <w:rsid w:val="751A3C9A"/>
    <w:rsid w:val="752825E9"/>
    <w:rsid w:val="75937353"/>
    <w:rsid w:val="75F65450"/>
    <w:rsid w:val="76093C61"/>
    <w:rsid w:val="7675574B"/>
    <w:rsid w:val="767B616B"/>
    <w:rsid w:val="76AF0F3A"/>
    <w:rsid w:val="76D57D2E"/>
    <w:rsid w:val="76FA018A"/>
    <w:rsid w:val="773407AC"/>
    <w:rsid w:val="77577966"/>
    <w:rsid w:val="775D2C08"/>
    <w:rsid w:val="777B3124"/>
    <w:rsid w:val="777E162F"/>
    <w:rsid w:val="786D21BE"/>
    <w:rsid w:val="78B216EF"/>
    <w:rsid w:val="78B82110"/>
    <w:rsid w:val="78EE3271"/>
    <w:rsid w:val="796230E1"/>
    <w:rsid w:val="79B9457E"/>
    <w:rsid w:val="79C159FD"/>
    <w:rsid w:val="79E50810"/>
    <w:rsid w:val="79FE192B"/>
    <w:rsid w:val="7A280D5D"/>
    <w:rsid w:val="7A2E50E1"/>
    <w:rsid w:val="7A4015E3"/>
    <w:rsid w:val="7A904E7F"/>
    <w:rsid w:val="7ADF74F2"/>
    <w:rsid w:val="7AE77D42"/>
    <w:rsid w:val="7AE905CE"/>
    <w:rsid w:val="7B024B7C"/>
    <w:rsid w:val="7B484E73"/>
    <w:rsid w:val="7B764206"/>
    <w:rsid w:val="7B787529"/>
    <w:rsid w:val="7BA1119E"/>
    <w:rsid w:val="7BAC68D1"/>
    <w:rsid w:val="7BE17FBE"/>
    <w:rsid w:val="7C28453F"/>
    <w:rsid w:val="7C2F0821"/>
    <w:rsid w:val="7C363DE1"/>
    <w:rsid w:val="7CC45FDC"/>
    <w:rsid w:val="7CC55E55"/>
    <w:rsid w:val="7CD2146E"/>
    <w:rsid w:val="7CE75EF5"/>
    <w:rsid w:val="7CE9270B"/>
    <w:rsid w:val="7D71357C"/>
    <w:rsid w:val="7E414462"/>
    <w:rsid w:val="7E8169F8"/>
    <w:rsid w:val="7EF55075"/>
    <w:rsid w:val="7F381CBD"/>
    <w:rsid w:val="7F912659"/>
    <w:rsid w:val="7FAE2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jc w:val="both"/>
    </w:pPr>
    <w:rPr>
      <w:rFonts w:ascii="Times New Roman" w:hAnsi="Times New Roman" w:eastAsia="宋体" w:cstheme="minorBidi"/>
      <w:kern w:val="2"/>
      <w:sz w:val="28"/>
      <w:szCs w:val="24"/>
      <w:lang w:val="en-US" w:eastAsia="zh-CN" w:bidi="ar-SA"/>
    </w:rPr>
  </w:style>
  <w:style w:type="paragraph" w:styleId="3">
    <w:name w:val="heading 1"/>
    <w:basedOn w:val="1"/>
    <w:next w:val="1"/>
    <w:link w:val="36"/>
    <w:autoRedefine/>
    <w:qFormat/>
    <w:uiPriority w:val="0"/>
    <w:pPr>
      <w:keepNext/>
      <w:keepLines/>
      <w:outlineLvl w:val="0"/>
    </w:pPr>
    <w:rPr>
      <w:b/>
      <w:kern w:val="10"/>
    </w:rPr>
  </w:style>
  <w:style w:type="paragraph" w:styleId="4">
    <w:name w:val="heading 2"/>
    <w:basedOn w:val="3"/>
    <w:next w:val="1"/>
    <w:link w:val="38"/>
    <w:autoRedefine/>
    <w:unhideWhenUsed/>
    <w:qFormat/>
    <w:uiPriority w:val="0"/>
    <w:pPr>
      <w:jc w:val="left"/>
      <w:outlineLvl w:val="1"/>
    </w:pPr>
    <w:rPr>
      <w:rFonts w:cs="Times New Roman"/>
      <w:bCs/>
      <w:szCs w:val="28"/>
    </w:rPr>
  </w:style>
  <w:style w:type="paragraph" w:styleId="5">
    <w:name w:val="heading 3"/>
    <w:basedOn w:val="1"/>
    <w:next w:val="1"/>
    <w:autoRedefine/>
    <w:unhideWhenUsed/>
    <w:qFormat/>
    <w:uiPriority w:val="0"/>
    <w:pPr>
      <w:keepNext/>
      <w:keepLines/>
      <w:outlineLvl w:val="2"/>
    </w:pPr>
    <w:rPr>
      <w:b/>
      <w:bCs/>
    </w:rPr>
  </w:style>
  <w:style w:type="paragraph" w:styleId="6">
    <w:name w:val="heading 4"/>
    <w:basedOn w:val="1"/>
    <w:next w:val="1"/>
    <w:link w:val="37"/>
    <w:autoRedefine/>
    <w:unhideWhenUsed/>
    <w:qFormat/>
    <w:uiPriority w:val="0"/>
    <w:pPr>
      <w:keepNext/>
      <w:keepLines/>
      <w:outlineLvl w:val="3"/>
    </w:pPr>
    <w:rPr>
      <w:b/>
      <w:bCs/>
    </w:rPr>
  </w:style>
  <w:style w:type="character" w:default="1" w:styleId="27">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 小四 行距: 1.5 倍行距"/>
    <w:basedOn w:val="1"/>
    <w:autoRedefine/>
    <w:qFormat/>
    <w:uiPriority w:val="0"/>
    <w:pPr>
      <w:ind w:firstLine="480" w:firstLineChars="200"/>
    </w:pPr>
    <w:rPr>
      <w:rFonts w:cs="宋体"/>
    </w:rPr>
  </w:style>
  <w:style w:type="paragraph" w:styleId="7">
    <w:name w:val="Normal Indent"/>
    <w:basedOn w:val="1"/>
    <w:autoRedefine/>
    <w:unhideWhenUsed/>
    <w:qFormat/>
    <w:uiPriority w:val="0"/>
    <w:pPr>
      <w:ind w:firstLine="420" w:firstLineChars="200"/>
    </w:pPr>
    <w:rPr>
      <w:kern w:val="0"/>
      <w:sz w:val="20"/>
    </w:rPr>
  </w:style>
  <w:style w:type="paragraph" w:styleId="8">
    <w:name w:val="annotation text"/>
    <w:basedOn w:val="1"/>
    <w:link w:val="71"/>
    <w:autoRedefine/>
    <w:qFormat/>
    <w:uiPriority w:val="0"/>
    <w:pPr>
      <w:jc w:val="left"/>
    </w:pPr>
  </w:style>
  <w:style w:type="paragraph" w:styleId="9">
    <w:name w:val="Body Text"/>
    <w:basedOn w:val="1"/>
    <w:next w:val="1"/>
    <w:autoRedefine/>
    <w:qFormat/>
    <w:uiPriority w:val="0"/>
    <w:pPr>
      <w:spacing w:after="120"/>
    </w:pPr>
  </w:style>
  <w:style w:type="paragraph" w:styleId="10">
    <w:name w:val="Body Text Indent"/>
    <w:basedOn w:val="1"/>
    <w:next w:val="11"/>
    <w:autoRedefine/>
    <w:unhideWhenUsed/>
    <w:qFormat/>
    <w:uiPriority w:val="99"/>
    <w:pPr>
      <w:spacing w:after="120"/>
      <w:ind w:left="420" w:leftChars="200"/>
    </w:pPr>
  </w:style>
  <w:style w:type="paragraph" w:styleId="11">
    <w:name w:val="Body Text Indent 2"/>
    <w:basedOn w:val="1"/>
    <w:next w:val="1"/>
    <w:autoRedefine/>
    <w:qFormat/>
    <w:uiPriority w:val="0"/>
    <w:pPr>
      <w:spacing w:line="360" w:lineRule="auto"/>
      <w:ind w:firstLine="560" w:firstLineChars="200"/>
    </w:pPr>
    <w:rPr>
      <w:rFonts w:ascii="仿宋_GB2312" w:hAnsi="宋体" w:eastAsia="仿宋_GB2312"/>
      <w:kern w:val="0"/>
    </w:rPr>
  </w:style>
  <w:style w:type="paragraph" w:styleId="12">
    <w:name w:val="toc 3"/>
    <w:basedOn w:val="1"/>
    <w:next w:val="1"/>
    <w:autoRedefine/>
    <w:qFormat/>
    <w:uiPriority w:val="0"/>
    <w:pPr>
      <w:ind w:left="840" w:leftChars="400"/>
    </w:pPr>
  </w:style>
  <w:style w:type="paragraph" w:styleId="13">
    <w:name w:val="Plain Text"/>
    <w:basedOn w:val="1"/>
    <w:autoRedefine/>
    <w:qFormat/>
    <w:uiPriority w:val="0"/>
    <w:rPr>
      <w:rFonts w:ascii="宋体" w:hAnsi="Courier New"/>
      <w:sz w:val="21"/>
    </w:rPr>
  </w:style>
  <w:style w:type="paragraph" w:styleId="14">
    <w:name w:val="footer"/>
    <w:basedOn w:val="1"/>
    <w:next w:val="13"/>
    <w:autoRedefine/>
    <w:qFormat/>
    <w:uiPriority w:val="0"/>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6">
    <w:name w:val="toc 1"/>
    <w:basedOn w:val="1"/>
    <w:next w:val="1"/>
    <w:autoRedefine/>
    <w:qFormat/>
    <w:uiPriority w:val="0"/>
  </w:style>
  <w:style w:type="paragraph" w:styleId="17">
    <w:name w:val="List"/>
    <w:basedOn w:val="1"/>
    <w:autoRedefine/>
    <w:unhideWhenUsed/>
    <w:qFormat/>
    <w:uiPriority w:val="0"/>
    <w:pPr>
      <w:ind w:left="200" w:hanging="200" w:hangingChars="200"/>
      <w:contextualSpacing/>
    </w:pPr>
  </w:style>
  <w:style w:type="paragraph" w:styleId="18">
    <w:name w:val="toc 2"/>
    <w:basedOn w:val="1"/>
    <w:next w:val="1"/>
    <w:autoRedefine/>
    <w:qFormat/>
    <w:uiPriority w:val="0"/>
    <w:pPr>
      <w:ind w:left="420" w:leftChars="200"/>
    </w:pPr>
  </w:style>
  <w:style w:type="paragraph" w:styleId="19">
    <w:name w:val="Body Text 2"/>
    <w:basedOn w:val="1"/>
    <w:autoRedefine/>
    <w:qFormat/>
    <w:uiPriority w:val="0"/>
    <w:pPr>
      <w:jc w:val="center"/>
    </w:pPr>
    <w:rPr>
      <w:rFonts w:eastAsia="黑体"/>
      <w:sz w:val="72"/>
    </w:rPr>
  </w:style>
  <w:style w:type="paragraph" w:styleId="20">
    <w:name w:val="Normal (Web)"/>
    <w:basedOn w:val="1"/>
    <w:autoRedefine/>
    <w:qFormat/>
    <w:uiPriority w:val="0"/>
    <w:rPr>
      <w:sz w:val="24"/>
    </w:rPr>
  </w:style>
  <w:style w:type="paragraph" w:styleId="21">
    <w:name w:val="Title"/>
    <w:basedOn w:val="1"/>
    <w:autoRedefine/>
    <w:qFormat/>
    <w:uiPriority w:val="0"/>
    <w:pPr>
      <w:spacing w:before="240" w:after="60"/>
      <w:jc w:val="center"/>
      <w:outlineLvl w:val="0"/>
    </w:pPr>
    <w:rPr>
      <w:rFonts w:ascii="Arial" w:hAnsi="Arial"/>
      <w:b/>
      <w:sz w:val="32"/>
    </w:rPr>
  </w:style>
  <w:style w:type="paragraph" w:styleId="22">
    <w:name w:val="annotation subject"/>
    <w:basedOn w:val="8"/>
    <w:next w:val="8"/>
    <w:link w:val="72"/>
    <w:autoRedefine/>
    <w:qFormat/>
    <w:uiPriority w:val="0"/>
    <w:rPr>
      <w:b/>
      <w:bCs/>
    </w:rPr>
  </w:style>
  <w:style w:type="paragraph" w:styleId="23">
    <w:name w:val="Body Text First Indent 2"/>
    <w:basedOn w:val="10"/>
    <w:next w:val="9"/>
    <w:autoRedefine/>
    <w:unhideWhenUsed/>
    <w:qFormat/>
    <w:uiPriority w:val="99"/>
    <w:pPr>
      <w:ind w:firstLine="420" w:firstLineChars="200"/>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6">
    <w:name w:val="Table Grid 1"/>
    <w:basedOn w:val="24"/>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28">
    <w:name w:val="page number"/>
    <w:basedOn w:val="27"/>
    <w:autoRedefine/>
    <w:qFormat/>
    <w:uiPriority w:val="0"/>
  </w:style>
  <w:style w:type="character" w:styleId="29">
    <w:name w:val="Hyperlink"/>
    <w:autoRedefine/>
    <w:qFormat/>
    <w:uiPriority w:val="99"/>
    <w:rPr>
      <w:color w:val="0000FF"/>
      <w:u w:val="single"/>
    </w:rPr>
  </w:style>
  <w:style w:type="character" w:styleId="30">
    <w:name w:val="annotation reference"/>
    <w:basedOn w:val="27"/>
    <w:autoRedefine/>
    <w:qFormat/>
    <w:uiPriority w:val="0"/>
    <w:rPr>
      <w:sz w:val="21"/>
      <w:szCs w:val="21"/>
    </w:rPr>
  </w:style>
  <w:style w:type="paragraph" w:customStyle="1" w:styleId="31">
    <w:name w:val="样式 10 磅1"/>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
    <w:name w:val="Default1"/>
    <w:basedOn w:val="33"/>
    <w:next w:val="1"/>
    <w:autoRedefine/>
    <w:qFormat/>
    <w:uiPriority w:val="99"/>
    <w:pPr>
      <w:autoSpaceDE w:val="0"/>
      <w:autoSpaceDN w:val="0"/>
      <w:adjustRightInd w:val="0"/>
    </w:pPr>
    <w:rPr>
      <w:rFonts w:hAnsi="Times New Roman" w:eastAsia="宋体" w:cs="宋体"/>
      <w:color w:val="000000"/>
    </w:rPr>
  </w:style>
  <w:style w:type="paragraph" w:customStyle="1" w:styleId="33">
    <w:name w:val="常用正文样式"/>
    <w:autoRedefine/>
    <w:qFormat/>
    <w:uiPriority w:val="0"/>
    <w:pPr>
      <w:widowControl w:val="0"/>
      <w:spacing w:line="360" w:lineRule="auto"/>
      <w:ind w:firstLine="454"/>
      <w:jc w:val="both"/>
    </w:pPr>
    <w:rPr>
      <w:rFonts w:ascii="宋体" w:hAnsi="新宋体" w:eastAsia="仿宋_GB2312" w:cs="Times New Roman"/>
      <w:kern w:val="2"/>
      <w:sz w:val="24"/>
      <w:szCs w:val="24"/>
      <w:lang w:val="en-US" w:eastAsia="zh-CN" w:bidi="ar-SA"/>
    </w:rPr>
  </w:style>
  <w:style w:type="paragraph" w:customStyle="1" w:styleId="34">
    <w:name w:val="Default"/>
    <w:basedOn w:val="35"/>
    <w:next w:val="23"/>
    <w:autoRedefine/>
    <w:qFormat/>
    <w:uiPriority w:val="0"/>
    <w:pPr>
      <w:autoSpaceDE w:val="0"/>
      <w:autoSpaceDN w:val="0"/>
      <w:adjustRightInd w:val="0"/>
    </w:pPr>
    <w:rPr>
      <w:rFonts w:ascii="Arial" w:hAnsi="Arial" w:cs="Arial"/>
      <w:kern w:val="0"/>
      <w:sz w:val="24"/>
    </w:rPr>
  </w:style>
  <w:style w:type="paragraph" w:customStyle="1" w:styleId="35">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36">
    <w:name w:val="标题 1 字符"/>
    <w:basedOn w:val="27"/>
    <w:link w:val="3"/>
    <w:autoRedefine/>
    <w:qFormat/>
    <w:uiPriority w:val="9"/>
    <w:rPr>
      <w:rFonts w:ascii="Times New Roman" w:hAnsi="Times New Roman" w:eastAsia="宋体"/>
      <w:b/>
      <w:bCs/>
      <w:kern w:val="10"/>
      <w:sz w:val="44"/>
      <w:szCs w:val="44"/>
    </w:rPr>
  </w:style>
  <w:style w:type="character" w:customStyle="1" w:styleId="37">
    <w:name w:val="标题 4 字符"/>
    <w:basedOn w:val="27"/>
    <w:link w:val="6"/>
    <w:autoRedefine/>
    <w:semiHidden/>
    <w:qFormat/>
    <w:uiPriority w:val="9"/>
    <w:rPr>
      <w:rFonts w:ascii="Times New Roman" w:hAnsi="Times New Roman" w:eastAsia="宋体" w:cs="Times New Roman"/>
      <w:b/>
      <w:bCs/>
      <w:sz w:val="28"/>
      <w:szCs w:val="28"/>
    </w:rPr>
  </w:style>
  <w:style w:type="character" w:customStyle="1" w:styleId="38">
    <w:name w:val="标题 2 字符"/>
    <w:basedOn w:val="27"/>
    <w:link w:val="4"/>
    <w:autoRedefine/>
    <w:qFormat/>
    <w:locked/>
    <w:uiPriority w:val="99"/>
    <w:rPr>
      <w:rFonts w:ascii="Times New Roman" w:hAnsi="Times New Roman" w:eastAsia="宋体" w:cs="Times New Roman"/>
      <w:b/>
      <w:bCs/>
      <w:sz w:val="28"/>
      <w:szCs w:val="28"/>
    </w:rPr>
  </w:style>
  <w:style w:type="paragraph" w:customStyle="1" w:styleId="39">
    <w:name w:val="a5正文"/>
    <w:basedOn w:val="1"/>
    <w:autoRedefine/>
    <w:qFormat/>
    <w:uiPriority w:val="0"/>
    <w:pPr>
      <w:adjustRightInd w:val="0"/>
      <w:snapToGrid w:val="0"/>
      <w:spacing w:line="396" w:lineRule="auto"/>
    </w:pPr>
    <w:rPr>
      <w:b/>
      <w:kern w:val="0"/>
      <w:sz w:val="24"/>
      <w:szCs w:val="20"/>
    </w:rPr>
  </w:style>
  <w:style w:type="character" w:customStyle="1" w:styleId="40">
    <w:name w:val="font71"/>
    <w:basedOn w:val="27"/>
    <w:autoRedefine/>
    <w:qFormat/>
    <w:uiPriority w:val="0"/>
    <w:rPr>
      <w:rFonts w:ascii="MingLiU" w:hAnsi="MingLiU" w:eastAsia="MingLiU" w:cs="MingLiU"/>
      <w:color w:val="000000"/>
      <w:sz w:val="24"/>
      <w:szCs w:val="24"/>
      <w:u w:val="none"/>
    </w:rPr>
  </w:style>
  <w:style w:type="character" w:customStyle="1" w:styleId="41">
    <w:name w:val="font81"/>
    <w:basedOn w:val="27"/>
    <w:autoRedefine/>
    <w:qFormat/>
    <w:uiPriority w:val="0"/>
    <w:rPr>
      <w:rFonts w:hint="default" w:ascii="Times New Roman" w:hAnsi="Times New Roman" w:cs="Times New Roman"/>
      <w:color w:val="000000"/>
      <w:sz w:val="18"/>
      <w:szCs w:val="18"/>
      <w:u w:val="none"/>
      <w:vertAlign w:val="subscript"/>
    </w:rPr>
  </w:style>
  <w:style w:type="character" w:customStyle="1" w:styleId="42">
    <w:name w:val="font21"/>
    <w:basedOn w:val="27"/>
    <w:autoRedefine/>
    <w:qFormat/>
    <w:uiPriority w:val="0"/>
    <w:rPr>
      <w:rFonts w:hint="default" w:ascii="Times New Roman" w:hAnsi="Times New Roman" w:cs="Times New Roman"/>
      <w:color w:val="000000"/>
      <w:sz w:val="24"/>
      <w:szCs w:val="24"/>
      <w:u w:val="none"/>
    </w:rPr>
  </w:style>
  <w:style w:type="character" w:customStyle="1" w:styleId="43">
    <w:name w:val="font01"/>
    <w:basedOn w:val="27"/>
    <w:autoRedefine/>
    <w:qFormat/>
    <w:uiPriority w:val="0"/>
    <w:rPr>
      <w:rFonts w:hint="eastAsia" w:ascii="PMingLiU" w:hAnsi="PMingLiU" w:eastAsia="PMingLiU" w:cs="PMingLiU"/>
      <w:color w:val="000000"/>
      <w:sz w:val="24"/>
      <w:szCs w:val="24"/>
      <w:u w:val="none"/>
    </w:rPr>
  </w:style>
  <w:style w:type="character" w:customStyle="1" w:styleId="44">
    <w:name w:val="font41"/>
    <w:basedOn w:val="27"/>
    <w:autoRedefine/>
    <w:qFormat/>
    <w:uiPriority w:val="0"/>
    <w:rPr>
      <w:rFonts w:hint="default" w:ascii="Times New Roman" w:hAnsi="Times New Roman" w:cs="Times New Roman"/>
      <w:color w:val="000000"/>
      <w:sz w:val="24"/>
      <w:szCs w:val="24"/>
      <w:u w:val="none"/>
      <w:vertAlign w:val="subscript"/>
    </w:rPr>
  </w:style>
  <w:style w:type="character" w:customStyle="1" w:styleId="45">
    <w:name w:val="font31"/>
    <w:basedOn w:val="27"/>
    <w:autoRedefine/>
    <w:qFormat/>
    <w:uiPriority w:val="0"/>
    <w:rPr>
      <w:rFonts w:hint="eastAsia" w:ascii="宋体" w:hAnsi="宋体" w:eastAsia="宋体" w:cs="宋体"/>
      <w:color w:val="000000"/>
      <w:sz w:val="24"/>
      <w:szCs w:val="24"/>
      <w:u w:val="none"/>
    </w:rPr>
  </w:style>
  <w:style w:type="paragraph" w:customStyle="1" w:styleId="46">
    <w:name w:val="正文表格"/>
    <w:basedOn w:val="1"/>
    <w:autoRedefine/>
    <w:qFormat/>
    <w:uiPriority w:val="99"/>
    <w:pPr>
      <w:keepNext/>
      <w:keepLines/>
      <w:overflowPunct w:val="0"/>
      <w:adjustRightInd w:val="0"/>
      <w:spacing w:before="80" w:line="240" w:lineRule="auto"/>
      <w:jc w:val="center"/>
      <w:textAlignment w:val="bottom"/>
    </w:pPr>
    <w:rPr>
      <w:kern w:val="0"/>
    </w:rPr>
  </w:style>
  <w:style w:type="character" w:customStyle="1" w:styleId="47">
    <w:name w:val="表头 Char Char Char"/>
    <w:autoRedefine/>
    <w:qFormat/>
    <w:uiPriority w:val="0"/>
    <w:rPr>
      <w:rFonts w:ascii="宋体" w:eastAsia="宋体"/>
      <w:snapToGrid w:val="0"/>
      <w:spacing w:val="6"/>
      <w:kern w:val="10"/>
      <w:sz w:val="24"/>
    </w:rPr>
  </w:style>
  <w:style w:type="paragraph" w:customStyle="1" w:styleId="48">
    <w:name w:val="Table Paragraph"/>
    <w:basedOn w:val="1"/>
    <w:autoRedefine/>
    <w:qFormat/>
    <w:uiPriority w:val="1"/>
  </w:style>
  <w:style w:type="character" w:customStyle="1" w:styleId="49">
    <w:name w:val="zw1"/>
    <w:autoRedefine/>
    <w:qFormat/>
    <w:uiPriority w:val="0"/>
    <w:rPr>
      <w:rFonts w:hint="eastAsia" w:ascii="宋体" w:hAnsi="宋体" w:eastAsia="宋体"/>
      <w:sz w:val="22"/>
      <w:szCs w:val="22"/>
    </w:rPr>
  </w:style>
  <w:style w:type="paragraph" w:customStyle="1" w:styleId="50">
    <w:name w:val="框图"/>
    <w:basedOn w:val="1"/>
    <w:autoRedefine/>
    <w:qFormat/>
    <w:uiPriority w:val="0"/>
    <w:pPr>
      <w:adjustRightInd w:val="0"/>
      <w:snapToGrid w:val="0"/>
      <w:spacing w:line="360" w:lineRule="auto"/>
      <w:jc w:val="center"/>
    </w:pPr>
    <w:rPr>
      <w:szCs w:val="21"/>
    </w:rPr>
  </w:style>
  <w:style w:type="paragraph" w:customStyle="1" w:styleId="51">
    <w:name w:val="表中文字"/>
    <w:basedOn w:val="1"/>
    <w:autoRedefine/>
    <w:qFormat/>
    <w:uiPriority w:val="0"/>
    <w:pPr>
      <w:spacing w:before="60" w:after="60" w:line="360" w:lineRule="auto"/>
    </w:pPr>
    <w:rPr>
      <w:sz w:val="24"/>
    </w:rPr>
  </w:style>
  <w:style w:type="paragraph" w:customStyle="1" w:styleId="52">
    <w:name w:val="xl26"/>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53">
    <w:name w:val="表格"/>
    <w:basedOn w:val="1"/>
    <w:autoRedefine/>
    <w:qFormat/>
    <w:uiPriority w:val="0"/>
    <w:pPr>
      <w:widowControl/>
      <w:snapToGrid w:val="0"/>
      <w:spacing w:line="400" w:lineRule="exact"/>
      <w:jc w:val="center"/>
    </w:pPr>
    <w:rPr>
      <w:rFonts w:ascii="宋体" w:hAnsi="宋体"/>
      <w:kern w:val="0"/>
      <w:sz w:val="21"/>
      <w:szCs w:val="20"/>
    </w:rPr>
  </w:style>
  <w:style w:type="paragraph" w:styleId="54">
    <w:name w:val="List Paragraph"/>
    <w:basedOn w:val="1"/>
    <w:autoRedefine/>
    <w:qFormat/>
    <w:uiPriority w:val="34"/>
    <w:pPr>
      <w:ind w:firstLine="420"/>
    </w:pPr>
  </w:style>
  <w:style w:type="paragraph" w:customStyle="1" w:styleId="55">
    <w:name w:val="表格2"/>
    <w:autoRedefine/>
    <w:qFormat/>
    <w:uiPriority w:val="2"/>
    <w:pPr>
      <w:suppressAutoHyphens/>
      <w:adjustRightInd w:val="0"/>
      <w:snapToGrid w:val="0"/>
      <w:textAlignment w:val="center"/>
    </w:pPr>
    <w:rPr>
      <w:rFonts w:ascii="宋体" w:hAnsi="宋体" w:eastAsia="宋体" w:cs="Times New Roman"/>
      <w:color w:val="000000"/>
      <w:kern w:val="1"/>
      <w:sz w:val="21"/>
      <w:szCs w:val="24"/>
      <w:lang w:val="en-US" w:eastAsia="zh-CN" w:bidi="ar-SA"/>
    </w:rPr>
  </w:style>
  <w:style w:type="paragraph" w:customStyle="1" w:styleId="56">
    <w:name w:val="标题3"/>
    <w:basedOn w:val="1"/>
    <w:autoRedefine/>
    <w:qFormat/>
    <w:uiPriority w:val="99"/>
    <w:pPr>
      <w:spacing w:line="720" w:lineRule="auto"/>
      <w:jc w:val="center"/>
      <w:outlineLvl w:val="0"/>
    </w:pPr>
    <w:rPr>
      <w:rFonts w:ascii="宋体" w:hAnsi="宋体" w:cs="宋体"/>
      <w:b/>
      <w:bCs/>
      <w:sz w:val="32"/>
      <w:szCs w:val="32"/>
    </w:rPr>
  </w:style>
  <w:style w:type="character" w:customStyle="1" w:styleId="57">
    <w:name w:val="zt"/>
    <w:basedOn w:val="27"/>
    <w:autoRedefine/>
    <w:qFormat/>
    <w:uiPriority w:val="99"/>
  </w:style>
  <w:style w:type="paragraph" w:customStyle="1" w:styleId="58">
    <w:name w:val="正文（首行式样2）"/>
    <w:basedOn w:val="7"/>
    <w:autoRedefine/>
    <w:qFormat/>
    <w:uiPriority w:val="0"/>
    <w:pPr>
      <w:adjustRightInd w:val="0"/>
      <w:snapToGrid w:val="0"/>
      <w:jc w:val="center"/>
    </w:pPr>
    <w:rPr>
      <w:rFonts w:ascii="宋体" w:hAnsi="宋体"/>
      <w:bCs/>
      <w:sz w:val="21"/>
      <w:szCs w:val="21"/>
    </w:rPr>
  </w:style>
  <w:style w:type="paragraph" w:customStyle="1" w:styleId="59">
    <w:name w:val="样式 宋体 黑色"/>
    <w:basedOn w:val="1"/>
    <w:autoRedefine/>
    <w:qFormat/>
    <w:uiPriority w:val="0"/>
    <w:rPr>
      <w:rFonts w:ascii="宋体" w:hAnsi="宋体" w:cs="宋体"/>
      <w:color w:val="000000"/>
      <w:szCs w:val="20"/>
    </w:rPr>
  </w:style>
  <w:style w:type="paragraph" w:customStyle="1" w:styleId="60">
    <w:name w:val="正文　2"/>
    <w:basedOn w:val="59"/>
    <w:autoRedefine/>
    <w:qFormat/>
    <w:uiPriority w:val="0"/>
    <w:pPr>
      <w:ind w:firstLine="420" w:firstLineChars="200"/>
    </w:pPr>
  </w:style>
  <w:style w:type="paragraph" w:customStyle="1" w:styleId="61">
    <w:name w:val="表头"/>
    <w:basedOn w:val="17"/>
    <w:autoRedefine/>
    <w:qFormat/>
    <w:uiPriority w:val="0"/>
    <w:pPr>
      <w:widowControl/>
      <w:overflowPunct w:val="0"/>
      <w:autoSpaceDE w:val="0"/>
      <w:autoSpaceDN w:val="0"/>
      <w:adjustRightInd w:val="0"/>
      <w:spacing w:line="360" w:lineRule="auto"/>
      <w:ind w:left="0" w:firstLine="0" w:firstLineChars="0"/>
      <w:jc w:val="center"/>
      <w:textAlignment w:val="baseline"/>
    </w:pPr>
    <w:rPr>
      <w:rFonts w:ascii="宋体" w:hAnsi="宋体"/>
      <w:b/>
      <w:kern w:val="10"/>
      <w:sz w:val="20"/>
      <w:szCs w:val="21"/>
      <w:lang w:val="en-GB"/>
    </w:rPr>
  </w:style>
  <w:style w:type="paragraph" w:customStyle="1" w:styleId="62">
    <w:name w:val="段"/>
    <w:autoRedefine/>
    <w:qFormat/>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63">
    <w:name w:val="列出段落"/>
    <w:basedOn w:val="1"/>
    <w:autoRedefine/>
    <w:qFormat/>
    <w:uiPriority w:val="34"/>
    <w:pPr>
      <w:ind w:firstLine="420" w:firstLineChars="200"/>
    </w:pPr>
  </w:style>
  <w:style w:type="paragraph" w:customStyle="1" w:styleId="64">
    <w:name w:val="1-1报告正文"/>
    <w:autoRedefine/>
    <w:qFormat/>
    <w:uiPriority w:val="0"/>
    <w:pPr>
      <w:adjustRightInd w:val="0"/>
      <w:snapToGrid w:val="0"/>
      <w:spacing w:line="360" w:lineRule="auto"/>
      <w:ind w:firstLine="480" w:firstLineChars="200"/>
    </w:pPr>
    <w:rPr>
      <w:rFonts w:ascii="Times New Roman" w:hAnsi="宋体" w:eastAsia="宋体" w:cs="Times New Roman"/>
      <w:bCs/>
      <w:snapToGrid w:val="0"/>
      <w:sz w:val="24"/>
      <w:szCs w:val="24"/>
      <w:lang w:val="en-US" w:eastAsia="zh-CN" w:bidi="ar-SA"/>
    </w:rPr>
  </w:style>
  <w:style w:type="paragraph" w:customStyle="1" w:styleId="65">
    <w:name w:val="font19"/>
    <w:basedOn w:val="1"/>
    <w:autoRedefine/>
    <w:qFormat/>
    <w:uiPriority w:val="99"/>
    <w:pPr>
      <w:widowControl/>
      <w:spacing w:before="100" w:beforeAutospacing="1" w:after="100" w:afterAutospacing="1"/>
      <w:jc w:val="left"/>
    </w:pPr>
    <w:rPr>
      <w:kern w:val="0"/>
      <w:sz w:val="20"/>
      <w:szCs w:val="20"/>
    </w:rPr>
  </w:style>
  <w:style w:type="paragraph" w:customStyle="1" w:styleId="66">
    <w:name w:val="样式 10 磅"/>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7">
    <w:name w:val="报告正文"/>
    <w:basedOn w:val="1"/>
    <w:autoRedefine/>
    <w:qFormat/>
    <w:uiPriority w:val="0"/>
    <w:pPr>
      <w:ind w:firstLine="480" w:firstLineChars="200"/>
    </w:pPr>
    <w:rPr>
      <w:rFonts w:ascii="宋体" w:hAnsi="宋体"/>
      <w:sz w:val="24"/>
    </w:rPr>
  </w:style>
  <w:style w:type="paragraph" w:customStyle="1" w:styleId="68">
    <w:name w:val="p0"/>
    <w:basedOn w:val="1"/>
    <w:autoRedefine/>
    <w:qFormat/>
    <w:uiPriority w:val="0"/>
    <w:pPr>
      <w:widowControl/>
      <w:ind w:firstLine="420"/>
      <w:jc w:val="left"/>
    </w:pPr>
    <w:rPr>
      <w:rFonts w:cs="Times New Roman"/>
      <w:kern w:val="0"/>
      <w:sz w:val="20"/>
      <w:szCs w:val="20"/>
    </w:rPr>
  </w:style>
  <w:style w:type="paragraph" w:customStyle="1" w:styleId="69">
    <w:name w:val="环正文"/>
    <w:basedOn w:val="1"/>
    <w:autoRedefine/>
    <w:qFormat/>
    <w:uiPriority w:val="0"/>
    <w:pPr>
      <w:widowControl/>
      <w:suppressAutoHyphens/>
      <w:adjustRightInd w:val="0"/>
      <w:spacing w:beforeLines="50" w:line="500" w:lineRule="exact"/>
    </w:pPr>
    <w:rPr>
      <w:rFonts w:ascii="宋体" w:hAnsi="宋体" w:cs="宋体"/>
      <w:color w:val="FF0000"/>
      <w:sz w:val="24"/>
    </w:rPr>
  </w:style>
  <w:style w:type="paragraph" w:customStyle="1" w:styleId="70">
    <w:name w:val="正文样式"/>
    <w:basedOn w:val="1"/>
    <w:autoRedefine/>
    <w:qFormat/>
    <w:uiPriority w:val="99"/>
    <w:pPr>
      <w:adjustRightInd w:val="0"/>
      <w:snapToGrid w:val="0"/>
      <w:spacing w:line="520" w:lineRule="exact"/>
      <w:ind w:firstLine="562"/>
    </w:pPr>
    <w:rPr>
      <w:color w:val="000000"/>
      <w:kern w:val="0"/>
      <w:szCs w:val="28"/>
    </w:rPr>
  </w:style>
  <w:style w:type="character" w:customStyle="1" w:styleId="71">
    <w:name w:val="批注文字 字符"/>
    <w:basedOn w:val="27"/>
    <w:link w:val="8"/>
    <w:autoRedefine/>
    <w:qFormat/>
    <w:uiPriority w:val="0"/>
    <w:rPr>
      <w:rFonts w:cstheme="minorBidi"/>
      <w:kern w:val="2"/>
      <w:sz w:val="28"/>
      <w:szCs w:val="24"/>
    </w:rPr>
  </w:style>
  <w:style w:type="character" w:customStyle="1" w:styleId="72">
    <w:name w:val="批注主题 字符"/>
    <w:basedOn w:val="71"/>
    <w:link w:val="22"/>
    <w:autoRedefine/>
    <w:qFormat/>
    <w:uiPriority w:val="0"/>
    <w:rPr>
      <w:rFonts w:cstheme="minorBidi"/>
      <w:b/>
      <w:bCs/>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4" Type="http://schemas.openxmlformats.org/officeDocument/2006/relationships/fontTable" Target="fontTable.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39.jpeg"/><Relationship Id="rId50" Type="http://schemas.openxmlformats.org/officeDocument/2006/relationships/image" Target="media/image38.png"/><Relationship Id="rId5" Type="http://schemas.openxmlformats.org/officeDocument/2006/relationships/header" Target="header1.xml"/><Relationship Id="rId49" Type="http://schemas.openxmlformats.org/officeDocument/2006/relationships/image" Target="media/image37.jpeg"/><Relationship Id="rId48" Type="http://schemas.openxmlformats.org/officeDocument/2006/relationships/image" Target="media/image36.jpeg"/><Relationship Id="rId47" Type="http://schemas.openxmlformats.org/officeDocument/2006/relationships/image" Target="media/image35.jpeg"/><Relationship Id="rId46" Type="http://schemas.openxmlformats.org/officeDocument/2006/relationships/image" Target="media/image34.jpeg"/><Relationship Id="rId45" Type="http://schemas.openxmlformats.org/officeDocument/2006/relationships/image" Target="media/image33.jpeg"/><Relationship Id="rId44" Type="http://schemas.openxmlformats.org/officeDocument/2006/relationships/image" Target="media/image32.jpeg"/><Relationship Id="rId43" Type="http://schemas.openxmlformats.org/officeDocument/2006/relationships/image" Target="media/image31.jpeg"/><Relationship Id="rId42" Type="http://schemas.openxmlformats.org/officeDocument/2006/relationships/image" Target="media/image30.jpeg"/><Relationship Id="rId41" Type="http://schemas.openxmlformats.org/officeDocument/2006/relationships/image" Target="media/image29.jpeg"/><Relationship Id="rId40" Type="http://schemas.openxmlformats.org/officeDocument/2006/relationships/image" Target="media/image28.jpeg"/><Relationship Id="rId4" Type="http://schemas.openxmlformats.org/officeDocument/2006/relationships/endnotes" Target="endnotes.xml"/><Relationship Id="rId39" Type="http://schemas.openxmlformats.org/officeDocument/2006/relationships/image" Target="media/image27.jpeg"/><Relationship Id="rId38" Type="http://schemas.openxmlformats.org/officeDocument/2006/relationships/image" Target="media/image26.jpeg"/><Relationship Id="rId37" Type="http://schemas.openxmlformats.org/officeDocument/2006/relationships/image" Target="media/image25.jpeg"/><Relationship Id="rId36" Type="http://schemas.openxmlformats.org/officeDocument/2006/relationships/image" Target="media/image24.jpeg"/><Relationship Id="rId35" Type="http://schemas.openxmlformats.org/officeDocument/2006/relationships/image" Target="media/image23.jpeg"/><Relationship Id="rId34" Type="http://schemas.openxmlformats.org/officeDocument/2006/relationships/image" Target="media/image22.jpeg"/><Relationship Id="rId33" Type="http://schemas.openxmlformats.org/officeDocument/2006/relationships/image" Target="media/image21.jpeg"/><Relationship Id="rId32" Type="http://schemas.openxmlformats.org/officeDocument/2006/relationships/image" Target="media/image20.jpeg"/><Relationship Id="rId31" Type="http://schemas.openxmlformats.org/officeDocument/2006/relationships/image" Target="media/image19.jpeg"/><Relationship Id="rId30" Type="http://schemas.openxmlformats.org/officeDocument/2006/relationships/image" Target="media/image18.jpeg"/><Relationship Id="rId3" Type="http://schemas.openxmlformats.org/officeDocument/2006/relationships/footnotes" Target="footnotes.xml"/><Relationship Id="rId29" Type="http://schemas.openxmlformats.org/officeDocument/2006/relationships/image" Target="media/image17.jpeg"/><Relationship Id="rId28" Type="http://schemas.openxmlformats.org/officeDocument/2006/relationships/image" Target="media/image16.jpeg"/><Relationship Id="rId27" Type="http://schemas.openxmlformats.org/officeDocument/2006/relationships/image" Target="media/image15.jpeg"/><Relationship Id="rId26" Type="http://schemas.openxmlformats.org/officeDocument/2006/relationships/image" Target="media/image14.jpeg"/><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239</Pages>
  <Words>21540</Words>
  <Characters>122779</Characters>
  <Lines>1023</Lines>
  <Paragraphs>288</Paragraphs>
  <TotalTime>13</TotalTime>
  <ScaleCrop>false</ScaleCrop>
  <LinksUpToDate>false</LinksUpToDate>
  <CharactersWithSpaces>144031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2021-03-25T01:26:00Z</dcterms:created>
  <dc:creator>0</dc:creator>
  <cp:lastModifiedBy>长青藤</cp:lastModifiedBy>
  <cp:lastPrinted>2022-07-18T06:19:00Z</cp:lastPrinted>
  <dcterms:modified xsi:type="dcterms:W3CDTF">2024-01-15T02:18:18Z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2EBBBC9265CF4242A99A2852C26578FC_13</vt:lpwstr>
  </property>
</Properties>
</file>