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4410"/>
        </w:tabs>
        <w:jc w:val="center"/>
        <w:rPr>
          <w:rFonts w:hint="eastAsia"/>
          <w:b/>
          <w:color w:val="auto"/>
          <w:sz w:val="44"/>
          <w:szCs w:val="44"/>
        </w:rPr>
      </w:pPr>
    </w:p>
    <w:p>
      <w:pPr>
        <w:jc w:val="center"/>
        <w:rPr>
          <w:rFonts w:hint="eastAsia" w:hAnsi="宋体"/>
          <w:b/>
          <w:color w:val="auto"/>
          <w:sz w:val="44"/>
          <w:szCs w:val="44"/>
        </w:rPr>
      </w:pPr>
    </w:p>
    <w:p>
      <w:pPr>
        <w:spacing w:line="600" w:lineRule="exact"/>
        <w:jc w:val="center"/>
        <w:rPr>
          <w:rFonts w:hAnsi="宋体"/>
          <w:b/>
          <w:color w:val="auto"/>
          <w:sz w:val="36"/>
          <w:szCs w:val="36"/>
          <w:lang w:val="zh-CN"/>
        </w:rPr>
      </w:pPr>
      <w:bookmarkStart w:id="0" w:name="_Hlk87260951"/>
      <w:r>
        <w:rPr>
          <w:rFonts w:hint="eastAsia" w:hAnsi="宋体"/>
          <w:b/>
          <w:color w:val="auto"/>
          <w:sz w:val="36"/>
          <w:szCs w:val="36"/>
          <w:lang w:val="zh-CN"/>
        </w:rPr>
        <w:t>江西</w:t>
      </w:r>
      <w:bookmarkEnd w:id="0"/>
      <w:r>
        <w:rPr>
          <w:rFonts w:hint="eastAsia" w:hAnsi="宋体"/>
          <w:b/>
          <w:color w:val="auto"/>
          <w:sz w:val="36"/>
          <w:szCs w:val="36"/>
          <w:lang w:val="en-US" w:eastAsia="zh-CN"/>
        </w:rPr>
        <w:t>旺达新材料</w:t>
      </w:r>
      <w:r>
        <w:rPr>
          <w:rFonts w:hAnsi="宋体"/>
          <w:b/>
          <w:color w:val="auto"/>
          <w:sz w:val="36"/>
          <w:szCs w:val="36"/>
          <w:lang w:val="zh-CN"/>
        </w:rPr>
        <w:t>有限公司</w:t>
      </w:r>
    </w:p>
    <w:p>
      <w:pPr>
        <w:spacing w:line="600" w:lineRule="exact"/>
        <w:jc w:val="center"/>
        <w:rPr>
          <w:rFonts w:hAnsi="宋体"/>
          <w:b/>
          <w:color w:val="auto"/>
          <w:sz w:val="36"/>
          <w:szCs w:val="36"/>
        </w:rPr>
      </w:pPr>
      <w:bookmarkStart w:id="1" w:name="_Hlk89848701"/>
      <w:r>
        <w:rPr>
          <w:rFonts w:hint="eastAsia" w:hAnsi="宋体"/>
          <w:b/>
          <w:color w:val="auto"/>
          <w:sz w:val="36"/>
          <w:szCs w:val="36"/>
        </w:rPr>
        <w:t>年产</w:t>
      </w:r>
      <w:bookmarkEnd w:id="1"/>
      <w:r>
        <w:rPr>
          <w:rFonts w:hint="eastAsia" w:hAnsi="宋体"/>
          <w:b/>
          <w:color w:val="auto"/>
          <w:sz w:val="36"/>
          <w:szCs w:val="36"/>
          <w:lang w:val="en-US" w:eastAsia="zh-CN"/>
        </w:rPr>
        <w:t>20000</w:t>
      </w:r>
      <w:r>
        <w:rPr>
          <w:rFonts w:hint="eastAsia" w:hAnsi="宋体"/>
          <w:b/>
          <w:color w:val="auto"/>
          <w:sz w:val="36"/>
          <w:szCs w:val="36"/>
        </w:rPr>
        <w:t>吨</w:t>
      </w:r>
      <w:r>
        <w:rPr>
          <w:rFonts w:hint="eastAsia" w:hAnsi="宋体"/>
          <w:b/>
          <w:color w:val="auto"/>
          <w:sz w:val="36"/>
          <w:szCs w:val="36"/>
          <w:lang w:val="en-US" w:eastAsia="zh-CN"/>
        </w:rPr>
        <w:t>有机玻璃原料生产项目</w:t>
      </w:r>
    </w:p>
    <w:p>
      <w:pPr>
        <w:spacing w:line="600" w:lineRule="exact"/>
        <w:jc w:val="center"/>
        <w:rPr>
          <w:b/>
          <w:color w:val="auto"/>
          <w:sz w:val="36"/>
          <w:szCs w:val="36"/>
        </w:rPr>
      </w:pPr>
      <w:r>
        <w:rPr>
          <w:rFonts w:hAnsi="宋体"/>
          <w:b/>
          <w:color w:val="auto"/>
          <w:sz w:val="36"/>
          <w:szCs w:val="36"/>
        </w:rPr>
        <w:t>安全条件评价报告</w:t>
      </w:r>
    </w:p>
    <w:p>
      <w:pPr>
        <w:spacing w:line="600" w:lineRule="exact"/>
        <w:jc w:val="center"/>
        <w:rPr>
          <w:b/>
          <w:color w:val="auto"/>
          <w:sz w:val="36"/>
          <w:szCs w:val="36"/>
        </w:rPr>
      </w:pPr>
      <w:r>
        <w:rPr>
          <w:rFonts w:hAnsi="宋体"/>
          <w:b/>
          <w:color w:val="auto"/>
          <w:sz w:val="36"/>
          <w:szCs w:val="36"/>
        </w:rPr>
        <w:t>（</w:t>
      </w:r>
      <w:r>
        <w:rPr>
          <w:rFonts w:hint="eastAsia" w:hAnsi="宋体"/>
          <w:b/>
          <w:color w:val="auto"/>
          <w:sz w:val="36"/>
          <w:szCs w:val="36"/>
          <w:lang w:val="en-US" w:eastAsia="zh-CN"/>
        </w:rPr>
        <w:t>终</w:t>
      </w:r>
      <w:r>
        <w:rPr>
          <w:rFonts w:hAnsi="宋体"/>
          <w:b/>
          <w:color w:val="auto"/>
          <w:sz w:val="36"/>
          <w:szCs w:val="36"/>
        </w:rPr>
        <w:t>稿）</w:t>
      </w:r>
    </w:p>
    <w:p>
      <w:pPr>
        <w:spacing w:line="600" w:lineRule="exact"/>
        <w:jc w:val="center"/>
        <w:rPr>
          <w:color w:val="auto"/>
          <w:sz w:val="48"/>
          <w:szCs w:val="48"/>
        </w:rPr>
      </w:pPr>
    </w:p>
    <w:p>
      <w:pPr>
        <w:spacing w:line="600" w:lineRule="exact"/>
        <w:jc w:val="center"/>
        <w:rPr>
          <w:rFonts w:hint="eastAsia"/>
          <w:color w:val="auto"/>
          <w:sz w:val="48"/>
          <w:szCs w:val="48"/>
        </w:rPr>
      </w:pPr>
    </w:p>
    <w:p>
      <w:pPr>
        <w:spacing w:line="600" w:lineRule="exact"/>
        <w:jc w:val="center"/>
        <w:rPr>
          <w:rFonts w:hint="eastAsia"/>
          <w:color w:val="auto"/>
          <w:sz w:val="48"/>
          <w:szCs w:val="48"/>
        </w:rPr>
      </w:pPr>
    </w:p>
    <w:p>
      <w:pPr>
        <w:spacing w:line="600" w:lineRule="exact"/>
        <w:ind w:firstLine="1280" w:firstLineChars="400"/>
        <w:rPr>
          <w:color w:val="auto"/>
          <w:kern w:val="0"/>
          <w:sz w:val="32"/>
        </w:rPr>
      </w:pPr>
      <w:r>
        <w:rPr>
          <w:rFonts w:hAnsi="宋体"/>
          <w:color w:val="auto"/>
          <w:kern w:val="0"/>
          <w:sz w:val="32"/>
        </w:rPr>
        <w:t>建设单位：</w:t>
      </w:r>
      <w:r>
        <w:rPr>
          <w:rFonts w:hint="eastAsia" w:hAnsi="宋体"/>
          <w:color w:val="auto"/>
          <w:kern w:val="0"/>
          <w:sz w:val="32"/>
        </w:rPr>
        <w:t>江西</w:t>
      </w:r>
      <w:r>
        <w:rPr>
          <w:rFonts w:hint="eastAsia" w:hAnsi="宋体"/>
          <w:color w:val="auto"/>
          <w:kern w:val="0"/>
          <w:sz w:val="32"/>
          <w:lang w:val="en-US" w:eastAsia="zh-CN"/>
        </w:rPr>
        <w:t>旺达新材料</w:t>
      </w:r>
      <w:r>
        <w:rPr>
          <w:rFonts w:hAnsi="宋体"/>
          <w:color w:val="auto"/>
          <w:kern w:val="0"/>
          <w:sz w:val="32"/>
        </w:rPr>
        <w:t>有限公司</w:t>
      </w:r>
    </w:p>
    <w:p>
      <w:pPr>
        <w:spacing w:line="600" w:lineRule="exact"/>
        <w:ind w:firstLine="1280" w:firstLineChars="400"/>
        <w:rPr>
          <w:rFonts w:hint="eastAsia" w:eastAsia="宋体"/>
          <w:color w:val="auto"/>
          <w:kern w:val="0"/>
          <w:sz w:val="32"/>
          <w:lang w:eastAsia="zh-CN"/>
        </w:rPr>
      </w:pPr>
      <w:r>
        <w:rPr>
          <w:rFonts w:hAnsi="宋体"/>
          <w:color w:val="auto"/>
          <w:kern w:val="0"/>
          <w:sz w:val="32"/>
        </w:rPr>
        <w:t>建设单位法定代表人：</w:t>
      </w:r>
      <w:r>
        <w:rPr>
          <w:rFonts w:hint="eastAsia" w:hAnsi="宋体"/>
          <w:color w:val="auto"/>
          <w:kern w:val="0"/>
          <w:sz w:val="32"/>
          <w:lang w:val="en-US" w:eastAsia="zh-CN"/>
        </w:rPr>
        <w:t>黄小群</w:t>
      </w:r>
    </w:p>
    <w:p>
      <w:pPr>
        <w:spacing w:line="600" w:lineRule="exact"/>
        <w:ind w:firstLine="1280" w:firstLineChars="400"/>
        <w:rPr>
          <w:color w:val="auto"/>
          <w:kern w:val="0"/>
          <w:sz w:val="32"/>
        </w:rPr>
      </w:pPr>
      <w:r>
        <w:rPr>
          <w:rFonts w:hAnsi="宋体"/>
          <w:color w:val="auto"/>
          <w:kern w:val="0"/>
          <w:sz w:val="32"/>
        </w:rPr>
        <w:t>建设项目单位：</w:t>
      </w:r>
      <w:r>
        <w:rPr>
          <w:rFonts w:hint="eastAsia" w:hAnsi="宋体"/>
          <w:color w:val="auto"/>
          <w:kern w:val="0"/>
          <w:sz w:val="32"/>
        </w:rPr>
        <w:t>江西</w:t>
      </w:r>
      <w:r>
        <w:rPr>
          <w:rFonts w:hint="eastAsia" w:hAnsi="宋体"/>
          <w:color w:val="auto"/>
          <w:kern w:val="0"/>
          <w:sz w:val="32"/>
          <w:lang w:val="en-US" w:eastAsia="zh-CN"/>
        </w:rPr>
        <w:t>旺达新材料</w:t>
      </w:r>
      <w:r>
        <w:rPr>
          <w:rFonts w:hAnsi="宋体"/>
          <w:color w:val="auto"/>
          <w:kern w:val="0"/>
          <w:sz w:val="32"/>
        </w:rPr>
        <w:t>有限公司</w:t>
      </w:r>
    </w:p>
    <w:p>
      <w:pPr>
        <w:spacing w:line="600" w:lineRule="exact"/>
        <w:ind w:firstLine="1280" w:firstLineChars="400"/>
        <w:rPr>
          <w:color w:val="auto"/>
          <w:kern w:val="0"/>
          <w:sz w:val="32"/>
        </w:rPr>
      </w:pPr>
      <w:r>
        <w:rPr>
          <w:rFonts w:hAnsi="宋体"/>
          <w:color w:val="auto"/>
          <w:kern w:val="0"/>
          <w:sz w:val="32"/>
        </w:rPr>
        <w:t>建设项目单位主要负责人：</w:t>
      </w:r>
      <w:r>
        <w:rPr>
          <w:rFonts w:hint="eastAsia" w:hAnsi="宋体"/>
          <w:color w:val="auto"/>
          <w:kern w:val="0"/>
          <w:sz w:val="32"/>
          <w:lang w:val="en-US" w:eastAsia="zh-CN"/>
        </w:rPr>
        <w:t>黄小群</w:t>
      </w:r>
    </w:p>
    <w:p>
      <w:pPr>
        <w:spacing w:line="600" w:lineRule="exact"/>
        <w:ind w:firstLine="1280" w:firstLineChars="400"/>
        <w:rPr>
          <w:color w:val="auto"/>
          <w:kern w:val="0"/>
          <w:sz w:val="32"/>
        </w:rPr>
      </w:pPr>
      <w:r>
        <w:rPr>
          <w:rFonts w:hAnsi="宋体"/>
          <w:color w:val="auto"/>
          <w:kern w:val="0"/>
          <w:sz w:val="32"/>
        </w:rPr>
        <w:t>建设项目单位联系人：</w:t>
      </w:r>
      <w:r>
        <w:rPr>
          <w:rFonts w:hint="eastAsia" w:hAnsi="宋体"/>
          <w:color w:val="auto"/>
          <w:kern w:val="0"/>
          <w:sz w:val="32"/>
          <w:lang w:val="en-US" w:eastAsia="zh-CN"/>
        </w:rPr>
        <w:t>况文斌</w:t>
      </w:r>
      <w:r>
        <w:rPr>
          <w:color w:val="auto"/>
          <w:kern w:val="0"/>
          <w:sz w:val="32"/>
        </w:rPr>
        <w:t xml:space="preserve"> </w:t>
      </w:r>
    </w:p>
    <w:p>
      <w:pPr>
        <w:spacing w:line="600" w:lineRule="exact"/>
        <w:ind w:firstLine="1280" w:firstLineChars="400"/>
        <w:rPr>
          <w:rFonts w:hint="default" w:eastAsia="宋体"/>
          <w:color w:val="auto"/>
          <w:kern w:val="0"/>
          <w:sz w:val="32"/>
          <w:lang w:val="en-US" w:eastAsia="zh-CN"/>
        </w:rPr>
      </w:pPr>
      <w:r>
        <w:rPr>
          <w:rFonts w:hAnsi="宋体"/>
          <w:color w:val="auto"/>
          <w:kern w:val="0"/>
          <w:sz w:val="32"/>
        </w:rPr>
        <w:t>建设项目单位联系电话：</w:t>
      </w:r>
      <w:r>
        <w:rPr>
          <w:rFonts w:hint="eastAsia" w:hAnsi="宋体"/>
          <w:color w:val="auto"/>
          <w:kern w:val="0"/>
          <w:sz w:val="32"/>
          <w:lang w:val="en-US" w:eastAsia="zh-CN"/>
        </w:rPr>
        <w:t>18270572999</w:t>
      </w:r>
    </w:p>
    <w:p>
      <w:pPr>
        <w:spacing w:line="600" w:lineRule="exact"/>
        <w:ind w:firstLine="640" w:firstLineChars="200"/>
        <w:rPr>
          <w:bCs/>
          <w:color w:val="auto"/>
          <w:kern w:val="0"/>
          <w:sz w:val="32"/>
        </w:rPr>
      </w:pPr>
    </w:p>
    <w:p>
      <w:pPr>
        <w:spacing w:line="600" w:lineRule="exact"/>
        <w:ind w:firstLine="640" w:firstLineChars="200"/>
        <w:rPr>
          <w:bCs/>
          <w:color w:val="auto"/>
          <w:kern w:val="0"/>
          <w:sz w:val="32"/>
        </w:rPr>
      </w:pPr>
    </w:p>
    <w:p>
      <w:pPr>
        <w:spacing w:line="600" w:lineRule="exact"/>
        <w:ind w:firstLine="640" w:firstLineChars="200"/>
        <w:rPr>
          <w:bCs/>
          <w:color w:val="auto"/>
          <w:kern w:val="0"/>
          <w:sz w:val="32"/>
        </w:rPr>
      </w:pPr>
    </w:p>
    <w:p>
      <w:pPr>
        <w:spacing w:line="600" w:lineRule="exact"/>
        <w:jc w:val="center"/>
        <w:rPr>
          <w:b/>
          <w:color w:val="auto"/>
          <w:kern w:val="0"/>
          <w:sz w:val="32"/>
        </w:rPr>
      </w:pPr>
      <w:r>
        <w:rPr>
          <w:rFonts w:hAnsi="宋体"/>
          <w:b/>
          <w:color w:val="auto"/>
          <w:kern w:val="0"/>
          <w:sz w:val="32"/>
        </w:rPr>
        <w:t>（建设单位公章）</w:t>
      </w:r>
    </w:p>
    <w:p>
      <w:pPr>
        <w:spacing w:line="600" w:lineRule="exact"/>
        <w:jc w:val="center"/>
        <w:rPr>
          <w:b/>
          <w:color w:val="auto"/>
          <w:kern w:val="0"/>
          <w:sz w:val="32"/>
        </w:rPr>
      </w:pPr>
      <w:r>
        <w:rPr>
          <w:b/>
          <w:color w:val="auto"/>
          <w:kern w:val="0"/>
          <w:sz w:val="32"/>
        </w:rPr>
        <w:t>202</w:t>
      </w:r>
      <w:r>
        <w:rPr>
          <w:rFonts w:hint="eastAsia"/>
          <w:b/>
          <w:color w:val="auto"/>
          <w:kern w:val="0"/>
          <w:sz w:val="32"/>
          <w:lang w:val="en-US" w:eastAsia="zh-CN"/>
        </w:rPr>
        <w:t>4</w:t>
      </w:r>
      <w:r>
        <w:rPr>
          <w:rFonts w:hAnsi="宋体"/>
          <w:b/>
          <w:color w:val="auto"/>
          <w:kern w:val="0"/>
          <w:sz w:val="32"/>
        </w:rPr>
        <w:t>年</w:t>
      </w:r>
      <w:r>
        <w:rPr>
          <w:rFonts w:hint="eastAsia"/>
          <w:b/>
          <w:color w:val="auto"/>
          <w:kern w:val="0"/>
          <w:sz w:val="32"/>
          <w:lang w:val="en-US" w:eastAsia="zh-CN"/>
        </w:rPr>
        <w:t>5</w:t>
      </w:r>
      <w:r>
        <w:rPr>
          <w:rFonts w:hAnsi="宋体"/>
          <w:b/>
          <w:color w:val="auto"/>
          <w:kern w:val="0"/>
          <w:sz w:val="32"/>
        </w:rPr>
        <w:t>月</w:t>
      </w:r>
      <w:r>
        <w:rPr>
          <w:rFonts w:hint="eastAsia"/>
          <w:b/>
          <w:color w:val="auto"/>
          <w:kern w:val="0"/>
          <w:sz w:val="32"/>
          <w:lang w:val="en-US" w:eastAsia="zh-CN"/>
        </w:rPr>
        <w:t>16</w:t>
      </w:r>
      <w:r>
        <w:rPr>
          <w:rFonts w:hAnsi="宋体"/>
          <w:b/>
          <w:color w:val="auto"/>
          <w:kern w:val="0"/>
          <w:sz w:val="32"/>
        </w:rPr>
        <w:t>日</w:t>
      </w:r>
    </w:p>
    <w:p>
      <w:pPr>
        <w:pStyle w:val="62"/>
        <w:rPr>
          <w:rFonts w:hint="eastAsia"/>
          <w:color w:val="auto"/>
        </w:rPr>
        <w:sectPr>
          <w:headerReference r:id="rId6" w:type="first"/>
          <w:footerReference r:id="rId8" w:type="first"/>
          <w:headerReference r:id="rId5" w:type="default"/>
          <w:footerReference r:id="rId7" w:type="default"/>
          <w:pgSz w:w="11906" w:h="16838"/>
          <w:pgMar w:top="1418" w:right="1134" w:bottom="1418" w:left="1588" w:header="851" w:footer="851" w:gutter="0"/>
          <w:pgBorders>
            <w:top w:val="none" w:sz="0" w:space="0"/>
            <w:left w:val="none" w:sz="0" w:space="0"/>
            <w:bottom w:val="none" w:sz="0" w:space="0"/>
            <w:right w:val="none" w:sz="0" w:space="0"/>
          </w:pgBorders>
          <w:pgNumType w:fmt="upperRoman" w:start="1"/>
          <w:cols w:space="720" w:num="1"/>
          <w:titlePg/>
          <w:docGrid w:type="lines" w:linePitch="312" w:charSpace="0"/>
        </w:sectPr>
      </w:pPr>
    </w:p>
    <w:p>
      <w:pPr>
        <w:pStyle w:val="62"/>
        <w:rPr>
          <w:rFonts w:hint="eastAsia"/>
          <w:color w:val="auto"/>
        </w:rPr>
      </w:pPr>
    </w:p>
    <w:p>
      <w:pPr>
        <w:pStyle w:val="36"/>
        <w:rPr>
          <w:rFonts w:hint="eastAsia"/>
          <w:color w:val="auto"/>
        </w:rPr>
      </w:pPr>
    </w:p>
    <w:p>
      <w:pPr>
        <w:spacing w:line="600" w:lineRule="exact"/>
        <w:jc w:val="center"/>
        <w:rPr>
          <w:rFonts w:hAnsi="宋体"/>
          <w:b/>
          <w:color w:val="auto"/>
          <w:sz w:val="36"/>
          <w:szCs w:val="36"/>
          <w:lang w:val="zh-CN"/>
        </w:rPr>
      </w:pPr>
      <w:r>
        <w:rPr>
          <w:rFonts w:hint="eastAsia" w:hAnsi="宋体"/>
          <w:b/>
          <w:color w:val="auto"/>
          <w:sz w:val="36"/>
          <w:szCs w:val="36"/>
          <w:lang w:val="zh-CN"/>
        </w:rPr>
        <w:t>江西</w:t>
      </w:r>
      <w:r>
        <w:rPr>
          <w:rFonts w:hint="eastAsia" w:hAnsi="宋体"/>
          <w:b/>
          <w:color w:val="auto"/>
          <w:sz w:val="36"/>
          <w:szCs w:val="36"/>
          <w:lang w:val="en-US" w:eastAsia="zh-CN"/>
        </w:rPr>
        <w:t>旺达新材料</w:t>
      </w:r>
      <w:r>
        <w:rPr>
          <w:rFonts w:hAnsi="宋体"/>
          <w:b/>
          <w:color w:val="auto"/>
          <w:sz w:val="36"/>
          <w:szCs w:val="36"/>
          <w:lang w:val="zh-CN"/>
        </w:rPr>
        <w:t>有限公司</w:t>
      </w:r>
    </w:p>
    <w:p>
      <w:pPr>
        <w:spacing w:line="600" w:lineRule="exact"/>
        <w:jc w:val="center"/>
        <w:rPr>
          <w:rFonts w:hAnsi="宋体"/>
          <w:b/>
          <w:color w:val="auto"/>
          <w:sz w:val="36"/>
          <w:szCs w:val="36"/>
        </w:rPr>
      </w:pPr>
      <w:r>
        <w:rPr>
          <w:rFonts w:hint="eastAsia" w:hAnsi="宋体"/>
          <w:b/>
          <w:color w:val="auto"/>
          <w:sz w:val="36"/>
          <w:szCs w:val="36"/>
        </w:rPr>
        <w:t>年产</w:t>
      </w:r>
      <w:r>
        <w:rPr>
          <w:rFonts w:hint="eastAsia" w:hAnsi="宋体"/>
          <w:b/>
          <w:color w:val="auto"/>
          <w:sz w:val="36"/>
          <w:szCs w:val="36"/>
          <w:lang w:val="en-US" w:eastAsia="zh-CN"/>
        </w:rPr>
        <w:t>20000</w:t>
      </w:r>
      <w:r>
        <w:rPr>
          <w:rFonts w:hint="eastAsia" w:hAnsi="宋体"/>
          <w:b/>
          <w:color w:val="auto"/>
          <w:sz w:val="36"/>
          <w:szCs w:val="36"/>
        </w:rPr>
        <w:t>吨</w:t>
      </w:r>
      <w:r>
        <w:rPr>
          <w:rFonts w:hint="eastAsia" w:hAnsi="宋体"/>
          <w:b/>
          <w:color w:val="auto"/>
          <w:sz w:val="36"/>
          <w:szCs w:val="36"/>
          <w:lang w:val="en-US" w:eastAsia="zh-CN"/>
        </w:rPr>
        <w:t>有机玻璃原料生产项目</w:t>
      </w:r>
    </w:p>
    <w:p>
      <w:pPr>
        <w:spacing w:line="600" w:lineRule="exact"/>
        <w:jc w:val="center"/>
        <w:rPr>
          <w:b/>
          <w:color w:val="auto"/>
          <w:kern w:val="0"/>
          <w:sz w:val="52"/>
        </w:rPr>
      </w:pPr>
      <w:r>
        <w:rPr>
          <w:rFonts w:hAnsi="宋体"/>
          <w:b/>
          <w:color w:val="auto"/>
          <w:sz w:val="36"/>
          <w:szCs w:val="36"/>
        </w:rPr>
        <w:t>安全条件评价报告</w:t>
      </w:r>
    </w:p>
    <w:p>
      <w:pPr>
        <w:spacing w:line="600" w:lineRule="exact"/>
        <w:rPr>
          <w:rFonts w:hint="eastAsia"/>
          <w:bCs/>
          <w:color w:val="auto"/>
          <w:kern w:val="0"/>
          <w:sz w:val="32"/>
        </w:rPr>
      </w:pPr>
    </w:p>
    <w:p>
      <w:pPr>
        <w:spacing w:line="600" w:lineRule="exact"/>
        <w:rPr>
          <w:rFonts w:hint="eastAsia"/>
          <w:bCs/>
          <w:color w:val="auto"/>
          <w:kern w:val="0"/>
          <w:sz w:val="32"/>
        </w:rPr>
      </w:pPr>
    </w:p>
    <w:p>
      <w:pPr>
        <w:spacing w:line="600" w:lineRule="exact"/>
        <w:rPr>
          <w:rFonts w:hint="eastAsia"/>
          <w:bCs/>
          <w:color w:val="auto"/>
          <w:kern w:val="0"/>
          <w:sz w:val="32"/>
        </w:rPr>
      </w:pPr>
    </w:p>
    <w:p>
      <w:pPr>
        <w:spacing w:line="600" w:lineRule="exact"/>
        <w:rPr>
          <w:bCs/>
          <w:color w:val="auto"/>
          <w:kern w:val="0"/>
          <w:sz w:val="32"/>
        </w:rPr>
      </w:pPr>
    </w:p>
    <w:p>
      <w:pPr>
        <w:spacing w:line="600" w:lineRule="exact"/>
        <w:ind w:firstLine="1280" w:firstLineChars="400"/>
        <w:rPr>
          <w:color w:val="auto"/>
          <w:kern w:val="0"/>
          <w:sz w:val="32"/>
        </w:rPr>
      </w:pPr>
      <w:r>
        <w:rPr>
          <w:rFonts w:hAnsi="宋体"/>
          <w:color w:val="auto"/>
          <w:kern w:val="0"/>
          <w:sz w:val="32"/>
        </w:rPr>
        <w:t>评价机构名称：</w:t>
      </w:r>
      <w:r>
        <w:rPr>
          <w:rFonts w:hAnsi="宋体"/>
          <w:color w:val="auto"/>
          <w:spacing w:val="-2"/>
          <w:kern w:val="0"/>
          <w:sz w:val="32"/>
          <w:szCs w:val="32"/>
        </w:rPr>
        <w:t>江西赣安安全生产科学技术咨询服务中心</w:t>
      </w:r>
    </w:p>
    <w:p>
      <w:pPr>
        <w:spacing w:line="600" w:lineRule="exact"/>
        <w:ind w:firstLine="1280" w:firstLineChars="400"/>
        <w:rPr>
          <w:color w:val="auto"/>
          <w:kern w:val="0"/>
          <w:sz w:val="32"/>
        </w:rPr>
      </w:pPr>
      <w:r>
        <w:rPr>
          <w:rFonts w:hAnsi="宋体"/>
          <w:color w:val="auto"/>
          <w:kern w:val="0"/>
          <w:sz w:val="32"/>
        </w:rPr>
        <w:t>资质证书编号：</w:t>
      </w:r>
      <w:r>
        <w:rPr>
          <w:color w:val="auto"/>
          <w:kern w:val="0"/>
          <w:sz w:val="32"/>
        </w:rPr>
        <w:t>APJ-</w:t>
      </w:r>
      <w:r>
        <w:rPr>
          <w:rFonts w:hAnsi="宋体"/>
          <w:color w:val="auto"/>
          <w:kern w:val="0"/>
          <w:sz w:val="32"/>
        </w:rPr>
        <w:t>（赣）</w:t>
      </w:r>
      <w:r>
        <w:rPr>
          <w:color w:val="auto"/>
          <w:kern w:val="0"/>
          <w:sz w:val="32"/>
        </w:rPr>
        <w:t>-002</w:t>
      </w:r>
    </w:p>
    <w:p>
      <w:pPr>
        <w:spacing w:line="600" w:lineRule="exact"/>
        <w:ind w:firstLine="1280" w:firstLineChars="400"/>
        <w:rPr>
          <w:rFonts w:hint="eastAsia" w:eastAsia="宋体"/>
          <w:color w:val="auto"/>
          <w:kern w:val="0"/>
          <w:sz w:val="32"/>
          <w:lang w:eastAsia="zh-CN"/>
        </w:rPr>
      </w:pPr>
      <w:r>
        <w:rPr>
          <w:rFonts w:hAnsi="宋体"/>
          <w:color w:val="auto"/>
          <w:kern w:val="0"/>
          <w:sz w:val="32"/>
        </w:rPr>
        <w:t>法定代表人：</w:t>
      </w:r>
      <w:r>
        <w:rPr>
          <w:rFonts w:hint="eastAsia" w:hAnsi="宋体"/>
          <w:color w:val="auto"/>
          <w:kern w:val="0"/>
          <w:sz w:val="32"/>
          <w:lang w:val="en-US" w:eastAsia="zh-CN"/>
        </w:rPr>
        <w:t>应  宏</w:t>
      </w:r>
    </w:p>
    <w:p>
      <w:pPr>
        <w:spacing w:line="600" w:lineRule="exact"/>
        <w:ind w:firstLine="1280" w:firstLineChars="400"/>
        <w:rPr>
          <w:rFonts w:hint="eastAsia" w:eastAsia="宋体"/>
          <w:color w:val="auto"/>
          <w:kern w:val="0"/>
          <w:sz w:val="32"/>
          <w:lang w:eastAsia="zh-CN"/>
        </w:rPr>
      </w:pPr>
      <w:r>
        <w:rPr>
          <w:rFonts w:hAnsi="宋体"/>
          <w:color w:val="auto"/>
          <w:kern w:val="0"/>
          <w:sz w:val="32"/>
        </w:rPr>
        <w:t>审核定稿人：</w:t>
      </w:r>
      <w:r>
        <w:rPr>
          <w:rFonts w:hint="eastAsia" w:hAnsi="宋体"/>
          <w:color w:val="auto"/>
          <w:kern w:val="0"/>
          <w:sz w:val="32"/>
          <w:lang w:val="en-US" w:eastAsia="zh-CN"/>
        </w:rPr>
        <w:t>周红波</w:t>
      </w:r>
    </w:p>
    <w:p>
      <w:pPr>
        <w:spacing w:line="600" w:lineRule="exact"/>
        <w:ind w:firstLine="1280" w:firstLineChars="400"/>
        <w:rPr>
          <w:rFonts w:hint="eastAsia" w:eastAsia="宋体"/>
          <w:color w:val="auto"/>
          <w:kern w:val="0"/>
          <w:sz w:val="32"/>
          <w:lang w:eastAsia="zh-CN"/>
        </w:rPr>
      </w:pPr>
      <w:r>
        <w:rPr>
          <w:rFonts w:hAnsi="宋体"/>
          <w:color w:val="auto"/>
          <w:kern w:val="0"/>
          <w:sz w:val="32"/>
        </w:rPr>
        <w:t>评价负责人：</w:t>
      </w:r>
      <w:r>
        <w:rPr>
          <w:rFonts w:hint="eastAsia" w:hAnsi="宋体"/>
          <w:color w:val="auto"/>
          <w:kern w:val="0"/>
          <w:sz w:val="32"/>
          <w:lang w:val="en-US" w:eastAsia="zh-CN"/>
        </w:rPr>
        <w:t>谢寒梅</w:t>
      </w:r>
    </w:p>
    <w:p>
      <w:pPr>
        <w:spacing w:line="600" w:lineRule="exact"/>
        <w:ind w:firstLine="1280" w:firstLineChars="400"/>
        <w:rPr>
          <w:color w:val="auto"/>
          <w:kern w:val="0"/>
          <w:sz w:val="32"/>
        </w:rPr>
      </w:pPr>
      <w:r>
        <w:rPr>
          <w:rFonts w:hAnsi="宋体"/>
          <w:color w:val="auto"/>
          <w:kern w:val="0"/>
          <w:sz w:val="32"/>
        </w:rPr>
        <w:t>评价机构联系电话</w:t>
      </w:r>
      <w:r>
        <w:rPr>
          <w:color w:val="auto"/>
          <w:kern w:val="0"/>
          <w:sz w:val="32"/>
        </w:rPr>
        <w:t>:0791-87379377</w:t>
      </w:r>
    </w:p>
    <w:p>
      <w:pPr>
        <w:spacing w:line="600" w:lineRule="exact"/>
        <w:rPr>
          <w:color w:val="auto"/>
          <w:kern w:val="0"/>
          <w:sz w:val="32"/>
        </w:rPr>
      </w:pPr>
    </w:p>
    <w:p>
      <w:pPr>
        <w:spacing w:line="600" w:lineRule="exact"/>
        <w:rPr>
          <w:color w:val="auto"/>
          <w:kern w:val="0"/>
          <w:sz w:val="32"/>
        </w:rPr>
      </w:pPr>
    </w:p>
    <w:p>
      <w:pPr>
        <w:spacing w:line="600" w:lineRule="exact"/>
        <w:rPr>
          <w:color w:val="auto"/>
          <w:kern w:val="0"/>
          <w:sz w:val="32"/>
        </w:rPr>
      </w:pPr>
    </w:p>
    <w:p>
      <w:pPr>
        <w:spacing w:line="600" w:lineRule="exact"/>
        <w:jc w:val="center"/>
        <w:rPr>
          <w:b/>
          <w:color w:val="auto"/>
          <w:kern w:val="0"/>
          <w:sz w:val="32"/>
        </w:rPr>
      </w:pPr>
      <w:r>
        <w:rPr>
          <w:rFonts w:hAnsi="宋体"/>
          <w:b/>
          <w:color w:val="auto"/>
          <w:kern w:val="0"/>
          <w:sz w:val="32"/>
        </w:rPr>
        <w:t>（安全评价机构公章）</w:t>
      </w:r>
    </w:p>
    <w:p>
      <w:pPr>
        <w:spacing w:line="600" w:lineRule="exact"/>
        <w:jc w:val="center"/>
        <w:rPr>
          <w:b/>
          <w:color w:val="auto"/>
        </w:rPr>
      </w:pPr>
      <w:r>
        <w:rPr>
          <w:b/>
          <w:color w:val="auto"/>
          <w:kern w:val="0"/>
          <w:sz w:val="32"/>
        </w:rPr>
        <w:t>202</w:t>
      </w:r>
      <w:r>
        <w:rPr>
          <w:rFonts w:hint="eastAsia"/>
          <w:b/>
          <w:color w:val="auto"/>
          <w:kern w:val="0"/>
          <w:sz w:val="32"/>
          <w:lang w:val="en-US" w:eastAsia="zh-CN"/>
        </w:rPr>
        <w:t>4</w:t>
      </w:r>
      <w:r>
        <w:rPr>
          <w:rFonts w:hAnsi="宋体"/>
          <w:b/>
          <w:color w:val="auto"/>
          <w:kern w:val="0"/>
          <w:sz w:val="32"/>
        </w:rPr>
        <w:t>年</w:t>
      </w:r>
      <w:r>
        <w:rPr>
          <w:rFonts w:hint="eastAsia"/>
          <w:b/>
          <w:color w:val="auto"/>
          <w:kern w:val="0"/>
          <w:sz w:val="32"/>
          <w:lang w:val="en-US" w:eastAsia="zh-CN"/>
        </w:rPr>
        <w:t>5</w:t>
      </w:r>
      <w:r>
        <w:rPr>
          <w:rFonts w:hAnsi="宋体"/>
          <w:b/>
          <w:color w:val="auto"/>
          <w:kern w:val="0"/>
          <w:sz w:val="32"/>
        </w:rPr>
        <w:t>月</w:t>
      </w:r>
      <w:r>
        <w:rPr>
          <w:rFonts w:hint="eastAsia"/>
          <w:b/>
          <w:color w:val="auto"/>
          <w:kern w:val="0"/>
          <w:sz w:val="32"/>
          <w:lang w:val="en-US" w:eastAsia="zh-CN"/>
        </w:rPr>
        <w:t>16</w:t>
      </w:r>
      <w:r>
        <w:rPr>
          <w:rFonts w:hAnsi="宋体"/>
          <w:b/>
          <w:color w:val="auto"/>
          <w:kern w:val="0"/>
          <w:sz w:val="32"/>
        </w:rPr>
        <w:t>日</w:t>
      </w:r>
    </w:p>
    <w:p>
      <w:pPr>
        <w:jc w:val="center"/>
        <w:rPr>
          <w:rFonts w:hint="eastAsia" w:ascii="宋体" w:hAnsi="宋体"/>
          <w:b/>
          <w:color w:val="auto"/>
          <w:sz w:val="36"/>
          <w:szCs w:val="36"/>
          <w:lang w:eastAsia="zh-CN"/>
        </w:rPr>
      </w:pPr>
    </w:p>
    <w:p>
      <w:pPr>
        <w:jc w:val="center"/>
        <w:rPr>
          <w:rFonts w:hint="eastAsia" w:ascii="宋体" w:hAnsi="宋体"/>
          <w:b/>
          <w:color w:val="auto"/>
          <w:sz w:val="36"/>
          <w:szCs w:val="36"/>
          <w:lang w:eastAsia="zh-CN"/>
        </w:rPr>
      </w:pPr>
    </w:p>
    <w:p>
      <w:pPr>
        <w:jc w:val="center"/>
        <w:rPr>
          <w:rFonts w:hint="eastAsia" w:ascii="宋体" w:hAnsi="宋体"/>
          <w:b/>
          <w:color w:val="auto"/>
          <w:sz w:val="36"/>
          <w:szCs w:val="36"/>
          <w:lang w:eastAsia="zh-CN"/>
        </w:rPr>
      </w:pPr>
    </w:p>
    <w:p>
      <w:pPr>
        <w:jc w:val="center"/>
        <w:rPr>
          <w:rFonts w:hint="eastAsia" w:ascii="宋体" w:hAnsi="宋体"/>
          <w:b/>
          <w:color w:val="auto"/>
          <w:sz w:val="36"/>
          <w:szCs w:val="36"/>
          <w:lang w:eastAsia="zh-CN"/>
        </w:rPr>
      </w:pPr>
    </w:p>
    <w:p>
      <w:pPr>
        <w:jc w:val="center"/>
        <w:rPr>
          <w:rFonts w:hint="eastAsia" w:ascii="宋体" w:hAnsi="宋体"/>
          <w:b/>
          <w:color w:val="auto"/>
          <w:sz w:val="36"/>
          <w:szCs w:val="36"/>
          <w:lang w:eastAsia="zh-CN"/>
        </w:rPr>
      </w:pPr>
    </w:p>
    <w:p>
      <w:pPr>
        <w:jc w:val="center"/>
        <w:rPr>
          <w:rFonts w:ascii="Times New Roman" w:hAnsi="Times New Roman" w:cs="Times New Roman"/>
          <w:b/>
          <w:bCs/>
          <w:color w:val="auto"/>
          <w:kern w:val="0"/>
          <w:sz w:val="36"/>
          <w:szCs w:val="36"/>
        </w:rPr>
      </w:pPr>
      <w:r>
        <w:rPr>
          <w:rFonts w:ascii="Times New Roman" w:hAnsi="Times New Roman" w:cs="Times New Roman"/>
          <w:b/>
          <w:bCs/>
          <w:color w:val="auto"/>
          <w:kern w:val="0"/>
          <w:sz w:val="36"/>
          <w:szCs w:val="36"/>
        </w:rPr>
        <w:t>安全评价技术服务承诺书</w:t>
      </w:r>
    </w:p>
    <w:p>
      <w:pPr>
        <w:jc w:val="center"/>
        <w:rPr>
          <w:rFonts w:ascii="Times New Roman" w:hAnsi="Times New Roman" w:cs="Times New Roman"/>
          <w:b/>
          <w:bCs/>
          <w:color w:val="auto"/>
          <w:kern w:val="0"/>
          <w:sz w:val="36"/>
          <w:szCs w:val="36"/>
        </w:rPr>
      </w:pPr>
    </w:p>
    <w:p>
      <w:pPr>
        <w:widowControl/>
        <w:wordWrap w:val="0"/>
        <w:spacing w:line="425" w:lineRule="auto"/>
        <w:jc w:val="left"/>
        <w:rPr>
          <w:rFonts w:ascii="Times New Roman" w:hAnsi="Times New Roman" w:eastAsia="仿宋" w:cs="Times New Roman"/>
          <w:color w:val="auto"/>
          <w:kern w:val="0"/>
          <w:sz w:val="32"/>
          <w:szCs w:val="32"/>
        </w:rPr>
      </w:pPr>
      <w:r>
        <w:rPr>
          <w:rFonts w:ascii="Times New Roman" w:hAnsi="Times New Roman" w:cs="Times New Roman"/>
          <w:color w:val="auto"/>
          <w:kern w:val="0"/>
          <w:sz w:val="32"/>
          <w:szCs w:val="32"/>
        </w:rPr>
        <w:t xml:space="preserve">    </w:t>
      </w:r>
      <w:r>
        <w:rPr>
          <w:rFonts w:ascii="Times New Roman" w:hAnsi="Times New Roman" w:eastAsia="仿宋" w:cs="Times New Roman"/>
          <w:color w:val="auto"/>
          <w:kern w:val="0"/>
          <w:sz w:val="32"/>
          <w:szCs w:val="32"/>
        </w:rPr>
        <w:t xml:space="preserve">一、在本项目安全评价活动过程中，我单位严格遵守《安全生产法》及相关法律、法规和标准的要求。   </w:t>
      </w:r>
    </w:p>
    <w:p>
      <w:pPr>
        <w:widowControl/>
        <w:wordWrap w:val="0"/>
        <w:spacing w:line="425" w:lineRule="auto"/>
        <w:jc w:val="left"/>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t xml:space="preserve">    二、在本项目安全评价活动过程中，我单位作为第三方，未受到任何组织和个人的干预和影响，依法独立开展工作，保证了技术服务活动的客观公正性。</w:t>
      </w:r>
    </w:p>
    <w:p>
      <w:pPr>
        <w:widowControl/>
        <w:wordWrap w:val="0"/>
        <w:spacing w:line="425" w:lineRule="auto"/>
        <w:ind w:firstLine="640" w:firstLineChars="200"/>
        <w:jc w:val="left"/>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t>三、我单位按照实事求是的原则，对本项目进行安全评价，确保出具的报告均真实有效，报告所提出的措施具有针对性、有效性和可行性。</w:t>
      </w:r>
    </w:p>
    <w:p>
      <w:pPr>
        <w:widowControl/>
        <w:wordWrap w:val="0"/>
        <w:spacing w:line="425" w:lineRule="auto"/>
        <w:ind w:firstLine="640" w:firstLineChars="200"/>
        <w:jc w:val="left"/>
        <w:rPr>
          <w:rFonts w:ascii="Times New Roman" w:hAnsi="Times New Roman" w:eastAsia="仿宋" w:cs="Times New Roman"/>
          <w:color w:val="auto"/>
          <w:kern w:val="0"/>
          <w:sz w:val="32"/>
          <w:szCs w:val="32"/>
        </w:rPr>
      </w:pPr>
      <w:r>
        <w:rPr>
          <w:rFonts w:ascii="Times New Roman" w:hAnsi="Times New Roman" w:eastAsia="仿宋" w:cs="Times New Roman"/>
          <w:color w:val="auto"/>
          <w:kern w:val="0"/>
          <w:sz w:val="32"/>
          <w:szCs w:val="32"/>
        </w:rPr>
        <w:t xml:space="preserve">四、我单位对本项目安全评价报告中结论性内容承担法律责任。 </w:t>
      </w:r>
    </w:p>
    <w:p>
      <w:pPr>
        <w:widowControl/>
        <w:wordWrap w:val="0"/>
        <w:spacing w:before="100" w:beforeAutospacing="1" w:after="100" w:afterAutospacing="1" w:line="425" w:lineRule="auto"/>
        <w:ind w:firstLine="480"/>
        <w:jc w:val="left"/>
        <w:rPr>
          <w:rFonts w:ascii="Times New Roman" w:hAnsi="Times New Roman" w:cs="Times New Roman"/>
          <w:color w:val="auto"/>
          <w:kern w:val="0"/>
          <w:sz w:val="32"/>
          <w:szCs w:val="32"/>
        </w:rPr>
      </w:pPr>
      <w:r>
        <w:rPr>
          <w:rFonts w:ascii="Times New Roman" w:hAnsi="Times New Roman" w:cs="Times New Roman"/>
          <w:color w:val="auto"/>
          <w:kern w:val="0"/>
          <w:sz w:val="32"/>
          <w:szCs w:val="32"/>
        </w:rPr>
        <w:t xml:space="preserve">                      </w:t>
      </w:r>
    </w:p>
    <w:p>
      <w:pPr>
        <w:widowControl/>
        <w:wordWrap w:val="0"/>
        <w:spacing w:before="100" w:beforeAutospacing="1" w:after="100" w:afterAutospacing="1" w:line="425" w:lineRule="auto"/>
        <w:ind w:firstLine="480"/>
        <w:jc w:val="left"/>
        <w:rPr>
          <w:rFonts w:ascii="Times New Roman" w:hAnsi="Times New Roman" w:cs="Times New Roman"/>
          <w:color w:val="auto"/>
          <w:kern w:val="0"/>
          <w:sz w:val="32"/>
          <w:szCs w:val="32"/>
        </w:rPr>
      </w:pPr>
      <w:r>
        <w:rPr>
          <w:rFonts w:ascii="Times New Roman" w:hAnsi="Times New Roman" w:cs="Times New Roman"/>
          <w:color w:val="auto"/>
          <w:kern w:val="0"/>
          <w:sz w:val="32"/>
          <w:szCs w:val="32"/>
        </w:rPr>
        <w:t xml:space="preserve">      江西赣安安全生产科学技术咨询服务中心（公章）</w:t>
      </w:r>
    </w:p>
    <w:p>
      <w:pPr>
        <w:jc w:val="both"/>
        <w:rPr>
          <w:b/>
          <w:color w:val="auto"/>
          <w:sz w:val="24"/>
        </w:rPr>
      </w:pPr>
      <w:r>
        <w:rPr>
          <w:rFonts w:ascii="Times New Roman" w:hAnsi="Times New Roman" w:cs="Times New Roman"/>
          <w:color w:val="auto"/>
          <w:kern w:val="0"/>
          <w:sz w:val="32"/>
          <w:szCs w:val="32"/>
        </w:rPr>
        <w:t xml:space="preserve">                               202</w:t>
      </w:r>
      <w:r>
        <w:rPr>
          <w:rFonts w:hint="eastAsia" w:cs="Times New Roman"/>
          <w:color w:val="auto"/>
          <w:kern w:val="0"/>
          <w:sz w:val="32"/>
          <w:szCs w:val="32"/>
          <w:lang w:val="en-US" w:eastAsia="zh-CN"/>
        </w:rPr>
        <w:t>4</w:t>
      </w:r>
      <w:r>
        <w:rPr>
          <w:rFonts w:ascii="Times New Roman" w:hAnsi="Times New Roman" w:cs="Times New Roman"/>
          <w:color w:val="auto"/>
          <w:kern w:val="0"/>
          <w:sz w:val="32"/>
          <w:szCs w:val="32"/>
        </w:rPr>
        <w:t>年</w:t>
      </w:r>
      <w:r>
        <w:rPr>
          <w:rFonts w:hint="eastAsia" w:cs="Times New Roman"/>
          <w:color w:val="auto"/>
          <w:kern w:val="0"/>
          <w:sz w:val="32"/>
          <w:szCs w:val="32"/>
          <w:lang w:val="en-US" w:eastAsia="zh-CN"/>
        </w:rPr>
        <w:t>5</w:t>
      </w:r>
      <w:r>
        <w:rPr>
          <w:rFonts w:ascii="Times New Roman" w:hAnsi="Times New Roman" w:cs="Times New Roman"/>
          <w:color w:val="auto"/>
          <w:kern w:val="0"/>
          <w:sz w:val="32"/>
          <w:szCs w:val="32"/>
        </w:rPr>
        <w:t>月</w:t>
      </w:r>
      <w:r>
        <w:rPr>
          <w:rFonts w:hint="eastAsia" w:cs="Times New Roman"/>
          <w:color w:val="auto"/>
          <w:kern w:val="0"/>
          <w:sz w:val="32"/>
          <w:szCs w:val="32"/>
          <w:lang w:val="en-US" w:eastAsia="zh-CN"/>
        </w:rPr>
        <w:t>16</w:t>
      </w:r>
      <w:r>
        <w:rPr>
          <w:rFonts w:ascii="Times New Roman" w:hAnsi="Times New Roman" w:cs="Times New Roman"/>
          <w:color w:val="auto"/>
          <w:kern w:val="0"/>
          <w:sz w:val="32"/>
          <w:szCs w:val="32"/>
        </w:rPr>
        <w:t xml:space="preserve">日 </w:t>
      </w:r>
    </w:p>
    <w:p>
      <w:pPr>
        <w:jc w:val="center"/>
        <w:rPr>
          <w:rFonts w:hint="eastAsia" w:eastAsia="黑体"/>
          <w:color w:val="auto"/>
          <w:sz w:val="32"/>
          <w:szCs w:val="32"/>
        </w:rPr>
      </w:pPr>
    </w:p>
    <w:p>
      <w:pPr>
        <w:pStyle w:val="5"/>
        <w:rPr>
          <w:rFonts w:hint="eastAsia" w:eastAsia="黑体"/>
          <w:color w:val="auto"/>
          <w:sz w:val="32"/>
          <w:szCs w:val="32"/>
        </w:rPr>
        <w:sectPr>
          <w:pgSz w:w="11906" w:h="16838"/>
          <w:pgMar w:top="1418" w:right="1134" w:bottom="1418" w:left="1588" w:header="851" w:footer="851" w:gutter="0"/>
          <w:pgBorders>
            <w:top w:val="none" w:sz="0" w:space="0"/>
            <w:left w:val="none" w:sz="0" w:space="0"/>
            <w:bottom w:val="none" w:sz="0" w:space="0"/>
            <w:right w:val="none" w:sz="0" w:space="0"/>
          </w:pgBorders>
          <w:pgNumType w:fmt="upperRoman"/>
          <w:cols w:space="720" w:num="1"/>
          <w:titlePg/>
          <w:docGrid w:type="lines" w:linePitch="312" w:charSpace="0"/>
        </w:sectPr>
      </w:pPr>
    </w:p>
    <w:p>
      <w:pPr>
        <w:widowControl/>
        <w:spacing w:before="624" w:beforeLines="200" w:after="312" w:afterLines="100" w:line="600" w:lineRule="exact"/>
        <w:jc w:val="center"/>
        <w:rPr>
          <w:rFonts w:ascii="Times New Roman" w:hAnsi="Times New Roman" w:cs="Times New Roman"/>
          <w:b/>
          <w:bCs/>
          <w:color w:val="auto"/>
          <w:sz w:val="36"/>
          <w:szCs w:val="36"/>
        </w:rPr>
      </w:pPr>
      <w:r>
        <w:rPr>
          <w:rFonts w:ascii="Times New Roman" w:hAnsi="Times New Roman" w:cs="Times New Roman"/>
          <w:b/>
          <w:bCs/>
          <w:color w:val="auto"/>
          <w:sz w:val="36"/>
          <w:szCs w:val="36"/>
        </w:rPr>
        <w:t>规范安全生产中介行为的九条禁令</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一、禁止从事安全生产和职业卫生服务的中介服务机构（以下统称中介机构）租借资质证书、非法挂靠、转包服务项目的行为；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二、禁止中介机构假借、冒用他人名义要求服务对象接受有偿服务，或者恶意低价竞争以及采取串标、围标等不正当竞争手段，扰乱技术服务市场秩序的行为；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三、禁止中介机构出具虚假或漏项、缺项技术报告的行为；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四、禁止中介机构出租、出借资格证书、在报告上冒用他人签名的行为；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五、禁止中介机构有应到而不到现场开展技术服务的行为；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六、禁止安全生产监管部门及其工作人员要求生产经营单位接受指定的中介机构开展技术服务的行为；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七、禁止安全生产监管部门及其工作人员没有法律依据组织由生产经营单位或机构支付费用的行政性评审的行为；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 xml:space="preserve">八、禁止安全生产监管部门及其工作人员干预市场定价，违规擅自出台技术服务收费标准的行为； </w:t>
      </w:r>
    </w:p>
    <w:p>
      <w:pPr>
        <w:spacing w:line="600" w:lineRule="exact"/>
        <w:ind w:firstLine="560" w:firstLineChars="200"/>
        <w:rPr>
          <w:rFonts w:ascii="Times New Roman" w:hAnsi="Times New Roman" w:cs="Times New Roman"/>
          <w:color w:val="auto"/>
          <w:sz w:val="28"/>
          <w:szCs w:val="28"/>
        </w:rPr>
      </w:pPr>
      <w:r>
        <w:rPr>
          <w:rFonts w:ascii="Times New Roman" w:hAnsi="Times New Roman" w:cs="Times New Roman"/>
          <w:color w:val="auto"/>
          <w:sz w:val="28"/>
          <w:szCs w:val="28"/>
        </w:rPr>
        <w:t>九、禁止安全生产监管部门及其工作人员参与、擅自干预中介机构从业活动，或者有获取不正当利益的行为。</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评 价 人 员</w:t>
      </w:r>
    </w:p>
    <w:tbl>
      <w:tblPr>
        <w:tblStyle w:val="42"/>
        <w:tblW w:w="505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95"/>
        <w:gridCol w:w="1276"/>
        <w:gridCol w:w="2852"/>
        <w:gridCol w:w="1768"/>
        <w:gridCol w:w="15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noWrap w:val="0"/>
            <w:vAlign w:val="center"/>
          </w:tcPr>
          <w:p>
            <w:pPr>
              <w:spacing w:line="360" w:lineRule="auto"/>
              <w:jc w:val="center"/>
              <w:rPr>
                <w:color w:val="auto"/>
                <w:sz w:val="24"/>
              </w:rPr>
            </w:pPr>
          </w:p>
        </w:tc>
        <w:tc>
          <w:tcPr>
            <w:tcW w:w="671" w:type="pct"/>
            <w:noWrap w:val="0"/>
            <w:vAlign w:val="center"/>
          </w:tcPr>
          <w:p>
            <w:pPr>
              <w:spacing w:line="360" w:lineRule="auto"/>
              <w:jc w:val="center"/>
              <w:rPr>
                <w:color w:val="auto"/>
                <w:sz w:val="24"/>
              </w:rPr>
            </w:pPr>
            <w:r>
              <w:rPr>
                <w:color w:val="auto"/>
                <w:sz w:val="24"/>
              </w:rPr>
              <w:t>姓  名</w:t>
            </w:r>
          </w:p>
        </w:tc>
        <w:tc>
          <w:tcPr>
            <w:tcW w:w="1500" w:type="pct"/>
            <w:noWrap w:val="0"/>
            <w:vAlign w:val="center"/>
          </w:tcPr>
          <w:p>
            <w:pPr>
              <w:spacing w:line="360" w:lineRule="auto"/>
              <w:jc w:val="center"/>
              <w:rPr>
                <w:color w:val="auto"/>
                <w:sz w:val="24"/>
              </w:rPr>
            </w:pPr>
            <w:r>
              <w:rPr>
                <w:color w:val="auto"/>
                <w:sz w:val="24"/>
              </w:rPr>
              <w:t>职业资格证书编号</w:t>
            </w:r>
          </w:p>
        </w:tc>
        <w:tc>
          <w:tcPr>
            <w:tcW w:w="930" w:type="pct"/>
            <w:noWrap w:val="0"/>
            <w:vAlign w:val="center"/>
          </w:tcPr>
          <w:p>
            <w:pPr>
              <w:spacing w:line="360" w:lineRule="auto"/>
              <w:jc w:val="center"/>
              <w:rPr>
                <w:color w:val="auto"/>
                <w:sz w:val="24"/>
              </w:rPr>
            </w:pPr>
            <w:r>
              <w:rPr>
                <w:color w:val="auto"/>
                <w:sz w:val="24"/>
              </w:rPr>
              <w:t>从业信息</w:t>
            </w:r>
          </w:p>
          <w:p>
            <w:pPr>
              <w:spacing w:line="360" w:lineRule="auto"/>
              <w:jc w:val="center"/>
              <w:rPr>
                <w:color w:val="auto"/>
                <w:sz w:val="24"/>
              </w:rPr>
            </w:pPr>
            <w:r>
              <w:rPr>
                <w:color w:val="auto"/>
                <w:sz w:val="24"/>
              </w:rPr>
              <w:t>识别卡编号</w:t>
            </w:r>
          </w:p>
        </w:tc>
        <w:tc>
          <w:tcPr>
            <w:tcW w:w="795" w:type="pct"/>
            <w:noWrap w:val="0"/>
            <w:vAlign w:val="center"/>
          </w:tcPr>
          <w:p>
            <w:pPr>
              <w:spacing w:line="360" w:lineRule="auto"/>
              <w:jc w:val="center"/>
              <w:rPr>
                <w:color w:val="auto"/>
                <w:sz w:val="24"/>
              </w:rPr>
            </w:pPr>
            <w:r>
              <w:rPr>
                <w:color w:val="auto"/>
                <w:sz w:val="24"/>
              </w:rPr>
              <w:t>签    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noWrap w:val="0"/>
            <w:vAlign w:val="center"/>
          </w:tcPr>
          <w:p>
            <w:pPr>
              <w:spacing w:line="360" w:lineRule="auto"/>
              <w:jc w:val="center"/>
              <w:rPr>
                <w:color w:val="auto"/>
                <w:sz w:val="24"/>
              </w:rPr>
            </w:pPr>
            <w:r>
              <w:rPr>
                <w:color w:val="auto"/>
                <w:sz w:val="24"/>
              </w:rPr>
              <w:t>项目负责人</w:t>
            </w:r>
          </w:p>
        </w:tc>
        <w:tc>
          <w:tcPr>
            <w:tcW w:w="671" w:type="pct"/>
            <w:noWrap w:val="0"/>
            <w:vAlign w:val="center"/>
          </w:tcPr>
          <w:p>
            <w:pPr>
              <w:spacing w:line="360" w:lineRule="auto"/>
              <w:jc w:val="center"/>
              <w:rPr>
                <w:rFonts w:ascii="宋体" w:hAnsi="宋体"/>
                <w:color w:val="auto"/>
                <w:sz w:val="24"/>
              </w:rPr>
            </w:pPr>
            <w:r>
              <w:rPr>
                <w:color w:val="auto"/>
                <w:sz w:val="24"/>
              </w:rPr>
              <w:t>谢寒梅</w:t>
            </w:r>
          </w:p>
        </w:tc>
        <w:tc>
          <w:tcPr>
            <w:tcW w:w="1500" w:type="pct"/>
            <w:noWrap w:val="0"/>
            <w:vAlign w:val="center"/>
          </w:tcPr>
          <w:p>
            <w:pPr>
              <w:spacing w:line="360" w:lineRule="auto"/>
              <w:jc w:val="center"/>
              <w:rPr>
                <w:rFonts w:hint="default" w:eastAsia="宋体"/>
                <w:color w:val="auto"/>
                <w:sz w:val="24"/>
                <w:lang w:val="en-US" w:eastAsia="zh-CN"/>
              </w:rPr>
            </w:pPr>
            <w:r>
              <w:rPr>
                <w:rFonts w:hint="eastAsia"/>
                <w:color w:val="auto"/>
                <w:sz w:val="24"/>
                <w:lang w:val="en-US" w:eastAsia="zh-CN"/>
              </w:rPr>
              <w:t>S011035000110192001584</w:t>
            </w:r>
          </w:p>
        </w:tc>
        <w:tc>
          <w:tcPr>
            <w:tcW w:w="930" w:type="pct"/>
            <w:noWrap w:val="0"/>
            <w:vAlign w:val="center"/>
          </w:tcPr>
          <w:p>
            <w:pPr>
              <w:spacing w:line="360" w:lineRule="auto"/>
              <w:jc w:val="center"/>
              <w:rPr>
                <w:rFonts w:hint="eastAsia"/>
                <w:color w:val="auto"/>
                <w:sz w:val="24"/>
              </w:rPr>
            </w:pPr>
            <w:r>
              <w:rPr>
                <w:color w:val="auto"/>
                <w:sz w:val="24"/>
              </w:rPr>
              <w:t>027089</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vMerge w:val="restart"/>
            <w:noWrap w:val="0"/>
            <w:vAlign w:val="center"/>
          </w:tcPr>
          <w:p>
            <w:pPr>
              <w:spacing w:line="360" w:lineRule="auto"/>
              <w:jc w:val="center"/>
              <w:rPr>
                <w:color w:val="auto"/>
                <w:sz w:val="24"/>
              </w:rPr>
            </w:pPr>
            <w:r>
              <w:rPr>
                <w:color w:val="auto"/>
                <w:sz w:val="24"/>
              </w:rPr>
              <w:t>项目组成员</w:t>
            </w:r>
          </w:p>
        </w:tc>
        <w:tc>
          <w:tcPr>
            <w:tcW w:w="671" w:type="pct"/>
            <w:noWrap w:val="0"/>
            <w:vAlign w:val="center"/>
          </w:tcPr>
          <w:p>
            <w:pPr>
              <w:spacing w:line="360" w:lineRule="auto"/>
              <w:jc w:val="center"/>
              <w:rPr>
                <w:rFonts w:hint="eastAsia" w:ascii="宋体" w:hAnsi="宋体" w:eastAsia="宋体" w:cs="Times New Roman"/>
                <w:color w:val="auto"/>
                <w:kern w:val="2"/>
                <w:sz w:val="24"/>
                <w:szCs w:val="24"/>
                <w:lang w:val="en-US" w:eastAsia="zh-CN" w:bidi="ar-SA"/>
              </w:rPr>
            </w:pPr>
            <w:r>
              <w:rPr>
                <w:color w:val="auto"/>
                <w:sz w:val="24"/>
              </w:rPr>
              <w:t>谢寒梅</w:t>
            </w:r>
          </w:p>
        </w:tc>
        <w:tc>
          <w:tcPr>
            <w:tcW w:w="1500" w:type="pct"/>
            <w:noWrap w:val="0"/>
            <w:vAlign w:val="center"/>
          </w:tcPr>
          <w:p>
            <w:pPr>
              <w:spacing w:line="36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sz w:val="24"/>
                <w:lang w:val="en-US" w:eastAsia="zh-CN"/>
              </w:rPr>
              <w:t>S011035000110192001584</w:t>
            </w:r>
          </w:p>
        </w:tc>
        <w:tc>
          <w:tcPr>
            <w:tcW w:w="930" w:type="pct"/>
            <w:noWrap w:val="0"/>
            <w:vAlign w:val="center"/>
          </w:tcPr>
          <w:p>
            <w:pPr>
              <w:spacing w:line="360" w:lineRule="auto"/>
              <w:jc w:val="center"/>
              <w:rPr>
                <w:rFonts w:hint="default" w:ascii="Times New Roman" w:hAnsi="Times New Roman" w:eastAsia="宋体" w:cs="Times New Roman"/>
                <w:color w:val="auto"/>
                <w:kern w:val="2"/>
                <w:sz w:val="24"/>
                <w:szCs w:val="24"/>
                <w:lang w:val="en-US" w:eastAsia="zh-CN" w:bidi="ar-SA"/>
              </w:rPr>
            </w:pPr>
            <w:r>
              <w:rPr>
                <w:color w:val="auto"/>
                <w:sz w:val="24"/>
              </w:rPr>
              <w:t>027089</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vMerge w:val="continue"/>
            <w:noWrap w:val="0"/>
            <w:vAlign w:val="center"/>
          </w:tcPr>
          <w:p>
            <w:pPr>
              <w:spacing w:line="360" w:lineRule="auto"/>
              <w:jc w:val="center"/>
              <w:rPr>
                <w:color w:val="auto"/>
                <w:sz w:val="24"/>
              </w:rPr>
            </w:pPr>
          </w:p>
        </w:tc>
        <w:tc>
          <w:tcPr>
            <w:tcW w:w="671" w:type="pct"/>
            <w:noWrap w:val="0"/>
            <w:vAlign w:val="center"/>
          </w:tcPr>
          <w:p>
            <w:pPr>
              <w:spacing w:line="360" w:lineRule="auto"/>
              <w:jc w:val="center"/>
              <w:rPr>
                <w:rFonts w:hint="eastAsia" w:eastAsia="宋体"/>
                <w:color w:val="auto"/>
                <w:sz w:val="24"/>
                <w:lang w:val="en-US" w:eastAsia="zh-CN"/>
              </w:rPr>
            </w:pPr>
            <w:r>
              <w:rPr>
                <w:rFonts w:hint="eastAsia"/>
                <w:color w:val="auto"/>
                <w:sz w:val="24"/>
                <w:lang w:val="en-US" w:eastAsia="zh-CN"/>
              </w:rPr>
              <w:t>黄伯扬</w:t>
            </w:r>
          </w:p>
        </w:tc>
        <w:tc>
          <w:tcPr>
            <w:tcW w:w="1500" w:type="pct"/>
            <w:noWrap w:val="0"/>
            <w:vAlign w:val="center"/>
          </w:tcPr>
          <w:p>
            <w:pPr>
              <w:spacing w:line="360" w:lineRule="auto"/>
              <w:jc w:val="center"/>
              <w:rPr>
                <w:rFonts w:hint="default" w:eastAsia="宋体"/>
                <w:color w:val="auto"/>
                <w:sz w:val="24"/>
                <w:lang w:val="en-US" w:eastAsia="zh-CN"/>
              </w:rPr>
            </w:pPr>
            <w:r>
              <w:rPr>
                <w:rFonts w:hint="eastAsia"/>
                <w:color w:val="auto"/>
                <w:sz w:val="24"/>
                <w:lang w:val="en-US" w:eastAsia="zh-CN"/>
              </w:rPr>
              <w:t>1800000000300643</w:t>
            </w:r>
          </w:p>
        </w:tc>
        <w:tc>
          <w:tcPr>
            <w:tcW w:w="930" w:type="pct"/>
            <w:noWrap w:val="0"/>
            <w:vAlign w:val="center"/>
          </w:tcPr>
          <w:p>
            <w:pPr>
              <w:spacing w:line="360" w:lineRule="auto"/>
              <w:jc w:val="center"/>
              <w:rPr>
                <w:rFonts w:hint="default" w:eastAsia="宋体"/>
                <w:color w:val="auto"/>
                <w:sz w:val="24"/>
                <w:lang w:val="en-US" w:eastAsia="zh-CN"/>
              </w:rPr>
            </w:pPr>
            <w:r>
              <w:rPr>
                <w:rFonts w:hint="eastAsia"/>
                <w:color w:val="auto"/>
                <w:sz w:val="24"/>
                <w:lang w:val="en-US" w:eastAsia="zh-CN"/>
              </w:rPr>
              <w:t>032737</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vMerge w:val="continue"/>
            <w:noWrap w:val="0"/>
            <w:vAlign w:val="center"/>
          </w:tcPr>
          <w:p>
            <w:pPr>
              <w:spacing w:line="360" w:lineRule="auto"/>
              <w:jc w:val="center"/>
              <w:rPr>
                <w:color w:val="auto"/>
                <w:sz w:val="24"/>
              </w:rPr>
            </w:pPr>
          </w:p>
        </w:tc>
        <w:tc>
          <w:tcPr>
            <w:tcW w:w="671"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4"/>
                <w:szCs w:val="24"/>
                <w:lang w:val="en-US" w:eastAsia="zh-CN" w:bidi="ar-SA"/>
              </w:rPr>
            </w:pPr>
            <w:r>
              <w:rPr>
                <w:rFonts w:hint="eastAsia"/>
                <w:color w:val="auto"/>
                <w:sz w:val="24"/>
              </w:rPr>
              <w:t>王  波</w:t>
            </w:r>
          </w:p>
        </w:tc>
        <w:tc>
          <w:tcPr>
            <w:tcW w:w="150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4"/>
                <w:szCs w:val="24"/>
                <w:lang w:val="en-US" w:eastAsia="zh-CN" w:bidi="ar-SA"/>
              </w:rPr>
            </w:pPr>
            <w:r>
              <w:rPr>
                <w:color w:val="auto"/>
                <w:sz w:val="24"/>
              </w:rPr>
              <w:t>S011035000110</w:t>
            </w:r>
            <w:r>
              <w:rPr>
                <w:rFonts w:hint="eastAsia"/>
                <w:color w:val="auto"/>
                <w:sz w:val="24"/>
              </w:rPr>
              <w:t>202</w:t>
            </w:r>
            <w:r>
              <w:rPr>
                <w:color w:val="auto"/>
                <w:sz w:val="24"/>
              </w:rPr>
              <w:t>001</w:t>
            </w:r>
            <w:r>
              <w:rPr>
                <w:rFonts w:hint="eastAsia"/>
                <w:color w:val="auto"/>
                <w:sz w:val="24"/>
              </w:rPr>
              <w:t>263</w:t>
            </w:r>
          </w:p>
        </w:tc>
        <w:tc>
          <w:tcPr>
            <w:tcW w:w="930" w:type="pct"/>
            <w:noWrap w:val="0"/>
            <w:vAlign w:val="center"/>
          </w:tcPr>
          <w:p>
            <w:pPr>
              <w:spacing w:line="240" w:lineRule="auto"/>
              <w:ind w:firstLine="0" w:firstLineChars="0"/>
              <w:jc w:val="center"/>
              <w:rPr>
                <w:rFonts w:ascii="Times New Roman" w:hAnsi="Times New Roman" w:eastAsia="宋体" w:cs="Times New Roman"/>
                <w:color w:val="auto"/>
                <w:kern w:val="2"/>
                <w:sz w:val="24"/>
                <w:szCs w:val="24"/>
                <w:lang w:val="en-US" w:eastAsia="zh-CN" w:bidi="ar-SA"/>
              </w:rPr>
            </w:pPr>
            <w:r>
              <w:rPr>
                <w:rFonts w:hint="eastAsia"/>
                <w:color w:val="auto"/>
                <w:sz w:val="24"/>
              </w:rPr>
              <w:t>040122</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vMerge w:val="continue"/>
            <w:noWrap w:val="0"/>
            <w:vAlign w:val="center"/>
          </w:tcPr>
          <w:p>
            <w:pPr>
              <w:spacing w:line="360" w:lineRule="auto"/>
              <w:jc w:val="center"/>
              <w:rPr>
                <w:color w:val="auto"/>
                <w:sz w:val="24"/>
              </w:rPr>
            </w:pPr>
          </w:p>
        </w:tc>
        <w:tc>
          <w:tcPr>
            <w:tcW w:w="671" w:type="pct"/>
            <w:noWrap w:val="0"/>
            <w:vAlign w:val="center"/>
          </w:tcPr>
          <w:p>
            <w:pPr>
              <w:spacing w:line="360" w:lineRule="auto"/>
              <w:jc w:val="center"/>
              <w:rPr>
                <w:rFonts w:hint="eastAsia" w:ascii="Times New Roman" w:hAnsi="Times New Roman" w:eastAsia="宋体" w:cs="Times New Roman"/>
                <w:color w:val="auto"/>
                <w:kern w:val="2"/>
                <w:sz w:val="24"/>
                <w:szCs w:val="24"/>
                <w:lang w:val="en-US" w:eastAsia="zh-CN" w:bidi="ar-SA"/>
              </w:rPr>
            </w:pPr>
            <w:r>
              <w:rPr>
                <w:rFonts w:hint="eastAsia"/>
                <w:color w:val="auto"/>
                <w:sz w:val="24"/>
                <w:lang w:val="en-US" w:eastAsia="zh-CN"/>
              </w:rPr>
              <w:t>王  冠</w:t>
            </w:r>
          </w:p>
        </w:tc>
        <w:tc>
          <w:tcPr>
            <w:tcW w:w="1500" w:type="pct"/>
            <w:noWrap w:val="0"/>
            <w:vAlign w:val="center"/>
          </w:tcPr>
          <w:p>
            <w:pPr>
              <w:spacing w:line="360" w:lineRule="auto"/>
              <w:jc w:val="center"/>
              <w:rPr>
                <w:rFonts w:ascii="Times New Roman" w:hAnsi="Times New Roman" w:eastAsia="宋体" w:cs="Times New Roman"/>
                <w:color w:val="auto"/>
                <w:kern w:val="2"/>
                <w:sz w:val="24"/>
                <w:szCs w:val="24"/>
                <w:lang w:val="en-US" w:eastAsia="zh-CN" w:bidi="ar-SA"/>
              </w:rPr>
            </w:pPr>
            <w:r>
              <w:rPr>
                <w:color w:val="auto"/>
                <w:sz w:val="24"/>
              </w:rPr>
              <w:t>S011035000110</w:t>
            </w:r>
            <w:r>
              <w:rPr>
                <w:rFonts w:hint="eastAsia"/>
                <w:color w:val="auto"/>
                <w:sz w:val="24"/>
                <w:lang w:val="en-US" w:eastAsia="zh-CN"/>
              </w:rPr>
              <w:t>202</w:t>
            </w:r>
            <w:r>
              <w:rPr>
                <w:color w:val="auto"/>
                <w:sz w:val="24"/>
              </w:rPr>
              <w:t>001</w:t>
            </w:r>
            <w:r>
              <w:rPr>
                <w:rFonts w:hint="eastAsia"/>
                <w:color w:val="auto"/>
                <w:sz w:val="24"/>
                <w:lang w:val="en-US" w:eastAsia="zh-CN"/>
              </w:rPr>
              <w:t>523</w:t>
            </w:r>
          </w:p>
        </w:tc>
        <w:tc>
          <w:tcPr>
            <w:tcW w:w="930" w:type="pct"/>
            <w:noWrap w:val="0"/>
            <w:vAlign w:val="center"/>
          </w:tcPr>
          <w:p>
            <w:pPr>
              <w:spacing w:line="36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sz w:val="24"/>
                <w:lang w:val="en-US" w:eastAsia="zh-CN"/>
              </w:rPr>
              <w:t>027086</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vMerge w:val="continue"/>
            <w:noWrap w:val="0"/>
            <w:vAlign w:val="center"/>
          </w:tcPr>
          <w:p>
            <w:pPr>
              <w:spacing w:line="360" w:lineRule="auto"/>
              <w:jc w:val="center"/>
              <w:rPr>
                <w:color w:val="auto"/>
                <w:sz w:val="24"/>
              </w:rPr>
            </w:pPr>
          </w:p>
        </w:tc>
        <w:tc>
          <w:tcPr>
            <w:tcW w:w="671" w:type="pct"/>
            <w:noWrap w:val="0"/>
            <w:vAlign w:val="center"/>
          </w:tcPr>
          <w:p>
            <w:pPr>
              <w:adjustRightInd w:val="0"/>
              <w:snapToGrid w:val="0"/>
              <w:spacing w:line="360" w:lineRule="auto"/>
              <w:jc w:val="center"/>
              <w:rPr>
                <w:rFonts w:hint="eastAsia"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罗沙浪</w:t>
            </w:r>
          </w:p>
        </w:tc>
        <w:tc>
          <w:tcPr>
            <w:tcW w:w="1500" w:type="pct"/>
            <w:noWrap w:val="0"/>
            <w:vAlign w:val="center"/>
          </w:tcPr>
          <w:p>
            <w:pPr>
              <w:adjustRightInd w:val="0"/>
              <w:snapToGrid w:val="0"/>
              <w:spacing w:line="360" w:lineRule="auto"/>
              <w:jc w:val="center"/>
              <w:rPr>
                <w:rFonts w:hint="default"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S011035000110193001260</w:t>
            </w:r>
          </w:p>
        </w:tc>
        <w:tc>
          <w:tcPr>
            <w:tcW w:w="930" w:type="pct"/>
            <w:noWrap w:val="0"/>
            <w:vAlign w:val="center"/>
          </w:tcPr>
          <w:p>
            <w:pPr>
              <w:adjustRightInd w:val="0"/>
              <w:snapToGrid w:val="0"/>
              <w:spacing w:line="360" w:lineRule="auto"/>
              <w:jc w:val="center"/>
              <w:rPr>
                <w:rFonts w:hint="default"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036829</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atLeast"/>
          <w:jc w:val="center"/>
        </w:trPr>
        <w:tc>
          <w:tcPr>
            <w:tcW w:w="1102" w:type="pct"/>
            <w:vMerge w:val="restart"/>
            <w:noWrap w:val="0"/>
            <w:vAlign w:val="center"/>
          </w:tcPr>
          <w:p>
            <w:pPr>
              <w:spacing w:line="360" w:lineRule="auto"/>
              <w:jc w:val="center"/>
              <w:rPr>
                <w:color w:val="auto"/>
                <w:sz w:val="24"/>
              </w:rPr>
            </w:pPr>
            <w:r>
              <w:rPr>
                <w:color w:val="auto"/>
                <w:sz w:val="24"/>
              </w:rPr>
              <w:t>报告编制人</w:t>
            </w:r>
          </w:p>
        </w:tc>
        <w:tc>
          <w:tcPr>
            <w:tcW w:w="671" w:type="pct"/>
            <w:noWrap w:val="0"/>
            <w:vAlign w:val="center"/>
          </w:tcPr>
          <w:p>
            <w:pPr>
              <w:adjustRightInd w:val="0"/>
              <w:snapToGrid w:val="0"/>
              <w:spacing w:line="360" w:lineRule="auto"/>
              <w:jc w:val="center"/>
              <w:rPr>
                <w:rFonts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罗沙浪</w:t>
            </w:r>
          </w:p>
        </w:tc>
        <w:tc>
          <w:tcPr>
            <w:tcW w:w="1500" w:type="pct"/>
            <w:noWrap w:val="0"/>
            <w:vAlign w:val="center"/>
          </w:tcPr>
          <w:p>
            <w:pPr>
              <w:adjustRightInd w:val="0"/>
              <w:snapToGrid w:val="0"/>
              <w:spacing w:line="360" w:lineRule="auto"/>
              <w:jc w:val="center"/>
              <w:rPr>
                <w:rFonts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S011035000110193001260</w:t>
            </w:r>
          </w:p>
        </w:tc>
        <w:tc>
          <w:tcPr>
            <w:tcW w:w="930" w:type="pct"/>
            <w:noWrap w:val="0"/>
            <w:vAlign w:val="center"/>
          </w:tcPr>
          <w:p>
            <w:pPr>
              <w:adjustRightInd w:val="0"/>
              <w:snapToGrid w:val="0"/>
              <w:spacing w:line="360" w:lineRule="auto"/>
              <w:jc w:val="center"/>
              <w:rPr>
                <w:rFonts w:ascii="Times New Roman" w:hAnsi="Times New Roman" w:eastAsia="宋体" w:cs="Times New Roman"/>
                <w:color w:val="auto"/>
                <w:kern w:val="2"/>
                <w:sz w:val="24"/>
                <w:szCs w:val="24"/>
                <w:lang w:val="en-US" w:eastAsia="zh-CN" w:bidi="ar-SA"/>
              </w:rPr>
            </w:pPr>
            <w:r>
              <w:rPr>
                <w:rFonts w:ascii="Times New Roman" w:hAnsi="Times New Roman" w:cs="Times New Roman"/>
                <w:color w:val="auto"/>
                <w:sz w:val="24"/>
              </w:rPr>
              <w:t>036829</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atLeast"/>
          <w:jc w:val="center"/>
        </w:trPr>
        <w:tc>
          <w:tcPr>
            <w:tcW w:w="1102" w:type="pct"/>
            <w:vMerge w:val="continue"/>
            <w:noWrap w:val="0"/>
            <w:vAlign w:val="center"/>
          </w:tcPr>
          <w:p>
            <w:pPr>
              <w:spacing w:line="360" w:lineRule="auto"/>
              <w:jc w:val="center"/>
              <w:rPr>
                <w:color w:val="auto"/>
                <w:sz w:val="24"/>
              </w:rPr>
            </w:pPr>
          </w:p>
        </w:tc>
        <w:tc>
          <w:tcPr>
            <w:tcW w:w="671" w:type="pct"/>
            <w:noWrap w:val="0"/>
            <w:vAlign w:val="center"/>
          </w:tcPr>
          <w:p>
            <w:pPr>
              <w:spacing w:line="360" w:lineRule="auto"/>
              <w:jc w:val="center"/>
              <w:rPr>
                <w:rFonts w:ascii="宋体" w:hAnsi="宋体" w:eastAsia="宋体" w:cs="Times New Roman"/>
                <w:color w:val="auto"/>
                <w:kern w:val="2"/>
                <w:sz w:val="24"/>
                <w:szCs w:val="24"/>
                <w:lang w:val="en-US" w:eastAsia="zh-CN" w:bidi="ar-SA"/>
              </w:rPr>
            </w:pPr>
            <w:r>
              <w:rPr>
                <w:color w:val="auto"/>
                <w:sz w:val="24"/>
              </w:rPr>
              <w:t>谢寒梅</w:t>
            </w:r>
          </w:p>
        </w:tc>
        <w:tc>
          <w:tcPr>
            <w:tcW w:w="1500" w:type="pct"/>
            <w:noWrap w:val="0"/>
            <w:vAlign w:val="center"/>
          </w:tcPr>
          <w:p>
            <w:pPr>
              <w:spacing w:line="36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sz w:val="24"/>
                <w:lang w:val="en-US" w:eastAsia="zh-CN"/>
              </w:rPr>
              <w:t>S011035000110192001584</w:t>
            </w:r>
          </w:p>
        </w:tc>
        <w:tc>
          <w:tcPr>
            <w:tcW w:w="930" w:type="pct"/>
            <w:noWrap w:val="0"/>
            <w:vAlign w:val="center"/>
          </w:tcPr>
          <w:p>
            <w:pPr>
              <w:spacing w:line="360" w:lineRule="auto"/>
              <w:jc w:val="center"/>
              <w:rPr>
                <w:rFonts w:hint="eastAsia" w:ascii="Times New Roman" w:hAnsi="Times New Roman" w:eastAsia="宋体" w:cs="Times New Roman"/>
                <w:color w:val="auto"/>
                <w:kern w:val="2"/>
                <w:sz w:val="24"/>
                <w:szCs w:val="24"/>
                <w:lang w:val="en-US" w:eastAsia="zh-CN" w:bidi="ar-SA"/>
              </w:rPr>
            </w:pPr>
            <w:r>
              <w:rPr>
                <w:color w:val="auto"/>
                <w:sz w:val="24"/>
              </w:rPr>
              <w:t>027089</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noWrap w:val="0"/>
            <w:vAlign w:val="center"/>
          </w:tcPr>
          <w:p>
            <w:pPr>
              <w:spacing w:line="360" w:lineRule="auto"/>
              <w:jc w:val="center"/>
              <w:rPr>
                <w:color w:val="auto"/>
                <w:sz w:val="24"/>
              </w:rPr>
            </w:pPr>
            <w:r>
              <w:rPr>
                <w:color w:val="auto"/>
                <w:sz w:val="24"/>
              </w:rPr>
              <w:t>报告审核人</w:t>
            </w:r>
          </w:p>
        </w:tc>
        <w:tc>
          <w:tcPr>
            <w:tcW w:w="671" w:type="pct"/>
            <w:noWrap w:val="0"/>
            <w:vAlign w:val="center"/>
          </w:tcPr>
          <w:p>
            <w:pPr>
              <w:spacing w:line="360" w:lineRule="auto"/>
              <w:jc w:val="center"/>
              <w:rPr>
                <w:rFonts w:hint="eastAsia"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sz w:val="24"/>
              </w:rPr>
              <w:t>戴  磷</w:t>
            </w:r>
          </w:p>
        </w:tc>
        <w:tc>
          <w:tcPr>
            <w:tcW w:w="1500" w:type="pct"/>
            <w:noWrap w:val="0"/>
            <w:vAlign w:val="center"/>
          </w:tcPr>
          <w:p>
            <w:pPr>
              <w:spacing w:line="360" w:lineRule="auto"/>
              <w:jc w:val="center"/>
              <w:rPr>
                <w:rFonts w:hint="eastAsia"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sz w:val="24"/>
              </w:rPr>
              <w:t>1100000000200597</w:t>
            </w:r>
          </w:p>
        </w:tc>
        <w:tc>
          <w:tcPr>
            <w:tcW w:w="930" w:type="pct"/>
            <w:noWrap w:val="0"/>
            <w:vAlign w:val="center"/>
          </w:tcPr>
          <w:p>
            <w:pPr>
              <w:spacing w:line="360" w:lineRule="auto"/>
              <w:jc w:val="center"/>
              <w:rPr>
                <w:rFonts w:hint="default" w:ascii="Times New Roman" w:hAnsi="Times New Roman" w:eastAsia="新宋体" w:cs="Times New Roman"/>
                <w:color w:val="auto"/>
                <w:kern w:val="2"/>
                <w:sz w:val="24"/>
                <w:szCs w:val="24"/>
                <w:lang w:val="en-US" w:eastAsia="zh-CN" w:bidi="ar-SA"/>
              </w:rPr>
            </w:pPr>
            <w:r>
              <w:rPr>
                <w:rFonts w:hint="default" w:ascii="Times New Roman" w:hAnsi="Times New Roman" w:eastAsia="新宋体" w:cs="Times New Roman"/>
                <w:color w:val="auto"/>
                <w:sz w:val="24"/>
              </w:rPr>
              <w:t>019915</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noWrap w:val="0"/>
            <w:vAlign w:val="center"/>
          </w:tcPr>
          <w:p>
            <w:pPr>
              <w:spacing w:line="360" w:lineRule="auto"/>
              <w:jc w:val="center"/>
              <w:rPr>
                <w:color w:val="auto"/>
                <w:sz w:val="24"/>
              </w:rPr>
            </w:pPr>
            <w:r>
              <w:rPr>
                <w:color w:val="auto"/>
                <w:sz w:val="24"/>
              </w:rPr>
              <w:t>过程控制负责人</w:t>
            </w:r>
          </w:p>
        </w:tc>
        <w:tc>
          <w:tcPr>
            <w:tcW w:w="671" w:type="pct"/>
            <w:noWrap w:val="0"/>
            <w:vAlign w:val="center"/>
          </w:tcPr>
          <w:p>
            <w:pPr>
              <w:spacing w:line="360" w:lineRule="auto"/>
              <w:jc w:val="center"/>
              <w:rPr>
                <w:rFonts w:hint="eastAsia" w:ascii="宋体" w:hAnsi="宋体"/>
                <w:color w:val="auto"/>
                <w:sz w:val="24"/>
              </w:rPr>
            </w:pPr>
            <w:r>
              <w:rPr>
                <w:rFonts w:hint="eastAsia" w:ascii="宋体" w:hAnsi="宋体"/>
                <w:color w:val="auto"/>
                <w:sz w:val="24"/>
              </w:rPr>
              <w:t>檀廷斌</w:t>
            </w:r>
          </w:p>
        </w:tc>
        <w:tc>
          <w:tcPr>
            <w:tcW w:w="1500" w:type="pct"/>
            <w:noWrap w:val="0"/>
            <w:vAlign w:val="center"/>
          </w:tcPr>
          <w:p>
            <w:pPr>
              <w:spacing w:line="360" w:lineRule="auto"/>
              <w:jc w:val="center"/>
              <w:rPr>
                <w:color w:val="auto"/>
                <w:sz w:val="24"/>
              </w:rPr>
            </w:pPr>
            <w:r>
              <w:rPr>
                <w:rFonts w:hint="eastAsia"/>
                <w:color w:val="auto"/>
                <w:sz w:val="24"/>
              </w:rPr>
              <w:t>1600000000200717</w:t>
            </w:r>
          </w:p>
        </w:tc>
        <w:tc>
          <w:tcPr>
            <w:tcW w:w="930" w:type="pct"/>
            <w:noWrap w:val="0"/>
            <w:vAlign w:val="center"/>
          </w:tcPr>
          <w:p>
            <w:pPr>
              <w:spacing w:line="360" w:lineRule="auto"/>
              <w:jc w:val="center"/>
              <w:rPr>
                <w:color w:val="auto"/>
                <w:sz w:val="24"/>
              </w:rPr>
            </w:pPr>
            <w:r>
              <w:rPr>
                <w:rFonts w:hint="eastAsia"/>
                <w:color w:val="auto"/>
                <w:sz w:val="24"/>
              </w:rPr>
              <w:t>029648</w:t>
            </w:r>
          </w:p>
        </w:tc>
        <w:tc>
          <w:tcPr>
            <w:tcW w:w="795" w:type="pct"/>
            <w:noWrap w:val="0"/>
            <w:vAlign w:val="center"/>
          </w:tcPr>
          <w:p>
            <w:pPr>
              <w:spacing w:line="360" w:lineRule="auto"/>
              <w:jc w:val="center"/>
              <w:rPr>
                <w:color w:val="auto"/>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1102" w:type="pct"/>
            <w:noWrap w:val="0"/>
            <w:vAlign w:val="center"/>
          </w:tcPr>
          <w:p>
            <w:pPr>
              <w:spacing w:line="360" w:lineRule="auto"/>
              <w:jc w:val="center"/>
              <w:rPr>
                <w:color w:val="auto"/>
                <w:sz w:val="24"/>
              </w:rPr>
            </w:pPr>
            <w:r>
              <w:rPr>
                <w:color w:val="auto"/>
                <w:sz w:val="24"/>
              </w:rPr>
              <w:t>技术负责人</w:t>
            </w:r>
          </w:p>
        </w:tc>
        <w:tc>
          <w:tcPr>
            <w:tcW w:w="671" w:type="pct"/>
            <w:noWrap w:val="0"/>
            <w:vAlign w:val="center"/>
          </w:tcPr>
          <w:p>
            <w:pPr>
              <w:spacing w:line="360" w:lineRule="auto"/>
              <w:jc w:val="center"/>
              <w:rPr>
                <w:color w:val="auto"/>
                <w:sz w:val="24"/>
              </w:rPr>
            </w:pPr>
            <w:r>
              <w:rPr>
                <w:color w:val="auto"/>
                <w:sz w:val="24"/>
              </w:rPr>
              <w:t>周红波</w:t>
            </w:r>
          </w:p>
        </w:tc>
        <w:tc>
          <w:tcPr>
            <w:tcW w:w="1500" w:type="pct"/>
            <w:noWrap w:val="0"/>
            <w:vAlign w:val="center"/>
          </w:tcPr>
          <w:p>
            <w:pPr>
              <w:spacing w:line="360" w:lineRule="auto"/>
              <w:jc w:val="center"/>
              <w:rPr>
                <w:color w:val="auto"/>
                <w:sz w:val="24"/>
              </w:rPr>
            </w:pPr>
            <w:r>
              <w:rPr>
                <w:color w:val="auto"/>
                <w:kern w:val="0"/>
                <w:sz w:val="24"/>
              </w:rPr>
              <w:t>1700000000100121</w:t>
            </w:r>
          </w:p>
        </w:tc>
        <w:tc>
          <w:tcPr>
            <w:tcW w:w="930" w:type="pct"/>
            <w:noWrap w:val="0"/>
            <w:vAlign w:val="center"/>
          </w:tcPr>
          <w:p>
            <w:pPr>
              <w:spacing w:line="360" w:lineRule="auto"/>
              <w:jc w:val="center"/>
              <w:rPr>
                <w:color w:val="auto"/>
                <w:sz w:val="24"/>
              </w:rPr>
            </w:pPr>
            <w:r>
              <w:rPr>
                <w:color w:val="auto"/>
                <w:sz w:val="24"/>
              </w:rPr>
              <w:t>020702</w:t>
            </w:r>
          </w:p>
        </w:tc>
        <w:tc>
          <w:tcPr>
            <w:tcW w:w="795" w:type="pct"/>
            <w:noWrap w:val="0"/>
            <w:vAlign w:val="center"/>
          </w:tcPr>
          <w:p>
            <w:pPr>
              <w:spacing w:line="360" w:lineRule="auto"/>
              <w:jc w:val="center"/>
              <w:rPr>
                <w:color w:val="auto"/>
                <w:sz w:val="24"/>
              </w:rPr>
            </w:pPr>
          </w:p>
        </w:tc>
      </w:tr>
    </w:tbl>
    <w:p>
      <w:pPr>
        <w:autoSpaceDE w:val="0"/>
        <w:autoSpaceDN w:val="0"/>
        <w:adjustRightInd w:val="0"/>
        <w:ind w:firstLine="643"/>
        <w:jc w:val="center"/>
        <w:rPr>
          <w:color w:val="auto"/>
        </w:rPr>
      </w:pPr>
      <w:r>
        <w:rPr>
          <w:rFonts w:hint="eastAsia" w:cs="宋体"/>
          <w:b/>
          <w:bCs/>
          <w:color w:val="auto"/>
          <w:sz w:val="32"/>
          <w:szCs w:val="32"/>
        </w:rPr>
        <w:t>参</w:t>
      </w:r>
      <w:r>
        <w:rPr>
          <w:b/>
          <w:bCs/>
          <w:color w:val="auto"/>
          <w:sz w:val="32"/>
          <w:szCs w:val="32"/>
        </w:rPr>
        <w:t xml:space="preserve">  </w:t>
      </w:r>
      <w:r>
        <w:rPr>
          <w:rFonts w:hint="eastAsia" w:cs="宋体"/>
          <w:b/>
          <w:bCs/>
          <w:color w:val="auto"/>
          <w:sz w:val="32"/>
          <w:szCs w:val="32"/>
        </w:rPr>
        <w:t>与</w:t>
      </w:r>
      <w:r>
        <w:rPr>
          <w:b/>
          <w:bCs/>
          <w:color w:val="auto"/>
          <w:sz w:val="32"/>
          <w:szCs w:val="32"/>
        </w:rPr>
        <w:t xml:space="preserve">  </w:t>
      </w:r>
      <w:r>
        <w:rPr>
          <w:rFonts w:hint="eastAsia" w:cs="宋体"/>
          <w:b/>
          <w:bCs/>
          <w:color w:val="auto"/>
          <w:sz w:val="32"/>
          <w:szCs w:val="32"/>
        </w:rPr>
        <w:t>人</w:t>
      </w:r>
      <w:r>
        <w:rPr>
          <w:b/>
          <w:bCs/>
          <w:color w:val="auto"/>
          <w:sz w:val="32"/>
          <w:szCs w:val="32"/>
        </w:rPr>
        <w:t xml:space="preserve">  </w:t>
      </w:r>
      <w:r>
        <w:rPr>
          <w:rFonts w:hint="eastAsia" w:cs="宋体"/>
          <w:b/>
          <w:bCs/>
          <w:color w:val="auto"/>
          <w:sz w:val="32"/>
          <w:szCs w:val="32"/>
        </w:rPr>
        <w:t>员</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4"/>
        <w:gridCol w:w="3180"/>
        <w:gridCol w:w="2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54" w:type="dxa"/>
            <w:noWrap w:val="0"/>
            <w:vAlign w:val="center"/>
          </w:tcPr>
          <w:p>
            <w:pPr>
              <w:spacing w:line="400" w:lineRule="exact"/>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姓  名</w:t>
            </w:r>
          </w:p>
        </w:tc>
        <w:tc>
          <w:tcPr>
            <w:tcW w:w="3180" w:type="dxa"/>
            <w:noWrap w:val="0"/>
            <w:vAlign w:val="center"/>
          </w:tcPr>
          <w:p>
            <w:pPr>
              <w:spacing w:line="400" w:lineRule="exact"/>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专  业</w:t>
            </w:r>
          </w:p>
        </w:tc>
        <w:tc>
          <w:tcPr>
            <w:tcW w:w="2995" w:type="dxa"/>
            <w:noWrap w:val="0"/>
            <w:vAlign w:val="center"/>
          </w:tcPr>
          <w:p>
            <w:pPr>
              <w:spacing w:line="400" w:lineRule="exact"/>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354" w:type="dxa"/>
            <w:noWrap w:val="0"/>
            <w:vAlign w:val="center"/>
          </w:tcPr>
          <w:p>
            <w:pPr>
              <w:spacing w:line="400" w:lineRule="exact"/>
              <w:jc w:val="center"/>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秦赋江</w:t>
            </w:r>
          </w:p>
        </w:tc>
        <w:tc>
          <w:tcPr>
            <w:tcW w:w="3180" w:type="dxa"/>
            <w:noWrap w:val="0"/>
            <w:vAlign w:val="center"/>
          </w:tcPr>
          <w:p>
            <w:pPr>
              <w:spacing w:line="400" w:lineRule="exact"/>
              <w:jc w:val="center"/>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冶金</w:t>
            </w:r>
            <w:r>
              <w:rPr>
                <w:rFonts w:hint="eastAsia" w:ascii="Times New Roman" w:hAnsi="Times New Roman" w:eastAsia="宋体" w:cs="Times New Roman"/>
                <w:color w:val="auto"/>
                <w:sz w:val="24"/>
              </w:rPr>
              <w:t>工程</w:t>
            </w:r>
          </w:p>
        </w:tc>
        <w:tc>
          <w:tcPr>
            <w:tcW w:w="2995" w:type="dxa"/>
            <w:noWrap w:val="0"/>
            <w:vAlign w:val="center"/>
          </w:tcPr>
          <w:p>
            <w:pPr>
              <w:spacing w:line="400" w:lineRule="exact"/>
              <w:jc w:val="center"/>
              <w:rPr>
                <w:rFonts w:hint="eastAsia" w:ascii="Times New Roman" w:hAnsi="Times New Roman" w:eastAsia="宋体" w:cs="Times New Roman"/>
                <w:color w:val="auto"/>
                <w:sz w:val="24"/>
              </w:rPr>
            </w:pPr>
          </w:p>
        </w:tc>
      </w:tr>
    </w:tbl>
    <w:p>
      <w:pPr>
        <w:jc w:val="center"/>
        <w:rPr>
          <w:rFonts w:eastAsia="黑体"/>
          <w:b/>
          <w:bCs/>
          <w:color w:val="auto"/>
          <w:sz w:val="32"/>
          <w:szCs w:val="32"/>
        </w:rPr>
      </w:pPr>
      <w:r>
        <w:rPr>
          <w:rFonts w:eastAsia="黑体"/>
          <w:b/>
          <w:bCs/>
          <w:color w:val="auto"/>
          <w:sz w:val="32"/>
          <w:szCs w:val="32"/>
        </w:rPr>
        <w:br w:type="page"/>
      </w:r>
    </w:p>
    <w:p>
      <w:pPr>
        <w:jc w:val="center"/>
        <w:rPr>
          <w:rFonts w:hint="eastAsia" w:eastAsia="黑体"/>
          <w:bCs/>
          <w:color w:val="auto"/>
          <w:sz w:val="32"/>
          <w:szCs w:val="32"/>
        </w:rPr>
      </w:pPr>
      <w:r>
        <w:rPr>
          <w:rFonts w:eastAsia="黑体"/>
          <w:bCs/>
          <w:color w:val="auto"/>
          <w:sz w:val="32"/>
          <w:szCs w:val="32"/>
        </w:rPr>
        <w:t>前　　言</w:t>
      </w:r>
    </w:p>
    <w:p>
      <w:pPr>
        <w:ind w:firstLine="560" w:firstLineChars="200"/>
        <w:rPr>
          <w:rFonts w:hint="eastAsia" w:ascii="宋体" w:hAnsi="宋体"/>
          <w:bCs/>
          <w:color w:val="auto"/>
          <w:sz w:val="28"/>
          <w:szCs w:val="28"/>
        </w:rPr>
      </w:pPr>
      <w:r>
        <w:rPr>
          <w:rFonts w:hint="eastAsia" w:hAnsi="宋体"/>
          <w:bCs/>
          <w:color w:val="auto"/>
          <w:sz w:val="28"/>
          <w:szCs w:val="28"/>
          <w:lang w:eastAsia="zh-CN"/>
        </w:rPr>
        <w:t>江西旺达新材料有限公司</w:t>
      </w:r>
      <w:r>
        <w:rPr>
          <w:rFonts w:hAnsi="宋体"/>
          <w:bCs/>
          <w:color w:val="auto"/>
          <w:sz w:val="28"/>
          <w:szCs w:val="28"/>
        </w:rPr>
        <w:t>成立于20</w:t>
      </w:r>
      <w:r>
        <w:rPr>
          <w:rFonts w:hint="eastAsia" w:hAnsi="宋体"/>
          <w:bCs/>
          <w:color w:val="auto"/>
          <w:sz w:val="28"/>
          <w:szCs w:val="28"/>
          <w:lang w:val="en-US" w:eastAsia="zh-CN"/>
        </w:rPr>
        <w:t>22</w:t>
      </w:r>
      <w:r>
        <w:rPr>
          <w:rFonts w:hAnsi="宋体"/>
          <w:bCs/>
          <w:color w:val="auto"/>
          <w:sz w:val="28"/>
          <w:szCs w:val="28"/>
        </w:rPr>
        <w:t>年</w:t>
      </w:r>
      <w:r>
        <w:rPr>
          <w:rFonts w:hint="eastAsia" w:hAnsi="宋体"/>
          <w:bCs/>
          <w:color w:val="auto"/>
          <w:sz w:val="28"/>
          <w:szCs w:val="28"/>
          <w:lang w:val="en-US" w:eastAsia="zh-CN"/>
        </w:rPr>
        <w:t>7</w:t>
      </w:r>
      <w:r>
        <w:rPr>
          <w:rFonts w:hAnsi="宋体"/>
          <w:bCs/>
          <w:color w:val="auto"/>
          <w:sz w:val="28"/>
          <w:szCs w:val="28"/>
        </w:rPr>
        <w:t>月</w:t>
      </w:r>
      <w:r>
        <w:rPr>
          <w:rFonts w:hint="eastAsia" w:hAnsi="宋体"/>
          <w:bCs/>
          <w:color w:val="auto"/>
          <w:sz w:val="28"/>
          <w:szCs w:val="28"/>
          <w:lang w:val="en-US" w:eastAsia="zh-CN"/>
        </w:rPr>
        <w:t>11</w:t>
      </w:r>
      <w:r>
        <w:rPr>
          <w:rFonts w:hAnsi="宋体"/>
          <w:bCs/>
          <w:color w:val="auto"/>
          <w:sz w:val="28"/>
          <w:szCs w:val="28"/>
        </w:rPr>
        <w:t>日，属有限责任公司（自然人投资或控股）。</w:t>
      </w:r>
      <w:r>
        <w:rPr>
          <w:rFonts w:hint="eastAsia" w:hAnsi="宋体"/>
          <w:bCs/>
          <w:color w:val="auto"/>
          <w:sz w:val="28"/>
          <w:szCs w:val="28"/>
          <w:lang w:val="en-US" w:eastAsia="zh-CN"/>
        </w:rPr>
        <w:t>注册住所为</w:t>
      </w:r>
      <w:r>
        <w:rPr>
          <w:rFonts w:hint="eastAsia" w:ascii="宋体" w:hAnsi="宋体"/>
          <w:color w:val="auto"/>
          <w:sz w:val="28"/>
        </w:rPr>
        <w:t>江西省</w:t>
      </w:r>
      <w:r>
        <w:rPr>
          <w:rFonts w:ascii="宋体" w:hAnsi="宋体"/>
          <w:color w:val="auto"/>
          <w:sz w:val="28"/>
        </w:rPr>
        <w:t>宜春市</w:t>
      </w:r>
      <w:r>
        <w:rPr>
          <w:rFonts w:hint="eastAsia" w:ascii="宋体" w:hAnsi="宋体"/>
          <w:color w:val="auto"/>
          <w:sz w:val="28"/>
          <w:lang w:val="en-US" w:eastAsia="zh-CN"/>
        </w:rPr>
        <w:t>袁州区医药工业园康顺路24号（自主承诺）</w:t>
      </w:r>
      <w:r>
        <w:rPr>
          <w:rFonts w:hAnsi="宋体"/>
          <w:bCs/>
          <w:color w:val="auto"/>
          <w:sz w:val="28"/>
          <w:szCs w:val="28"/>
        </w:rPr>
        <w:t>。法人代表：</w:t>
      </w:r>
      <w:r>
        <w:rPr>
          <w:rFonts w:hint="eastAsia" w:hAnsi="宋体"/>
          <w:bCs/>
          <w:color w:val="auto"/>
          <w:sz w:val="28"/>
          <w:szCs w:val="28"/>
          <w:lang w:val="en-US" w:eastAsia="zh-CN"/>
        </w:rPr>
        <w:t>黄小群</w:t>
      </w:r>
      <w:r>
        <w:rPr>
          <w:rFonts w:hAnsi="宋体"/>
          <w:bCs/>
          <w:color w:val="auto"/>
          <w:sz w:val="28"/>
          <w:szCs w:val="28"/>
        </w:rPr>
        <w:t>，注册资本：</w:t>
      </w:r>
      <w:r>
        <w:rPr>
          <w:rFonts w:hint="eastAsia" w:hAnsi="宋体"/>
          <w:bCs/>
          <w:color w:val="auto"/>
          <w:sz w:val="28"/>
          <w:szCs w:val="28"/>
          <w:lang w:val="en-US" w:eastAsia="zh-CN"/>
        </w:rPr>
        <w:t>888</w:t>
      </w:r>
      <w:r>
        <w:rPr>
          <w:rFonts w:hAnsi="宋体"/>
          <w:bCs/>
          <w:color w:val="auto"/>
          <w:sz w:val="28"/>
          <w:szCs w:val="28"/>
        </w:rPr>
        <w:t>万元。经营范围：</w:t>
      </w:r>
      <w:r>
        <w:rPr>
          <w:rFonts w:hint="eastAsia" w:hAnsi="宋体"/>
          <w:bCs/>
          <w:color w:val="auto"/>
          <w:sz w:val="28"/>
          <w:szCs w:val="28"/>
          <w:lang w:val="en-US" w:eastAsia="zh-CN"/>
        </w:rPr>
        <w:t>一般项目：合成材料制造（不含危险化学品</w:t>
      </w:r>
      <w:r>
        <w:rPr>
          <w:rFonts w:hAnsi="宋体"/>
          <w:bCs/>
          <w:color w:val="auto"/>
          <w:sz w:val="28"/>
          <w:szCs w:val="28"/>
        </w:rPr>
        <w:t>）</w:t>
      </w:r>
      <w:r>
        <w:rPr>
          <w:rFonts w:hint="eastAsia" w:hAnsi="宋体"/>
          <w:bCs/>
          <w:color w:val="auto"/>
          <w:sz w:val="28"/>
          <w:szCs w:val="28"/>
          <w:lang w:eastAsia="zh-CN"/>
        </w:rPr>
        <w:t>，</w:t>
      </w:r>
      <w:r>
        <w:rPr>
          <w:rFonts w:hint="eastAsia" w:hAnsi="宋体"/>
          <w:bCs/>
          <w:color w:val="auto"/>
          <w:sz w:val="28"/>
          <w:szCs w:val="28"/>
          <w:lang w:val="en-US" w:eastAsia="zh-CN"/>
        </w:rPr>
        <w:t>玻璃纤维增强塑料制品制造，塑料制品销售，玻璃制造，化工产品销售（不含许可类化工产品）</w:t>
      </w:r>
      <w:r>
        <w:rPr>
          <w:rFonts w:hint="eastAsia" w:hAnsi="宋体"/>
          <w:bCs/>
          <w:color w:val="auto"/>
          <w:sz w:val="28"/>
          <w:szCs w:val="28"/>
          <w:lang w:eastAsia="zh-CN"/>
        </w:rPr>
        <w:t>、</w:t>
      </w:r>
      <w:r>
        <w:rPr>
          <w:rFonts w:hint="eastAsia" w:hAnsi="宋体"/>
          <w:bCs/>
          <w:color w:val="auto"/>
          <w:sz w:val="28"/>
          <w:szCs w:val="28"/>
          <w:lang w:val="en-US" w:eastAsia="zh-CN"/>
        </w:rPr>
        <w:t>合成材料销售（除许可业务外，可自主依法经营法律法规非禁止或限制的项目）</w:t>
      </w:r>
      <w:r>
        <w:rPr>
          <w:rFonts w:hAnsi="宋体"/>
          <w:bCs/>
          <w:color w:val="auto"/>
          <w:sz w:val="28"/>
          <w:szCs w:val="28"/>
        </w:rPr>
        <w:t>。</w:t>
      </w:r>
    </w:p>
    <w:p>
      <w:pPr>
        <w:ind w:firstLine="560" w:firstLineChars="200"/>
        <w:rPr>
          <w:rFonts w:hint="eastAsia"/>
          <w:bCs/>
          <w:color w:val="auto"/>
          <w:sz w:val="28"/>
          <w:szCs w:val="28"/>
        </w:rPr>
      </w:pPr>
      <w:r>
        <w:rPr>
          <w:rFonts w:hAnsi="宋体"/>
          <w:bCs/>
          <w:color w:val="auto"/>
          <w:sz w:val="28"/>
          <w:szCs w:val="28"/>
        </w:rPr>
        <w:t>该项目</w:t>
      </w:r>
      <w:r>
        <w:rPr>
          <w:rFonts w:hint="eastAsia" w:hAnsi="宋体"/>
          <w:bCs/>
          <w:color w:val="auto"/>
          <w:sz w:val="28"/>
          <w:szCs w:val="28"/>
          <w:lang w:val="en-US" w:eastAsia="zh-CN"/>
        </w:rPr>
        <w:t>建设地址位</w:t>
      </w:r>
      <w:r>
        <w:rPr>
          <w:rFonts w:hAnsi="宋体"/>
          <w:bCs/>
          <w:color w:val="auto"/>
          <w:sz w:val="28"/>
          <w:szCs w:val="28"/>
        </w:rPr>
        <w:t>于江西省</w:t>
      </w:r>
      <w:r>
        <w:rPr>
          <w:rFonts w:hint="eastAsia" w:hAnsi="宋体"/>
          <w:bCs/>
          <w:color w:val="auto"/>
          <w:sz w:val="28"/>
          <w:szCs w:val="28"/>
          <w:lang w:eastAsia="zh-CN"/>
        </w:rPr>
        <w:t>宜春市</w:t>
      </w:r>
      <w:r>
        <w:rPr>
          <w:rFonts w:hint="eastAsia" w:hAnsi="宋体"/>
          <w:bCs/>
          <w:color w:val="auto"/>
          <w:sz w:val="28"/>
          <w:szCs w:val="28"/>
          <w:lang w:val="en-US" w:eastAsia="zh-CN"/>
        </w:rPr>
        <w:t xml:space="preserve">袁州区医药化工园区 </w:t>
      </w:r>
      <w:r>
        <w:rPr>
          <w:rFonts w:hAnsi="宋体"/>
          <w:bCs/>
          <w:color w:val="auto"/>
          <w:sz w:val="28"/>
          <w:szCs w:val="28"/>
        </w:rPr>
        <w:t>。</w:t>
      </w:r>
      <w:r>
        <w:rPr>
          <w:rFonts w:hint="eastAsia"/>
          <w:bCs/>
          <w:color w:val="auto"/>
          <w:sz w:val="28"/>
          <w:szCs w:val="28"/>
          <w:highlight w:val="none"/>
          <w:lang w:val="en-US" w:eastAsia="zh-CN"/>
        </w:rPr>
        <w:t>该公司完成新征土地40亩，该项目为该公司一期项目：</w:t>
      </w:r>
      <w:r>
        <w:rPr>
          <w:rFonts w:hint="eastAsia"/>
          <w:bCs/>
          <w:color w:val="auto"/>
          <w:sz w:val="28"/>
          <w:szCs w:val="28"/>
          <w:lang w:val="en-US" w:eastAsia="zh-CN"/>
        </w:rPr>
        <w:t>年产20000吨有机玻璃原料生产项目（于2022年8月18日取得江西省企业投资项目备案通知书，项目统一代码为：2208-360902-04-05-436045），占地28.1亩（位于化工园区四至范围内），新建生产厂房及仓储、办公及辅助生产用房等设施，项目用地面积18715.84m</w:t>
      </w:r>
      <w:r>
        <w:rPr>
          <w:rFonts w:hint="eastAsia"/>
          <w:bCs/>
          <w:color w:val="auto"/>
          <w:sz w:val="28"/>
          <w:szCs w:val="28"/>
          <w:vertAlign w:val="superscript"/>
          <w:lang w:val="en-US" w:eastAsia="zh-CN"/>
        </w:rPr>
        <w:t>2</w:t>
      </w:r>
      <w:r>
        <w:rPr>
          <w:rFonts w:hint="eastAsia"/>
          <w:bCs/>
          <w:color w:val="auto"/>
          <w:sz w:val="28"/>
          <w:szCs w:val="28"/>
        </w:rPr>
        <w:t>，</w:t>
      </w:r>
      <w:r>
        <w:rPr>
          <w:rFonts w:hint="eastAsia"/>
          <w:bCs/>
          <w:color w:val="auto"/>
          <w:sz w:val="28"/>
          <w:szCs w:val="28"/>
          <w:lang w:val="en-US" w:eastAsia="zh-CN"/>
        </w:rPr>
        <w:t>以满足项目生产需要，并完成道路、绿化等工程。</w:t>
      </w:r>
      <w:r>
        <w:rPr>
          <w:rFonts w:hint="eastAsia"/>
          <w:bCs/>
          <w:color w:val="auto"/>
          <w:sz w:val="28"/>
          <w:szCs w:val="28"/>
        </w:rPr>
        <w:t>以外购有机玻璃</w:t>
      </w:r>
      <w:r>
        <w:rPr>
          <w:rFonts w:hint="eastAsia"/>
          <w:bCs/>
          <w:color w:val="auto"/>
          <w:sz w:val="28"/>
          <w:szCs w:val="28"/>
          <w:lang w:val="en-US" w:eastAsia="zh-CN"/>
        </w:rPr>
        <w:t>边角料和废料</w:t>
      </w:r>
      <w:r>
        <w:rPr>
          <w:rFonts w:hint="eastAsia"/>
          <w:bCs/>
          <w:color w:val="auto"/>
          <w:sz w:val="28"/>
          <w:szCs w:val="28"/>
        </w:rPr>
        <w:t>作为原料，通过裂解、精馏工序，得到有机玻璃单体。</w:t>
      </w:r>
    </w:p>
    <w:p>
      <w:pPr>
        <w:ind w:firstLine="560" w:firstLineChars="200"/>
        <w:rPr>
          <w:bCs/>
          <w:color w:val="auto"/>
          <w:sz w:val="28"/>
          <w:szCs w:val="28"/>
        </w:rPr>
      </w:pPr>
      <w:r>
        <w:rPr>
          <w:rFonts w:hint="eastAsia"/>
          <w:bCs/>
          <w:color w:val="auto"/>
          <w:sz w:val="28"/>
          <w:szCs w:val="28"/>
          <w:lang w:val="en-US" w:eastAsia="zh-CN"/>
        </w:rPr>
        <w:t>该项目</w:t>
      </w:r>
      <w:r>
        <w:rPr>
          <w:rFonts w:hint="eastAsia"/>
          <w:bCs/>
          <w:color w:val="auto"/>
          <w:sz w:val="28"/>
          <w:szCs w:val="28"/>
        </w:rPr>
        <w:t>采用国内的可靠的工艺生产技术，努力降低产品成本，提高产品质量，使该项目主要技术经济指标达到国内先进水平，并选用国内外较先进的生产工艺设备、较高的自控水平和良好的科研与检测装备，从而具备完善的生产环境，保证产品质量，使企业获得较好的经济效益和社会效益。</w:t>
      </w:r>
    </w:p>
    <w:p>
      <w:pPr>
        <w:ind w:firstLine="560" w:firstLineChars="200"/>
        <w:rPr>
          <w:rFonts w:hint="eastAsia" w:ascii="宋体" w:hAnsi="宋体"/>
          <w:bCs/>
          <w:color w:val="auto"/>
          <w:sz w:val="28"/>
          <w:szCs w:val="28"/>
        </w:rPr>
      </w:pPr>
      <w:r>
        <w:rPr>
          <w:rFonts w:hint="eastAsia"/>
          <w:bCs/>
          <w:color w:val="auto"/>
          <w:sz w:val="28"/>
          <w:szCs w:val="28"/>
          <w:highlight w:val="none"/>
        </w:rPr>
        <w:t>该项目</w:t>
      </w:r>
      <w:r>
        <w:rPr>
          <w:rFonts w:hint="eastAsia"/>
          <w:bCs/>
          <w:color w:val="auto"/>
          <w:sz w:val="28"/>
          <w:szCs w:val="28"/>
          <w:highlight w:val="none"/>
          <w:lang w:val="en-US" w:eastAsia="zh-CN"/>
        </w:rPr>
        <w:t>涉及的生产工艺主要有：裂解工艺、精馏工艺，其中裂解工艺属于重点监管的危险化工工艺</w:t>
      </w:r>
      <w:r>
        <w:rPr>
          <w:rFonts w:hint="eastAsia"/>
          <w:bCs/>
          <w:color w:val="auto"/>
          <w:sz w:val="28"/>
          <w:szCs w:val="28"/>
          <w:lang w:val="en-US" w:eastAsia="zh-CN"/>
        </w:rPr>
        <w:t>；</w:t>
      </w:r>
      <w:r>
        <w:rPr>
          <w:rFonts w:hint="eastAsia"/>
          <w:bCs/>
          <w:color w:val="auto"/>
          <w:sz w:val="28"/>
          <w:szCs w:val="28"/>
        </w:rPr>
        <w:t>该</w:t>
      </w:r>
      <w:r>
        <w:rPr>
          <w:bCs/>
          <w:color w:val="auto"/>
          <w:sz w:val="28"/>
          <w:szCs w:val="28"/>
        </w:rPr>
        <w:t>项目涉及</w:t>
      </w:r>
      <w:r>
        <w:rPr>
          <w:rFonts w:hint="eastAsia"/>
          <w:bCs/>
          <w:color w:val="auto"/>
          <w:sz w:val="28"/>
          <w:szCs w:val="28"/>
          <w:lang w:val="en-US" w:eastAsia="zh-CN"/>
        </w:rPr>
        <w:t>的化学物质主要有：</w:t>
      </w:r>
      <w:r>
        <w:rPr>
          <w:bCs/>
          <w:color w:val="auto"/>
          <w:sz w:val="28"/>
          <w:szCs w:val="28"/>
        </w:rPr>
        <w:t>甲基丙烯酸甲酯</w:t>
      </w:r>
      <w:r>
        <w:rPr>
          <w:rFonts w:hint="eastAsia"/>
          <w:bCs/>
          <w:color w:val="auto"/>
          <w:sz w:val="28"/>
          <w:szCs w:val="28"/>
          <w:lang w:eastAsia="zh-CN"/>
        </w:rPr>
        <w:t>、</w:t>
      </w:r>
      <w:r>
        <w:rPr>
          <w:rFonts w:hint="eastAsia"/>
          <w:bCs/>
          <w:color w:val="auto"/>
          <w:sz w:val="28"/>
          <w:szCs w:val="28"/>
          <w:lang w:val="en-US" w:eastAsia="zh-CN"/>
        </w:rPr>
        <w:t>对苯二酚、甲醇、丙烯酸甲酯、甲基丙烯酸、柴油、氮气（压缩的）、精馏残液（</w:t>
      </w:r>
      <w:r>
        <w:rPr>
          <w:rFonts w:hint="eastAsia"/>
          <w:color w:val="auto"/>
          <w:lang w:val="en-US" w:eastAsia="zh-CN"/>
        </w:rPr>
        <w:t>聚甲基丙烯酸甲酯、环己烯（烷）二甲酸二甲酯类、环戊烯（烷）二甲酸二甲酯类</w:t>
      </w:r>
      <w:r>
        <w:rPr>
          <w:rFonts w:hint="eastAsia"/>
          <w:bCs/>
          <w:color w:val="auto"/>
          <w:sz w:val="28"/>
          <w:szCs w:val="28"/>
          <w:lang w:val="en-US" w:eastAsia="zh-CN"/>
        </w:rPr>
        <w:t>混合物）、</w:t>
      </w:r>
      <w:r>
        <w:rPr>
          <w:rFonts w:hint="eastAsia"/>
          <w:bCs/>
          <w:color w:val="auto"/>
          <w:sz w:val="28"/>
          <w:szCs w:val="28"/>
          <w:highlight w:val="none"/>
          <w:lang w:val="en-US" w:eastAsia="zh-CN"/>
        </w:rPr>
        <w:t>裂解残渣（</w:t>
      </w:r>
      <w:r>
        <w:rPr>
          <w:rFonts w:hint="eastAsia"/>
          <w:color w:val="auto"/>
          <w:highlight w:val="none"/>
        </w:rPr>
        <w:t>硬脂酸、邻苯二甲酸二丁酯</w:t>
      </w:r>
      <w:r>
        <w:rPr>
          <w:rFonts w:hint="eastAsia"/>
          <w:bCs/>
          <w:color w:val="auto"/>
          <w:sz w:val="28"/>
          <w:szCs w:val="28"/>
          <w:highlight w:val="none"/>
          <w:lang w:val="en-US" w:eastAsia="zh-CN"/>
        </w:rPr>
        <w:t>）</w:t>
      </w:r>
      <w:r>
        <w:rPr>
          <w:rFonts w:hint="eastAsia"/>
          <w:bCs/>
          <w:color w:val="auto"/>
          <w:sz w:val="28"/>
          <w:szCs w:val="28"/>
          <w:lang w:val="en-US" w:eastAsia="zh-CN"/>
        </w:rPr>
        <w:t>等，其中甲基丙烯酸甲酯、对苯二酚、甲醇、丙烯酸甲酯、甲基丙烯酸、柴油、氮气（压缩的）</w:t>
      </w:r>
      <w:r>
        <w:rPr>
          <w:bCs/>
          <w:color w:val="auto"/>
          <w:sz w:val="28"/>
          <w:szCs w:val="28"/>
        </w:rPr>
        <w:t>属于危险化学品</w:t>
      </w:r>
      <w:r>
        <w:rPr>
          <w:rFonts w:hint="eastAsia"/>
          <w:bCs/>
          <w:color w:val="auto"/>
          <w:sz w:val="28"/>
          <w:szCs w:val="28"/>
        </w:rPr>
        <w:t>，</w:t>
      </w:r>
      <w:r>
        <w:rPr>
          <w:rFonts w:hint="eastAsia"/>
          <w:bCs/>
          <w:color w:val="auto"/>
          <w:sz w:val="28"/>
          <w:szCs w:val="28"/>
          <w:lang w:val="en-US" w:eastAsia="zh-CN"/>
        </w:rPr>
        <w:t>其中尾气成份中的甲醇属于重点重点监管的危险化学品；该项目不涉及危险化学品重大危险源。</w:t>
      </w:r>
      <w:r>
        <w:rPr>
          <w:rFonts w:hint="eastAsia"/>
          <w:bCs/>
          <w:color w:val="auto"/>
          <w:sz w:val="28"/>
          <w:szCs w:val="28"/>
        </w:rPr>
        <w:t>为了抑制甲基丙烯酸甲酯聚合，需在成品中添加少量</w:t>
      </w:r>
      <w:r>
        <w:rPr>
          <w:rFonts w:hint="eastAsia"/>
          <w:bCs/>
          <w:color w:val="auto"/>
          <w:sz w:val="28"/>
          <w:szCs w:val="28"/>
          <w:lang w:val="en-US" w:eastAsia="zh-CN"/>
        </w:rPr>
        <w:t>阻聚剂（对苯二酚）</w:t>
      </w:r>
      <w:r>
        <w:rPr>
          <w:bCs/>
          <w:color w:val="auto"/>
          <w:sz w:val="28"/>
          <w:szCs w:val="28"/>
        </w:rPr>
        <w:t>，该建设项目属于危险化学品建设项目。根据《危险化学品生产企业安全生产许可证实施办法》国家安全生产监督管理总局令2011年第41号，</w:t>
      </w:r>
      <w:r>
        <w:rPr>
          <w:rFonts w:hint="eastAsia"/>
          <w:bCs/>
          <w:color w:val="auto"/>
          <w:sz w:val="28"/>
          <w:szCs w:val="28"/>
          <w:lang w:val="en-US" w:eastAsia="zh-CN"/>
        </w:rPr>
        <w:t>第79号修改</w:t>
      </w:r>
      <w:r>
        <w:rPr>
          <w:bCs/>
          <w:color w:val="auto"/>
          <w:sz w:val="28"/>
          <w:szCs w:val="28"/>
        </w:rPr>
        <w:t>的要求</w:t>
      </w:r>
      <w:r>
        <w:rPr>
          <w:rFonts w:hint="eastAsia"/>
          <w:bCs/>
          <w:color w:val="auto"/>
          <w:sz w:val="28"/>
          <w:szCs w:val="28"/>
          <w:lang w:val="en-US" w:eastAsia="zh-CN"/>
        </w:rPr>
        <w:t>。</w:t>
      </w:r>
      <w:r>
        <w:rPr>
          <w:bCs/>
          <w:color w:val="auto"/>
          <w:sz w:val="28"/>
          <w:szCs w:val="28"/>
        </w:rPr>
        <w:t>项目单位需办理危险化学品安全生产许可证。</w:t>
      </w:r>
    </w:p>
    <w:p>
      <w:pPr>
        <w:ind w:firstLine="560" w:firstLineChars="200"/>
        <w:jc w:val="left"/>
        <w:rPr>
          <w:color w:val="auto"/>
          <w:sz w:val="28"/>
          <w:szCs w:val="28"/>
        </w:rPr>
      </w:pPr>
      <w:r>
        <w:rPr>
          <w:rFonts w:hAnsi="宋体"/>
          <w:color w:val="auto"/>
          <w:sz w:val="28"/>
          <w:szCs w:val="28"/>
        </w:rPr>
        <w:t>根据《中华人民共和国安全生产法》、《江西省安全生产条例》、《国务院关于进一步加强企业安全生产工作的通知》</w:t>
      </w:r>
      <w:r>
        <w:rPr>
          <w:rFonts w:hint="eastAsia" w:hAnsi="宋体"/>
          <w:color w:val="auto"/>
          <w:sz w:val="28"/>
          <w:szCs w:val="28"/>
        </w:rPr>
        <w:t>（</w:t>
      </w:r>
      <w:r>
        <w:rPr>
          <w:rFonts w:hAnsi="宋体"/>
          <w:color w:val="auto"/>
          <w:sz w:val="28"/>
          <w:szCs w:val="28"/>
        </w:rPr>
        <w:t>国发〔</w:t>
      </w:r>
      <w:r>
        <w:rPr>
          <w:color w:val="auto"/>
          <w:sz w:val="28"/>
          <w:szCs w:val="28"/>
        </w:rPr>
        <w:t>2010</w:t>
      </w:r>
      <w:r>
        <w:rPr>
          <w:rFonts w:hAnsi="宋体"/>
          <w:color w:val="auto"/>
          <w:sz w:val="28"/>
          <w:szCs w:val="28"/>
        </w:rPr>
        <w:t>〕</w:t>
      </w:r>
      <w:r>
        <w:rPr>
          <w:color w:val="auto"/>
          <w:sz w:val="28"/>
          <w:szCs w:val="28"/>
        </w:rPr>
        <w:t>23</w:t>
      </w:r>
      <w:r>
        <w:rPr>
          <w:rFonts w:hAnsi="宋体"/>
          <w:color w:val="auto"/>
          <w:sz w:val="28"/>
          <w:szCs w:val="28"/>
        </w:rPr>
        <w:t>号</w:t>
      </w:r>
      <w:r>
        <w:rPr>
          <w:rFonts w:hint="eastAsia" w:hAnsi="宋体"/>
          <w:color w:val="auto"/>
          <w:sz w:val="28"/>
          <w:szCs w:val="28"/>
        </w:rPr>
        <w:t>）、《国家安全监管总局关于修改</w:t>
      </w:r>
      <w:r>
        <w:rPr>
          <w:rFonts w:hAnsi="宋体"/>
          <w:color w:val="auto"/>
          <w:sz w:val="28"/>
          <w:szCs w:val="28"/>
        </w:rPr>
        <w:t>&lt;</w:t>
      </w:r>
      <w:r>
        <w:rPr>
          <w:rFonts w:hint="eastAsia" w:hAnsi="宋体"/>
          <w:color w:val="auto"/>
          <w:sz w:val="28"/>
          <w:szCs w:val="28"/>
        </w:rPr>
        <w:t>生产安全事故报告和调查处理条例</w:t>
      </w:r>
      <w:r>
        <w:rPr>
          <w:rFonts w:hAnsi="宋体"/>
          <w:color w:val="auto"/>
          <w:sz w:val="28"/>
          <w:szCs w:val="28"/>
        </w:rPr>
        <w:t>&gt;</w:t>
      </w:r>
      <w:r>
        <w:rPr>
          <w:rFonts w:hint="eastAsia" w:hAnsi="宋体"/>
          <w:color w:val="auto"/>
          <w:sz w:val="28"/>
          <w:szCs w:val="28"/>
        </w:rPr>
        <w:t>罚款处罚暂行规定等四部规章的决定</w:t>
      </w:r>
      <w:r>
        <w:rPr>
          <w:rFonts w:hAnsi="宋体"/>
          <w:color w:val="auto"/>
          <w:sz w:val="28"/>
          <w:szCs w:val="28"/>
        </w:rPr>
        <w:t>》国家安全生产监督管理总局</w:t>
      </w:r>
      <w:r>
        <w:rPr>
          <w:rFonts w:hint="eastAsia" w:hAnsi="宋体"/>
          <w:color w:val="auto"/>
          <w:sz w:val="28"/>
          <w:szCs w:val="28"/>
        </w:rPr>
        <w:t>77</w:t>
      </w:r>
      <w:r>
        <w:rPr>
          <w:rFonts w:hAnsi="宋体"/>
          <w:color w:val="auto"/>
          <w:sz w:val="28"/>
          <w:szCs w:val="28"/>
        </w:rPr>
        <w:t>号令</w:t>
      </w:r>
      <w:r>
        <w:rPr>
          <w:rFonts w:hint="eastAsia" w:hAnsi="宋体"/>
          <w:color w:val="auto"/>
          <w:sz w:val="28"/>
          <w:szCs w:val="28"/>
        </w:rPr>
        <w:t>、《</w:t>
      </w:r>
      <w:r>
        <w:rPr>
          <w:color w:val="auto"/>
          <w:sz w:val="28"/>
        </w:rPr>
        <w:t>危险化学品建设项目安全</w:t>
      </w:r>
      <w:r>
        <w:rPr>
          <w:rFonts w:hint="eastAsia"/>
          <w:color w:val="auto"/>
          <w:sz w:val="28"/>
        </w:rPr>
        <w:t>监督管理</w:t>
      </w:r>
      <w:r>
        <w:rPr>
          <w:color w:val="auto"/>
          <w:sz w:val="28"/>
        </w:rPr>
        <w:t>办法》国家安全生产监督管理总局</w:t>
      </w:r>
      <w:r>
        <w:rPr>
          <w:rFonts w:hint="eastAsia"/>
          <w:color w:val="auto"/>
          <w:sz w:val="28"/>
        </w:rPr>
        <w:t>45</w:t>
      </w:r>
      <w:r>
        <w:rPr>
          <w:color w:val="auto"/>
          <w:sz w:val="28"/>
        </w:rPr>
        <w:t>号令的要求</w:t>
      </w:r>
      <w:r>
        <w:rPr>
          <w:rFonts w:hint="eastAsia"/>
          <w:color w:val="auto"/>
          <w:sz w:val="28"/>
          <w:lang w:eastAsia="zh-CN"/>
        </w:rPr>
        <w:t>、江西省应急管理厅关于印发《江西省危险化学品建设项目安全监督管理 实施细则（试行）的通知》赣应急字〔2021〕100号</w:t>
      </w:r>
      <w:r>
        <w:rPr>
          <w:rFonts w:hint="eastAsia" w:hAnsi="宋体"/>
          <w:color w:val="auto"/>
          <w:sz w:val="28"/>
          <w:szCs w:val="28"/>
        </w:rPr>
        <w:t>，</w:t>
      </w:r>
      <w:r>
        <w:rPr>
          <w:color w:val="auto"/>
          <w:sz w:val="28"/>
        </w:rPr>
        <w:t>新、改、扩建项目必须进行安全</w:t>
      </w:r>
      <w:r>
        <w:rPr>
          <w:rFonts w:hint="eastAsia"/>
          <w:color w:val="auto"/>
          <w:sz w:val="28"/>
        </w:rPr>
        <w:t>预</w:t>
      </w:r>
      <w:r>
        <w:rPr>
          <w:color w:val="auto"/>
          <w:sz w:val="28"/>
        </w:rPr>
        <w:t>评价，以确保工程的安全设施与主体工程同时设计、同时施工、同时投产使用，保证工程在安全方面符合国家及行业有关法规和标准、规范。</w:t>
      </w:r>
    </w:p>
    <w:p>
      <w:pPr>
        <w:ind w:firstLine="560" w:firstLineChars="200"/>
        <w:rPr>
          <w:rFonts w:eastAsia="黑体"/>
          <w:b/>
          <w:bCs/>
          <w:color w:val="auto"/>
          <w:sz w:val="32"/>
          <w:szCs w:val="32"/>
        </w:rPr>
      </w:pPr>
      <w:r>
        <w:rPr>
          <w:color w:val="auto"/>
          <w:sz w:val="28"/>
        </w:rPr>
        <w:t>受</w:t>
      </w:r>
      <w:r>
        <w:rPr>
          <w:rFonts w:hint="eastAsia"/>
          <w:color w:val="auto"/>
          <w:sz w:val="28"/>
          <w:lang w:eastAsia="zh-CN"/>
        </w:rPr>
        <w:t>江西旺达新材料有限公司</w:t>
      </w:r>
      <w:r>
        <w:rPr>
          <w:color w:val="auto"/>
          <w:sz w:val="28"/>
        </w:rPr>
        <w:t>的委托，江西赣安安全生产科学技术咨询服务中心承担了其</w:t>
      </w:r>
      <w:r>
        <w:rPr>
          <w:rFonts w:hAnsi="宋体"/>
          <w:color w:val="auto"/>
          <w:sz w:val="28"/>
          <w:szCs w:val="28"/>
        </w:rPr>
        <w:t>年产</w:t>
      </w:r>
      <w:r>
        <w:rPr>
          <w:color w:val="auto"/>
          <w:sz w:val="28"/>
          <w:szCs w:val="28"/>
        </w:rPr>
        <w:t>2000</w:t>
      </w:r>
      <w:r>
        <w:rPr>
          <w:rFonts w:hint="eastAsia"/>
          <w:color w:val="auto"/>
          <w:sz w:val="28"/>
          <w:szCs w:val="28"/>
          <w:lang w:val="en-US" w:eastAsia="zh-CN"/>
        </w:rPr>
        <w:t>0</w:t>
      </w:r>
      <w:r>
        <w:rPr>
          <w:rFonts w:hAnsi="宋体"/>
          <w:color w:val="auto"/>
          <w:sz w:val="28"/>
          <w:szCs w:val="28"/>
        </w:rPr>
        <w:t>吨有机玻璃</w:t>
      </w:r>
      <w:r>
        <w:rPr>
          <w:rFonts w:hint="eastAsia" w:hAnsi="宋体"/>
          <w:color w:val="auto"/>
          <w:sz w:val="28"/>
          <w:szCs w:val="28"/>
          <w:lang w:val="en-US" w:eastAsia="zh-CN"/>
        </w:rPr>
        <w:t>原料生产</w:t>
      </w:r>
      <w:r>
        <w:rPr>
          <w:rFonts w:hAnsi="宋体"/>
          <w:color w:val="auto"/>
          <w:sz w:val="28"/>
          <w:szCs w:val="28"/>
        </w:rPr>
        <w:t>项目</w:t>
      </w:r>
      <w:r>
        <w:rPr>
          <w:color w:val="auto"/>
          <w:sz w:val="28"/>
        </w:rPr>
        <w:t>的安全</w:t>
      </w:r>
      <w:r>
        <w:rPr>
          <w:rFonts w:hint="eastAsia"/>
          <w:color w:val="auto"/>
          <w:sz w:val="28"/>
          <w:lang w:val="en-US" w:eastAsia="zh-CN"/>
        </w:rPr>
        <w:t>条件</w:t>
      </w:r>
      <w:r>
        <w:rPr>
          <w:color w:val="auto"/>
          <w:sz w:val="28"/>
        </w:rPr>
        <w:t>评价工作。组织评价组对项目可行性研究报告等技术资料进行了调查分析、对拟建现场进行了勘查，并对类似项目进行了类比调研。</w:t>
      </w:r>
      <w:r>
        <w:rPr>
          <w:color w:val="auto"/>
          <w:kern w:val="0"/>
          <w:sz w:val="28"/>
          <w:szCs w:val="28"/>
          <w:lang w:val="zh-CN"/>
        </w:rPr>
        <w:t>依据</w:t>
      </w:r>
      <w:r>
        <w:rPr>
          <w:rFonts w:hAnsi="宋体"/>
          <w:color w:val="auto"/>
          <w:sz w:val="28"/>
          <w:szCs w:val="28"/>
        </w:rPr>
        <w:t>《危险化学品建设项目安全监督管理办法》（国家安全生产监督管理总局令第</w:t>
      </w:r>
      <w:r>
        <w:rPr>
          <w:color w:val="auto"/>
          <w:sz w:val="28"/>
          <w:szCs w:val="28"/>
        </w:rPr>
        <w:t>45</w:t>
      </w:r>
      <w:r>
        <w:rPr>
          <w:rFonts w:hAnsi="宋体"/>
          <w:color w:val="auto"/>
          <w:sz w:val="28"/>
          <w:szCs w:val="28"/>
        </w:rPr>
        <w:t>号，</w:t>
      </w:r>
      <w:r>
        <w:rPr>
          <w:color w:val="auto"/>
          <w:sz w:val="28"/>
          <w:szCs w:val="28"/>
        </w:rPr>
        <w:t>79</w:t>
      </w:r>
      <w:r>
        <w:rPr>
          <w:rFonts w:hAnsi="宋体"/>
          <w:color w:val="auto"/>
          <w:sz w:val="28"/>
          <w:szCs w:val="28"/>
        </w:rPr>
        <w:t>号令修订）、《危险化学品建设项目安全评价细则</w:t>
      </w:r>
      <w:r>
        <w:rPr>
          <w:color w:val="auto"/>
          <w:sz w:val="28"/>
          <w:szCs w:val="28"/>
        </w:rPr>
        <w:t>（</w:t>
      </w:r>
      <w:r>
        <w:rPr>
          <w:rFonts w:hAnsi="宋体"/>
          <w:color w:val="auto"/>
          <w:sz w:val="28"/>
          <w:szCs w:val="28"/>
        </w:rPr>
        <w:t>试行</w:t>
      </w:r>
      <w:r>
        <w:rPr>
          <w:color w:val="auto"/>
          <w:sz w:val="28"/>
          <w:szCs w:val="28"/>
        </w:rPr>
        <w:t>）</w:t>
      </w:r>
      <w:r>
        <w:rPr>
          <w:rFonts w:hAnsi="宋体"/>
          <w:color w:val="auto"/>
          <w:sz w:val="28"/>
          <w:szCs w:val="28"/>
        </w:rPr>
        <w:t>》（安监总危化</w:t>
      </w:r>
      <w:r>
        <w:rPr>
          <w:color w:val="auto"/>
          <w:sz w:val="28"/>
          <w:szCs w:val="28"/>
        </w:rPr>
        <w:t>[2007]255</w:t>
      </w:r>
      <w:r>
        <w:rPr>
          <w:rFonts w:hAnsi="宋体"/>
          <w:color w:val="auto"/>
          <w:sz w:val="28"/>
          <w:szCs w:val="28"/>
        </w:rPr>
        <w:t>号）、《安全预评价导则》（</w:t>
      </w:r>
      <w:r>
        <w:rPr>
          <w:color w:val="auto"/>
          <w:sz w:val="28"/>
          <w:szCs w:val="28"/>
        </w:rPr>
        <w:t>AQ8002-2007</w:t>
      </w:r>
      <w:r>
        <w:rPr>
          <w:rFonts w:hAnsi="宋体"/>
          <w:color w:val="auto"/>
          <w:sz w:val="28"/>
          <w:szCs w:val="28"/>
        </w:rPr>
        <w:t>）</w:t>
      </w:r>
      <w:r>
        <w:rPr>
          <w:color w:val="auto"/>
          <w:sz w:val="28"/>
          <w:szCs w:val="28"/>
          <w:lang w:val="zh-CN"/>
        </w:rPr>
        <w:t>的要求，编制本评价报告。</w:t>
      </w:r>
    </w:p>
    <w:p>
      <w:pPr>
        <w:jc w:val="center"/>
        <w:outlineLvl w:val="2"/>
        <w:rPr>
          <w:rFonts w:hint="eastAsia"/>
          <w:i w:val="0"/>
          <w:iCs w:val="0"/>
          <w:color w:val="auto"/>
          <w:sz w:val="28"/>
          <w:szCs w:val="28"/>
        </w:rPr>
      </w:pPr>
      <w:r>
        <w:rPr>
          <w:rFonts w:eastAsia="黑体"/>
          <w:b/>
          <w:bCs/>
          <w:color w:val="auto"/>
          <w:sz w:val="32"/>
          <w:szCs w:val="32"/>
        </w:rPr>
        <w:br w:type="page"/>
      </w:r>
      <w:bookmarkStart w:id="2" w:name="_Toc30771"/>
      <w:bookmarkStart w:id="3" w:name="_Toc14458"/>
      <w:bookmarkStart w:id="4" w:name="_Toc1058"/>
      <w:bookmarkStart w:id="5" w:name="_Toc30827"/>
      <w:bookmarkStart w:id="6" w:name="_Toc10858"/>
      <w:bookmarkStart w:id="7" w:name="_Toc12194"/>
      <w:bookmarkStart w:id="8" w:name="_Toc3019"/>
      <w:r>
        <w:rPr>
          <w:i w:val="0"/>
          <w:iCs w:val="0"/>
          <w:color w:val="auto"/>
          <w:sz w:val="28"/>
          <w:szCs w:val="28"/>
        </w:rPr>
        <w:t>目    录</w:t>
      </w:r>
      <w:bookmarkEnd w:id="2"/>
      <w:bookmarkEnd w:id="3"/>
      <w:bookmarkEnd w:id="4"/>
      <w:bookmarkEnd w:id="5"/>
      <w:bookmarkEnd w:id="6"/>
      <w:bookmarkEnd w:id="7"/>
      <w:bookmarkEnd w:id="8"/>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TOC \o "1-3" \h \z \u </w:instrText>
      </w:r>
      <w:r>
        <w:rPr>
          <w:i w:val="0"/>
          <w:iCs w:val="0"/>
          <w:color w:val="auto"/>
          <w:szCs w:val="28"/>
        </w:rPr>
        <w:fldChar w:fldCharType="separate"/>
      </w:r>
      <w:r>
        <w:rPr>
          <w:i w:val="0"/>
          <w:iCs w:val="0"/>
          <w:color w:val="auto"/>
          <w:szCs w:val="28"/>
        </w:rPr>
        <w:fldChar w:fldCharType="begin"/>
      </w:r>
      <w:r>
        <w:rPr>
          <w:i w:val="0"/>
          <w:iCs w:val="0"/>
          <w:color w:val="auto"/>
          <w:szCs w:val="28"/>
        </w:rPr>
        <w:instrText xml:space="preserve"> HYPERLINK \l _Toc30827 </w:instrText>
      </w:r>
      <w:r>
        <w:rPr>
          <w:i w:val="0"/>
          <w:iCs w:val="0"/>
          <w:color w:val="auto"/>
          <w:szCs w:val="28"/>
        </w:rPr>
        <w:fldChar w:fldCharType="separate"/>
      </w:r>
      <w:r>
        <w:rPr>
          <w:i w:val="0"/>
          <w:iCs w:val="0"/>
          <w:color w:val="auto"/>
          <w:szCs w:val="28"/>
        </w:rPr>
        <w:t>目    录</w:t>
      </w:r>
      <w:r>
        <w:rPr>
          <w:i w:val="0"/>
          <w:iCs w:val="0"/>
          <w:color w:val="auto"/>
        </w:rPr>
        <w:tab/>
      </w:r>
      <w:r>
        <w:rPr>
          <w:i w:val="0"/>
          <w:iCs w:val="0"/>
          <w:color w:val="auto"/>
        </w:rPr>
        <w:fldChar w:fldCharType="begin"/>
      </w:r>
      <w:r>
        <w:rPr>
          <w:i w:val="0"/>
          <w:iCs w:val="0"/>
          <w:color w:val="auto"/>
        </w:rPr>
        <w:instrText xml:space="preserve"> PAGEREF _Toc30827 \h </w:instrText>
      </w:r>
      <w:r>
        <w:rPr>
          <w:i w:val="0"/>
          <w:iCs w:val="0"/>
          <w:color w:val="auto"/>
        </w:rPr>
        <w:fldChar w:fldCharType="separate"/>
      </w:r>
      <w:r>
        <w:rPr>
          <w:i w:val="0"/>
          <w:iCs w:val="0"/>
          <w:color w:val="auto"/>
        </w:rPr>
        <w:t>VIII</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_Toc8748 </w:instrText>
      </w:r>
      <w:r>
        <w:rPr>
          <w:i w:val="0"/>
          <w:iCs w:val="0"/>
          <w:color w:val="auto"/>
          <w:szCs w:val="28"/>
        </w:rPr>
        <w:fldChar w:fldCharType="separate"/>
      </w:r>
      <w:r>
        <w:rPr>
          <w:rFonts w:hint="eastAsia"/>
          <w:i w:val="0"/>
          <w:iCs w:val="0"/>
          <w:color w:val="auto"/>
        </w:rPr>
        <w:t>1编制说明</w:t>
      </w:r>
      <w:r>
        <w:rPr>
          <w:i w:val="0"/>
          <w:iCs w:val="0"/>
          <w:color w:val="auto"/>
        </w:rPr>
        <w:tab/>
      </w:r>
      <w:r>
        <w:rPr>
          <w:i w:val="0"/>
          <w:iCs w:val="0"/>
          <w:color w:val="auto"/>
        </w:rPr>
        <w:fldChar w:fldCharType="begin"/>
      </w:r>
      <w:r>
        <w:rPr>
          <w:i w:val="0"/>
          <w:iCs w:val="0"/>
          <w:color w:val="auto"/>
        </w:rPr>
        <w:instrText xml:space="preserve"> PAGEREF _Toc8748 \h </w:instrText>
      </w:r>
      <w:r>
        <w:rPr>
          <w:i w:val="0"/>
          <w:iCs w:val="0"/>
          <w:color w:val="auto"/>
        </w:rPr>
        <w:fldChar w:fldCharType="separate"/>
      </w:r>
      <w:r>
        <w:rPr>
          <w:i w:val="0"/>
          <w:iCs w:val="0"/>
          <w:color w:val="auto"/>
        </w:rPr>
        <w:t>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_Toc30591 </w:instrText>
      </w:r>
      <w:r>
        <w:rPr>
          <w:i w:val="0"/>
          <w:iCs w:val="0"/>
          <w:color w:val="auto"/>
          <w:szCs w:val="28"/>
        </w:rPr>
        <w:fldChar w:fldCharType="separate"/>
      </w:r>
      <w:r>
        <w:rPr>
          <w:rFonts w:hint="eastAsia"/>
          <w:i w:val="0"/>
          <w:iCs w:val="0"/>
          <w:color w:val="auto"/>
        </w:rPr>
        <w:t>1.1评价目的</w:t>
      </w:r>
      <w:r>
        <w:rPr>
          <w:i w:val="0"/>
          <w:iCs w:val="0"/>
          <w:color w:val="auto"/>
        </w:rPr>
        <w:tab/>
      </w:r>
      <w:r>
        <w:rPr>
          <w:i w:val="0"/>
          <w:iCs w:val="0"/>
          <w:color w:val="auto"/>
        </w:rPr>
        <w:fldChar w:fldCharType="begin"/>
      </w:r>
      <w:r>
        <w:rPr>
          <w:i w:val="0"/>
          <w:iCs w:val="0"/>
          <w:color w:val="auto"/>
        </w:rPr>
        <w:instrText xml:space="preserve"> PAGEREF _Toc30591 \h </w:instrText>
      </w:r>
      <w:r>
        <w:rPr>
          <w:i w:val="0"/>
          <w:iCs w:val="0"/>
          <w:color w:val="auto"/>
        </w:rPr>
        <w:fldChar w:fldCharType="separate"/>
      </w:r>
      <w:r>
        <w:rPr>
          <w:i w:val="0"/>
          <w:iCs w:val="0"/>
          <w:color w:val="auto"/>
        </w:rPr>
        <w:t>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_Toc25841 </w:instrText>
      </w:r>
      <w:r>
        <w:rPr>
          <w:i w:val="0"/>
          <w:iCs w:val="0"/>
          <w:color w:val="auto"/>
          <w:szCs w:val="28"/>
        </w:rPr>
        <w:fldChar w:fldCharType="separate"/>
      </w:r>
      <w:r>
        <w:rPr>
          <w:rFonts w:hint="eastAsia"/>
          <w:i w:val="0"/>
          <w:iCs w:val="0"/>
          <w:color w:val="auto"/>
        </w:rPr>
        <w:t>1.2</w:t>
      </w:r>
      <w:r>
        <w:rPr>
          <w:rFonts w:hint="eastAsia"/>
          <w:i w:val="0"/>
          <w:iCs w:val="0"/>
          <w:color w:val="auto"/>
          <w:lang w:val="en-US" w:eastAsia="zh-CN"/>
        </w:rPr>
        <w:t>前期准备情况</w:t>
      </w:r>
      <w:r>
        <w:rPr>
          <w:i w:val="0"/>
          <w:iCs w:val="0"/>
          <w:color w:val="auto"/>
        </w:rPr>
        <w:tab/>
      </w:r>
      <w:r>
        <w:rPr>
          <w:i w:val="0"/>
          <w:iCs w:val="0"/>
          <w:color w:val="auto"/>
        </w:rPr>
        <w:fldChar w:fldCharType="begin"/>
      </w:r>
      <w:r>
        <w:rPr>
          <w:i w:val="0"/>
          <w:iCs w:val="0"/>
          <w:color w:val="auto"/>
        </w:rPr>
        <w:instrText xml:space="preserve"> PAGEREF _Toc25841 \h </w:instrText>
      </w:r>
      <w:r>
        <w:rPr>
          <w:i w:val="0"/>
          <w:iCs w:val="0"/>
          <w:color w:val="auto"/>
        </w:rPr>
        <w:fldChar w:fldCharType="separate"/>
      </w:r>
      <w:r>
        <w:rPr>
          <w:i w:val="0"/>
          <w:iCs w:val="0"/>
          <w:color w:val="auto"/>
        </w:rPr>
        <w:t>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_Toc25805 </w:instrText>
      </w:r>
      <w:r>
        <w:rPr>
          <w:i w:val="0"/>
          <w:iCs w:val="0"/>
          <w:color w:val="auto"/>
          <w:szCs w:val="28"/>
        </w:rPr>
        <w:fldChar w:fldCharType="separate"/>
      </w:r>
      <w:r>
        <w:rPr>
          <w:rFonts w:hint="eastAsia"/>
          <w:i w:val="0"/>
          <w:iCs w:val="0"/>
          <w:color w:val="auto"/>
        </w:rPr>
        <w:t>1.</w:t>
      </w:r>
      <w:r>
        <w:rPr>
          <w:rFonts w:hint="eastAsia"/>
          <w:i w:val="0"/>
          <w:iCs w:val="0"/>
          <w:color w:val="auto"/>
          <w:lang w:val="en-US" w:eastAsia="zh-CN"/>
        </w:rPr>
        <w:t>3</w:t>
      </w:r>
      <w:r>
        <w:rPr>
          <w:rFonts w:hint="eastAsia"/>
          <w:i w:val="0"/>
          <w:iCs w:val="0"/>
          <w:color w:val="auto"/>
        </w:rPr>
        <w:t>评价</w:t>
      </w:r>
      <w:r>
        <w:rPr>
          <w:rFonts w:hint="eastAsia"/>
          <w:i w:val="0"/>
          <w:iCs w:val="0"/>
          <w:color w:val="auto"/>
          <w:lang w:val="en-US" w:eastAsia="zh-CN"/>
        </w:rPr>
        <w:t>对象和</w:t>
      </w:r>
      <w:r>
        <w:rPr>
          <w:rFonts w:hint="eastAsia"/>
          <w:i w:val="0"/>
          <w:iCs w:val="0"/>
          <w:color w:val="auto"/>
        </w:rPr>
        <w:t>范围</w:t>
      </w:r>
      <w:r>
        <w:rPr>
          <w:i w:val="0"/>
          <w:iCs w:val="0"/>
          <w:color w:val="auto"/>
        </w:rPr>
        <w:tab/>
      </w:r>
      <w:r>
        <w:rPr>
          <w:i w:val="0"/>
          <w:iCs w:val="0"/>
          <w:color w:val="auto"/>
        </w:rPr>
        <w:fldChar w:fldCharType="begin"/>
      </w:r>
      <w:r>
        <w:rPr>
          <w:i w:val="0"/>
          <w:iCs w:val="0"/>
          <w:color w:val="auto"/>
        </w:rPr>
        <w:instrText xml:space="preserve"> PAGEREF _Toc25805 \h </w:instrText>
      </w:r>
      <w:r>
        <w:rPr>
          <w:i w:val="0"/>
          <w:iCs w:val="0"/>
          <w:color w:val="auto"/>
        </w:rPr>
        <w:fldChar w:fldCharType="separate"/>
      </w:r>
      <w:r>
        <w:rPr>
          <w:i w:val="0"/>
          <w:iCs w:val="0"/>
          <w:color w:val="auto"/>
        </w:rPr>
        <w:t>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_Toc6990 </w:instrText>
      </w:r>
      <w:r>
        <w:rPr>
          <w:i w:val="0"/>
          <w:iCs w:val="0"/>
          <w:color w:val="auto"/>
          <w:szCs w:val="28"/>
        </w:rPr>
        <w:fldChar w:fldCharType="separate"/>
      </w:r>
      <w:r>
        <w:rPr>
          <w:i w:val="0"/>
          <w:iCs w:val="0"/>
          <w:color w:val="auto"/>
        </w:rPr>
        <w:t>1.</w:t>
      </w:r>
      <w:r>
        <w:rPr>
          <w:rFonts w:hint="eastAsia"/>
          <w:i w:val="0"/>
          <w:iCs w:val="0"/>
          <w:color w:val="auto"/>
          <w:lang w:val="en-US" w:eastAsia="zh-CN"/>
        </w:rPr>
        <w:t>4</w:t>
      </w:r>
      <w:r>
        <w:rPr>
          <w:i w:val="0"/>
          <w:iCs w:val="0"/>
          <w:color w:val="auto"/>
        </w:rPr>
        <w:t>评价</w:t>
      </w:r>
      <w:r>
        <w:rPr>
          <w:rFonts w:hint="eastAsia"/>
          <w:i w:val="0"/>
          <w:iCs w:val="0"/>
          <w:color w:val="auto"/>
          <w:lang w:val="en-US" w:eastAsia="zh-CN"/>
        </w:rPr>
        <w:t>工作经过和程序</w:t>
      </w:r>
      <w:r>
        <w:rPr>
          <w:i w:val="0"/>
          <w:iCs w:val="0"/>
          <w:color w:val="auto"/>
        </w:rPr>
        <w:tab/>
      </w:r>
      <w:r>
        <w:rPr>
          <w:i w:val="0"/>
          <w:iCs w:val="0"/>
          <w:color w:val="auto"/>
        </w:rPr>
        <w:fldChar w:fldCharType="begin"/>
      </w:r>
      <w:r>
        <w:rPr>
          <w:i w:val="0"/>
          <w:iCs w:val="0"/>
          <w:color w:val="auto"/>
        </w:rPr>
        <w:instrText xml:space="preserve"> PAGEREF _Toc6990 \h </w:instrText>
      </w:r>
      <w:r>
        <w:rPr>
          <w:i w:val="0"/>
          <w:iCs w:val="0"/>
          <w:color w:val="auto"/>
        </w:rPr>
        <w:fldChar w:fldCharType="separate"/>
      </w:r>
      <w:r>
        <w:rPr>
          <w:i w:val="0"/>
          <w:iCs w:val="0"/>
          <w:color w:val="auto"/>
        </w:rPr>
        <w:t>2</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_Toc27005 </w:instrText>
      </w:r>
      <w:r>
        <w:rPr>
          <w:i w:val="0"/>
          <w:iCs w:val="0"/>
          <w:color w:val="auto"/>
          <w:szCs w:val="28"/>
        </w:rPr>
        <w:fldChar w:fldCharType="separate"/>
      </w:r>
      <w:r>
        <w:rPr>
          <w:rFonts w:hint="eastAsia" w:ascii="宋体" w:hAnsi="宋体" w:eastAsia="宋体" w:cs="宋体"/>
          <w:i w:val="0"/>
          <w:iCs w:val="0"/>
          <w:color w:val="auto"/>
        </w:rPr>
        <w:t>2建设项目概况</w:t>
      </w:r>
      <w:r>
        <w:rPr>
          <w:i w:val="0"/>
          <w:iCs w:val="0"/>
          <w:color w:val="auto"/>
        </w:rPr>
        <w:tab/>
      </w:r>
      <w:r>
        <w:rPr>
          <w:i w:val="0"/>
          <w:iCs w:val="0"/>
          <w:color w:val="auto"/>
        </w:rPr>
        <w:fldChar w:fldCharType="begin"/>
      </w:r>
      <w:r>
        <w:rPr>
          <w:i w:val="0"/>
          <w:iCs w:val="0"/>
          <w:color w:val="auto"/>
        </w:rPr>
        <w:instrText xml:space="preserve"> PAGEREF _Toc27005 \h </w:instrText>
      </w:r>
      <w:r>
        <w:rPr>
          <w:i w:val="0"/>
          <w:iCs w:val="0"/>
          <w:color w:val="auto"/>
        </w:rPr>
        <w:fldChar w:fldCharType="separate"/>
      </w:r>
      <w:r>
        <w:rPr>
          <w:i w:val="0"/>
          <w:iCs w:val="0"/>
          <w:color w:val="auto"/>
        </w:rPr>
        <w:t>4</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_Toc11782 </w:instrText>
      </w:r>
      <w:r>
        <w:rPr>
          <w:i w:val="0"/>
          <w:iCs w:val="0"/>
          <w:color w:val="auto"/>
          <w:szCs w:val="28"/>
        </w:rPr>
        <w:fldChar w:fldCharType="separate"/>
      </w:r>
      <w:r>
        <w:rPr>
          <w:rFonts w:hint="eastAsia"/>
          <w:i w:val="0"/>
          <w:iCs w:val="0"/>
          <w:color w:val="auto"/>
        </w:rPr>
        <w:t>2.1建设单位简介及项目由来</w:t>
      </w:r>
      <w:r>
        <w:rPr>
          <w:i w:val="0"/>
          <w:iCs w:val="0"/>
          <w:color w:val="auto"/>
        </w:rPr>
        <w:tab/>
      </w:r>
      <w:r>
        <w:rPr>
          <w:i w:val="0"/>
          <w:iCs w:val="0"/>
          <w:color w:val="auto"/>
        </w:rPr>
        <w:fldChar w:fldCharType="begin"/>
      </w:r>
      <w:r>
        <w:rPr>
          <w:i w:val="0"/>
          <w:iCs w:val="0"/>
          <w:color w:val="auto"/>
        </w:rPr>
        <w:instrText xml:space="preserve"> PAGEREF _Toc11782 \h </w:instrText>
      </w:r>
      <w:r>
        <w:rPr>
          <w:i w:val="0"/>
          <w:iCs w:val="0"/>
          <w:color w:val="auto"/>
        </w:rPr>
        <w:fldChar w:fldCharType="separate"/>
      </w:r>
      <w:r>
        <w:rPr>
          <w:i w:val="0"/>
          <w:iCs w:val="0"/>
          <w:color w:val="auto"/>
        </w:rPr>
        <w:t>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_Toc1690 </w:instrText>
      </w:r>
      <w:r>
        <w:rPr>
          <w:i w:val="0"/>
          <w:iCs w:val="0"/>
          <w:color w:val="auto"/>
          <w:szCs w:val="28"/>
        </w:rPr>
        <w:fldChar w:fldCharType="separate"/>
      </w:r>
      <w:r>
        <w:rPr>
          <w:rFonts w:hint="eastAsia"/>
          <w:i w:val="0"/>
          <w:iCs w:val="0"/>
          <w:color w:val="auto"/>
        </w:rPr>
        <w:t>2.</w:t>
      </w:r>
      <w:r>
        <w:rPr>
          <w:rFonts w:hint="eastAsia"/>
          <w:i w:val="0"/>
          <w:iCs w:val="0"/>
          <w:color w:val="auto"/>
          <w:lang w:val="en-US" w:eastAsia="zh-CN"/>
        </w:rPr>
        <w:t>1</w:t>
      </w:r>
      <w:r>
        <w:rPr>
          <w:rFonts w:hint="eastAsia"/>
          <w:i w:val="0"/>
          <w:iCs w:val="0"/>
          <w:color w:val="auto"/>
        </w:rPr>
        <w:t>.1建设单位简介</w:t>
      </w:r>
      <w:r>
        <w:rPr>
          <w:i w:val="0"/>
          <w:iCs w:val="0"/>
          <w:color w:val="auto"/>
        </w:rPr>
        <w:tab/>
      </w:r>
      <w:r>
        <w:rPr>
          <w:i w:val="0"/>
          <w:iCs w:val="0"/>
          <w:color w:val="auto"/>
        </w:rPr>
        <w:fldChar w:fldCharType="begin"/>
      </w:r>
      <w:r>
        <w:rPr>
          <w:i w:val="0"/>
          <w:iCs w:val="0"/>
          <w:color w:val="auto"/>
        </w:rPr>
        <w:instrText xml:space="preserve"> PAGEREF _Toc1690 \h </w:instrText>
      </w:r>
      <w:r>
        <w:rPr>
          <w:i w:val="0"/>
          <w:iCs w:val="0"/>
          <w:color w:val="auto"/>
        </w:rPr>
        <w:fldChar w:fldCharType="separate"/>
      </w:r>
      <w:r>
        <w:rPr>
          <w:i w:val="0"/>
          <w:iCs w:val="0"/>
          <w:color w:val="auto"/>
        </w:rPr>
        <w:t>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_Toc12292 </w:instrText>
      </w:r>
      <w:r>
        <w:rPr>
          <w:i w:val="0"/>
          <w:iCs w:val="0"/>
          <w:color w:val="auto"/>
          <w:szCs w:val="28"/>
        </w:rPr>
        <w:fldChar w:fldCharType="separate"/>
      </w:r>
      <w:r>
        <w:rPr>
          <w:i w:val="0"/>
          <w:iCs w:val="0"/>
          <w:color w:val="auto"/>
        </w:rPr>
        <w:t>2.</w:t>
      </w:r>
      <w:r>
        <w:rPr>
          <w:rFonts w:hint="eastAsia"/>
          <w:i w:val="0"/>
          <w:iCs w:val="0"/>
          <w:color w:val="auto"/>
          <w:lang w:val="en-US" w:eastAsia="zh-CN"/>
        </w:rPr>
        <w:t>1</w:t>
      </w:r>
      <w:r>
        <w:rPr>
          <w:i w:val="0"/>
          <w:iCs w:val="0"/>
          <w:color w:val="auto"/>
        </w:rPr>
        <w:t>.</w:t>
      </w:r>
      <w:r>
        <w:rPr>
          <w:rFonts w:hint="eastAsia"/>
          <w:i w:val="0"/>
          <w:iCs w:val="0"/>
          <w:color w:val="auto"/>
        </w:rPr>
        <w:t>2项目背景</w:t>
      </w:r>
      <w:r>
        <w:rPr>
          <w:i w:val="0"/>
          <w:iCs w:val="0"/>
          <w:color w:val="auto"/>
        </w:rPr>
        <w:tab/>
      </w:r>
      <w:r>
        <w:rPr>
          <w:i w:val="0"/>
          <w:iCs w:val="0"/>
          <w:color w:val="auto"/>
        </w:rPr>
        <w:fldChar w:fldCharType="begin"/>
      </w:r>
      <w:r>
        <w:rPr>
          <w:i w:val="0"/>
          <w:iCs w:val="0"/>
          <w:color w:val="auto"/>
        </w:rPr>
        <w:instrText xml:space="preserve"> PAGEREF _Toc12292 \h </w:instrText>
      </w:r>
      <w:r>
        <w:rPr>
          <w:i w:val="0"/>
          <w:iCs w:val="0"/>
          <w:color w:val="auto"/>
        </w:rPr>
        <w:fldChar w:fldCharType="separate"/>
      </w:r>
      <w:r>
        <w:rPr>
          <w:i w:val="0"/>
          <w:iCs w:val="0"/>
          <w:color w:val="auto"/>
        </w:rPr>
        <w:t>5</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_Toc26945 </w:instrText>
      </w:r>
      <w:r>
        <w:rPr>
          <w:i w:val="0"/>
          <w:iCs w:val="0"/>
          <w:color w:val="auto"/>
          <w:szCs w:val="28"/>
        </w:rPr>
        <w:fldChar w:fldCharType="separate"/>
      </w:r>
      <w:r>
        <w:rPr>
          <w:i w:val="0"/>
          <w:iCs w:val="0"/>
          <w:color w:val="auto"/>
        </w:rPr>
        <w:t>2.</w:t>
      </w:r>
      <w:r>
        <w:rPr>
          <w:rFonts w:hint="eastAsia"/>
          <w:i w:val="0"/>
          <w:iCs w:val="0"/>
          <w:color w:val="auto"/>
        </w:rPr>
        <w:t>2</w:t>
      </w:r>
      <w:r>
        <w:rPr>
          <w:i w:val="0"/>
          <w:iCs w:val="0"/>
          <w:color w:val="auto"/>
        </w:rPr>
        <w:t>项目</w:t>
      </w:r>
      <w:r>
        <w:rPr>
          <w:rFonts w:hint="eastAsia"/>
          <w:i w:val="0"/>
          <w:iCs w:val="0"/>
          <w:color w:val="auto"/>
          <w:lang w:val="en-US" w:eastAsia="zh-CN"/>
        </w:rPr>
        <w:t>基本</w:t>
      </w:r>
      <w:r>
        <w:rPr>
          <w:i w:val="0"/>
          <w:iCs w:val="0"/>
          <w:color w:val="auto"/>
        </w:rPr>
        <w:t>概况</w:t>
      </w:r>
      <w:r>
        <w:rPr>
          <w:i w:val="0"/>
          <w:iCs w:val="0"/>
          <w:color w:val="auto"/>
        </w:rPr>
        <w:tab/>
      </w:r>
      <w:r>
        <w:rPr>
          <w:i w:val="0"/>
          <w:iCs w:val="0"/>
          <w:color w:val="auto"/>
        </w:rPr>
        <w:fldChar w:fldCharType="begin"/>
      </w:r>
      <w:r>
        <w:rPr>
          <w:i w:val="0"/>
          <w:iCs w:val="0"/>
          <w:color w:val="auto"/>
        </w:rPr>
        <w:instrText xml:space="preserve"> PAGEREF _Toc26945 \h </w:instrText>
      </w:r>
      <w:r>
        <w:rPr>
          <w:i w:val="0"/>
          <w:iCs w:val="0"/>
          <w:color w:val="auto"/>
        </w:rPr>
        <w:fldChar w:fldCharType="separate"/>
      </w:r>
      <w:r>
        <w:rPr>
          <w:i w:val="0"/>
          <w:iCs w:val="0"/>
          <w:color w:val="auto"/>
        </w:rPr>
        <w:t>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_Toc28746 </w:instrText>
      </w:r>
      <w:r>
        <w:rPr>
          <w:i w:val="0"/>
          <w:iCs w:val="0"/>
          <w:color w:val="auto"/>
          <w:szCs w:val="28"/>
        </w:rPr>
        <w:fldChar w:fldCharType="separate"/>
      </w:r>
      <w:r>
        <w:rPr>
          <w:rFonts w:hint="eastAsia"/>
          <w:i w:val="0"/>
          <w:iCs w:val="0"/>
          <w:color w:val="auto"/>
          <w:lang w:val="en-US" w:eastAsia="zh-CN"/>
        </w:rPr>
        <w:t>2.2.1建设项目选址</w:t>
      </w:r>
      <w:r>
        <w:rPr>
          <w:i w:val="0"/>
          <w:iCs w:val="0"/>
          <w:color w:val="auto"/>
        </w:rPr>
        <w:tab/>
      </w:r>
      <w:r>
        <w:rPr>
          <w:i w:val="0"/>
          <w:iCs w:val="0"/>
          <w:color w:val="auto"/>
        </w:rPr>
        <w:fldChar w:fldCharType="begin"/>
      </w:r>
      <w:r>
        <w:rPr>
          <w:i w:val="0"/>
          <w:iCs w:val="0"/>
          <w:color w:val="auto"/>
        </w:rPr>
        <w:instrText xml:space="preserve"> PAGEREF _Toc28746 \h </w:instrText>
      </w:r>
      <w:r>
        <w:rPr>
          <w:i w:val="0"/>
          <w:iCs w:val="0"/>
          <w:color w:val="auto"/>
        </w:rPr>
        <w:fldChar w:fldCharType="separate"/>
      </w:r>
      <w:r>
        <w:rPr>
          <w:i w:val="0"/>
          <w:iCs w:val="0"/>
          <w:color w:val="auto"/>
        </w:rPr>
        <w:t>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_Toc8241 </w:instrText>
      </w:r>
      <w:r>
        <w:rPr>
          <w:i w:val="0"/>
          <w:iCs w:val="0"/>
          <w:color w:val="auto"/>
          <w:szCs w:val="28"/>
        </w:rPr>
        <w:fldChar w:fldCharType="separate"/>
      </w:r>
      <w:r>
        <w:rPr>
          <w:rFonts w:hint="eastAsia"/>
          <w:i w:val="0"/>
          <w:iCs w:val="0"/>
          <w:color w:val="auto"/>
          <w:lang w:val="en-US" w:eastAsia="zh-CN"/>
        </w:rPr>
        <w:t>2.2.2自然条件</w:t>
      </w:r>
      <w:r>
        <w:rPr>
          <w:i w:val="0"/>
          <w:iCs w:val="0"/>
          <w:color w:val="auto"/>
        </w:rPr>
        <w:tab/>
      </w:r>
      <w:r>
        <w:rPr>
          <w:i w:val="0"/>
          <w:iCs w:val="0"/>
          <w:color w:val="auto"/>
        </w:rPr>
        <w:fldChar w:fldCharType="begin"/>
      </w:r>
      <w:r>
        <w:rPr>
          <w:i w:val="0"/>
          <w:iCs w:val="0"/>
          <w:color w:val="auto"/>
        </w:rPr>
        <w:instrText xml:space="preserve"> PAGEREF _Toc8241 \h </w:instrText>
      </w:r>
      <w:r>
        <w:rPr>
          <w:i w:val="0"/>
          <w:iCs w:val="0"/>
          <w:color w:val="auto"/>
        </w:rPr>
        <w:fldChar w:fldCharType="separate"/>
      </w:r>
      <w:r>
        <w:rPr>
          <w:i w:val="0"/>
          <w:iCs w:val="0"/>
          <w:color w:val="auto"/>
        </w:rPr>
        <w:t>12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_Toc12147 </w:instrText>
      </w:r>
      <w:r>
        <w:rPr>
          <w:i w:val="0"/>
          <w:iCs w:val="0"/>
          <w:color w:val="auto"/>
          <w:szCs w:val="28"/>
        </w:rPr>
        <w:fldChar w:fldCharType="separate"/>
      </w:r>
      <w:r>
        <w:rPr>
          <w:rFonts w:hint="eastAsia"/>
          <w:i w:val="0"/>
          <w:iCs w:val="0"/>
          <w:color w:val="auto"/>
          <w:lang w:val="en-US" w:eastAsia="zh-CN"/>
        </w:rPr>
        <w:t>2.2.3</w:t>
      </w:r>
      <w:r>
        <w:rPr>
          <w:rFonts w:hint="eastAsia"/>
          <w:i w:val="0"/>
          <w:iCs w:val="0"/>
          <w:color w:val="auto"/>
        </w:rPr>
        <w:t>建设项目拟采用的主要技术、工艺方法（方式）和国内外同类建设项目水平对比情况</w:t>
      </w:r>
      <w:r>
        <w:rPr>
          <w:i w:val="0"/>
          <w:iCs w:val="0"/>
          <w:color w:val="auto"/>
        </w:rPr>
        <w:tab/>
      </w:r>
      <w:r>
        <w:rPr>
          <w:i w:val="0"/>
          <w:iCs w:val="0"/>
          <w:color w:val="auto"/>
        </w:rPr>
        <w:fldChar w:fldCharType="begin"/>
      </w:r>
      <w:r>
        <w:rPr>
          <w:i w:val="0"/>
          <w:iCs w:val="0"/>
          <w:color w:val="auto"/>
        </w:rPr>
        <w:instrText xml:space="preserve"> PAGEREF _Toc12147 \h </w:instrText>
      </w:r>
      <w:r>
        <w:rPr>
          <w:i w:val="0"/>
          <w:iCs w:val="0"/>
          <w:color w:val="auto"/>
        </w:rPr>
        <w:fldChar w:fldCharType="separate"/>
      </w:r>
      <w:r>
        <w:rPr>
          <w:i w:val="0"/>
          <w:iCs w:val="0"/>
          <w:color w:val="auto"/>
        </w:rPr>
        <w:t>13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_Toc22734 </w:instrText>
      </w:r>
      <w:r>
        <w:rPr>
          <w:i w:val="0"/>
          <w:iCs w:val="0"/>
          <w:color w:val="auto"/>
          <w:szCs w:val="28"/>
        </w:rPr>
        <w:fldChar w:fldCharType="separate"/>
      </w:r>
      <w:r>
        <w:rPr>
          <w:rFonts w:hint="eastAsia"/>
          <w:bCs/>
          <w:i w:val="0"/>
          <w:iCs w:val="0"/>
          <w:color w:val="auto"/>
          <w:lang w:val="en-US" w:eastAsia="zh-CN"/>
        </w:rPr>
        <w:t>2.3建设项目工艺技术</w:t>
      </w:r>
      <w:r>
        <w:rPr>
          <w:i w:val="0"/>
          <w:iCs w:val="0"/>
          <w:color w:val="auto"/>
        </w:rPr>
        <w:tab/>
      </w:r>
      <w:r>
        <w:rPr>
          <w:i w:val="0"/>
          <w:iCs w:val="0"/>
          <w:color w:val="auto"/>
        </w:rPr>
        <w:fldChar w:fldCharType="begin"/>
      </w:r>
      <w:r>
        <w:rPr>
          <w:i w:val="0"/>
          <w:iCs w:val="0"/>
          <w:color w:val="auto"/>
        </w:rPr>
        <w:instrText xml:space="preserve"> PAGEREF _Toc22734 \h </w:instrText>
      </w:r>
      <w:r>
        <w:rPr>
          <w:i w:val="0"/>
          <w:iCs w:val="0"/>
          <w:color w:val="auto"/>
        </w:rPr>
        <w:fldChar w:fldCharType="separate"/>
      </w:r>
      <w:r>
        <w:rPr>
          <w:i w:val="0"/>
          <w:iCs w:val="0"/>
          <w:color w:val="auto"/>
        </w:rPr>
        <w:t>13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_Toc8386 </w:instrText>
      </w:r>
      <w:r>
        <w:rPr>
          <w:i w:val="0"/>
          <w:iCs w:val="0"/>
          <w:color w:val="auto"/>
          <w:szCs w:val="28"/>
        </w:rPr>
        <w:fldChar w:fldCharType="separate"/>
      </w:r>
      <w:r>
        <w:rPr>
          <w:rFonts w:hint="default" w:ascii="Times New Roman" w:hAnsi="Times New Roman" w:cs="Times New Roman"/>
          <w:bCs/>
          <w:i w:val="0"/>
          <w:iCs w:val="0"/>
          <w:color w:val="auto"/>
          <w:lang w:val="en-US" w:eastAsia="zh-CN"/>
        </w:rPr>
        <w:t>2.3.1</w:t>
      </w:r>
      <w:r>
        <w:rPr>
          <w:rFonts w:hint="eastAsia" w:ascii="Times New Roman" w:hAnsi="Times New Roman" w:cs="Times New Roman"/>
          <w:bCs/>
          <w:i w:val="0"/>
          <w:iCs w:val="0"/>
          <w:color w:val="auto"/>
          <w:lang w:val="en-US" w:eastAsia="zh-CN"/>
        </w:rPr>
        <w:t>建设</w:t>
      </w:r>
      <w:r>
        <w:rPr>
          <w:rFonts w:hint="eastAsia"/>
          <w:bCs/>
          <w:i w:val="0"/>
          <w:iCs w:val="0"/>
          <w:color w:val="auto"/>
          <w:lang w:val="en-US" w:eastAsia="zh-CN"/>
        </w:rPr>
        <w:t>项目工艺技术方案来源</w:t>
      </w:r>
      <w:r>
        <w:rPr>
          <w:i w:val="0"/>
          <w:iCs w:val="0"/>
          <w:color w:val="auto"/>
        </w:rPr>
        <w:tab/>
      </w:r>
      <w:r>
        <w:rPr>
          <w:i w:val="0"/>
          <w:iCs w:val="0"/>
          <w:color w:val="auto"/>
        </w:rPr>
        <w:fldChar w:fldCharType="begin"/>
      </w:r>
      <w:r>
        <w:rPr>
          <w:i w:val="0"/>
          <w:iCs w:val="0"/>
          <w:color w:val="auto"/>
        </w:rPr>
        <w:instrText xml:space="preserve"> PAGEREF _Toc8386 \h </w:instrText>
      </w:r>
      <w:r>
        <w:rPr>
          <w:i w:val="0"/>
          <w:iCs w:val="0"/>
          <w:color w:val="auto"/>
        </w:rPr>
        <w:fldChar w:fldCharType="separate"/>
      </w:r>
      <w:r>
        <w:rPr>
          <w:i w:val="0"/>
          <w:iCs w:val="0"/>
          <w:color w:val="auto"/>
        </w:rPr>
        <w:t>13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_Toc24711 </w:instrText>
      </w:r>
      <w:r>
        <w:rPr>
          <w:i w:val="0"/>
          <w:iCs w:val="0"/>
          <w:color w:val="auto"/>
          <w:szCs w:val="28"/>
        </w:rPr>
        <w:fldChar w:fldCharType="separate"/>
      </w:r>
      <w:r>
        <w:rPr>
          <w:rFonts w:hint="default" w:ascii="Times New Roman" w:hAnsi="Times New Roman" w:cs="Times New Roman"/>
          <w:i w:val="0"/>
          <w:iCs w:val="0"/>
          <w:color w:val="auto"/>
          <w:lang w:val="en-US" w:eastAsia="zh-CN"/>
        </w:rPr>
        <w:t>2.3.2</w:t>
      </w:r>
      <w:r>
        <w:rPr>
          <w:rFonts w:hint="eastAsia" w:ascii="Times New Roman" w:hAnsi="Times New Roman" w:cs="Times New Roman"/>
          <w:i w:val="0"/>
          <w:iCs w:val="0"/>
          <w:color w:val="auto"/>
          <w:lang w:val="en-US" w:eastAsia="zh-CN"/>
        </w:rPr>
        <w:t>建设</w:t>
      </w:r>
      <w:r>
        <w:rPr>
          <w:rFonts w:hint="eastAsia"/>
          <w:i w:val="0"/>
          <w:iCs w:val="0"/>
          <w:color w:val="auto"/>
          <w:lang w:val="en-US" w:eastAsia="zh-CN"/>
        </w:rPr>
        <w:t>项目</w:t>
      </w:r>
      <w:r>
        <w:rPr>
          <w:rFonts w:hint="eastAsia"/>
          <w:i w:val="0"/>
          <w:iCs w:val="0"/>
          <w:color w:val="auto"/>
        </w:rPr>
        <w:t>工艺流程描述</w:t>
      </w:r>
      <w:r>
        <w:rPr>
          <w:i w:val="0"/>
          <w:iCs w:val="0"/>
          <w:color w:val="auto"/>
        </w:rPr>
        <w:tab/>
      </w:r>
      <w:r>
        <w:rPr>
          <w:i w:val="0"/>
          <w:iCs w:val="0"/>
          <w:color w:val="auto"/>
        </w:rPr>
        <w:fldChar w:fldCharType="begin"/>
      </w:r>
      <w:r>
        <w:rPr>
          <w:i w:val="0"/>
          <w:iCs w:val="0"/>
          <w:color w:val="auto"/>
        </w:rPr>
        <w:instrText xml:space="preserve"> PAGEREF _Toc24711 \h </w:instrText>
      </w:r>
      <w:r>
        <w:rPr>
          <w:i w:val="0"/>
          <w:iCs w:val="0"/>
          <w:color w:val="auto"/>
        </w:rPr>
        <w:fldChar w:fldCharType="separate"/>
      </w:r>
      <w:r>
        <w:rPr>
          <w:i w:val="0"/>
          <w:iCs w:val="0"/>
          <w:color w:val="auto"/>
        </w:rPr>
        <w:t>14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_Toc23047 </w:instrText>
      </w:r>
      <w:r>
        <w:rPr>
          <w:i w:val="0"/>
          <w:iCs w:val="0"/>
          <w:color w:val="auto"/>
          <w:szCs w:val="28"/>
        </w:rPr>
        <w:fldChar w:fldCharType="separate"/>
      </w:r>
      <w:r>
        <w:rPr>
          <w:rFonts w:hint="default" w:ascii="Times New Roman" w:hAnsi="Times New Roman" w:cs="Times New Roman"/>
          <w:i w:val="0"/>
          <w:iCs w:val="0"/>
          <w:color w:val="auto"/>
          <w:lang w:val="en-US" w:eastAsia="zh-CN"/>
        </w:rPr>
        <w:t>2.3.3</w:t>
      </w:r>
      <w:r>
        <w:rPr>
          <w:rFonts w:hint="eastAsia"/>
          <w:i w:val="0"/>
          <w:iCs w:val="0"/>
          <w:color w:val="auto"/>
        </w:rPr>
        <w:t>化学反应方程式</w:t>
      </w:r>
      <w:r>
        <w:rPr>
          <w:i w:val="0"/>
          <w:iCs w:val="0"/>
          <w:color w:val="auto"/>
        </w:rPr>
        <w:tab/>
      </w:r>
      <w:r>
        <w:rPr>
          <w:i w:val="0"/>
          <w:iCs w:val="0"/>
          <w:color w:val="auto"/>
        </w:rPr>
        <w:fldChar w:fldCharType="begin"/>
      </w:r>
      <w:r>
        <w:rPr>
          <w:i w:val="0"/>
          <w:iCs w:val="0"/>
          <w:color w:val="auto"/>
        </w:rPr>
        <w:instrText xml:space="preserve"> PAGEREF _Toc23047 \h </w:instrText>
      </w:r>
      <w:r>
        <w:rPr>
          <w:i w:val="0"/>
          <w:iCs w:val="0"/>
          <w:color w:val="auto"/>
        </w:rPr>
        <w:fldChar w:fldCharType="separate"/>
      </w:r>
      <w:r>
        <w:rPr>
          <w:i w:val="0"/>
          <w:iCs w:val="0"/>
          <w:color w:val="auto"/>
        </w:rPr>
        <w:t>17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_Toc4398 </w:instrText>
      </w:r>
      <w:r>
        <w:rPr>
          <w:i w:val="0"/>
          <w:iCs w:val="0"/>
          <w:color w:val="auto"/>
          <w:szCs w:val="28"/>
        </w:rPr>
        <w:fldChar w:fldCharType="separate"/>
      </w:r>
      <w:r>
        <w:rPr>
          <w:rFonts w:hint="default" w:ascii="Times New Roman" w:hAnsi="Times New Roman" w:cs="Times New Roman"/>
          <w:i w:val="0"/>
          <w:iCs w:val="0"/>
          <w:color w:val="auto"/>
          <w:lang w:val="en-US" w:eastAsia="zh-CN"/>
        </w:rPr>
        <w:t>2.3.4</w:t>
      </w:r>
      <w:r>
        <w:rPr>
          <w:rFonts w:hint="eastAsia"/>
          <w:i w:val="0"/>
          <w:iCs w:val="0"/>
          <w:color w:val="auto"/>
        </w:rPr>
        <w:t>工艺流程简图</w:t>
      </w:r>
      <w:r>
        <w:rPr>
          <w:i w:val="0"/>
          <w:iCs w:val="0"/>
          <w:color w:val="auto"/>
        </w:rPr>
        <w:tab/>
      </w:r>
      <w:r>
        <w:rPr>
          <w:i w:val="0"/>
          <w:iCs w:val="0"/>
          <w:color w:val="auto"/>
        </w:rPr>
        <w:fldChar w:fldCharType="begin"/>
      </w:r>
      <w:r>
        <w:rPr>
          <w:i w:val="0"/>
          <w:iCs w:val="0"/>
          <w:color w:val="auto"/>
        </w:rPr>
        <w:instrText xml:space="preserve"> PAGEREF _Toc4398 \h </w:instrText>
      </w:r>
      <w:r>
        <w:rPr>
          <w:i w:val="0"/>
          <w:iCs w:val="0"/>
          <w:color w:val="auto"/>
        </w:rPr>
        <w:fldChar w:fldCharType="separate"/>
      </w:r>
      <w:r>
        <w:rPr>
          <w:i w:val="0"/>
          <w:iCs w:val="0"/>
          <w:color w:val="auto"/>
        </w:rPr>
        <w:t>18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_Toc4161 </w:instrText>
      </w:r>
      <w:r>
        <w:rPr>
          <w:i w:val="0"/>
          <w:iCs w:val="0"/>
          <w:color w:val="auto"/>
          <w:szCs w:val="28"/>
        </w:rPr>
        <w:fldChar w:fldCharType="separate"/>
      </w:r>
      <w:r>
        <w:rPr>
          <w:rFonts w:hint="default" w:ascii="Times New Roman" w:hAnsi="Times New Roman" w:cs="Times New Roman"/>
          <w:i w:val="0"/>
          <w:iCs w:val="0"/>
          <w:color w:val="auto"/>
          <w:szCs w:val="28"/>
          <w:lang w:val="en-US" w:eastAsia="zh-CN"/>
        </w:rPr>
        <w:t>2.3.5</w:t>
      </w:r>
      <w:r>
        <w:rPr>
          <w:rFonts w:hint="eastAsia"/>
          <w:i w:val="0"/>
          <w:iCs w:val="0"/>
          <w:color w:val="auto"/>
          <w:szCs w:val="28"/>
          <w:lang w:val="en-US" w:eastAsia="zh-CN"/>
        </w:rPr>
        <w:t>仪表及自动控制系统</w:t>
      </w:r>
      <w:r>
        <w:rPr>
          <w:i w:val="0"/>
          <w:iCs w:val="0"/>
          <w:color w:val="auto"/>
        </w:rPr>
        <w:tab/>
      </w:r>
      <w:r>
        <w:rPr>
          <w:i w:val="0"/>
          <w:iCs w:val="0"/>
          <w:color w:val="auto"/>
        </w:rPr>
        <w:fldChar w:fldCharType="begin"/>
      </w:r>
      <w:r>
        <w:rPr>
          <w:i w:val="0"/>
          <w:iCs w:val="0"/>
          <w:color w:val="auto"/>
        </w:rPr>
        <w:instrText xml:space="preserve"> PAGEREF _Toc4161 \h </w:instrText>
      </w:r>
      <w:r>
        <w:rPr>
          <w:i w:val="0"/>
          <w:iCs w:val="0"/>
          <w:color w:val="auto"/>
        </w:rPr>
        <w:fldChar w:fldCharType="separate"/>
      </w:r>
      <w:r>
        <w:rPr>
          <w:i w:val="0"/>
          <w:iCs w:val="0"/>
          <w:color w:val="auto"/>
        </w:rPr>
        <w:t>19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_Toc17762 </w:instrText>
      </w:r>
      <w:r>
        <w:rPr>
          <w:i w:val="0"/>
          <w:iCs w:val="0"/>
          <w:color w:val="auto"/>
          <w:szCs w:val="28"/>
        </w:rPr>
        <w:fldChar w:fldCharType="separate"/>
      </w:r>
      <w:r>
        <w:rPr>
          <w:i w:val="0"/>
          <w:iCs w:val="0"/>
          <w:color w:val="auto"/>
        </w:rPr>
        <w:t>2.</w:t>
      </w:r>
      <w:r>
        <w:rPr>
          <w:rFonts w:hint="eastAsia"/>
          <w:i w:val="0"/>
          <w:iCs w:val="0"/>
          <w:color w:val="auto"/>
          <w:lang w:val="en-US" w:eastAsia="zh-CN"/>
        </w:rPr>
        <w:t>4建设项目选用的</w:t>
      </w:r>
      <w:r>
        <w:rPr>
          <w:i w:val="0"/>
          <w:iCs w:val="0"/>
          <w:color w:val="auto"/>
        </w:rPr>
        <w:t>主要设备</w:t>
      </w:r>
      <w:r>
        <w:rPr>
          <w:rFonts w:hint="eastAsia"/>
          <w:i w:val="0"/>
          <w:iCs w:val="0"/>
          <w:color w:val="auto"/>
          <w:lang w:val="en-US" w:eastAsia="zh-CN"/>
        </w:rPr>
        <w:t>设施</w:t>
      </w:r>
      <w:r>
        <w:rPr>
          <w:i w:val="0"/>
          <w:iCs w:val="0"/>
          <w:color w:val="auto"/>
        </w:rPr>
        <w:tab/>
      </w:r>
      <w:r>
        <w:rPr>
          <w:i w:val="0"/>
          <w:iCs w:val="0"/>
          <w:color w:val="auto"/>
        </w:rPr>
        <w:fldChar w:fldCharType="begin"/>
      </w:r>
      <w:r>
        <w:rPr>
          <w:i w:val="0"/>
          <w:iCs w:val="0"/>
          <w:color w:val="auto"/>
        </w:rPr>
        <w:instrText xml:space="preserve"> PAGEREF _Toc17762 \h </w:instrText>
      </w:r>
      <w:r>
        <w:rPr>
          <w:i w:val="0"/>
          <w:iCs w:val="0"/>
          <w:color w:val="auto"/>
        </w:rPr>
        <w:fldChar w:fldCharType="separate"/>
      </w:r>
      <w:r>
        <w:rPr>
          <w:i w:val="0"/>
          <w:iCs w:val="0"/>
          <w:color w:val="auto"/>
        </w:rPr>
        <w:t>26</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_Toc28450 </w:instrText>
      </w:r>
      <w:r>
        <w:rPr>
          <w:i w:val="0"/>
          <w:iCs w:val="0"/>
          <w:color w:val="auto"/>
          <w:szCs w:val="28"/>
        </w:rPr>
        <w:fldChar w:fldCharType="separate"/>
      </w:r>
      <w:r>
        <w:rPr>
          <w:rFonts w:hint="eastAsia"/>
          <w:i w:val="0"/>
          <w:iCs w:val="0"/>
          <w:color w:val="auto"/>
          <w:lang w:val="en-US" w:eastAsia="zh-CN"/>
        </w:rPr>
        <w:t>2.5建设项目涉及的主要产品、原辅材料及其储运</w:t>
      </w:r>
      <w:r>
        <w:rPr>
          <w:i w:val="0"/>
          <w:iCs w:val="0"/>
          <w:color w:val="auto"/>
        </w:rPr>
        <w:tab/>
      </w:r>
      <w:r>
        <w:rPr>
          <w:i w:val="0"/>
          <w:iCs w:val="0"/>
          <w:color w:val="auto"/>
        </w:rPr>
        <w:fldChar w:fldCharType="begin"/>
      </w:r>
      <w:r>
        <w:rPr>
          <w:i w:val="0"/>
          <w:iCs w:val="0"/>
          <w:color w:val="auto"/>
        </w:rPr>
        <w:instrText xml:space="preserve"> PAGEREF _Toc28450 \h </w:instrText>
      </w:r>
      <w:r>
        <w:rPr>
          <w:i w:val="0"/>
          <w:iCs w:val="0"/>
          <w:color w:val="auto"/>
        </w:rPr>
        <w:fldChar w:fldCharType="separate"/>
      </w:r>
      <w:r>
        <w:rPr>
          <w:i w:val="0"/>
          <w:iCs w:val="0"/>
          <w:color w:val="auto"/>
        </w:rPr>
        <w:t>29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_Toc13805 </w:instrText>
      </w:r>
      <w:r>
        <w:rPr>
          <w:i w:val="0"/>
          <w:iCs w:val="0"/>
          <w:color w:val="auto"/>
          <w:szCs w:val="28"/>
        </w:rPr>
        <w:fldChar w:fldCharType="separate"/>
      </w:r>
      <w:r>
        <w:rPr>
          <w:rFonts w:hint="eastAsia"/>
          <w:i w:val="0"/>
          <w:iCs w:val="0"/>
          <w:color w:val="auto"/>
        </w:rPr>
        <w:t>2.</w:t>
      </w:r>
      <w:r>
        <w:rPr>
          <w:rFonts w:hint="eastAsia"/>
          <w:i w:val="0"/>
          <w:iCs w:val="0"/>
          <w:color w:val="auto"/>
          <w:lang w:val="en-US" w:eastAsia="zh-CN"/>
        </w:rPr>
        <w:t>5</w:t>
      </w:r>
      <w:r>
        <w:rPr>
          <w:rFonts w:hint="eastAsia"/>
          <w:i w:val="0"/>
          <w:iCs w:val="0"/>
          <w:color w:val="auto"/>
        </w:rPr>
        <w:t>.</w:t>
      </w:r>
      <w:r>
        <w:rPr>
          <w:rFonts w:hint="eastAsia"/>
          <w:i w:val="0"/>
          <w:iCs w:val="0"/>
          <w:color w:val="auto"/>
          <w:lang w:val="en-US" w:eastAsia="zh-CN"/>
        </w:rPr>
        <w:t>1</w:t>
      </w:r>
      <w:r>
        <w:rPr>
          <w:i w:val="0"/>
          <w:iCs w:val="0"/>
          <w:color w:val="auto"/>
        </w:rPr>
        <w:t>主要</w:t>
      </w:r>
      <w:r>
        <w:rPr>
          <w:rFonts w:hint="eastAsia"/>
          <w:i w:val="0"/>
          <w:iCs w:val="0"/>
          <w:color w:val="auto"/>
        </w:rPr>
        <w:t>产品、</w:t>
      </w:r>
      <w:r>
        <w:rPr>
          <w:i w:val="0"/>
          <w:iCs w:val="0"/>
          <w:color w:val="auto"/>
        </w:rPr>
        <w:t>原辅材料</w:t>
      </w:r>
      <w:r>
        <w:rPr>
          <w:i w:val="0"/>
          <w:iCs w:val="0"/>
          <w:color w:val="auto"/>
        </w:rPr>
        <w:tab/>
      </w:r>
      <w:r>
        <w:rPr>
          <w:i w:val="0"/>
          <w:iCs w:val="0"/>
          <w:color w:val="auto"/>
        </w:rPr>
        <w:fldChar w:fldCharType="begin"/>
      </w:r>
      <w:r>
        <w:rPr>
          <w:i w:val="0"/>
          <w:iCs w:val="0"/>
          <w:color w:val="auto"/>
        </w:rPr>
        <w:instrText xml:space="preserve"> PAGEREF _Toc13805 \h </w:instrText>
      </w:r>
      <w:r>
        <w:rPr>
          <w:i w:val="0"/>
          <w:iCs w:val="0"/>
          <w:color w:val="auto"/>
        </w:rPr>
        <w:fldChar w:fldCharType="separate"/>
      </w:r>
      <w:r>
        <w:rPr>
          <w:i w:val="0"/>
          <w:iCs w:val="0"/>
          <w:color w:val="auto"/>
        </w:rPr>
        <w:t>29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_Toc30485 </w:instrText>
      </w:r>
      <w:r>
        <w:rPr>
          <w:i w:val="0"/>
          <w:iCs w:val="0"/>
          <w:color w:val="auto"/>
          <w:szCs w:val="28"/>
        </w:rPr>
        <w:fldChar w:fldCharType="separate"/>
      </w:r>
      <w:r>
        <w:rPr>
          <w:rFonts w:hint="eastAsia"/>
          <w:i w:val="0"/>
          <w:iCs w:val="0"/>
          <w:color w:val="auto"/>
          <w:lang w:val="en-US" w:eastAsia="zh-CN"/>
        </w:rPr>
        <w:t>2.5.2产品质量指标</w:t>
      </w:r>
      <w:r>
        <w:rPr>
          <w:i w:val="0"/>
          <w:iCs w:val="0"/>
          <w:color w:val="auto"/>
        </w:rPr>
        <w:tab/>
      </w:r>
      <w:r>
        <w:rPr>
          <w:i w:val="0"/>
          <w:iCs w:val="0"/>
          <w:color w:val="auto"/>
        </w:rPr>
        <w:fldChar w:fldCharType="begin"/>
      </w:r>
      <w:r>
        <w:rPr>
          <w:i w:val="0"/>
          <w:iCs w:val="0"/>
          <w:color w:val="auto"/>
        </w:rPr>
        <w:instrText xml:space="preserve"> PAGEREF _Toc30485 \h </w:instrText>
      </w:r>
      <w:r>
        <w:rPr>
          <w:i w:val="0"/>
          <w:iCs w:val="0"/>
          <w:color w:val="auto"/>
        </w:rPr>
        <w:fldChar w:fldCharType="separate"/>
      </w:r>
      <w:r>
        <w:rPr>
          <w:i w:val="0"/>
          <w:iCs w:val="0"/>
          <w:color w:val="auto"/>
        </w:rPr>
        <w:t>29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_Toc3569 </w:instrText>
      </w:r>
      <w:r>
        <w:rPr>
          <w:i w:val="0"/>
          <w:iCs w:val="0"/>
          <w:color w:val="auto"/>
          <w:szCs w:val="28"/>
        </w:rPr>
        <w:fldChar w:fldCharType="separate"/>
      </w:r>
      <w:r>
        <w:rPr>
          <w:rFonts w:hint="eastAsia"/>
          <w:i w:val="0"/>
          <w:iCs w:val="0"/>
          <w:color w:val="auto"/>
          <w:szCs w:val="28"/>
          <w:lang w:val="en-US" w:eastAsia="zh-CN"/>
        </w:rPr>
        <w:t>2.5.3储运</w:t>
      </w:r>
      <w:r>
        <w:rPr>
          <w:i w:val="0"/>
          <w:iCs w:val="0"/>
          <w:color w:val="auto"/>
        </w:rPr>
        <w:tab/>
      </w:r>
      <w:r>
        <w:rPr>
          <w:i w:val="0"/>
          <w:iCs w:val="0"/>
          <w:color w:val="auto"/>
        </w:rPr>
        <w:fldChar w:fldCharType="begin"/>
      </w:r>
      <w:r>
        <w:rPr>
          <w:i w:val="0"/>
          <w:iCs w:val="0"/>
          <w:color w:val="auto"/>
        </w:rPr>
        <w:instrText xml:space="preserve"> PAGEREF _Toc3569 \h </w:instrText>
      </w:r>
      <w:r>
        <w:rPr>
          <w:i w:val="0"/>
          <w:iCs w:val="0"/>
          <w:color w:val="auto"/>
        </w:rPr>
        <w:fldChar w:fldCharType="separate"/>
      </w:r>
      <w:r>
        <w:rPr>
          <w:i w:val="0"/>
          <w:iCs w:val="0"/>
          <w:color w:val="auto"/>
        </w:rPr>
        <w:t>30</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_Toc10647 </w:instrText>
      </w:r>
      <w:r>
        <w:rPr>
          <w:i w:val="0"/>
          <w:iCs w:val="0"/>
          <w:color w:val="auto"/>
          <w:szCs w:val="28"/>
        </w:rPr>
        <w:fldChar w:fldCharType="separate"/>
      </w:r>
      <w:r>
        <w:rPr>
          <w:i w:val="0"/>
          <w:iCs w:val="0"/>
          <w:color w:val="auto"/>
        </w:rPr>
        <w:t>2.</w:t>
      </w:r>
      <w:r>
        <w:rPr>
          <w:rFonts w:hint="eastAsia"/>
          <w:i w:val="0"/>
          <w:iCs w:val="0"/>
          <w:color w:val="auto"/>
          <w:lang w:val="en-US" w:eastAsia="zh-CN"/>
        </w:rPr>
        <w:t>6主要设备、设施的布局、道路运输</w:t>
      </w:r>
      <w:r>
        <w:rPr>
          <w:i w:val="0"/>
          <w:iCs w:val="0"/>
          <w:color w:val="auto"/>
        </w:rPr>
        <w:tab/>
      </w:r>
      <w:r>
        <w:rPr>
          <w:i w:val="0"/>
          <w:iCs w:val="0"/>
          <w:color w:val="auto"/>
        </w:rPr>
        <w:fldChar w:fldCharType="begin"/>
      </w:r>
      <w:r>
        <w:rPr>
          <w:i w:val="0"/>
          <w:iCs w:val="0"/>
          <w:color w:val="auto"/>
        </w:rPr>
        <w:instrText xml:space="preserve"> PAGEREF _Toc10647 \h </w:instrText>
      </w:r>
      <w:r>
        <w:rPr>
          <w:i w:val="0"/>
          <w:iCs w:val="0"/>
          <w:color w:val="auto"/>
        </w:rPr>
        <w:fldChar w:fldCharType="separate"/>
      </w:r>
      <w:r>
        <w:rPr>
          <w:i w:val="0"/>
          <w:iCs w:val="0"/>
          <w:color w:val="auto"/>
        </w:rPr>
        <w:t>32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_Toc10341 </w:instrText>
      </w:r>
      <w:r>
        <w:rPr>
          <w:i w:val="0"/>
          <w:iCs w:val="0"/>
          <w:color w:val="auto"/>
          <w:szCs w:val="28"/>
        </w:rPr>
        <w:fldChar w:fldCharType="separate"/>
      </w:r>
      <w:r>
        <w:rPr>
          <w:i w:val="0"/>
          <w:iCs w:val="0"/>
          <w:color w:val="auto"/>
        </w:rPr>
        <w:t>2.</w:t>
      </w:r>
      <w:r>
        <w:rPr>
          <w:rFonts w:hint="eastAsia"/>
          <w:i w:val="0"/>
          <w:iCs w:val="0"/>
          <w:color w:val="auto"/>
          <w:lang w:val="en-US" w:eastAsia="zh-CN"/>
        </w:rPr>
        <w:t>6</w:t>
      </w:r>
      <w:r>
        <w:rPr>
          <w:i w:val="0"/>
          <w:iCs w:val="0"/>
          <w:color w:val="auto"/>
        </w:rPr>
        <w:t>.</w:t>
      </w:r>
      <w:r>
        <w:rPr>
          <w:rFonts w:hint="eastAsia"/>
          <w:i w:val="0"/>
          <w:iCs w:val="0"/>
          <w:color w:val="auto"/>
          <w:lang w:val="en-US" w:eastAsia="zh-CN"/>
        </w:rPr>
        <w:t>1</w:t>
      </w:r>
      <w:r>
        <w:rPr>
          <w:rFonts w:hint="eastAsia"/>
          <w:i w:val="0"/>
          <w:iCs w:val="0"/>
          <w:color w:val="auto"/>
        </w:rPr>
        <w:t>总平面布置</w:t>
      </w:r>
      <w:r>
        <w:rPr>
          <w:i w:val="0"/>
          <w:iCs w:val="0"/>
          <w:color w:val="auto"/>
        </w:rPr>
        <w:tab/>
      </w:r>
      <w:r>
        <w:rPr>
          <w:i w:val="0"/>
          <w:iCs w:val="0"/>
          <w:color w:val="auto"/>
        </w:rPr>
        <w:fldChar w:fldCharType="begin"/>
      </w:r>
      <w:r>
        <w:rPr>
          <w:i w:val="0"/>
          <w:iCs w:val="0"/>
          <w:color w:val="auto"/>
        </w:rPr>
        <w:instrText xml:space="preserve"> PAGEREF _Toc10341 \h </w:instrText>
      </w:r>
      <w:r>
        <w:rPr>
          <w:i w:val="0"/>
          <w:iCs w:val="0"/>
          <w:color w:val="auto"/>
        </w:rPr>
        <w:fldChar w:fldCharType="separate"/>
      </w:r>
      <w:r>
        <w:rPr>
          <w:i w:val="0"/>
          <w:iCs w:val="0"/>
          <w:color w:val="auto"/>
        </w:rPr>
        <w:t>32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_Toc8036 </w:instrText>
      </w:r>
      <w:r>
        <w:rPr>
          <w:i w:val="0"/>
          <w:iCs w:val="0"/>
          <w:color w:val="auto"/>
          <w:szCs w:val="28"/>
        </w:rPr>
        <w:fldChar w:fldCharType="separate"/>
      </w:r>
      <w:r>
        <w:rPr>
          <w:i w:val="0"/>
          <w:iCs w:val="0"/>
          <w:color w:val="auto"/>
        </w:rPr>
        <w:t>2.</w:t>
      </w:r>
      <w:r>
        <w:rPr>
          <w:rFonts w:hint="eastAsia"/>
          <w:i w:val="0"/>
          <w:iCs w:val="0"/>
          <w:color w:val="auto"/>
          <w:lang w:val="en-US" w:eastAsia="zh-CN"/>
        </w:rPr>
        <w:t>6</w:t>
      </w:r>
      <w:r>
        <w:rPr>
          <w:i w:val="0"/>
          <w:iCs w:val="0"/>
          <w:color w:val="auto"/>
        </w:rPr>
        <w:t>.</w:t>
      </w:r>
      <w:r>
        <w:rPr>
          <w:rFonts w:hint="eastAsia"/>
          <w:i w:val="0"/>
          <w:iCs w:val="0"/>
          <w:color w:val="auto"/>
          <w:lang w:val="en-US" w:eastAsia="zh-CN"/>
        </w:rPr>
        <w:t>2</w:t>
      </w:r>
      <w:r>
        <w:rPr>
          <w:rFonts w:hint="eastAsia"/>
          <w:i w:val="0"/>
          <w:iCs w:val="0"/>
          <w:color w:val="auto"/>
        </w:rPr>
        <w:t>竖向布置</w:t>
      </w:r>
      <w:r>
        <w:rPr>
          <w:i w:val="0"/>
          <w:iCs w:val="0"/>
          <w:color w:val="auto"/>
        </w:rPr>
        <w:tab/>
      </w:r>
      <w:r>
        <w:rPr>
          <w:i w:val="0"/>
          <w:iCs w:val="0"/>
          <w:color w:val="auto"/>
        </w:rPr>
        <w:fldChar w:fldCharType="begin"/>
      </w:r>
      <w:r>
        <w:rPr>
          <w:i w:val="0"/>
          <w:iCs w:val="0"/>
          <w:color w:val="auto"/>
        </w:rPr>
        <w:instrText xml:space="preserve"> PAGEREF _Toc8036 \h </w:instrText>
      </w:r>
      <w:r>
        <w:rPr>
          <w:i w:val="0"/>
          <w:iCs w:val="0"/>
          <w:color w:val="auto"/>
        </w:rPr>
        <w:fldChar w:fldCharType="separate"/>
      </w:r>
      <w:r>
        <w:rPr>
          <w:i w:val="0"/>
          <w:iCs w:val="0"/>
          <w:color w:val="auto"/>
        </w:rPr>
        <w:t>33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_Toc26141 </w:instrText>
      </w:r>
      <w:r>
        <w:rPr>
          <w:i w:val="0"/>
          <w:iCs w:val="0"/>
          <w:color w:val="auto"/>
          <w:szCs w:val="28"/>
        </w:rPr>
        <w:fldChar w:fldCharType="separate"/>
      </w:r>
      <w:r>
        <w:rPr>
          <w:i w:val="0"/>
          <w:iCs w:val="0"/>
          <w:color w:val="auto"/>
        </w:rPr>
        <w:t>2.</w:t>
      </w:r>
      <w:r>
        <w:rPr>
          <w:rFonts w:hint="eastAsia"/>
          <w:i w:val="0"/>
          <w:iCs w:val="0"/>
          <w:color w:val="auto"/>
          <w:lang w:val="en-US" w:eastAsia="zh-CN"/>
        </w:rPr>
        <w:t>6</w:t>
      </w:r>
      <w:r>
        <w:rPr>
          <w:i w:val="0"/>
          <w:iCs w:val="0"/>
          <w:color w:val="auto"/>
        </w:rPr>
        <w:t>.</w:t>
      </w:r>
      <w:r>
        <w:rPr>
          <w:rFonts w:hint="eastAsia"/>
          <w:i w:val="0"/>
          <w:iCs w:val="0"/>
          <w:color w:val="auto"/>
          <w:lang w:val="en-US" w:eastAsia="zh-CN"/>
        </w:rPr>
        <w:t>3</w:t>
      </w:r>
      <w:r>
        <w:rPr>
          <w:i w:val="0"/>
          <w:iCs w:val="0"/>
          <w:color w:val="auto"/>
        </w:rPr>
        <w:t>工厂运输</w:t>
      </w:r>
      <w:r>
        <w:rPr>
          <w:i w:val="0"/>
          <w:iCs w:val="0"/>
          <w:color w:val="auto"/>
        </w:rPr>
        <w:tab/>
      </w:r>
      <w:r>
        <w:rPr>
          <w:i w:val="0"/>
          <w:iCs w:val="0"/>
          <w:color w:val="auto"/>
        </w:rPr>
        <w:fldChar w:fldCharType="begin"/>
      </w:r>
      <w:r>
        <w:rPr>
          <w:i w:val="0"/>
          <w:iCs w:val="0"/>
          <w:color w:val="auto"/>
        </w:rPr>
        <w:instrText xml:space="preserve"> PAGEREF _Toc26141 \h </w:instrText>
      </w:r>
      <w:r>
        <w:rPr>
          <w:i w:val="0"/>
          <w:iCs w:val="0"/>
          <w:color w:val="auto"/>
        </w:rPr>
        <w:fldChar w:fldCharType="separate"/>
      </w:r>
      <w:r>
        <w:rPr>
          <w:i w:val="0"/>
          <w:iCs w:val="0"/>
          <w:color w:val="auto"/>
        </w:rPr>
        <w:t>33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_Toc15617 </w:instrText>
      </w:r>
      <w:r>
        <w:rPr>
          <w:i w:val="0"/>
          <w:iCs w:val="0"/>
          <w:color w:val="auto"/>
          <w:szCs w:val="28"/>
        </w:rPr>
        <w:fldChar w:fldCharType="separate"/>
      </w:r>
      <w:r>
        <w:rPr>
          <w:i w:val="0"/>
          <w:iCs w:val="0"/>
          <w:color w:val="auto"/>
        </w:rPr>
        <w:t>2.</w:t>
      </w:r>
      <w:r>
        <w:rPr>
          <w:rFonts w:hint="eastAsia"/>
          <w:i w:val="0"/>
          <w:iCs w:val="0"/>
          <w:color w:val="auto"/>
          <w:lang w:val="en-US" w:eastAsia="zh-CN"/>
        </w:rPr>
        <w:t>7</w:t>
      </w:r>
      <w:r>
        <w:rPr>
          <w:rFonts w:hint="eastAsia"/>
          <w:i w:val="0"/>
          <w:iCs w:val="0"/>
          <w:color w:val="auto"/>
        </w:rPr>
        <w:t>建</w:t>
      </w:r>
      <w:r>
        <w:rPr>
          <w:rFonts w:hint="eastAsia"/>
          <w:i w:val="0"/>
          <w:iCs w:val="0"/>
          <w:color w:val="auto"/>
          <w:lang w:eastAsia="zh-CN"/>
        </w:rPr>
        <w:t>、</w:t>
      </w:r>
      <w:r>
        <w:rPr>
          <w:rFonts w:hint="eastAsia"/>
          <w:i w:val="0"/>
          <w:iCs w:val="0"/>
          <w:color w:val="auto"/>
          <w:lang w:val="en-US" w:eastAsia="zh-CN"/>
        </w:rPr>
        <w:t>构筑物</w:t>
      </w:r>
      <w:r>
        <w:rPr>
          <w:i w:val="0"/>
          <w:iCs w:val="0"/>
          <w:color w:val="auto"/>
        </w:rPr>
        <w:tab/>
      </w:r>
      <w:r>
        <w:rPr>
          <w:i w:val="0"/>
          <w:iCs w:val="0"/>
          <w:color w:val="auto"/>
        </w:rPr>
        <w:fldChar w:fldCharType="begin"/>
      </w:r>
      <w:r>
        <w:rPr>
          <w:i w:val="0"/>
          <w:iCs w:val="0"/>
          <w:color w:val="auto"/>
        </w:rPr>
        <w:instrText xml:space="preserve"> PAGEREF _Toc15617 \h </w:instrText>
      </w:r>
      <w:r>
        <w:rPr>
          <w:i w:val="0"/>
          <w:iCs w:val="0"/>
          <w:color w:val="auto"/>
        </w:rPr>
        <w:fldChar w:fldCharType="separate"/>
      </w:r>
      <w:r>
        <w:rPr>
          <w:i w:val="0"/>
          <w:iCs w:val="0"/>
          <w:color w:val="auto"/>
        </w:rPr>
        <w:t>35</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_Toc24757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公工程及辅助设施</w:t>
      </w:r>
      <w:r>
        <w:rPr>
          <w:i w:val="0"/>
          <w:iCs w:val="0"/>
          <w:color w:val="auto"/>
        </w:rPr>
        <w:tab/>
      </w:r>
      <w:r>
        <w:rPr>
          <w:i w:val="0"/>
          <w:iCs w:val="0"/>
          <w:color w:val="auto"/>
        </w:rPr>
        <w:fldChar w:fldCharType="begin"/>
      </w:r>
      <w:r>
        <w:rPr>
          <w:i w:val="0"/>
          <w:iCs w:val="0"/>
          <w:color w:val="auto"/>
        </w:rPr>
        <w:instrText xml:space="preserve"> PAGEREF _Toc24757 \h </w:instrText>
      </w:r>
      <w:r>
        <w:rPr>
          <w:i w:val="0"/>
          <w:iCs w:val="0"/>
          <w:color w:val="auto"/>
        </w:rPr>
        <w:fldChar w:fldCharType="separate"/>
      </w:r>
      <w:r>
        <w:rPr>
          <w:i w:val="0"/>
          <w:iCs w:val="0"/>
          <w:color w:val="auto"/>
        </w:rPr>
        <w:t>38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_Toc23720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.1供配电</w:t>
      </w:r>
      <w:r>
        <w:rPr>
          <w:i w:val="0"/>
          <w:iCs w:val="0"/>
          <w:color w:val="auto"/>
        </w:rPr>
        <w:tab/>
      </w:r>
      <w:r>
        <w:rPr>
          <w:i w:val="0"/>
          <w:iCs w:val="0"/>
          <w:color w:val="auto"/>
        </w:rPr>
        <w:fldChar w:fldCharType="begin"/>
      </w:r>
      <w:r>
        <w:rPr>
          <w:i w:val="0"/>
          <w:iCs w:val="0"/>
          <w:color w:val="auto"/>
        </w:rPr>
        <w:instrText xml:space="preserve"> PAGEREF _Toc23720 \h </w:instrText>
      </w:r>
      <w:r>
        <w:rPr>
          <w:i w:val="0"/>
          <w:iCs w:val="0"/>
          <w:color w:val="auto"/>
        </w:rPr>
        <w:fldChar w:fldCharType="separate"/>
      </w:r>
      <w:r>
        <w:rPr>
          <w:i w:val="0"/>
          <w:iCs w:val="0"/>
          <w:color w:val="auto"/>
        </w:rPr>
        <w:t>38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_Toc32045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.2</w:t>
      </w:r>
      <w:r>
        <w:rPr>
          <w:rFonts w:hint="eastAsia"/>
          <w:i w:val="0"/>
          <w:iCs w:val="0"/>
          <w:color w:val="auto"/>
        </w:rPr>
        <w:t>给排水</w:t>
      </w:r>
      <w:r>
        <w:rPr>
          <w:i w:val="0"/>
          <w:iCs w:val="0"/>
          <w:color w:val="auto"/>
        </w:rPr>
        <w:tab/>
      </w:r>
      <w:r>
        <w:rPr>
          <w:i w:val="0"/>
          <w:iCs w:val="0"/>
          <w:color w:val="auto"/>
        </w:rPr>
        <w:fldChar w:fldCharType="begin"/>
      </w:r>
      <w:r>
        <w:rPr>
          <w:i w:val="0"/>
          <w:iCs w:val="0"/>
          <w:color w:val="auto"/>
        </w:rPr>
        <w:instrText xml:space="preserve"> PAGEREF _Toc32045 \h </w:instrText>
      </w:r>
      <w:r>
        <w:rPr>
          <w:i w:val="0"/>
          <w:iCs w:val="0"/>
          <w:color w:val="auto"/>
        </w:rPr>
        <w:fldChar w:fldCharType="separate"/>
      </w:r>
      <w:r>
        <w:rPr>
          <w:i w:val="0"/>
          <w:iCs w:val="0"/>
          <w:color w:val="auto"/>
        </w:rPr>
        <w:t>45</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_Toc18160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w:t>
      </w:r>
      <w:r>
        <w:rPr>
          <w:rFonts w:hint="eastAsia"/>
          <w:i w:val="0"/>
          <w:iCs w:val="0"/>
          <w:color w:val="auto"/>
        </w:rPr>
        <w:t>3蒸汽</w:t>
      </w:r>
      <w:r>
        <w:rPr>
          <w:i w:val="0"/>
          <w:iCs w:val="0"/>
          <w:color w:val="auto"/>
        </w:rPr>
        <w:tab/>
      </w:r>
      <w:r>
        <w:rPr>
          <w:i w:val="0"/>
          <w:iCs w:val="0"/>
          <w:color w:val="auto"/>
        </w:rPr>
        <w:fldChar w:fldCharType="begin"/>
      </w:r>
      <w:r>
        <w:rPr>
          <w:i w:val="0"/>
          <w:iCs w:val="0"/>
          <w:color w:val="auto"/>
        </w:rPr>
        <w:instrText xml:space="preserve"> PAGEREF _Toc18160 \h </w:instrText>
      </w:r>
      <w:r>
        <w:rPr>
          <w:i w:val="0"/>
          <w:iCs w:val="0"/>
          <w:color w:val="auto"/>
        </w:rPr>
        <w:fldChar w:fldCharType="separate"/>
      </w:r>
      <w:r>
        <w:rPr>
          <w:i w:val="0"/>
          <w:iCs w:val="0"/>
          <w:color w:val="auto"/>
        </w:rPr>
        <w:t>47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_Toc28257 </w:instrText>
      </w:r>
      <w:r>
        <w:rPr>
          <w:i w:val="0"/>
          <w:iCs w:val="0"/>
          <w:color w:val="auto"/>
          <w:szCs w:val="28"/>
        </w:rPr>
        <w:fldChar w:fldCharType="separate"/>
      </w:r>
      <w:r>
        <w:rPr>
          <w:rFonts w:hint="eastAsia"/>
          <w:i w:val="0"/>
          <w:iCs w:val="0"/>
          <w:color w:val="auto"/>
          <w:lang w:val="en-US" w:eastAsia="zh-CN"/>
        </w:rPr>
        <w:t>2.8.4压缩空气、氮气</w:t>
      </w:r>
      <w:r>
        <w:rPr>
          <w:i w:val="0"/>
          <w:iCs w:val="0"/>
          <w:color w:val="auto"/>
        </w:rPr>
        <w:tab/>
      </w:r>
      <w:r>
        <w:rPr>
          <w:i w:val="0"/>
          <w:iCs w:val="0"/>
          <w:color w:val="auto"/>
        </w:rPr>
        <w:fldChar w:fldCharType="begin"/>
      </w:r>
      <w:r>
        <w:rPr>
          <w:i w:val="0"/>
          <w:iCs w:val="0"/>
          <w:color w:val="auto"/>
        </w:rPr>
        <w:instrText xml:space="preserve"> PAGEREF _Toc28257 \h </w:instrText>
      </w:r>
      <w:r>
        <w:rPr>
          <w:i w:val="0"/>
          <w:iCs w:val="0"/>
          <w:color w:val="auto"/>
        </w:rPr>
        <w:fldChar w:fldCharType="separate"/>
      </w:r>
      <w:r>
        <w:rPr>
          <w:i w:val="0"/>
          <w:iCs w:val="0"/>
          <w:color w:val="auto"/>
        </w:rPr>
        <w:t>47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_Toc5583 </w:instrText>
      </w:r>
      <w:r>
        <w:rPr>
          <w:i w:val="0"/>
          <w:iCs w:val="0"/>
          <w:color w:val="auto"/>
          <w:szCs w:val="28"/>
        </w:rPr>
        <w:fldChar w:fldCharType="separate"/>
      </w:r>
      <w:r>
        <w:rPr>
          <w:rFonts w:hint="eastAsia"/>
          <w:i w:val="0"/>
          <w:iCs w:val="0"/>
          <w:color w:val="auto"/>
          <w:lang w:val="en-US" w:eastAsia="zh-CN"/>
        </w:rPr>
        <w:t>2.8.5冷冻站</w:t>
      </w:r>
      <w:r>
        <w:rPr>
          <w:i w:val="0"/>
          <w:iCs w:val="0"/>
          <w:color w:val="auto"/>
        </w:rPr>
        <w:tab/>
      </w:r>
      <w:r>
        <w:rPr>
          <w:i w:val="0"/>
          <w:iCs w:val="0"/>
          <w:color w:val="auto"/>
        </w:rPr>
        <w:fldChar w:fldCharType="begin"/>
      </w:r>
      <w:r>
        <w:rPr>
          <w:i w:val="0"/>
          <w:iCs w:val="0"/>
          <w:color w:val="auto"/>
        </w:rPr>
        <w:instrText xml:space="preserve"> PAGEREF _Toc5583 \h </w:instrText>
      </w:r>
      <w:r>
        <w:rPr>
          <w:i w:val="0"/>
          <w:iCs w:val="0"/>
          <w:color w:val="auto"/>
        </w:rPr>
        <w:fldChar w:fldCharType="separate"/>
      </w:r>
      <w:r>
        <w:rPr>
          <w:i w:val="0"/>
          <w:iCs w:val="0"/>
          <w:color w:val="auto"/>
        </w:rPr>
        <w:t>47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_Toc625 </w:instrText>
      </w:r>
      <w:r>
        <w:rPr>
          <w:i w:val="0"/>
          <w:iCs w:val="0"/>
          <w:color w:val="auto"/>
          <w:szCs w:val="28"/>
        </w:rPr>
        <w:fldChar w:fldCharType="separate"/>
      </w:r>
      <w:r>
        <w:rPr>
          <w:rFonts w:hint="eastAsia"/>
          <w:i w:val="0"/>
          <w:iCs w:val="0"/>
          <w:color w:val="auto"/>
          <w:lang w:val="en-US" w:eastAsia="zh-CN"/>
        </w:rPr>
        <w:t>2.8.6通风</w:t>
      </w:r>
      <w:r>
        <w:rPr>
          <w:i w:val="0"/>
          <w:iCs w:val="0"/>
          <w:color w:val="auto"/>
        </w:rPr>
        <w:tab/>
      </w:r>
      <w:r>
        <w:rPr>
          <w:i w:val="0"/>
          <w:iCs w:val="0"/>
          <w:color w:val="auto"/>
        </w:rPr>
        <w:fldChar w:fldCharType="begin"/>
      </w:r>
      <w:r>
        <w:rPr>
          <w:i w:val="0"/>
          <w:iCs w:val="0"/>
          <w:color w:val="auto"/>
        </w:rPr>
        <w:instrText xml:space="preserve"> PAGEREF _Toc625 \h </w:instrText>
      </w:r>
      <w:r>
        <w:rPr>
          <w:i w:val="0"/>
          <w:iCs w:val="0"/>
          <w:color w:val="auto"/>
        </w:rPr>
        <w:fldChar w:fldCharType="separate"/>
      </w:r>
      <w:r>
        <w:rPr>
          <w:i w:val="0"/>
          <w:iCs w:val="0"/>
          <w:color w:val="auto"/>
        </w:rPr>
        <w:t>48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_Toc7992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w:t>
      </w:r>
      <w:r>
        <w:rPr>
          <w:rFonts w:hint="eastAsia"/>
          <w:i w:val="0"/>
          <w:iCs w:val="0"/>
          <w:color w:val="auto"/>
          <w:lang w:val="en-US" w:eastAsia="zh-CN"/>
        </w:rPr>
        <w:t>7</w:t>
      </w:r>
      <w:r>
        <w:rPr>
          <w:rFonts w:hint="eastAsia"/>
          <w:i w:val="0"/>
          <w:iCs w:val="0"/>
          <w:color w:val="auto"/>
        </w:rPr>
        <w:t>电讯</w:t>
      </w:r>
      <w:r>
        <w:rPr>
          <w:i w:val="0"/>
          <w:iCs w:val="0"/>
          <w:color w:val="auto"/>
        </w:rPr>
        <w:tab/>
      </w:r>
      <w:r>
        <w:rPr>
          <w:i w:val="0"/>
          <w:iCs w:val="0"/>
          <w:color w:val="auto"/>
        </w:rPr>
        <w:fldChar w:fldCharType="begin"/>
      </w:r>
      <w:r>
        <w:rPr>
          <w:i w:val="0"/>
          <w:iCs w:val="0"/>
          <w:color w:val="auto"/>
        </w:rPr>
        <w:instrText xml:space="preserve"> PAGEREF _Toc7992 \h </w:instrText>
      </w:r>
      <w:r>
        <w:rPr>
          <w:i w:val="0"/>
          <w:iCs w:val="0"/>
          <w:color w:val="auto"/>
        </w:rPr>
        <w:fldChar w:fldCharType="separate"/>
      </w:r>
      <w:r>
        <w:rPr>
          <w:i w:val="0"/>
          <w:iCs w:val="0"/>
          <w:color w:val="auto"/>
        </w:rPr>
        <w:t>48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_Toc16015 </w:instrText>
      </w:r>
      <w:r>
        <w:rPr>
          <w:i w:val="0"/>
          <w:iCs w:val="0"/>
          <w:color w:val="auto"/>
          <w:szCs w:val="28"/>
        </w:rPr>
        <w:fldChar w:fldCharType="separate"/>
      </w:r>
      <w:r>
        <w:rPr>
          <w:rFonts w:hint="eastAsia"/>
          <w:i w:val="0"/>
          <w:iCs w:val="0"/>
          <w:color w:val="auto"/>
          <w:lang w:val="en-US" w:eastAsia="zh-CN"/>
        </w:rPr>
        <w:t>2.8.8火灾自动报警及监控</w:t>
      </w:r>
      <w:r>
        <w:rPr>
          <w:i w:val="0"/>
          <w:iCs w:val="0"/>
          <w:color w:val="auto"/>
        </w:rPr>
        <w:tab/>
      </w:r>
      <w:r>
        <w:rPr>
          <w:i w:val="0"/>
          <w:iCs w:val="0"/>
          <w:color w:val="auto"/>
        </w:rPr>
        <w:fldChar w:fldCharType="begin"/>
      </w:r>
      <w:r>
        <w:rPr>
          <w:i w:val="0"/>
          <w:iCs w:val="0"/>
          <w:color w:val="auto"/>
        </w:rPr>
        <w:instrText xml:space="preserve"> PAGEREF _Toc16015 \h </w:instrText>
      </w:r>
      <w:r>
        <w:rPr>
          <w:i w:val="0"/>
          <w:iCs w:val="0"/>
          <w:color w:val="auto"/>
        </w:rPr>
        <w:fldChar w:fldCharType="separate"/>
      </w:r>
      <w:r>
        <w:rPr>
          <w:i w:val="0"/>
          <w:iCs w:val="0"/>
          <w:color w:val="auto"/>
        </w:rPr>
        <w:t>49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_Toc26226 </w:instrText>
      </w:r>
      <w:r>
        <w:rPr>
          <w:i w:val="0"/>
          <w:iCs w:val="0"/>
          <w:color w:val="auto"/>
          <w:szCs w:val="28"/>
        </w:rPr>
        <w:fldChar w:fldCharType="separate"/>
      </w:r>
      <w:r>
        <w:rPr>
          <w:rFonts w:hint="eastAsia"/>
          <w:i w:val="0"/>
          <w:iCs w:val="0"/>
          <w:color w:val="auto"/>
          <w:lang w:val="en-US" w:eastAsia="zh-CN"/>
        </w:rPr>
        <w:t>2.8.9消防</w:t>
      </w:r>
      <w:r>
        <w:rPr>
          <w:i w:val="0"/>
          <w:iCs w:val="0"/>
          <w:color w:val="auto"/>
        </w:rPr>
        <w:tab/>
      </w:r>
      <w:r>
        <w:rPr>
          <w:i w:val="0"/>
          <w:iCs w:val="0"/>
          <w:color w:val="auto"/>
        </w:rPr>
        <w:fldChar w:fldCharType="begin"/>
      </w:r>
      <w:r>
        <w:rPr>
          <w:i w:val="0"/>
          <w:iCs w:val="0"/>
          <w:color w:val="auto"/>
        </w:rPr>
        <w:instrText xml:space="preserve"> PAGEREF _Toc26226 \h </w:instrText>
      </w:r>
      <w:r>
        <w:rPr>
          <w:i w:val="0"/>
          <w:iCs w:val="0"/>
          <w:color w:val="auto"/>
        </w:rPr>
        <w:fldChar w:fldCharType="separate"/>
      </w:r>
      <w:r>
        <w:rPr>
          <w:i w:val="0"/>
          <w:iCs w:val="0"/>
          <w:color w:val="auto"/>
        </w:rPr>
        <w:t>49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_Toc26687 </w:instrText>
      </w:r>
      <w:r>
        <w:rPr>
          <w:i w:val="0"/>
          <w:iCs w:val="0"/>
          <w:color w:val="auto"/>
          <w:szCs w:val="28"/>
        </w:rPr>
        <w:fldChar w:fldCharType="separate"/>
      </w:r>
      <w:r>
        <w:rPr>
          <w:i w:val="0"/>
          <w:iCs w:val="0"/>
          <w:color w:val="auto"/>
        </w:rPr>
        <w:t>2.</w:t>
      </w:r>
      <w:r>
        <w:rPr>
          <w:rFonts w:hint="eastAsia"/>
          <w:i w:val="0"/>
          <w:iCs w:val="0"/>
          <w:color w:val="auto"/>
        </w:rPr>
        <w:t>8</w:t>
      </w:r>
      <w:r>
        <w:rPr>
          <w:i w:val="0"/>
          <w:iCs w:val="0"/>
          <w:color w:val="auto"/>
        </w:rPr>
        <w:t>.</w:t>
      </w:r>
      <w:r>
        <w:rPr>
          <w:rFonts w:hint="eastAsia"/>
          <w:i w:val="0"/>
          <w:iCs w:val="0"/>
          <w:color w:val="auto"/>
          <w:lang w:val="en-US" w:eastAsia="zh-CN"/>
        </w:rPr>
        <w:t>10</w:t>
      </w:r>
      <w:r>
        <w:rPr>
          <w:rFonts w:hint="eastAsia"/>
          <w:i w:val="0"/>
          <w:iCs w:val="0"/>
          <w:color w:val="auto"/>
        </w:rPr>
        <w:t>检维修</w:t>
      </w:r>
      <w:r>
        <w:rPr>
          <w:i w:val="0"/>
          <w:iCs w:val="0"/>
          <w:color w:val="auto"/>
        </w:rPr>
        <w:tab/>
      </w:r>
      <w:r>
        <w:rPr>
          <w:i w:val="0"/>
          <w:iCs w:val="0"/>
          <w:color w:val="auto"/>
        </w:rPr>
        <w:fldChar w:fldCharType="begin"/>
      </w:r>
      <w:r>
        <w:rPr>
          <w:i w:val="0"/>
          <w:iCs w:val="0"/>
          <w:color w:val="auto"/>
        </w:rPr>
        <w:instrText xml:space="preserve"> PAGEREF _Toc26687 \h </w:instrText>
      </w:r>
      <w:r>
        <w:rPr>
          <w:i w:val="0"/>
          <w:iCs w:val="0"/>
          <w:color w:val="auto"/>
        </w:rPr>
        <w:fldChar w:fldCharType="separate"/>
      </w:r>
      <w:r>
        <w:rPr>
          <w:i w:val="0"/>
          <w:iCs w:val="0"/>
          <w:color w:val="auto"/>
        </w:rPr>
        <w:t>51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_Toc5354 </w:instrText>
      </w:r>
      <w:r>
        <w:rPr>
          <w:i w:val="0"/>
          <w:iCs w:val="0"/>
          <w:color w:val="auto"/>
          <w:szCs w:val="28"/>
        </w:rPr>
        <w:fldChar w:fldCharType="separate"/>
      </w:r>
      <w:r>
        <w:rPr>
          <w:rFonts w:hint="eastAsia"/>
          <w:i w:val="0"/>
          <w:iCs w:val="0"/>
          <w:color w:val="auto"/>
          <w:lang w:val="en-US" w:eastAsia="zh-CN"/>
        </w:rPr>
        <w:t>2.9三废处理</w:t>
      </w:r>
      <w:r>
        <w:rPr>
          <w:i w:val="0"/>
          <w:iCs w:val="0"/>
          <w:color w:val="auto"/>
        </w:rPr>
        <w:tab/>
      </w:r>
      <w:r>
        <w:rPr>
          <w:i w:val="0"/>
          <w:iCs w:val="0"/>
          <w:color w:val="auto"/>
        </w:rPr>
        <w:fldChar w:fldCharType="begin"/>
      </w:r>
      <w:r>
        <w:rPr>
          <w:i w:val="0"/>
          <w:iCs w:val="0"/>
          <w:color w:val="auto"/>
        </w:rPr>
        <w:instrText xml:space="preserve"> PAGEREF _Toc5354 \h </w:instrText>
      </w:r>
      <w:r>
        <w:rPr>
          <w:i w:val="0"/>
          <w:iCs w:val="0"/>
          <w:color w:val="auto"/>
        </w:rPr>
        <w:fldChar w:fldCharType="separate"/>
      </w:r>
      <w:r>
        <w:rPr>
          <w:i w:val="0"/>
          <w:iCs w:val="0"/>
          <w:color w:val="auto"/>
        </w:rPr>
        <w:t>51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_Toc23907 </w:instrText>
      </w:r>
      <w:r>
        <w:rPr>
          <w:i w:val="0"/>
          <w:iCs w:val="0"/>
          <w:color w:val="auto"/>
          <w:szCs w:val="28"/>
        </w:rPr>
        <w:fldChar w:fldCharType="separate"/>
      </w:r>
      <w:r>
        <w:rPr>
          <w:i w:val="0"/>
          <w:iCs w:val="0"/>
          <w:color w:val="auto"/>
        </w:rPr>
        <w:t>2.</w:t>
      </w:r>
      <w:r>
        <w:rPr>
          <w:rFonts w:hint="eastAsia"/>
          <w:i w:val="0"/>
          <w:iCs w:val="0"/>
          <w:color w:val="auto"/>
          <w:lang w:val="en-US" w:eastAsia="zh-CN"/>
        </w:rPr>
        <w:t>10</w:t>
      </w:r>
      <w:r>
        <w:rPr>
          <w:i w:val="0"/>
          <w:iCs w:val="0"/>
          <w:color w:val="auto"/>
        </w:rPr>
        <w:t>组织机构及人员组成</w:t>
      </w:r>
      <w:r>
        <w:rPr>
          <w:i w:val="0"/>
          <w:iCs w:val="0"/>
          <w:color w:val="auto"/>
        </w:rPr>
        <w:tab/>
      </w:r>
      <w:r>
        <w:rPr>
          <w:i w:val="0"/>
          <w:iCs w:val="0"/>
          <w:color w:val="auto"/>
        </w:rPr>
        <w:fldChar w:fldCharType="begin"/>
      </w:r>
      <w:r>
        <w:rPr>
          <w:i w:val="0"/>
          <w:iCs w:val="0"/>
          <w:color w:val="auto"/>
        </w:rPr>
        <w:instrText xml:space="preserve"> PAGEREF _Toc23907 \h </w:instrText>
      </w:r>
      <w:r>
        <w:rPr>
          <w:i w:val="0"/>
          <w:iCs w:val="0"/>
          <w:color w:val="auto"/>
        </w:rPr>
        <w:fldChar w:fldCharType="separate"/>
      </w:r>
      <w:r>
        <w:rPr>
          <w:i w:val="0"/>
          <w:iCs w:val="0"/>
          <w:color w:val="auto"/>
        </w:rPr>
        <w:t>54</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_Toc10869 </w:instrText>
      </w:r>
      <w:r>
        <w:rPr>
          <w:i w:val="0"/>
          <w:iCs w:val="0"/>
          <w:color w:val="auto"/>
          <w:szCs w:val="28"/>
        </w:rPr>
        <w:fldChar w:fldCharType="separate"/>
      </w:r>
      <w:r>
        <w:rPr>
          <w:rFonts w:hint="default" w:ascii="Times New Roman" w:hAnsi="Times New Roman" w:cs="Times New Roman"/>
          <w:i w:val="0"/>
          <w:iCs w:val="0"/>
          <w:color w:val="auto"/>
          <w:szCs w:val="48"/>
        </w:rPr>
        <w:t>3</w:t>
      </w:r>
      <w:r>
        <w:rPr>
          <w:rFonts w:hint="eastAsia" w:ascii="黑体" w:eastAsia="黑体"/>
          <w:i w:val="0"/>
          <w:iCs w:val="0"/>
          <w:color w:val="auto"/>
          <w:szCs w:val="32"/>
        </w:rPr>
        <w:t>危险、有害因素的辨识结果及依据说明</w:t>
      </w:r>
      <w:r>
        <w:rPr>
          <w:i w:val="0"/>
          <w:iCs w:val="0"/>
          <w:color w:val="auto"/>
        </w:rPr>
        <w:tab/>
      </w:r>
      <w:r>
        <w:rPr>
          <w:i w:val="0"/>
          <w:iCs w:val="0"/>
          <w:color w:val="auto"/>
        </w:rPr>
        <w:fldChar w:fldCharType="begin"/>
      </w:r>
      <w:r>
        <w:rPr>
          <w:i w:val="0"/>
          <w:iCs w:val="0"/>
          <w:color w:val="auto"/>
        </w:rPr>
        <w:instrText xml:space="preserve"> PAGEREF _Toc10869 \h </w:instrText>
      </w:r>
      <w:r>
        <w:rPr>
          <w:i w:val="0"/>
          <w:iCs w:val="0"/>
          <w:color w:val="auto"/>
        </w:rPr>
        <w:fldChar w:fldCharType="separate"/>
      </w:r>
      <w:r>
        <w:rPr>
          <w:i w:val="0"/>
          <w:iCs w:val="0"/>
          <w:color w:val="auto"/>
        </w:rPr>
        <w:t>56</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_Toc23033 </w:instrText>
      </w:r>
      <w:r>
        <w:rPr>
          <w:i w:val="0"/>
          <w:iCs w:val="0"/>
          <w:color w:val="auto"/>
          <w:szCs w:val="28"/>
        </w:rPr>
        <w:fldChar w:fldCharType="separate"/>
      </w:r>
      <w:r>
        <w:rPr>
          <w:rFonts w:hint="eastAsia"/>
          <w:i w:val="0"/>
          <w:iCs w:val="0"/>
          <w:color w:val="auto"/>
          <w:szCs w:val="28"/>
        </w:rPr>
        <w:t>3.1 危险物质的辨识结果及依据</w:t>
      </w:r>
      <w:r>
        <w:rPr>
          <w:i w:val="0"/>
          <w:iCs w:val="0"/>
          <w:color w:val="auto"/>
        </w:rPr>
        <w:tab/>
      </w:r>
      <w:r>
        <w:rPr>
          <w:i w:val="0"/>
          <w:iCs w:val="0"/>
          <w:color w:val="auto"/>
        </w:rPr>
        <w:fldChar w:fldCharType="begin"/>
      </w:r>
      <w:r>
        <w:rPr>
          <w:i w:val="0"/>
          <w:iCs w:val="0"/>
          <w:color w:val="auto"/>
        </w:rPr>
        <w:instrText xml:space="preserve"> PAGEREF _Toc23033 \h </w:instrText>
      </w:r>
      <w:r>
        <w:rPr>
          <w:i w:val="0"/>
          <w:iCs w:val="0"/>
          <w:color w:val="auto"/>
        </w:rPr>
        <w:fldChar w:fldCharType="separate"/>
      </w:r>
      <w:r>
        <w:rPr>
          <w:i w:val="0"/>
          <w:iCs w:val="0"/>
          <w:color w:val="auto"/>
        </w:rPr>
        <w:t>56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_Toc10416 </w:instrText>
      </w:r>
      <w:r>
        <w:rPr>
          <w:i w:val="0"/>
          <w:iCs w:val="0"/>
          <w:color w:val="auto"/>
          <w:szCs w:val="28"/>
        </w:rPr>
        <w:fldChar w:fldCharType="separate"/>
      </w:r>
      <w:r>
        <w:rPr>
          <w:rFonts w:hint="eastAsia"/>
          <w:i w:val="0"/>
          <w:iCs w:val="0"/>
          <w:color w:val="auto"/>
          <w:lang w:val="en-US" w:eastAsia="zh-CN"/>
        </w:rPr>
        <w:t>3.1.1危险化学品</w:t>
      </w:r>
      <w:r>
        <w:rPr>
          <w:i w:val="0"/>
          <w:iCs w:val="0"/>
          <w:color w:val="auto"/>
        </w:rPr>
        <w:tab/>
      </w:r>
      <w:r>
        <w:rPr>
          <w:i w:val="0"/>
          <w:iCs w:val="0"/>
          <w:color w:val="auto"/>
        </w:rPr>
        <w:fldChar w:fldCharType="begin"/>
      </w:r>
      <w:r>
        <w:rPr>
          <w:i w:val="0"/>
          <w:iCs w:val="0"/>
          <w:color w:val="auto"/>
        </w:rPr>
        <w:instrText xml:space="preserve"> PAGEREF _Toc10416 \h </w:instrText>
      </w:r>
      <w:r>
        <w:rPr>
          <w:i w:val="0"/>
          <w:iCs w:val="0"/>
          <w:color w:val="auto"/>
        </w:rPr>
        <w:fldChar w:fldCharType="separate"/>
      </w:r>
      <w:r>
        <w:rPr>
          <w:i w:val="0"/>
          <w:iCs w:val="0"/>
          <w:color w:val="auto"/>
        </w:rPr>
        <w:t>56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_Toc115 </w:instrText>
      </w:r>
      <w:r>
        <w:rPr>
          <w:i w:val="0"/>
          <w:iCs w:val="0"/>
          <w:color w:val="auto"/>
          <w:szCs w:val="28"/>
        </w:rPr>
        <w:fldChar w:fldCharType="separate"/>
      </w:r>
      <w:r>
        <w:rPr>
          <w:rFonts w:hint="eastAsia"/>
          <w:i w:val="0"/>
          <w:iCs w:val="0"/>
          <w:color w:val="auto"/>
          <w:lang w:val="en-US" w:eastAsia="zh-CN"/>
        </w:rPr>
        <w:t>3.1.2非危险化学品</w:t>
      </w:r>
      <w:r>
        <w:rPr>
          <w:i w:val="0"/>
          <w:iCs w:val="0"/>
          <w:color w:val="auto"/>
        </w:rPr>
        <w:tab/>
      </w:r>
      <w:r>
        <w:rPr>
          <w:i w:val="0"/>
          <w:iCs w:val="0"/>
          <w:color w:val="auto"/>
        </w:rPr>
        <w:fldChar w:fldCharType="begin"/>
      </w:r>
      <w:r>
        <w:rPr>
          <w:i w:val="0"/>
          <w:iCs w:val="0"/>
          <w:color w:val="auto"/>
        </w:rPr>
        <w:instrText xml:space="preserve"> PAGEREF _Toc115 \h </w:instrText>
      </w:r>
      <w:r>
        <w:rPr>
          <w:i w:val="0"/>
          <w:iCs w:val="0"/>
          <w:color w:val="auto"/>
        </w:rPr>
        <w:fldChar w:fldCharType="separate"/>
      </w:r>
      <w:r>
        <w:rPr>
          <w:i w:val="0"/>
          <w:iCs w:val="0"/>
          <w:color w:val="auto"/>
        </w:rPr>
        <w:t>57</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_Toc23142 </w:instrText>
      </w:r>
      <w:r>
        <w:rPr>
          <w:i w:val="0"/>
          <w:iCs w:val="0"/>
          <w:color w:val="auto"/>
          <w:szCs w:val="28"/>
        </w:rPr>
        <w:fldChar w:fldCharType="separate"/>
      </w:r>
      <w:r>
        <w:rPr>
          <w:rFonts w:hint="eastAsia"/>
          <w:i w:val="0"/>
          <w:iCs w:val="0"/>
          <w:color w:val="auto"/>
          <w:lang w:val="en-US" w:eastAsia="zh-CN"/>
        </w:rPr>
        <w:t>3.2危险化学品包装、储存、运输的技术要求及信息来源</w:t>
      </w:r>
      <w:r>
        <w:rPr>
          <w:i w:val="0"/>
          <w:iCs w:val="0"/>
          <w:color w:val="auto"/>
        </w:rPr>
        <w:tab/>
      </w:r>
      <w:r>
        <w:rPr>
          <w:i w:val="0"/>
          <w:iCs w:val="0"/>
          <w:color w:val="auto"/>
        </w:rPr>
        <w:fldChar w:fldCharType="begin"/>
      </w:r>
      <w:r>
        <w:rPr>
          <w:i w:val="0"/>
          <w:iCs w:val="0"/>
          <w:color w:val="auto"/>
        </w:rPr>
        <w:instrText xml:space="preserve"> PAGEREF _Toc23142 \h </w:instrText>
      </w:r>
      <w:r>
        <w:rPr>
          <w:i w:val="0"/>
          <w:iCs w:val="0"/>
          <w:color w:val="auto"/>
        </w:rPr>
        <w:fldChar w:fldCharType="separate"/>
      </w:r>
      <w:r>
        <w:rPr>
          <w:i w:val="0"/>
          <w:iCs w:val="0"/>
          <w:color w:val="auto"/>
        </w:rPr>
        <w:t>58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_Toc25095 </w:instrText>
      </w:r>
      <w:r>
        <w:rPr>
          <w:i w:val="0"/>
          <w:iCs w:val="0"/>
          <w:color w:val="auto"/>
          <w:szCs w:val="28"/>
        </w:rPr>
        <w:fldChar w:fldCharType="separate"/>
      </w:r>
      <w:r>
        <w:rPr>
          <w:rFonts w:hint="eastAsia"/>
          <w:i w:val="0"/>
          <w:iCs w:val="0"/>
          <w:color w:val="auto"/>
          <w:lang w:val="en-US" w:eastAsia="zh-CN"/>
        </w:rPr>
        <w:t>3.3重点监管危险化学品、危险工艺辨识</w:t>
      </w:r>
      <w:r>
        <w:rPr>
          <w:i w:val="0"/>
          <w:iCs w:val="0"/>
          <w:color w:val="auto"/>
        </w:rPr>
        <w:tab/>
      </w:r>
      <w:r>
        <w:rPr>
          <w:i w:val="0"/>
          <w:iCs w:val="0"/>
          <w:color w:val="auto"/>
        </w:rPr>
        <w:fldChar w:fldCharType="begin"/>
      </w:r>
      <w:r>
        <w:rPr>
          <w:i w:val="0"/>
          <w:iCs w:val="0"/>
          <w:color w:val="auto"/>
        </w:rPr>
        <w:instrText xml:space="preserve"> PAGEREF _Toc25095 \h </w:instrText>
      </w:r>
      <w:r>
        <w:rPr>
          <w:i w:val="0"/>
          <w:iCs w:val="0"/>
          <w:color w:val="auto"/>
        </w:rPr>
        <w:fldChar w:fldCharType="separate"/>
      </w:r>
      <w:r>
        <w:rPr>
          <w:i w:val="0"/>
          <w:iCs w:val="0"/>
          <w:color w:val="auto"/>
        </w:rPr>
        <w:t>58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_Toc7972 </w:instrText>
      </w:r>
      <w:r>
        <w:rPr>
          <w:i w:val="0"/>
          <w:iCs w:val="0"/>
          <w:color w:val="auto"/>
          <w:szCs w:val="28"/>
        </w:rPr>
        <w:fldChar w:fldCharType="separate"/>
      </w:r>
      <w:r>
        <w:rPr>
          <w:rFonts w:hint="eastAsia"/>
          <w:i w:val="0"/>
          <w:iCs w:val="0"/>
          <w:color w:val="auto"/>
          <w:lang w:val="en-US" w:eastAsia="zh-CN"/>
        </w:rPr>
        <w:t>3.3.1重点监管危险化工工艺辨识</w:t>
      </w:r>
      <w:r>
        <w:rPr>
          <w:i w:val="0"/>
          <w:iCs w:val="0"/>
          <w:color w:val="auto"/>
        </w:rPr>
        <w:tab/>
      </w:r>
      <w:r>
        <w:rPr>
          <w:i w:val="0"/>
          <w:iCs w:val="0"/>
          <w:color w:val="auto"/>
        </w:rPr>
        <w:fldChar w:fldCharType="begin"/>
      </w:r>
      <w:r>
        <w:rPr>
          <w:i w:val="0"/>
          <w:iCs w:val="0"/>
          <w:color w:val="auto"/>
        </w:rPr>
        <w:instrText xml:space="preserve"> PAGEREF _Toc7972 \h </w:instrText>
      </w:r>
      <w:r>
        <w:rPr>
          <w:i w:val="0"/>
          <w:iCs w:val="0"/>
          <w:color w:val="auto"/>
        </w:rPr>
        <w:fldChar w:fldCharType="separate"/>
      </w:r>
      <w:r>
        <w:rPr>
          <w:i w:val="0"/>
          <w:iCs w:val="0"/>
          <w:color w:val="auto"/>
        </w:rPr>
        <w:t>58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_Toc28283 </w:instrText>
      </w:r>
      <w:r>
        <w:rPr>
          <w:i w:val="0"/>
          <w:iCs w:val="0"/>
          <w:color w:val="auto"/>
          <w:szCs w:val="28"/>
        </w:rPr>
        <w:fldChar w:fldCharType="separate"/>
      </w:r>
      <w:r>
        <w:rPr>
          <w:rFonts w:hint="eastAsia"/>
          <w:i w:val="0"/>
          <w:iCs w:val="0"/>
          <w:color w:val="auto"/>
          <w:lang w:val="en-US" w:eastAsia="zh-CN"/>
        </w:rPr>
        <w:t>3.3.2 重点监管危险化学品辨识</w:t>
      </w:r>
      <w:r>
        <w:rPr>
          <w:i w:val="0"/>
          <w:iCs w:val="0"/>
          <w:color w:val="auto"/>
        </w:rPr>
        <w:tab/>
      </w:r>
      <w:r>
        <w:rPr>
          <w:i w:val="0"/>
          <w:iCs w:val="0"/>
          <w:color w:val="auto"/>
        </w:rPr>
        <w:fldChar w:fldCharType="begin"/>
      </w:r>
      <w:r>
        <w:rPr>
          <w:i w:val="0"/>
          <w:iCs w:val="0"/>
          <w:color w:val="auto"/>
        </w:rPr>
        <w:instrText xml:space="preserve"> PAGEREF _Toc28283 \h </w:instrText>
      </w:r>
      <w:r>
        <w:rPr>
          <w:i w:val="0"/>
          <w:iCs w:val="0"/>
          <w:color w:val="auto"/>
        </w:rPr>
        <w:fldChar w:fldCharType="separate"/>
      </w:r>
      <w:r>
        <w:rPr>
          <w:i w:val="0"/>
          <w:iCs w:val="0"/>
          <w:color w:val="auto"/>
        </w:rPr>
        <w:t>58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_Toc9312 </w:instrText>
      </w:r>
      <w:r>
        <w:rPr>
          <w:i w:val="0"/>
          <w:iCs w:val="0"/>
          <w:color w:val="auto"/>
          <w:szCs w:val="28"/>
        </w:rPr>
        <w:fldChar w:fldCharType="separate"/>
      </w:r>
      <w:r>
        <w:rPr>
          <w:rFonts w:hint="eastAsia"/>
          <w:i w:val="0"/>
          <w:iCs w:val="0"/>
          <w:color w:val="auto"/>
          <w:lang w:val="en-US" w:eastAsia="zh-CN"/>
        </w:rPr>
        <w:t>3.4特殊危险化学品辨识</w:t>
      </w:r>
      <w:r>
        <w:rPr>
          <w:i w:val="0"/>
          <w:iCs w:val="0"/>
          <w:color w:val="auto"/>
        </w:rPr>
        <w:tab/>
      </w:r>
      <w:r>
        <w:rPr>
          <w:i w:val="0"/>
          <w:iCs w:val="0"/>
          <w:color w:val="auto"/>
        </w:rPr>
        <w:fldChar w:fldCharType="begin"/>
      </w:r>
      <w:r>
        <w:rPr>
          <w:i w:val="0"/>
          <w:iCs w:val="0"/>
          <w:color w:val="auto"/>
        </w:rPr>
        <w:instrText xml:space="preserve"> PAGEREF _Toc9312 \h </w:instrText>
      </w:r>
      <w:r>
        <w:rPr>
          <w:i w:val="0"/>
          <w:iCs w:val="0"/>
          <w:color w:val="auto"/>
        </w:rPr>
        <w:fldChar w:fldCharType="separate"/>
      </w:r>
      <w:r>
        <w:rPr>
          <w:i w:val="0"/>
          <w:iCs w:val="0"/>
          <w:color w:val="auto"/>
        </w:rPr>
        <w:t>59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_Toc12072 </w:instrText>
      </w:r>
      <w:r>
        <w:rPr>
          <w:i w:val="0"/>
          <w:iCs w:val="0"/>
          <w:color w:val="auto"/>
          <w:szCs w:val="28"/>
        </w:rPr>
        <w:fldChar w:fldCharType="separate"/>
      </w:r>
      <w:r>
        <w:rPr>
          <w:rFonts w:hint="eastAsia" w:hAnsi="宋体"/>
          <w:i w:val="0"/>
          <w:iCs w:val="0"/>
          <w:color w:val="auto"/>
          <w:kern w:val="0"/>
          <w:szCs w:val="28"/>
          <w:lang w:val="en-US" w:eastAsia="zh-CN"/>
        </w:rPr>
        <w:t>3.5危险、有害因素的辨识结果及依据</w:t>
      </w:r>
      <w:r>
        <w:rPr>
          <w:i w:val="0"/>
          <w:iCs w:val="0"/>
          <w:color w:val="auto"/>
        </w:rPr>
        <w:tab/>
      </w:r>
      <w:r>
        <w:rPr>
          <w:i w:val="0"/>
          <w:iCs w:val="0"/>
          <w:color w:val="auto"/>
        </w:rPr>
        <w:fldChar w:fldCharType="begin"/>
      </w:r>
      <w:r>
        <w:rPr>
          <w:i w:val="0"/>
          <w:iCs w:val="0"/>
          <w:color w:val="auto"/>
        </w:rPr>
        <w:instrText xml:space="preserve"> PAGEREF _Toc12072 \h </w:instrText>
      </w:r>
      <w:r>
        <w:rPr>
          <w:i w:val="0"/>
          <w:iCs w:val="0"/>
          <w:color w:val="auto"/>
        </w:rPr>
        <w:fldChar w:fldCharType="separate"/>
      </w:r>
      <w:r>
        <w:rPr>
          <w:i w:val="0"/>
          <w:iCs w:val="0"/>
          <w:color w:val="auto"/>
        </w:rPr>
        <w:t>59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_Toc219 </w:instrText>
      </w:r>
      <w:r>
        <w:rPr>
          <w:i w:val="0"/>
          <w:iCs w:val="0"/>
          <w:color w:val="auto"/>
          <w:szCs w:val="28"/>
        </w:rPr>
        <w:fldChar w:fldCharType="separate"/>
      </w:r>
      <w:r>
        <w:rPr>
          <w:rFonts w:hint="eastAsia"/>
          <w:i w:val="0"/>
          <w:iCs w:val="0"/>
          <w:color w:val="auto"/>
          <w:lang w:val="en-US" w:eastAsia="zh-CN"/>
        </w:rPr>
        <w:t>3.5.1辨识依据及产生原因</w:t>
      </w:r>
      <w:r>
        <w:rPr>
          <w:i w:val="0"/>
          <w:iCs w:val="0"/>
          <w:color w:val="auto"/>
        </w:rPr>
        <w:tab/>
      </w:r>
      <w:r>
        <w:rPr>
          <w:i w:val="0"/>
          <w:iCs w:val="0"/>
          <w:color w:val="auto"/>
        </w:rPr>
        <w:fldChar w:fldCharType="begin"/>
      </w:r>
      <w:r>
        <w:rPr>
          <w:i w:val="0"/>
          <w:iCs w:val="0"/>
          <w:color w:val="auto"/>
        </w:rPr>
        <w:instrText xml:space="preserve"> PAGEREF _Toc219 \h </w:instrText>
      </w:r>
      <w:r>
        <w:rPr>
          <w:i w:val="0"/>
          <w:iCs w:val="0"/>
          <w:color w:val="auto"/>
        </w:rPr>
        <w:fldChar w:fldCharType="separate"/>
      </w:r>
      <w:r>
        <w:rPr>
          <w:i w:val="0"/>
          <w:iCs w:val="0"/>
          <w:color w:val="auto"/>
        </w:rPr>
        <w:t>59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_Toc3921 </w:instrText>
      </w:r>
      <w:r>
        <w:rPr>
          <w:i w:val="0"/>
          <w:iCs w:val="0"/>
          <w:color w:val="auto"/>
          <w:szCs w:val="28"/>
        </w:rPr>
        <w:fldChar w:fldCharType="separate"/>
      </w:r>
      <w:r>
        <w:rPr>
          <w:rFonts w:hint="eastAsia"/>
          <w:i w:val="0"/>
          <w:iCs w:val="0"/>
          <w:color w:val="auto"/>
          <w:lang w:val="en-US" w:eastAsia="zh-CN"/>
        </w:rPr>
        <w:t>3.5.2工艺过程危险、有害因素分析</w:t>
      </w:r>
      <w:r>
        <w:rPr>
          <w:i w:val="0"/>
          <w:iCs w:val="0"/>
          <w:color w:val="auto"/>
        </w:rPr>
        <w:tab/>
      </w:r>
      <w:r>
        <w:rPr>
          <w:i w:val="0"/>
          <w:iCs w:val="0"/>
          <w:color w:val="auto"/>
        </w:rPr>
        <w:fldChar w:fldCharType="begin"/>
      </w:r>
      <w:r>
        <w:rPr>
          <w:i w:val="0"/>
          <w:iCs w:val="0"/>
          <w:color w:val="auto"/>
        </w:rPr>
        <w:instrText xml:space="preserve"> PAGEREF _Toc3921 \h </w:instrText>
      </w:r>
      <w:r>
        <w:rPr>
          <w:i w:val="0"/>
          <w:iCs w:val="0"/>
          <w:color w:val="auto"/>
        </w:rPr>
        <w:fldChar w:fldCharType="separate"/>
      </w:r>
      <w:r>
        <w:rPr>
          <w:i w:val="0"/>
          <w:iCs w:val="0"/>
          <w:color w:val="auto"/>
        </w:rPr>
        <w:t>62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_Toc3119 </w:instrText>
      </w:r>
      <w:r>
        <w:rPr>
          <w:i w:val="0"/>
          <w:iCs w:val="0"/>
          <w:color w:val="auto"/>
          <w:szCs w:val="28"/>
        </w:rPr>
        <w:fldChar w:fldCharType="separate"/>
      </w:r>
      <w:r>
        <w:rPr>
          <w:rFonts w:hint="eastAsia"/>
          <w:i w:val="0"/>
          <w:iCs w:val="0"/>
          <w:color w:val="auto"/>
          <w:lang w:val="en-US" w:eastAsia="zh-CN"/>
        </w:rPr>
        <w:t>3.5.3</w:t>
      </w:r>
      <w:r>
        <w:rPr>
          <w:i w:val="0"/>
          <w:iCs w:val="0"/>
          <w:color w:val="auto"/>
        </w:rPr>
        <w:t>主要装置的危险性分析</w:t>
      </w:r>
      <w:r>
        <w:rPr>
          <w:i w:val="0"/>
          <w:iCs w:val="0"/>
          <w:color w:val="auto"/>
        </w:rPr>
        <w:tab/>
      </w:r>
      <w:r>
        <w:rPr>
          <w:i w:val="0"/>
          <w:iCs w:val="0"/>
          <w:color w:val="auto"/>
        </w:rPr>
        <w:fldChar w:fldCharType="begin"/>
      </w:r>
      <w:r>
        <w:rPr>
          <w:i w:val="0"/>
          <w:iCs w:val="0"/>
          <w:color w:val="auto"/>
        </w:rPr>
        <w:instrText xml:space="preserve"> PAGEREF _Toc3119 \h </w:instrText>
      </w:r>
      <w:r>
        <w:rPr>
          <w:i w:val="0"/>
          <w:iCs w:val="0"/>
          <w:color w:val="auto"/>
        </w:rPr>
        <w:fldChar w:fldCharType="separate"/>
      </w:r>
      <w:r>
        <w:rPr>
          <w:i w:val="0"/>
          <w:iCs w:val="0"/>
          <w:color w:val="auto"/>
        </w:rPr>
        <w:t>62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_Toc17413 </w:instrText>
      </w:r>
      <w:r>
        <w:rPr>
          <w:i w:val="0"/>
          <w:iCs w:val="0"/>
          <w:color w:val="auto"/>
          <w:szCs w:val="28"/>
        </w:rPr>
        <w:fldChar w:fldCharType="separate"/>
      </w:r>
      <w:r>
        <w:rPr>
          <w:rFonts w:hint="eastAsia"/>
          <w:i w:val="0"/>
          <w:iCs w:val="0"/>
          <w:color w:val="auto"/>
          <w:highlight w:val="none"/>
          <w:lang w:val="en-US" w:eastAsia="zh-CN"/>
        </w:rPr>
        <w:t>3.5.4</w:t>
      </w:r>
      <w:r>
        <w:rPr>
          <w:i w:val="0"/>
          <w:iCs w:val="0"/>
          <w:color w:val="auto"/>
          <w:highlight w:val="none"/>
        </w:rPr>
        <w:t>运输、储存、装卸的危险有害因素分析</w:t>
      </w:r>
      <w:r>
        <w:rPr>
          <w:i w:val="0"/>
          <w:iCs w:val="0"/>
          <w:color w:val="auto"/>
        </w:rPr>
        <w:tab/>
      </w:r>
      <w:r>
        <w:rPr>
          <w:i w:val="0"/>
          <w:iCs w:val="0"/>
          <w:color w:val="auto"/>
        </w:rPr>
        <w:fldChar w:fldCharType="begin"/>
      </w:r>
      <w:r>
        <w:rPr>
          <w:i w:val="0"/>
          <w:iCs w:val="0"/>
          <w:color w:val="auto"/>
        </w:rPr>
        <w:instrText xml:space="preserve"> PAGEREF _Toc17413 \h </w:instrText>
      </w:r>
      <w:r>
        <w:rPr>
          <w:i w:val="0"/>
          <w:iCs w:val="0"/>
          <w:color w:val="auto"/>
        </w:rPr>
        <w:fldChar w:fldCharType="separate"/>
      </w:r>
      <w:r>
        <w:rPr>
          <w:i w:val="0"/>
          <w:iCs w:val="0"/>
          <w:color w:val="auto"/>
        </w:rPr>
        <w:t>65</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_Toc23458 </w:instrText>
      </w:r>
      <w:r>
        <w:rPr>
          <w:i w:val="0"/>
          <w:iCs w:val="0"/>
          <w:color w:val="auto"/>
          <w:szCs w:val="28"/>
        </w:rPr>
        <w:fldChar w:fldCharType="separate"/>
      </w:r>
      <w:r>
        <w:rPr>
          <w:rFonts w:hint="default"/>
          <w:i w:val="0"/>
          <w:iCs w:val="0"/>
          <w:color w:val="auto"/>
          <w:lang w:val="en-US" w:eastAsia="zh-CN"/>
        </w:rPr>
        <w:t>3.6 可能造成爆炸、火灾、灼烫事故的危险、有害因素的分布</w:t>
      </w:r>
      <w:r>
        <w:rPr>
          <w:i w:val="0"/>
          <w:iCs w:val="0"/>
          <w:color w:val="auto"/>
        </w:rPr>
        <w:tab/>
      </w:r>
      <w:r>
        <w:rPr>
          <w:i w:val="0"/>
          <w:iCs w:val="0"/>
          <w:color w:val="auto"/>
        </w:rPr>
        <w:fldChar w:fldCharType="begin"/>
      </w:r>
      <w:r>
        <w:rPr>
          <w:i w:val="0"/>
          <w:iCs w:val="0"/>
          <w:color w:val="auto"/>
        </w:rPr>
        <w:instrText xml:space="preserve"> PAGEREF _Toc23458 \h </w:instrText>
      </w:r>
      <w:r>
        <w:rPr>
          <w:i w:val="0"/>
          <w:iCs w:val="0"/>
          <w:color w:val="auto"/>
        </w:rPr>
        <w:fldChar w:fldCharType="separate"/>
      </w:r>
      <w:r>
        <w:rPr>
          <w:i w:val="0"/>
          <w:iCs w:val="0"/>
          <w:color w:val="auto"/>
        </w:rPr>
        <w:t>68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_Toc14363 </w:instrText>
      </w:r>
      <w:r>
        <w:rPr>
          <w:i w:val="0"/>
          <w:iCs w:val="0"/>
          <w:color w:val="auto"/>
          <w:szCs w:val="28"/>
        </w:rPr>
        <w:fldChar w:fldCharType="separate"/>
      </w:r>
      <w:r>
        <w:rPr>
          <w:rFonts w:hint="eastAsia"/>
          <w:i w:val="0"/>
          <w:iCs w:val="0"/>
          <w:color w:val="auto"/>
        </w:rPr>
        <w:t>3.7 可能造成作业人员伤亡的其他危险有害因素及其分布</w:t>
      </w:r>
      <w:r>
        <w:rPr>
          <w:i w:val="0"/>
          <w:iCs w:val="0"/>
          <w:color w:val="auto"/>
        </w:rPr>
        <w:tab/>
      </w:r>
      <w:r>
        <w:rPr>
          <w:i w:val="0"/>
          <w:iCs w:val="0"/>
          <w:color w:val="auto"/>
        </w:rPr>
        <w:fldChar w:fldCharType="begin"/>
      </w:r>
      <w:r>
        <w:rPr>
          <w:i w:val="0"/>
          <w:iCs w:val="0"/>
          <w:color w:val="auto"/>
        </w:rPr>
        <w:instrText xml:space="preserve"> PAGEREF _Toc14363 \h </w:instrText>
      </w:r>
      <w:r>
        <w:rPr>
          <w:i w:val="0"/>
          <w:iCs w:val="0"/>
          <w:color w:val="auto"/>
        </w:rPr>
        <w:fldChar w:fldCharType="separate"/>
      </w:r>
      <w:r>
        <w:rPr>
          <w:i w:val="0"/>
          <w:iCs w:val="0"/>
          <w:color w:val="auto"/>
        </w:rPr>
        <w:t>68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_Toc22196 </w:instrText>
      </w:r>
      <w:r>
        <w:rPr>
          <w:i w:val="0"/>
          <w:iCs w:val="0"/>
          <w:color w:val="auto"/>
          <w:szCs w:val="28"/>
        </w:rPr>
        <w:fldChar w:fldCharType="separate"/>
      </w:r>
      <w:r>
        <w:rPr>
          <w:rFonts w:hint="eastAsia"/>
          <w:i w:val="0"/>
          <w:iCs w:val="0"/>
          <w:color w:val="auto"/>
          <w:lang w:val="en-US" w:eastAsia="zh-CN"/>
        </w:rPr>
        <w:t>3.8 重大危险源辨识结果</w:t>
      </w:r>
      <w:r>
        <w:rPr>
          <w:i w:val="0"/>
          <w:iCs w:val="0"/>
          <w:color w:val="auto"/>
        </w:rPr>
        <w:tab/>
      </w:r>
      <w:r>
        <w:rPr>
          <w:i w:val="0"/>
          <w:iCs w:val="0"/>
          <w:color w:val="auto"/>
        </w:rPr>
        <w:fldChar w:fldCharType="begin"/>
      </w:r>
      <w:r>
        <w:rPr>
          <w:i w:val="0"/>
          <w:iCs w:val="0"/>
          <w:color w:val="auto"/>
        </w:rPr>
        <w:instrText xml:space="preserve"> PAGEREF _Toc22196 \h </w:instrText>
      </w:r>
      <w:r>
        <w:rPr>
          <w:i w:val="0"/>
          <w:iCs w:val="0"/>
          <w:color w:val="auto"/>
        </w:rPr>
        <w:fldChar w:fldCharType="separate"/>
      </w:r>
      <w:r>
        <w:rPr>
          <w:i w:val="0"/>
          <w:iCs w:val="0"/>
          <w:color w:val="auto"/>
        </w:rPr>
        <w:t>68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_Toc10503 </w:instrText>
      </w:r>
      <w:r>
        <w:rPr>
          <w:i w:val="0"/>
          <w:iCs w:val="0"/>
          <w:color w:val="auto"/>
          <w:szCs w:val="28"/>
        </w:rPr>
        <w:fldChar w:fldCharType="separate"/>
      </w:r>
      <w:r>
        <w:rPr>
          <w:rFonts w:hint="eastAsia"/>
          <w:i w:val="0"/>
          <w:iCs w:val="0"/>
          <w:color w:val="auto"/>
          <w:lang w:val="en-US" w:eastAsia="zh-CN"/>
        </w:rPr>
        <w:t>3.9爆炸区域等级划分</w:t>
      </w:r>
      <w:r>
        <w:rPr>
          <w:i w:val="0"/>
          <w:iCs w:val="0"/>
          <w:color w:val="auto"/>
        </w:rPr>
        <w:tab/>
      </w:r>
      <w:r>
        <w:rPr>
          <w:i w:val="0"/>
          <w:iCs w:val="0"/>
          <w:color w:val="auto"/>
        </w:rPr>
        <w:fldChar w:fldCharType="begin"/>
      </w:r>
      <w:r>
        <w:rPr>
          <w:i w:val="0"/>
          <w:iCs w:val="0"/>
          <w:color w:val="auto"/>
        </w:rPr>
        <w:instrText xml:space="preserve"> PAGEREF _Toc10503 \h </w:instrText>
      </w:r>
      <w:r>
        <w:rPr>
          <w:i w:val="0"/>
          <w:iCs w:val="0"/>
          <w:color w:val="auto"/>
        </w:rPr>
        <w:fldChar w:fldCharType="separate"/>
      </w:r>
      <w:r>
        <w:rPr>
          <w:i w:val="0"/>
          <w:iCs w:val="0"/>
          <w:color w:val="auto"/>
        </w:rPr>
        <w:t>69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_Toc1983 </w:instrText>
      </w:r>
      <w:r>
        <w:rPr>
          <w:i w:val="0"/>
          <w:iCs w:val="0"/>
          <w:color w:val="auto"/>
          <w:szCs w:val="28"/>
        </w:rPr>
        <w:fldChar w:fldCharType="separate"/>
      </w:r>
      <w:r>
        <w:rPr>
          <w:rFonts w:hint="eastAsia"/>
          <w:i w:val="0"/>
          <w:iCs w:val="0"/>
          <w:color w:val="auto"/>
          <w:lang w:val="en-US" w:eastAsia="zh-CN"/>
        </w:rPr>
        <w:t>3.9.1爆炸性气体危险区域划分</w:t>
      </w:r>
      <w:r>
        <w:rPr>
          <w:i w:val="0"/>
          <w:iCs w:val="0"/>
          <w:color w:val="auto"/>
        </w:rPr>
        <w:tab/>
      </w:r>
      <w:r>
        <w:rPr>
          <w:i w:val="0"/>
          <w:iCs w:val="0"/>
          <w:color w:val="auto"/>
        </w:rPr>
        <w:fldChar w:fldCharType="begin"/>
      </w:r>
      <w:r>
        <w:rPr>
          <w:i w:val="0"/>
          <w:iCs w:val="0"/>
          <w:color w:val="auto"/>
        </w:rPr>
        <w:instrText xml:space="preserve"> PAGEREF _Toc1983 \h </w:instrText>
      </w:r>
      <w:r>
        <w:rPr>
          <w:i w:val="0"/>
          <w:iCs w:val="0"/>
          <w:color w:val="auto"/>
        </w:rPr>
        <w:fldChar w:fldCharType="separate"/>
      </w:r>
      <w:r>
        <w:rPr>
          <w:i w:val="0"/>
          <w:iCs w:val="0"/>
          <w:color w:val="auto"/>
        </w:rPr>
        <w:t>69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_Toc17547 </w:instrText>
      </w:r>
      <w:r>
        <w:rPr>
          <w:i w:val="0"/>
          <w:iCs w:val="0"/>
          <w:color w:val="auto"/>
          <w:szCs w:val="28"/>
        </w:rPr>
        <w:fldChar w:fldCharType="separate"/>
      </w:r>
      <w:r>
        <w:rPr>
          <w:rFonts w:hint="eastAsia"/>
          <w:i w:val="0"/>
          <w:iCs w:val="0"/>
          <w:color w:val="auto"/>
          <w:lang w:val="en-US" w:eastAsia="zh-CN"/>
        </w:rPr>
        <w:t>3.9.2爆炸性粉尘环境危险区域划分</w:t>
      </w:r>
      <w:r>
        <w:rPr>
          <w:i w:val="0"/>
          <w:iCs w:val="0"/>
          <w:color w:val="auto"/>
        </w:rPr>
        <w:tab/>
      </w:r>
      <w:r>
        <w:rPr>
          <w:i w:val="0"/>
          <w:iCs w:val="0"/>
          <w:color w:val="auto"/>
        </w:rPr>
        <w:fldChar w:fldCharType="begin"/>
      </w:r>
      <w:r>
        <w:rPr>
          <w:i w:val="0"/>
          <w:iCs w:val="0"/>
          <w:color w:val="auto"/>
        </w:rPr>
        <w:instrText xml:space="preserve"> PAGEREF _Toc17547 \h </w:instrText>
      </w:r>
      <w:r>
        <w:rPr>
          <w:i w:val="0"/>
          <w:iCs w:val="0"/>
          <w:color w:val="auto"/>
        </w:rPr>
        <w:fldChar w:fldCharType="separate"/>
      </w:r>
      <w:r>
        <w:rPr>
          <w:i w:val="0"/>
          <w:iCs w:val="0"/>
          <w:color w:val="auto"/>
        </w:rPr>
        <w:t>70</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_Toc22651 </w:instrText>
      </w:r>
      <w:r>
        <w:rPr>
          <w:i w:val="0"/>
          <w:iCs w:val="0"/>
          <w:color w:val="auto"/>
          <w:szCs w:val="28"/>
        </w:rPr>
        <w:fldChar w:fldCharType="separate"/>
      </w:r>
      <w:r>
        <w:rPr>
          <w:i w:val="0"/>
          <w:iCs w:val="0"/>
          <w:color w:val="auto"/>
        </w:rPr>
        <w:t>4</w:t>
      </w:r>
      <w:r>
        <w:rPr>
          <w:rFonts w:hint="eastAsia"/>
          <w:i w:val="0"/>
          <w:iCs w:val="0"/>
          <w:color w:val="auto"/>
        </w:rPr>
        <w:t>评价单元</w:t>
      </w:r>
      <w:r>
        <w:rPr>
          <w:rFonts w:hint="eastAsia"/>
          <w:i w:val="0"/>
          <w:iCs w:val="0"/>
          <w:color w:val="auto"/>
          <w:lang w:eastAsia="zh-CN"/>
        </w:rPr>
        <w:t>的</w:t>
      </w:r>
      <w:r>
        <w:rPr>
          <w:rFonts w:hint="eastAsia"/>
          <w:i w:val="0"/>
          <w:iCs w:val="0"/>
          <w:color w:val="auto"/>
          <w:lang w:val="en-US" w:eastAsia="zh-CN"/>
        </w:rPr>
        <w:t>划分结果</w:t>
      </w:r>
      <w:r>
        <w:rPr>
          <w:rFonts w:hint="eastAsia"/>
          <w:i w:val="0"/>
          <w:iCs w:val="0"/>
          <w:color w:val="auto"/>
        </w:rPr>
        <w:t>及</w:t>
      </w:r>
      <w:r>
        <w:rPr>
          <w:rFonts w:hint="eastAsia"/>
          <w:i w:val="0"/>
          <w:iCs w:val="0"/>
          <w:color w:val="auto"/>
          <w:lang w:val="en-US" w:eastAsia="zh-CN"/>
        </w:rPr>
        <w:t>理由说明</w:t>
      </w:r>
      <w:r>
        <w:rPr>
          <w:i w:val="0"/>
          <w:iCs w:val="0"/>
          <w:color w:val="auto"/>
        </w:rPr>
        <w:tab/>
      </w:r>
      <w:r>
        <w:rPr>
          <w:i w:val="0"/>
          <w:iCs w:val="0"/>
          <w:color w:val="auto"/>
        </w:rPr>
        <w:fldChar w:fldCharType="begin"/>
      </w:r>
      <w:r>
        <w:rPr>
          <w:i w:val="0"/>
          <w:iCs w:val="0"/>
          <w:color w:val="auto"/>
        </w:rPr>
        <w:instrText xml:space="preserve"> PAGEREF _Toc22651 \h </w:instrText>
      </w:r>
      <w:r>
        <w:rPr>
          <w:i w:val="0"/>
          <w:iCs w:val="0"/>
          <w:color w:val="auto"/>
        </w:rPr>
        <w:fldChar w:fldCharType="separate"/>
      </w:r>
      <w:r>
        <w:rPr>
          <w:i w:val="0"/>
          <w:iCs w:val="0"/>
          <w:color w:val="auto"/>
        </w:rPr>
        <w:t>71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_Toc32284 </w:instrText>
      </w:r>
      <w:r>
        <w:rPr>
          <w:i w:val="0"/>
          <w:iCs w:val="0"/>
          <w:color w:val="auto"/>
          <w:szCs w:val="28"/>
        </w:rPr>
        <w:fldChar w:fldCharType="separate"/>
      </w:r>
      <w:r>
        <w:rPr>
          <w:i w:val="0"/>
          <w:iCs w:val="0"/>
          <w:color w:val="auto"/>
        </w:rPr>
        <w:t>4.1</w:t>
      </w:r>
      <w:r>
        <w:rPr>
          <w:rFonts w:hint="eastAsia"/>
          <w:i w:val="0"/>
          <w:iCs w:val="0"/>
          <w:color w:val="auto"/>
        </w:rPr>
        <w:t>评价单元的划分目的</w:t>
      </w:r>
      <w:r>
        <w:rPr>
          <w:i w:val="0"/>
          <w:iCs w:val="0"/>
          <w:color w:val="auto"/>
        </w:rPr>
        <w:tab/>
      </w:r>
      <w:r>
        <w:rPr>
          <w:i w:val="0"/>
          <w:iCs w:val="0"/>
          <w:color w:val="auto"/>
        </w:rPr>
        <w:fldChar w:fldCharType="begin"/>
      </w:r>
      <w:r>
        <w:rPr>
          <w:i w:val="0"/>
          <w:iCs w:val="0"/>
          <w:color w:val="auto"/>
        </w:rPr>
        <w:instrText xml:space="preserve"> PAGEREF _Toc32284 \h </w:instrText>
      </w:r>
      <w:r>
        <w:rPr>
          <w:i w:val="0"/>
          <w:iCs w:val="0"/>
          <w:color w:val="auto"/>
        </w:rPr>
        <w:fldChar w:fldCharType="separate"/>
      </w:r>
      <w:r>
        <w:rPr>
          <w:i w:val="0"/>
          <w:iCs w:val="0"/>
          <w:color w:val="auto"/>
        </w:rPr>
        <w:t>71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_Toc26523 </w:instrText>
      </w:r>
      <w:r>
        <w:rPr>
          <w:i w:val="0"/>
          <w:iCs w:val="0"/>
          <w:color w:val="auto"/>
          <w:szCs w:val="28"/>
        </w:rPr>
        <w:fldChar w:fldCharType="separate"/>
      </w:r>
      <w:r>
        <w:rPr>
          <w:i w:val="0"/>
          <w:iCs w:val="0"/>
          <w:color w:val="auto"/>
        </w:rPr>
        <w:t>4.</w:t>
      </w:r>
      <w:r>
        <w:rPr>
          <w:rFonts w:hint="eastAsia"/>
          <w:i w:val="0"/>
          <w:iCs w:val="0"/>
          <w:color w:val="auto"/>
          <w:lang w:val="en-US" w:eastAsia="zh-CN"/>
        </w:rPr>
        <w:t>2</w:t>
      </w:r>
      <w:r>
        <w:rPr>
          <w:rFonts w:hint="eastAsia"/>
          <w:i w:val="0"/>
          <w:iCs w:val="0"/>
          <w:color w:val="auto"/>
          <w:lang w:val="zh-CN"/>
        </w:rPr>
        <w:t>评价单元划分原则</w:t>
      </w:r>
      <w:r>
        <w:rPr>
          <w:i w:val="0"/>
          <w:iCs w:val="0"/>
          <w:color w:val="auto"/>
        </w:rPr>
        <w:tab/>
      </w:r>
      <w:r>
        <w:rPr>
          <w:i w:val="0"/>
          <w:iCs w:val="0"/>
          <w:color w:val="auto"/>
        </w:rPr>
        <w:fldChar w:fldCharType="begin"/>
      </w:r>
      <w:r>
        <w:rPr>
          <w:i w:val="0"/>
          <w:iCs w:val="0"/>
          <w:color w:val="auto"/>
        </w:rPr>
        <w:instrText xml:space="preserve"> PAGEREF _Toc26523 \h </w:instrText>
      </w:r>
      <w:r>
        <w:rPr>
          <w:i w:val="0"/>
          <w:iCs w:val="0"/>
          <w:color w:val="auto"/>
        </w:rPr>
        <w:fldChar w:fldCharType="separate"/>
      </w:r>
      <w:r>
        <w:rPr>
          <w:i w:val="0"/>
          <w:iCs w:val="0"/>
          <w:color w:val="auto"/>
        </w:rPr>
        <w:t>71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_Toc24556 </w:instrText>
      </w:r>
      <w:r>
        <w:rPr>
          <w:i w:val="0"/>
          <w:iCs w:val="0"/>
          <w:color w:val="auto"/>
          <w:szCs w:val="28"/>
        </w:rPr>
        <w:fldChar w:fldCharType="separate"/>
      </w:r>
      <w:r>
        <w:rPr>
          <w:i w:val="0"/>
          <w:iCs w:val="0"/>
          <w:color w:val="auto"/>
        </w:rPr>
        <w:t>4.</w:t>
      </w:r>
      <w:r>
        <w:rPr>
          <w:rFonts w:hint="eastAsia"/>
          <w:i w:val="0"/>
          <w:iCs w:val="0"/>
          <w:color w:val="auto"/>
          <w:lang w:val="en-US" w:eastAsia="zh-CN"/>
        </w:rPr>
        <w:t>3</w:t>
      </w:r>
      <w:r>
        <w:rPr>
          <w:rFonts w:hint="eastAsia"/>
          <w:i w:val="0"/>
          <w:iCs w:val="0"/>
          <w:color w:val="auto"/>
          <w:lang w:val="zh-CN"/>
        </w:rPr>
        <w:t>评价单元的</w:t>
      </w:r>
      <w:r>
        <w:rPr>
          <w:rFonts w:hint="eastAsia"/>
          <w:i w:val="0"/>
          <w:iCs w:val="0"/>
          <w:color w:val="auto"/>
          <w:lang w:val="en-US" w:eastAsia="zh-CN"/>
        </w:rPr>
        <w:t>划分结果</w:t>
      </w:r>
      <w:r>
        <w:rPr>
          <w:i w:val="0"/>
          <w:iCs w:val="0"/>
          <w:color w:val="auto"/>
        </w:rPr>
        <w:tab/>
      </w:r>
      <w:r>
        <w:rPr>
          <w:i w:val="0"/>
          <w:iCs w:val="0"/>
          <w:color w:val="auto"/>
        </w:rPr>
        <w:fldChar w:fldCharType="begin"/>
      </w:r>
      <w:r>
        <w:rPr>
          <w:i w:val="0"/>
          <w:iCs w:val="0"/>
          <w:color w:val="auto"/>
        </w:rPr>
        <w:instrText xml:space="preserve"> PAGEREF _Toc24556 \h </w:instrText>
      </w:r>
      <w:r>
        <w:rPr>
          <w:i w:val="0"/>
          <w:iCs w:val="0"/>
          <w:color w:val="auto"/>
        </w:rPr>
        <w:fldChar w:fldCharType="separate"/>
      </w:r>
      <w:r>
        <w:rPr>
          <w:i w:val="0"/>
          <w:iCs w:val="0"/>
          <w:color w:val="auto"/>
        </w:rPr>
        <w:t>71</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_Toc19643 </w:instrText>
      </w:r>
      <w:r>
        <w:rPr>
          <w:i w:val="0"/>
          <w:iCs w:val="0"/>
          <w:color w:val="auto"/>
          <w:szCs w:val="28"/>
        </w:rPr>
        <w:fldChar w:fldCharType="separate"/>
      </w:r>
      <w:r>
        <w:rPr>
          <w:rFonts w:hint="default" w:ascii="Times New Roman" w:hAnsi="Times New Roman" w:cs="Times New Roman"/>
          <w:i w:val="0"/>
          <w:iCs w:val="0"/>
          <w:color w:val="auto"/>
        </w:rPr>
        <w:t>5</w:t>
      </w:r>
      <w:r>
        <w:rPr>
          <w:rFonts w:hint="eastAsia"/>
          <w:i w:val="0"/>
          <w:iCs w:val="0"/>
          <w:color w:val="auto"/>
          <w:lang w:val="en-US" w:eastAsia="zh-CN"/>
        </w:rPr>
        <w:t>采用的安全评价方法及理由说明</w:t>
      </w:r>
      <w:r>
        <w:rPr>
          <w:i w:val="0"/>
          <w:iCs w:val="0"/>
          <w:color w:val="auto"/>
        </w:rPr>
        <w:tab/>
      </w:r>
      <w:r>
        <w:rPr>
          <w:i w:val="0"/>
          <w:iCs w:val="0"/>
          <w:color w:val="auto"/>
        </w:rPr>
        <w:fldChar w:fldCharType="begin"/>
      </w:r>
      <w:r>
        <w:rPr>
          <w:i w:val="0"/>
          <w:iCs w:val="0"/>
          <w:color w:val="auto"/>
        </w:rPr>
        <w:instrText xml:space="preserve"> PAGEREF _Toc19643 \h </w:instrText>
      </w:r>
      <w:r>
        <w:rPr>
          <w:i w:val="0"/>
          <w:iCs w:val="0"/>
          <w:color w:val="auto"/>
        </w:rPr>
        <w:fldChar w:fldCharType="separate"/>
      </w:r>
      <w:r>
        <w:rPr>
          <w:i w:val="0"/>
          <w:iCs w:val="0"/>
          <w:color w:val="auto"/>
        </w:rPr>
        <w:t>73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_Toc26743 </w:instrText>
      </w:r>
      <w:r>
        <w:rPr>
          <w:i w:val="0"/>
          <w:iCs w:val="0"/>
          <w:color w:val="auto"/>
          <w:szCs w:val="28"/>
        </w:rPr>
        <w:fldChar w:fldCharType="separate"/>
      </w:r>
      <w:r>
        <w:rPr>
          <w:i w:val="0"/>
          <w:iCs w:val="0"/>
          <w:color w:val="auto"/>
          <w:szCs w:val="28"/>
        </w:rPr>
        <w:t>5.</w:t>
      </w:r>
      <w:r>
        <w:rPr>
          <w:rFonts w:hint="eastAsia"/>
          <w:i w:val="0"/>
          <w:iCs w:val="0"/>
          <w:color w:val="auto"/>
          <w:szCs w:val="28"/>
        </w:rPr>
        <w:t>1</w:t>
      </w:r>
      <w:r>
        <w:rPr>
          <w:rFonts w:hint="eastAsia"/>
          <w:i w:val="0"/>
          <w:iCs w:val="0"/>
          <w:color w:val="auto"/>
          <w:szCs w:val="28"/>
          <w:lang w:val="en-US" w:eastAsia="zh-CN"/>
        </w:rPr>
        <w:t>各单元采用的评价方法</w:t>
      </w:r>
      <w:r>
        <w:rPr>
          <w:i w:val="0"/>
          <w:iCs w:val="0"/>
          <w:color w:val="auto"/>
        </w:rPr>
        <w:tab/>
      </w:r>
      <w:r>
        <w:rPr>
          <w:i w:val="0"/>
          <w:iCs w:val="0"/>
          <w:color w:val="auto"/>
        </w:rPr>
        <w:fldChar w:fldCharType="begin"/>
      </w:r>
      <w:r>
        <w:rPr>
          <w:i w:val="0"/>
          <w:iCs w:val="0"/>
          <w:color w:val="auto"/>
        </w:rPr>
        <w:instrText xml:space="preserve"> PAGEREF _Toc26743 \h </w:instrText>
      </w:r>
      <w:r>
        <w:rPr>
          <w:i w:val="0"/>
          <w:iCs w:val="0"/>
          <w:color w:val="auto"/>
        </w:rPr>
        <w:fldChar w:fldCharType="separate"/>
      </w:r>
      <w:r>
        <w:rPr>
          <w:i w:val="0"/>
          <w:iCs w:val="0"/>
          <w:color w:val="auto"/>
        </w:rPr>
        <w:t>73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_Toc1143 </w:instrText>
      </w:r>
      <w:r>
        <w:rPr>
          <w:i w:val="0"/>
          <w:iCs w:val="0"/>
          <w:color w:val="auto"/>
          <w:szCs w:val="28"/>
        </w:rPr>
        <w:fldChar w:fldCharType="separate"/>
      </w:r>
      <w:r>
        <w:rPr>
          <w:rFonts w:hint="eastAsia"/>
          <w:i w:val="0"/>
          <w:iCs w:val="0"/>
          <w:color w:val="auto"/>
        </w:rPr>
        <w:t>5.2采用的安全评价方法理由及说明</w:t>
      </w:r>
      <w:r>
        <w:rPr>
          <w:i w:val="0"/>
          <w:iCs w:val="0"/>
          <w:color w:val="auto"/>
        </w:rPr>
        <w:tab/>
      </w:r>
      <w:r>
        <w:rPr>
          <w:i w:val="0"/>
          <w:iCs w:val="0"/>
          <w:color w:val="auto"/>
        </w:rPr>
        <w:fldChar w:fldCharType="begin"/>
      </w:r>
      <w:r>
        <w:rPr>
          <w:i w:val="0"/>
          <w:iCs w:val="0"/>
          <w:color w:val="auto"/>
        </w:rPr>
        <w:instrText xml:space="preserve"> PAGEREF _Toc1143 \h </w:instrText>
      </w:r>
      <w:r>
        <w:rPr>
          <w:i w:val="0"/>
          <w:iCs w:val="0"/>
          <w:color w:val="auto"/>
        </w:rPr>
        <w:fldChar w:fldCharType="separate"/>
      </w:r>
      <w:r>
        <w:rPr>
          <w:i w:val="0"/>
          <w:iCs w:val="0"/>
          <w:color w:val="auto"/>
        </w:rPr>
        <w:t>73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_Toc25039 </w:instrText>
      </w:r>
      <w:r>
        <w:rPr>
          <w:i w:val="0"/>
          <w:iCs w:val="0"/>
          <w:color w:val="auto"/>
          <w:szCs w:val="28"/>
        </w:rPr>
        <w:fldChar w:fldCharType="separate"/>
      </w:r>
      <w:r>
        <w:rPr>
          <w:rFonts w:hint="eastAsia" w:ascii="宋体" w:hAnsi="宋体"/>
          <w:i w:val="0"/>
          <w:iCs w:val="0"/>
          <w:color w:val="auto"/>
          <w:szCs w:val="28"/>
          <w:lang w:val="en-US" w:eastAsia="zh-CN"/>
        </w:rPr>
        <w:t>5.3评价方法简介</w:t>
      </w:r>
      <w:r>
        <w:rPr>
          <w:i w:val="0"/>
          <w:iCs w:val="0"/>
          <w:color w:val="auto"/>
        </w:rPr>
        <w:tab/>
      </w:r>
      <w:r>
        <w:rPr>
          <w:i w:val="0"/>
          <w:iCs w:val="0"/>
          <w:color w:val="auto"/>
        </w:rPr>
        <w:fldChar w:fldCharType="begin"/>
      </w:r>
      <w:r>
        <w:rPr>
          <w:i w:val="0"/>
          <w:iCs w:val="0"/>
          <w:color w:val="auto"/>
        </w:rPr>
        <w:instrText xml:space="preserve"> PAGEREF _Toc25039 \h </w:instrText>
      </w:r>
      <w:r>
        <w:rPr>
          <w:i w:val="0"/>
          <w:iCs w:val="0"/>
          <w:color w:val="auto"/>
        </w:rPr>
        <w:fldChar w:fldCharType="separate"/>
      </w:r>
      <w:r>
        <w:rPr>
          <w:i w:val="0"/>
          <w:iCs w:val="0"/>
          <w:color w:val="auto"/>
        </w:rPr>
        <w:t>75</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_Toc30960 </w:instrText>
      </w:r>
      <w:r>
        <w:rPr>
          <w:i w:val="0"/>
          <w:iCs w:val="0"/>
          <w:color w:val="auto"/>
          <w:szCs w:val="28"/>
        </w:rPr>
        <w:fldChar w:fldCharType="separate"/>
      </w:r>
      <w:r>
        <w:rPr>
          <w:rFonts w:hint="eastAsia"/>
          <w:i w:val="0"/>
          <w:iCs w:val="0"/>
          <w:color w:val="auto"/>
        </w:rPr>
        <w:t>6 定性、定量分析危险、有害因素的结果</w:t>
      </w:r>
      <w:r>
        <w:rPr>
          <w:i w:val="0"/>
          <w:iCs w:val="0"/>
          <w:color w:val="auto"/>
        </w:rPr>
        <w:tab/>
      </w:r>
      <w:r>
        <w:rPr>
          <w:i w:val="0"/>
          <w:iCs w:val="0"/>
          <w:color w:val="auto"/>
        </w:rPr>
        <w:fldChar w:fldCharType="begin"/>
      </w:r>
      <w:r>
        <w:rPr>
          <w:i w:val="0"/>
          <w:iCs w:val="0"/>
          <w:color w:val="auto"/>
        </w:rPr>
        <w:instrText xml:space="preserve"> PAGEREF _Toc30960 \h </w:instrText>
      </w:r>
      <w:r>
        <w:rPr>
          <w:i w:val="0"/>
          <w:iCs w:val="0"/>
          <w:color w:val="auto"/>
        </w:rPr>
        <w:fldChar w:fldCharType="separate"/>
      </w:r>
      <w:r>
        <w:rPr>
          <w:i w:val="0"/>
          <w:iCs w:val="0"/>
          <w:color w:val="auto"/>
        </w:rPr>
        <w:t>79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_Toc7293 </w:instrText>
      </w:r>
      <w:r>
        <w:rPr>
          <w:i w:val="0"/>
          <w:iCs w:val="0"/>
          <w:color w:val="auto"/>
          <w:szCs w:val="28"/>
        </w:rPr>
        <w:fldChar w:fldCharType="separate"/>
      </w:r>
      <w:r>
        <w:rPr>
          <w:rFonts w:hint="eastAsia"/>
          <w:i w:val="0"/>
          <w:iCs w:val="0"/>
          <w:color w:val="auto"/>
        </w:rPr>
        <w:t>6.1固有危险程度的分析</w:t>
      </w:r>
      <w:r>
        <w:rPr>
          <w:i w:val="0"/>
          <w:iCs w:val="0"/>
          <w:color w:val="auto"/>
        </w:rPr>
        <w:tab/>
      </w:r>
      <w:r>
        <w:rPr>
          <w:i w:val="0"/>
          <w:iCs w:val="0"/>
          <w:color w:val="auto"/>
        </w:rPr>
        <w:fldChar w:fldCharType="begin"/>
      </w:r>
      <w:r>
        <w:rPr>
          <w:i w:val="0"/>
          <w:iCs w:val="0"/>
          <w:color w:val="auto"/>
        </w:rPr>
        <w:instrText xml:space="preserve"> PAGEREF _Toc7293 \h </w:instrText>
      </w:r>
      <w:r>
        <w:rPr>
          <w:i w:val="0"/>
          <w:iCs w:val="0"/>
          <w:color w:val="auto"/>
        </w:rPr>
        <w:fldChar w:fldCharType="separate"/>
      </w:r>
      <w:r>
        <w:rPr>
          <w:i w:val="0"/>
          <w:iCs w:val="0"/>
          <w:color w:val="auto"/>
        </w:rPr>
        <w:t>79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_Toc21431 </w:instrText>
      </w:r>
      <w:r>
        <w:rPr>
          <w:i w:val="0"/>
          <w:iCs w:val="0"/>
          <w:color w:val="auto"/>
          <w:szCs w:val="28"/>
        </w:rPr>
        <w:fldChar w:fldCharType="separate"/>
      </w:r>
      <w:r>
        <w:rPr>
          <w:rFonts w:hint="eastAsia"/>
          <w:i w:val="0"/>
          <w:iCs w:val="0"/>
          <w:color w:val="auto"/>
        </w:rPr>
        <w:t>6.1.1作业场所的固有危险程度分析</w:t>
      </w:r>
      <w:r>
        <w:rPr>
          <w:i w:val="0"/>
          <w:iCs w:val="0"/>
          <w:color w:val="auto"/>
        </w:rPr>
        <w:tab/>
      </w:r>
      <w:r>
        <w:rPr>
          <w:i w:val="0"/>
          <w:iCs w:val="0"/>
          <w:color w:val="auto"/>
        </w:rPr>
        <w:fldChar w:fldCharType="begin"/>
      </w:r>
      <w:r>
        <w:rPr>
          <w:i w:val="0"/>
          <w:iCs w:val="0"/>
          <w:color w:val="auto"/>
        </w:rPr>
        <w:instrText xml:space="preserve"> PAGEREF _Toc21431 \h </w:instrText>
      </w:r>
      <w:r>
        <w:rPr>
          <w:i w:val="0"/>
          <w:iCs w:val="0"/>
          <w:color w:val="auto"/>
        </w:rPr>
        <w:fldChar w:fldCharType="separate"/>
      </w:r>
      <w:r>
        <w:rPr>
          <w:i w:val="0"/>
          <w:iCs w:val="0"/>
          <w:color w:val="auto"/>
        </w:rPr>
        <w:t>79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_Toc29268 </w:instrText>
      </w:r>
      <w:r>
        <w:rPr>
          <w:i w:val="0"/>
          <w:iCs w:val="0"/>
          <w:color w:val="auto"/>
          <w:szCs w:val="28"/>
        </w:rPr>
        <w:fldChar w:fldCharType="separate"/>
      </w:r>
      <w:r>
        <w:rPr>
          <w:rFonts w:hint="default"/>
          <w:i w:val="0"/>
          <w:iCs w:val="0"/>
          <w:color w:val="auto"/>
          <w:lang w:val="en-US" w:eastAsia="zh-CN"/>
        </w:rPr>
        <w:t>6.1.2 各单元固有危险程度定量分析</w:t>
      </w:r>
      <w:r>
        <w:rPr>
          <w:i w:val="0"/>
          <w:iCs w:val="0"/>
          <w:color w:val="auto"/>
        </w:rPr>
        <w:tab/>
      </w:r>
      <w:r>
        <w:rPr>
          <w:i w:val="0"/>
          <w:iCs w:val="0"/>
          <w:color w:val="auto"/>
        </w:rPr>
        <w:fldChar w:fldCharType="begin"/>
      </w:r>
      <w:r>
        <w:rPr>
          <w:i w:val="0"/>
          <w:iCs w:val="0"/>
          <w:color w:val="auto"/>
        </w:rPr>
        <w:instrText xml:space="preserve"> PAGEREF _Toc29268 \h </w:instrText>
      </w:r>
      <w:r>
        <w:rPr>
          <w:i w:val="0"/>
          <w:iCs w:val="0"/>
          <w:color w:val="auto"/>
        </w:rPr>
        <w:fldChar w:fldCharType="separate"/>
      </w:r>
      <w:r>
        <w:rPr>
          <w:i w:val="0"/>
          <w:iCs w:val="0"/>
          <w:color w:val="auto"/>
        </w:rPr>
        <w:t>79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_Toc3022 </w:instrText>
      </w:r>
      <w:r>
        <w:rPr>
          <w:i w:val="0"/>
          <w:iCs w:val="0"/>
          <w:color w:val="auto"/>
          <w:szCs w:val="28"/>
        </w:rPr>
        <w:fldChar w:fldCharType="separate"/>
      </w:r>
      <w:r>
        <w:rPr>
          <w:rFonts w:hint="default"/>
          <w:i w:val="0"/>
          <w:iCs w:val="0"/>
          <w:color w:val="auto"/>
          <w:lang w:val="en-US" w:eastAsia="zh-CN"/>
        </w:rPr>
        <w:t>6.2 定性定量分析评价结果</w:t>
      </w:r>
      <w:r>
        <w:rPr>
          <w:i w:val="0"/>
          <w:iCs w:val="0"/>
          <w:color w:val="auto"/>
        </w:rPr>
        <w:tab/>
      </w:r>
      <w:r>
        <w:rPr>
          <w:i w:val="0"/>
          <w:iCs w:val="0"/>
          <w:color w:val="auto"/>
        </w:rPr>
        <w:fldChar w:fldCharType="begin"/>
      </w:r>
      <w:r>
        <w:rPr>
          <w:i w:val="0"/>
          <w:iCs w:val="0"/>
          <w:color w:val="auto"/>
        </w:rPr>
        <w:instrText xml:space="preserve"> PAGEREF _Toc3022 \h </w:instrText>
      </w:r>
      <w:r>
        <w:rPr>
          <w:i w:val="0"/>
          <w:iCs w:val="0"/>
          <w:color w:val="auto"/>
        </w:rPr>
        <w:fldChar w:fldCharType="separate"/>
      </w:r>
      <w:r>
        <w:rPr>
          <w:i w:val="0"/>
          <w:iCs w:val="0"/>
          <w:color w:val="auto"/>
        </w:rPr>
        <w:t>81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_Toc22753 </w:instrText>
      </w:r>
      <w:r>
        <w:rPr>
          <w:i w:val="0"/>
          <w:iCs w:val="0"/>
          <w:color w:val="auto"/>
          <w:szCs w:val="28"/>
        </w:rPr>
        <w:fldChar w:fldCharType="separate"/>
      </w:r>
      <w:r>
        <w:rPr>
          <w:rFonts w:hint="default"/>
          <w:i w:val="0"/>
          <w:iCs w:val="0"/>
          <w:color w:val="auto"/>
          <w:lang w:val="en-US" w:eastAsia="zh-CN"/>
        </w:rPr>
        <w:t>6.3 风险程度的分析结果</w:t>
      </w:r>
      <w:r>
        <w:rPr>
          <w:i w:val="0"/>
          <w:iCs w:val="0"/>
          <w:color w:val="auto"/>
        </w:rPr>
        <w:tab/>
      </w:r>
      <w:r>
        <w:rPr>
          <w:i w:val="0"/>
          <w:iCs w:val="0"/>
          <w:color w:val="auto"/>
        </w:rPr>
        <w:fldChar w:fldCharType="begin"/>
      </w:r>
      <w:r>
        <w:rPr>
          <w:i w:val="0"/>
          <w:iCs w:val="0"/>
          <w:color w:val="auto"/>
        </w:rPr>
        <w:instrText xml:space="preserve"> PAGEREF _Toc22753 \h </w:instrText>
      </w:r>
      <w:r>
        <w:rPr>
          <w:i w:val="0"/>
          <w:iCs w:val="0"/>
          <w:color w:val="auto"/>
        </w:rPr>
        <w:fldChar w:fldCharType="separate"/>
      </w:r>
      <w:r>
        <w:rPr>
          <w:i w:val="0"/>
          <w:iCs w:val="0"/>
          <w:color w:val="auto"/>
        </w:rPr>
        <w:t>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_Toc30933 </w:instrText>
      </w:r>
      <w:r>
        <w:rPr>
          <w:i w:val="0"/>
          <w:iCs w:val="0"/>
          <w:color w:val="auto"/>
          <w:szCs w:val="28"/>
        </w:rPr>
        <w:fldChar w:fldCharType="separate"/>
      </w:r>
      <w:r>
        <w:rPr>
          <w:rFonts w:hint="default"/>
          <w:i w:val="0"/>
          <w:iCs w:val="0"/>
          <w:color w:val="auto"/>
          <w:lang w:val="en-US" w:eastAsia="zh-CN"/>
        </w:rPr>
        <w:t>6.3.1 危险化学品泄漏的可能性</w:t>
      </w:r>
      <w:r>
        <w:rPr>
          <w:i w:val="0"/>
          <w:iCs w:val="0"/>
          <w:color w:val="auto"/>
        </w:rPr>
        <w:tab/>
      </w:r>
      <w:r>
        <w:rPr>
          <w:i w:val="0"/>
          <w:iCs w:val="0"/>
          <w:color w:val="auto"/>
        </w:rPr>
        <w:fldChar w:fldCharType="begin"/>
      </w:r>
      <w:r>
        <w:rPr>
          <w:i w:val="0"/>
          <w:iCs w:val="0"/>
          <w:color w:val="auto"/>
        </w:rPr>
        <w:instrText xml:space="preserve"> PAGEREF _Toc30933 \h </w:instrText>
      </w:r>
      <w:r>
        <w:rPr>
          <w:i w:val="0"/>
          <w:iCs w:val="0"/>
          <w:color w:val="auto"/>
        </w:rPr>
        <w:fldChar w:fldCharType="separate"/>
      </w:r>
      <w:r>
        <w:rPr>
          <w:i w:val="0"/>
          <w:iCs w:val="0"/>
          <w:color w:val="auto"/>
        </w:rPr>
        <w:t>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_Toc18529 </w:instrText>
      </w:r>
      <w:r>
        <w:rPr>
          <w:i w:val="0"/>
          <w:iCs w:val="0"/>
          <w:color w:val="auto"/>
          <w:szCs w:val="28"/>
        </w:rPr>
        <w:fldChar w:fldCharType="separate"/>
      </w:r>
      <w:r>
        <w:rPr>
          <w:rFonts w:hint="eastAsia"/>
          <w:i w:val="0"/>
          <w:iCs w:val="0"/>
          <w:color w:val="auto"/>
        </w:rPr>
        <w:t>6.3.2爆炸性、可燃性的危险化学品泄漏造成火灾爆炸事故的条件</w:t>
      </w:r>
      <w:r>
        <w:rPr>
          <w:i w:val="0"/>
          <w:iCs w:val="0"/>
          <w:color w:val="auto"/>
        </w:rPr>
        <w:tab/>
      </w:r>
      <w:r>
        <w:rPr>
          <w:i w:val="0"/>
          <w:iCs w:val="0"/>
          <w:color w:val="auto"/>
        </w:rPr>
        <w:fldChar w:fldCharType="begin"/>
      </w:r>
      <w:r>
        <w:rPr>
          <w:i w:val="0"/>
          <w:iCs w:val="0"/>
          <w:color w:val="auto"/>
        </w:rPr>
        <w:instrText xml:space="preserve"> PAGEREF _Toc18529 \h </w:instrText>
      </w:r>
      <w:r>
        <w:rPr>
          <w:i w:val="0"/>
          <w:iCs w:val="0"/>
          <w:color w:val="auto"/>
        </w:rPr>
        <w:fldChar w:fldCharType="separate"/>
      </w:r>
      <w:r>
        <w:rPr>
          <w:i w:val="0"/>
          <w:iCs w:val="0"/>
          <w:color w:val="auto"/>
        </w:rPr>
        <w:t>84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_Toc15534 </w:instrText>
      </w:r>
      <w:r>
        <w:rPr>
          <w:i w:val="0"/>
          <w:iCs w:val="0"/>
          <w:color w:val="auto"/>
          <w:szCs w:val="28"/>
        </w:rPr>
        <w:fldChar w:fldCharType="separate"/>
      </w:r>
      <w:r>
        <w:rPr>
          <w:rFonts w:hint="eastAsia" w:ascii="黑体" w:hAnsi="黑体" w:eastAsia="黑体" w:cs="黑体"/>
          <w:i w:val="0"/>
          <w:iCs w:val="0"/>
          <w:color w:val="auto"/>
        </w:rPr>
        <w:t>6.3.3有毒化学品接触最高限值的时间</w:t>
      </w:r>
      <w:r>
        <w:rPr>
          <w:i w:val="0"/>
          <w:iCs w:val="0"/>
          <w:color w:val="auto"/>
        </w:rPr>
        <w:tab/>
      </w:r>
      <w:r>
        <w:rPr>
          <w:i w:val="0"/>
          <w:iCs w:val="0"/>
          <w:color w:val="auto"/>
        </w:rPr>
        <w:fldChar w:fldCharType="begin"/>
      </w:r>
      <w:r>
        <w:rPr>
          <w:i w:val="0"/>
          <w:iCs w:val="0"/>
          <w:color w:val="auto"/>
        </w:rPr>
        <w:instrText xml:space="preserve"> PAGEREF _Toc15534 \h </w:instrText>
      </w:r>
      <w:r>
        <w:rPr>
          <w:i w:val="0"/>
          <w:iCs w:val="0"/>
          <w:color w:val="auto"/>
        </w:rPr>
        <w:fldChar w:fldCharType="separate"/>
      </w:r>
      <w:r>
        <w:rPr>
          <w:i w:val="0"/>
          <w:iCs w:val="0"/>
          <w:color w:val="auto"/>
        </w:rPr>
        <w:t>85</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_Toc9063 </w:instrText>
      </w:r>
      <w:r>
        <w:rPr>
          <w:i w:val="0"/>
          <w:iCs w:val="0"/>
          <w:color w:val="auto"/>
          <w:szCs w:val="28"/>
        </w:rPr>
        <w:fldChar w:fldCharType="separate"/>
      </w:r>
      <w:r>
        <w:rPr>
          <w:rFonts w:hint="eastAsia" w:ascii="黑体" w:hAnsi="黑体" w:cs="黑体"/>
          <w:i w:val="0"/>
          <w:iCs w:val="0"/>
          <w:color w:val="auto"/>
        </w:rPr>
        <w:t>6.3.4事故模型分析</w:t>
      </w:r>
      <w:r>
        <w:rPr>
          <w:i w:val="0"/>
          <w:iCs w:val="0"/>
          <w:color w:val="auto"/>
        </w:rPr>
        <w:tab/>
      </w:r>
      <w:r>
        <w:rPr>
          <w:i w:val="0"/>
          <w:iCs w:val="0"/>
          <w:color w:val="auto"/>
        </w:rPr>
        <w:fldChar w:fldCharType="begin"/>
      </w:r>
      <w:r>
        <w:rPr>
          <w:i w:val="0"/>
          <w:iCs w:val="0"/>
          <w:color w:val="auto"/>
        </w:rPr>
        <w:instrText xml:space="preserve"> PAGEREF _Toc9063 \h </w:instrText>
      </w:r>
      <w:r>
        <w:rPr>
          <w:i w:val="0"/>
          <w:iCs w:val="0"/>
          <w:color w:val="auto"/>
        </w:rPr>
        <w:fldChar w:fldCharType="separate"/>
      </w:r>
      <w:r>
        <w:rPr>
          <w:i w:val="0"/>
          <w:iCs w:val="0"/>
          <w:color w:val="auto"/>
        </w:rPr>
        <w:t>85</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_Toc7951 </w:instrText>
      </w:r>
      <w:r>
        <w:rPr>
          <w:i w:val="0"/>
          <w:iCs w:val="0"/>
          <w:color w:val="auto"/>
          <w:szCs w:val="28"/>
        </w:rPr>
        <w:fldChar w:fldCharType="separate"/>
      </w:r>
      <w:r>
        <w:rPr>
          <w:rFonts w:hint="eastAsia" w:ascii="楷体_GB2312" w:hAnsi="黑体" w:eastAsia="楷体_GB2312"/>
          <w:bCs w:val="0"/>
          <w:i w:val="0"/>
          <w:iCs w:val="0"/>
          <w:color w:val="auto"/>
        </w:rPr>
        <w:t>6.3.</w:t>
      </w:r>
      <w:r>
        <w:rPr>
          <w:rFonts w:hint="eastAsia" w:ascii="楷体_GB2312" w:hAnsi="黑体" w:eastAsia="楷体_GB2312"/>
          <w:bCs w:val="0"/>
          <w:i w:val="0"/>
          <w:iCs w:val="0"/>
          <w:color w:val="auto"/>
          <w:lang w:eastAsia="zh-CN"/>
        </w:rPr>
        <w:t>5多米诺效应分析</w:t>
      </w:r>
      <w:r>
        <w:rPr>
          <w:i w:val="0"/>
          <w:iCs w:val="0"/>
          <w:color w:val="auto"/>
        </w:rPr>
        <w:tab/>
      </w:r>
      <w:r>
        <w:rPr>
          <w:i w:val="0"/>
          <w:iCs w:val="0"/>
          <w:color w:val="auto"/>
        </w:rPr>
        <w:fldChar w:fldCharType="begin"/>
      </w:r>
      <w:r>
        <w:rPr>
          <w:i w:val="0"/>
          <w:iCs w:val="0"/>
          <w:color w:val="auto"/>
        </w:rPr>
        <w:instrText xml:space="preserve"> PAGEREF _Toc7951 \h </w:instrText>
      </w:r>
      <w:r>
        <w:rPr>
          <w:i w:val="0"/>
          <w:iCs w:val="0"/>
          <w:color w:val="auto"/>
        </w:rPr>
        <w:fldChar w:fldCharType="separate"/>
      </w:r>
      <w:r>
        <w:rPr>
          <w:i w:val="0"/>
          <w:iCs w:val="0"/>
          <w:color w:val="auto"/>
        </w:rPr>
        <w:t>86</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_Toc27789 </w:instrText>
      </w:r>
      <w:r>
        <w:rPr>
          <w:i w:val="0"/>
          <w:iCs w:val="0"/>
          <w:color w:val="auto"/>
          <w:szCs w:val="28"/>
        </w:rPr>
        <w:fldChar w:fldCharType="separate"/>
      </w:r>
      <w:r>
        <w:rPr>
          <w:rFonts w:hint="eastAsia" w:ascii="黑体" w:eastAsia="黑体"/>
          <w:i w:val="0"/>
          <w:iCs w:val="0"/>
          <w:color w:val="auto"/>
          <w:szCs w:val="32"/>
          <w:lang w:val="en-US" w:eastAsia="zh-CN"/>
        </w:rPr>
        <w:t>7</w:t>
      </w:r>
      <w:r>
        <w:rPr>
          <w:rFonts w:hint="eastAsia" w:ascii="黑体" w:eastAsia="黑体"/>
          <w:i w:val="0"/>
          <w:iCs w:val="0"/>
          <w:color w:val="auto"/>
          <w:szCs w:val="32"/>
        </w:rPr>
        <w:t>建设项目安全生产、安全条件的分析结果</w:t>
      </w:r>
      <w:r>
        <w:rPr>
          <w:i w:val="0"/>
          <w:iCs w:val="0"/>
          <w:color w:val="auto"/>
        </w:rPr>
        <w:tab/>
      </w:r>
      <w:r>
        <w:rPr>
          <w:i w:val="0"/>
          <w:iCs w:val="0"/>
          <w:color w:val="auto"/>
        </w:rPr>
        <w:fldChar w:fldCharType="begin"/>
      </w:r>
      <w:r>
        <w:rPr>
          <w:i w:val="0"/>
          <w:iCs w:val="0"/>
          <w:color w:val="auto"/>
        </w:rPr>
        <w:instrText xml:space="preserve"> PAGEREF _Toc27789 \h </w:instrText>
      </w:r>
      <w:r>
        <w:rPr>
          <w:i w:val="0"/>
          <w:iCs w:val="0"/>
          <w:color w:val="auto"/>
        </w:rPr>
        <w:fldChar w:fldCharType="separate"/>
      </w:r>
      <w:r>
        <w:rPr>
          <w:i w:val="0"/>
          <w:iCs w:val="0"/>
          <w:color w:val="auto"/>
        </w:rPr>
        <w:t>87</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_Toc4833 </w:instrText>
      </w:r>
      <w:r>
        <w:rPr>
          <w:i w:val="0"/>
          <w:iCs w:val="0"/>
          <w:color w:val="auto"/>
          <w:szCs w:val="28"/>
        </w:rPr>
        <w:fldChar w:fldCharType="separate"/>
      </w:r>
      <w:r>
        <w:rPr>
          <w:rFonts w:hint="default"/>
          <w:i w:val="0"/>
          <w:iCs w:val="0"/>
          <w:color w:val="auto"/>
          <w:lang w:val="en-US" w:eastAsia="zh-CN"/>
        </w:rPr>
        <w:t>7.1 个人风险和社会风险计算结果</w:t>
      </w:r>
      <w:r>
        <w:rPr>
          <w:i w:val="0"/>
          <w:iCs w:val="0"/>
          <w:color w:val="auto"/>
        </w:rPr>
        <w:tab/>
      </w:r>
      <w:r>
        <w:rPr>
          <w:i w:val="0"/>
          <w:iCs w:val="0"/>
          <w:color w:val="auto"/>
        </w:rPr>
        <w:fldChar w:fldCharType="begin"/>
      </w:r>
      <w:r>
        <w:rPr>
          <w:i w:val="0"/>
          <w:iCs w:val="0"/>
          <w:color w:val="auto"/>
        </w:rPr>
        <w:instrText xml:space="preserve"> PAGEREF _Toc4833 \h </w:instrText>
      </w:r>
      <w:r>
        <w:rPr>
          <w:i w:val="0"/>
          <w:iCs w:val="0"/>
          <w:color w:val="auto"/>
        </w:rPr>
        <w:fldChar w:fldCharType="separate"/>
      </w:r>
      <w:r>
        <w:rPr>
          <w:i w:val="0"/>
          <w:iCs w:val="0"/>
          <w:color w:val="auto"/>
        </w:rPr>
        <w:t>87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_Toc17134 </w:instrText>
      </w:r>
      <w:r>
        <w:rPr>
          <w:i w:val="0"/>
          <w:iCs w:val="0"/>
          <w:color w:val="auto"/>
          <w:szCs w:val="28"/>
        </w:rPr>
        <w:fldChar w:fldCharType="separate"/>
      </w:r>
      <w:r>
        <w:rPr>
          <w:rFonts w:hint="default"/>
          <w:i w:val="0"/>
          <w:iCs w:val="0"/>
          <w:color w:val="auto"/>
          <w:lang w:val="en-US" w:eastAsia="zh-CN"/>
        </w:rPr>
        <w:t>7.1.1 个人风险和社会风险</w:t>
      </w:r>
      <w:r>
        <w:rPr>
          <w:i w:val="0"/>
          <w:iCs w:val="0"/>
          <w:color w:val="auto"/>
        </w:rPr>
        <w:tab/>
      </w:r>
      <w:r>
        <w:rPr>
          <w:i w:val="0"/>
          <w:iCs w:val="0"/>
          <w:color w:val="auto"/>
        </w:rPr>
        <w:fldChar w:fldCharType="begin"/>
      </w:r>
      <w:r>
        <w:rPr>
          <w:i w:val="0"/>
          <w:iCs w:val="0"/>
          <w:color w:val="auto"/>
        </w:rPr>
        <w:instrText xml:space="preserve"> PAGEREF _Toc17134 \h </w:instrText>
      </w:r>
      <w:r>
        <w:rPr>
          <w:i w:val="0"/>
          <w:iCs w:val="0"/>
          <w:color w:val="auto"/>
        </w:rPr>
        <w:fldChar w:fldCharType="separate"/>
      </w:r>
      <w:r>
        <w:rPr>
          <w:i w:val="0"/>
          <w:iCs w:val="0"/>
          <w:color w:val="auto"/>
        </w:rPr>
        <w:t>87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_Toc7005 </w:instrText>
      </w:r>
      <w:r>
        <w:rPr>
          <w:i w:val="0"/>
          <w:iCs w:val="0"/>
          <w:color w:val="auto"/>
          <w:szCs w:val="28"/>
        </w:rPr>
        <w:fldChar w:fldCharType="separate"/>
      </w:r>
      <w:r>
        <w:rPr>
          <w:rFonts w:hint="eastAsia"/>
          <w:i w:val="0"/>
          <w:iCs w:val="0"/>
          <w:color w:val="auto"/>
          <w:lang w:val="en-US" w:eastAsia="zh-CN"/>
        </w:rPr>
        <w:t>7.1.2 外部安全防护距离</w:t>
      </w:r>
      <w:r>
        <w:rPr>
          <w:i w:val="0"/>
          <w:iCs w:val="0"/>
          <w:color w:val="auto"/>
        </w:rPr>
        <w:tab/>
      </w:r>
      <w:r>
        <w:rPr>
          <w:i w:val="0"/>
          <w:iCs w:val="0"/>
          <w:color w:val="auto"/>
        </w:rPr>
        <w:fldChar w:fldCharType="begin"/>
      </w:r>
      <w:r>
        <w:rPr>
          <w:i w:val="0"/>
          <w:iCs w:val="0"/>
          <w:color w:val="auto"/>
        </w:rPr>
        <w:instrText xml:space="preserve"> PAGEREF _Toc7005 \h </w:instrText>
      </w:r>
      <w:r>
        <w:rPr>
          <w:i w:val="0"/>
          <w:iCs w:val="0"/>
          <w:color w:val="auto"/>
        </w:rPr>
        <w:fldChar w:fldCharType="separate"/>
      </w:r>
      <w:r>
        <w:rPr>
          <w:i w:val="0"/>
          <w:iCs w:val="0"/>
          <w:color w:val="auto"/>
        </w:rPr>
        <w:t>88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_Toc9021 </w:instrText>
      </w:r>
      <w:r>
        <w:rPr>
          <w:i w:val="0"/>
          <w:iCs w:val="0"/>
          <w:color w:val="auto"/>
          <w:szCs w:val="28"/>
        </w:rPr>
        <w:fldChar w:fldCharType="separate"/>
      </w:r>
      <w:r>
        <w:rPr>
          <w:rFonts w:hint="default"/>
          <w:bCs/>
          <w:i w:val="0"/>
          <w:iCs w:val="0"/>
          <w:color w:val="auto"/>
          <w:szCs w:val="32"/>
          <w:lang w:val="en-US" w:eastAsia="zh-CN"/>
        </w:rPr>
        <w:t>7.1.3 项目爆炸、火灾、中毒范围内周边单位24小时内生产经营活动</w:t>
      </w:r>
      <w:r>
        <w:rPr>
          <w:rFonts w:hint="eastAsia"/>
          <w:i w:val="0"/>
          <w:iCs w:val="0"/>
          <w:color w:val="auto"/>
          <w:lang w:val="en-US" w:eastAsia="zh-CN"/>
        </w:rPr>
        <w:t>及居民生活情况</w:t>
      </w:r>
      <w:r>
        <w:rPr>
          <w:i w:val="0"/>
          <w:iCs w:val="0"/>
          <w:color w:val="auto"/>
        </w:rPr>
        <w:tab/>
      </w:r>
      <w:r>
        <w:rPr>
          <w:i w:val="0"/>
          <w:iCs w:val="0"/>
          <w:color w:val="auto"/>
        </w:rPr>
        <w:fldChar w:fldCharType="begin"/>
      </w:r>
      <w:r>
        <w:rPr>
          <w:i w:val="0"/>
          <w:iCs w:val="0"/>
          <w:color w:val="auto"/>
        </w:rPr>
        <w:instrText xml:space="preserve"> PAGEREF _Toc9021 \h </w:instrText>
      </w:r>
      <w:r>
        <w:rPr>
          <w:i w:val="0"/>
          <w:iCs w:val="0"/>
          <w:color w:val="auto"/>
        </w:rPr>
        <w:fldChar w:fldCharType="separate"/>
      </w:r>
      <w:r>
        <w:rPr>
          <w:i w:val="0"/>
          <w:iCs w:val="0"/>
          <w:color w:val="auto"/>
        </w:rPr>
        <w:t>89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_Toc14148 </w:instrText>
      </w:r>
      <w:r>
        <w:rPr>
          <w:i w:val="0"/>
          <w:iCs w:val="0"/>
          <w:color w:val="auto"/>
          <w:szCs w:val="28"/>
        </w:rPr>
        <w:fldChar w:fldCharType="separate"/>
      </w:r>
      <w:r>
        <w:rPr>
          <w:rFonts w:hint="eastAsia"/>
          <w:i w:val="0"/>
          <w:iCs w:val="0"/>
          <w:color w:val="auto"/>
          <w:lang w:val="en-US" w:eastAsia="zh-CN"/>
        </w:rPr>
        <w:t>7.1.4与“八类场所”的距离情况</w:t>
      </w:r>
      <w:r>
        <w:rPr>
          <w:i w:val="0"/>
          <w:iCs w:val="0"/>
          <w:color w:val="auto"/>
        </w:rPr>
        <w:tab/>
      </w:r>
      <w:r>
        <w:rPr>
          <w:i w:val="0"/>
          <w:iCs w:val="0"/>
          <w:color w:val="auto"/>
        </w:rPr>
        <w:fldChar w:fldCharType="begin"/>
      </w:r>
      <w:r>
        <w:rPr>
          <w:i w:val="0"/>
          <w:iCs w:val="0"/>
          <w:color w:val="auto"/>
        </w:rPr>
        <w:instrText xml:space="preserve"> PAGEREF _Toc14148 \h </w:instrText>
      </w:r>
      <w:r>
        <w:rPr>
          <w:i w:val="0"/>
          <w:iCs w:val="0"/>
          <w:color w:val="auto"/>
        </w:rPr>
        <w:fldChar w:fldCharType="separate"/>
      </w:r>
      <w:r>
        <w:rPr>
          <w:i w:val="0"/>
          <w:iCs w:val="0"/>
          <w:color w:val="auto"/>
        </w:rPr>
        <w:t>89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_Toc6829 </w:instrText>
      </w:r>
      <w:r>
        <w:rPr>
          <w:i w:val="0"/>
          <w:iCs w:val="0"/>
          <w:color w:val="auto"/>
          <w:szCs w:val="28"/>
        </w:rPr>
        <w:fldChar w:fldCharType="separate"/>
      </w:r>
      <w:r>
        <w:rPr>
          <w:rFonts w:hint="eastAsia"/>
          <w:i w:val="0"/>
          <w:iCs w:val="0"/>
          <w:color w:val="auto"/>
          <w:lang w:val="en-US" w:eastAsia="zh-CN"/>
        </w:rPr>
        <w:t>7.2 建设项目安全条件分析</w:t>
      </w:r>
      <w:r>
        <w:rPr>
          <w:i w:val="0"/>
          <w:iCs w:val="0"/>
          <w:color w:val="auto"/>
        </w:rPr>
        <w:tab/>
      </w:r>
      <w:r>
        <w:rPr>
          <w:i w:val="0"/>
          <w:iCs w:val="0"/>
          <w:color w:val="auto"/>
        </w:rPr>
        <w:fldChar w:fldCharType="begin"/>
      </w:r>
      <w:r>
        <w:rPr>
          <w:i w:val="0"/>
          <w:iCs w:val="0"/>
          <w:color w:val="auto"/>
        </w:rPr>
        <w:instrText xml:space="preserve"> PAGEREF _Toc6829 \h </w:instrText>
      </w:r>
      <w:r>
        <w:rPr>
          <w:i w:val="0"/>
          <w:iCs w:val="0"/>
          <w:color w:val="auto"/>
        </w:rPr>
        <w:fldChar w:fldCharType="separate"/>
      </w:r>
      <w:r>
        <w:rPr>
          <w:i w:val="0"/>
          <w:iCs w:val="0"/>
          <w:color w:val="auto"/>
        </w:rPr>
        <w:t>90</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_Toc27302 </w:instrText>
      </w:r>
      <w:r>
        <w:rPr>
          <w:i w:val="0"/>
          <w:iCs w:val="0"/>
          <w:color w:val="auto"/>
          <w:szCs w:val="28"/>
        </w:rPr>
        <w:fldChar w:fldCharType="separate"/>
      </w:r>
      <w:r>
        <w:rPr>
          <w:rFonts w:hint="eastAsia"/>
          <w:i w:val="0"/>
          <w:iCs w:val="0"/>
          <w:color w:val="auto"/>
          <w:lang w:val="en-US" w:eastAsia="zh-CN"/>
        </w:rPr>
        <w:t>7.2.1 建设项目与国家产业政策与布局符合性分析</w:t>
      </w:r>
      <w:r>
        <w:rPr>
          <w:i w:val="0"/>
          <w:iCs w:val="0"/>
          <w:color w:val="auto"/>
        </w:rPr>
        <w:tab/>
      </w:r>
      <w:r>
        <w:rPr>
          <w:i w:val="0"/>
          <w:iCs w:val="0"/>
          <w:color w:val="auto"/>
        </w:rPr>
        <w:fldChar w:fldCharType="begin"/>
      </w:r>
      <w:r>
        <w:rPr>
          <w:i w:val="0"/>
          <w:iCs w:val="0"/>
          <w:color w:val="auto"/>
        </w:rPr>
        <w:instrText xml:space="preserve"> PAGEREF _Toc27302 \h </w:instrText>
      </w:r>
      <w:r>
        <w:rPr>
          <w:i w:val="0"/>
          <w:iCs w:val="0"/>
          <w:color w:val="auto"/>
        </w:rPr>
        <w:fldChar w:fldCharType="separate"/>
      </w:r>
      <w:r>
        <w:rPr>
          <w:i w:val="0"/>
          <w:iCs w:val="0"/>
          <w:color w:val="auto"/>
        </w:rPr>
        <w:t>90</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_Toc16908 </w:instrText>
      </w:r>
      <w:r>
        <w:rPr>
          <w:i w:val="0"/>
          <w:iCs w:val="0"/>
          <w:color w:val="auto"/>
          <w:szCs w:val="28"/>
        </w:rPr>
        <w:fldChar w:fldCharType="separate"/>
      </w:r>
      <w:r>
        <w:rPr>
          <w:rFonts w:hint="eastAsia"/>
          <w:i w:val="0"/>
          <w:iCs w:val="0"/>
          <w:color w:val="auto"/>
          <w:lang w:val="en-US" w:eastAsia="zh-CN"/>
        </w:rPr>
        <w:t>7.2.2 建设项目与当地政府区域规划符合性分析</w:t>
      </w:r>
      <w:r>
        <w:rPr>
          <w:i w:val="0"/>
          <w:iCs w:val="0"/>
          <w:color w:val="auto"/>
        </w:rPr>
        <w:tab/>
      </w:r>
      <w:r>
        <w:rPr>
          <w:i w:val="0"/>
          <w:iCs w:val="0"/>
          <w:color w:val="auto"/>
        </w:rPr>
        <w:fldChar w:fldCharType="begin"/>
      </w:r>
      <w:r>
        <w:rPr>
          <w:i w:val="0"/>
          <w:iCs w:val="0"/>
          <w:color w:val="auto"/>
        </w:rPr>
        <w:instrText xml:space="preserve"> PAGEREF _Toc16908 \h </w:instrText>
      </w:r>
      <w:r>
        <w:rPr>
          <w:i w:val="0"/>
          <w:iCs w:val="0"/>
          <w:color w:val="auto"/>
        </w:rPr>
        <w:fldChar w:fldCharType="separate"/>
      </w:r>
      <w:r>
        <w:rPr>
          <w:i w:val="0"/>
          <w:iCs w:val="0"/>
          <w:color w:val="auto"/>
        </w:rPr>
        <w:t>90</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_Toc1044 </w:instrText>
      </w:r>
      <w:r>
        <w:rPr>
          <w:i w:val="0"/>
          <w:iCs w:val="0"/>
          <w:color w:val="auto"/>
          <w:szCs w:val="28"/>
        </w:rPr>
        <w:fldChar w:fldCharType="separate"/>
      </w:r>
      <w:r>
        <w:rPr>
          <w:rFonts w:hint="eastAsia"/>
          <w:i w:val="0"/>
          <w:iCs w:val="0"/>
          <w:color w:val="auto"/>
          <w:lang w:val="en-US" w:eastAsia="zh-CN"/>
        </w:rPr>
        <w:t>7.2.3 建设项目选址符合性分析</w:t>
      </w:r>
      <w:r>
        <w:rPr>
          <w:i w:val="0"/>
          <w:iCs w:val="0"/>
          <w:color w:val="auto"/>
        </w:rPr>
        <w:tab/>
      </w:r>
      <w:r>
        <w:rPr>
          <w:i w:val="0"/>
          <w:iCs w:val="0"/>
          <w:color w:val="auto"/>
        </w:rPr>
        <w:fldChar w:fldCharType="begin"/>
      </w:r>
      <w:r>
        <w:rPr>
          <w:i w:val="0"/>
          <w:iCs w:val="0"/>
          <w:color w:val="auto"/>
        </w:rPr>
        <w:instrText xml:space="preserve"> PAGEREF _Toc1044 \h </w:instrText>
      </w:r>
      <w:r>
        <w:rPr>
          <w:i w:val="0"/>
          <w:iCs w:val="0"/>
          <w:color w:val="auto"/>
        </w:rPr>
        <w:fldChar w:fldCharType="separate"/>
      </w:r>
      <w:r>
        <w:rPr>
          <w:i w:val="0"/>
          <w:iCs w:val="0"/>
          <w:color w:val="auto"/>
        </w:rPr>
        <w:t>91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_Toc19133 </w:instrText>
      </w:r>
      <w:r>
        <w:rPr>
          <w:i w:val="0"/>
          <w:iCs w:val="0"/>
          <w:color w:val="auto"/>
          <w:szCs w:val="28"/>
        </w:rPr>
        <w:fldChar w:fldCharType="separate"/>
      </w:r>
      <w:r>
        <w:rPr>
          <w:rFonts w:hint="eastAsia"/>
          <w:i w:val="0"/>
          <w:iCs w:val="0"/>
          <w:color w:val="auto"/>
          <w:lang w:val="en-US" w:eastAsia="zh-CN"/>
        </w:rPr>
        <w:t>7.2.4 建设项目所在地自然条件的影响分析评价</w:t>
      </w:r>
      <w:r>
        <w:rPr>
          <w:i w:val="0"/>
          <w:iCs w:val="0"/>
          <w:color w:val="auto"/>
        </w:rPr>
        <w:tab/>
      </w:r>
      <w:r>
        <w:rPr>
          <w:i w:val="0"/>
          <w:iCs w:val="0"/>
          <w:color w:val="auto"/>
        </w:rPr>
        <w:fldChar w:fldCharType="begin"/>
      </w:r>
      <w:r>
        <w:rPr>
          <w:i w:val="0"/>
          <w:iCs w:val="0"/>
          <w:color w:val="auto"/>
        </w:rPr>
        <w:instrText xml:space="preserve"> PAGEREF _Toc19133 \h </w:instrText>
      </w:r>
      <w:r>
        <w:rPr>
          <w:i w:val="0"/>
          <w:iCs w:val="0"/>
          <w:color w:val="auto"/>
        </w:rPr>
        <w:fldChar w:fldCharType="separate"/>
      </w:r>
      <w:r>
        <w:rPr>
          <w:i w:val="0"/>
          <w:iCs w:val="0"/>
          <w:color w:val="auto"/>
        </w:rPr>
        <w:t>92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_Toc24627 </w:instrText>
      </w:r>
      <w:r>
        <w:rPr>
          <w:i w:val="0"/>
          <w:iCs w:val="0"/>
          <w:color w:val="auto"/>
          <w:szCs w:val="28"/>
        </w:rPr>
        <w:fldChar w:fldCharType="separate"/>
      </w:r>
      <w:r>
        <w:rPr>
          <w:rFonts w:hint="eastAsia"/>
          <w:i w:val="0"/>
          <w:iCs w:val="0"/>
          <w:color w:val="auto"/>
          <w:lang w:val="en-US" w:eastAsia="zh-CN"/>
        </w:rPr>
        <w:t>7.2.5 建设项目对周边生产、经营活动和居民生活的影响</w:t>
      </w:r>
      <w:r>
        <w:rPr>
          <w:i w:val="0"/>
          <w:iCs w:val="0"/>
          <w:color w:val="auto"/>
        </w:rPr>
        <w:tab/>
      </w:r>
      <w:r>
        <w:rPr>
          <w:i w:val="0"/>
          <w:iCs w:val="0"/>
          <w:color w:val="auto"/>
        </w:rPr>
        <w:fldChar w:fldCharType="begin"/>
      </w:r>
      <w:r>
        <w:rPr>
          <w:i w:val="0"/>
          <w:iCs w:val="0"/>
          <w:color w:val="auto"/>
        </w:rPr>
        <w:instrText xml:space="preserve"> PAGEREF _Toc24627 \h </w:instrText>
      </w:r>
      <w:r>
        <w:rPr>
          <w:i w:val="0"/>
          <w:iCs w:val="0"/>
          <w:color w:val="auto"/>
        </w:rPr>
        <w:fldChar w:fldCharType="separate"/>
      </w:r>
      <w:r>
        <w:rPr>
          <w:i w:val="0"/>
          <w:iCs w:val="0"/>
          <w:color w:val="auto"/>
        </w:rPr>
        <w:t>94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_Toc29809 </w:instrText>
      </w:r>
      <w:r>
        <w:rPr>
          <w:i w:val="0"/>
          <w:iCs w:val="0"/>
          <w:color w:val="auto"/>
          <w:szCs w:val="28"/>
        </w:rPr>
        <w:fldChar w:fldCharType="separate"/>
      </w:r>
      <w:r>
        <w:rPr>
          <w:rFonts w:hint="eastAsia"/>
          <w:i w:val="0"/>
          <w:iCs w:val="0"/>
          <w:color w:val="auto"/>
          <w:lang w:val="en-US" w:eastAsia="zh-CN"/>
        </w:rPr>
        <w:t>7.2.6 建设项目周边生产、经营活动和居民生活情况对建设项目投入生产后的影响</w:t>
      </w:r>
      <w:r>
        <w:rPr>
          <w:i w:val="0"/>
          <w:iCs w:val="0"/>
          <w:color w:val="auto"/>
        </w:rPr>
        <w:tab/>
      </w:r>
      <w:r>
        <w:rPr>
          <w:i w:val="0"/>
          <w:iCs w:val="0"/>
          <w:color w:val="auto"/>
        </w:rPr>
        <w:fldChar w:fldCharType="begin"/>
      </w:r>
      <w:r>
        <w:rPr>
          <w:i w:val="0"/>
          <w:iCs w:val="0"/>
          <w:color w:val="auto"/>
        </w:rPr>
        <w:instrText xml:space="preserve"> PAGEREF _Toc29809 \h </w:instrText>
      </w:r>
      <w:r>
        <w:rPr>
          <w:i w:val="0"/>
          <w:iCs w:val="0"/>
          <w:color w:val="auto"/>
        </w:rPr>
        <w:fldChar w:fldCharType="separate"/>
      </w:r>
      <w:r>
        <w:rPr>
          <w:i w:val="0"/>
          <w:iCs w:val="0"/>
          <w:color w:val="auto"/>
        </w:rPr>
        <w:t>95</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_Toc18180 </w:instrText>
      </w:r>
      <w:r>
        <w:rPr>
          <w:i w:val="0"/>
          <w:iCs w:val="0"/>
          <w:color w:val="auto"/>
          <w:szCs w:val="28"/>
        </w:rPr>
        <w:fldChar w:fldCharType="separate"/>
      </w:r>
      <w:r>
        <w:rPr>
          <w:rFonts w:hint="eastAsia"/>
          <w:i w:val="0"/>
          <w:iCs w:val="0"/>
          <w:color w:val="auto"/>
          <w:lang w:val="en-US" w:eastAsia="zh-CN"/>
        </w:rPr>
        <w:t>8 主要技术、工艺和装置、设备设施安全可靠性分析结果</w:t>
      </w:r>
      <w:r>
        <w:rPr>
          <w:i w:val="0"/>
          <w:iCs w:val="0"/>
          <w:color w:val="auto"/>
        </w:rPr>
        <w:tab/>
      </w:r>
      <w:r>
        <w:rPr>
          <w:i w:val="0"/>
          <w:iCs w:val="0"/>
          <w:color w:val="auto"/>
        </w:rPr>
        <w:fldChar w:fldCharType="begin"/>
      </w:r>
      <w:r>
        <w:rPr>
          <w:i w:val="0"/>
          <w:iCs w:val="0"/>
          <w:color w:val="auto"/>
        </w:rPr>
        <w:instrText xml:space="preserve"> PAGEREF _Toc18180 \h </w:instrText>
      </w:r>
      <w:r>
        <w:rPr>
          <w:i w:val="0"/>
          <w:iCs w:val="0"/>
          <w:color w:val="auto"/>
        </w:rPr>
        <w:fldChar w:fldCharType="separate"/>
      </w:r>
      <w:r>
        <w:rPr>
          <w:i w:val="0"/>
          <w:iCs w:val="0"/>
          <w:color w:val="auto"/>
        </w:rPr>
        <w:t>96</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_Toc14807 </w:instrText>
      </w:r>
      <w:r>
        <w:rPr>
          <w:i w:val="0"/>
          <w:iCs w:val="0"/>
          <w:color w:val="auto"/>
          <w:szCs w:val="28"/>
        </w:rPr>
        <w:fldChar w:fldCharType="separate"/>
      </w:r>
      <w:r>
        <w:rPr>
          <w:rFonts w:hint="eastAsia"/>
          <w:i w:val="0"/>
          <w:iCs w:val="0"/>
          <w:color w:val="auto"/>
          <w:lang w:val="en-US" w:eastAsia="zh-CN"/>
        </w:rPr>
        <w:t>8.1 主要技术、工艺和装置、设备、设施安全可靠性评价结果</w:t>
      </w:r>
      <w:r>
        <w:rPr>
          <w:i w:val="0"/>
          <w:iCs w:val="0"/>
          <w:color w:val="auto"/>
        </w:rPr>
        <w:tab/>
      </w:r>
      <w:r>
        <w:rPr>
          <w:i w:val="0"/>
          <w:iCs w:val="0"/>
          <w:color w:val="auto"/>
        </w:rPr>
        <w:fldChar w:fldCharType="begin"/>
      </w:r>
      <w:r>
        <w:rPr>
          <w:i w:val="0"/>
          <w:iCs w:val="0"/>
          <w:color w:val="auto"/>
        </w:rPr>
        <w:instrText xml:space="preserve"> PAGEREF _Toc14807 \h </w:instrText>
      </w:r>
      <w:r>
        <w:rPr>
          <w:i w:val="0"/>
          <w:iCs w:val="0"/>
          <w:color w:val="auto"/>
        </w:rPr>
        <w:fldChar w:fldCharType="separate"/>
      </w:r>
      <w:r>
        <w:rPr>
          <w:i w:val="0"/>
          <w:iCs w:val="0"/>
          <w:color w:val="auto"/>
        </w:rPr>
        <w:t>96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_Toc6244 </w:instrText>
      </w:r>
      <w:r>
        <w:rPr>
          <w:i w:val="0"/>
          <w:iCs w:val="0"/>
          <w:color w:val="auto"/>
          <w:szCs w:val="28"/>
        </w:rPr>
        <w:fldChar w:fldCharType="separate"/>
      </w:r>
      <w:r>
        <w:rPr>
          <w:rFonts w:hint="eastAsia"/>
          <w:i w:val="0"/>
          <w:iCs w:val="0"/>
          <w:color w:val="auto"/>
          <w:lang w:val="en-US" w:eastAsia="zh-CN"/>
        </w:rPr>
        <w:t>8.1.1 总平面布置及建（构）筑物评价</w:t>
      </w:r>
      <w:r>
        <w:rPr>
          <w:i w:val="0"/>
          <w:iCs w:val="0"/>
          <w:color w:val="auto"/>
        </w:rPr>
        <w:tab/>
      </w:r>
      <w:r>
        <w:rPr>
          <w:i w:val="0"/>
          <w:iCs w:val="0"/>
          <w:color w:val="auto"/>
        </w:rPr>
        <w:fldChar w:fldCharType="begin"/>
      </w:r>
      <w:r>
        <w:rPr>
          <w:i w:val="0"/>
          <w:iCs w:val="0"/>
          <w:color w:val="auto"/>
        </w:rPr>
        <w:instrText xml:space="preserve"> PAGEREF _Toc6244 \h </w:instrText>
      </w:r>
      <w:r>
        <w:rPr>
          <w:i w:val="0"/>
          <w:iCs w:val="0"/>
          <w:color w:val="auto"/>
        </w:rPr>
        <w:fldChar w:fldCharType="separate"/>
      </w:r>
      <w:r>
        <w:rPr>
          <w:i w:val="0"/>
          <w:iCs w:val="0"/>
          <w:color w:val="auto"/>
        </w:rPr>
        <w:t>96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_Toc13212 </w:instrText>
      </w:r>
      <w:r>
        <w:rPr>
          <w:i w:val="0"/>
          <w:iCs w:val="0"/>
          <w:color w:val="auto"/>
          <w:szCs w:val="28"/>
        </w:rPr>
        <w:fldChar w:fldCharType="separate"/>
      </w:r>
      <w:r>
        <w:rPr>
          <w:rFonts w:hint="eastAsia"/>
          <w:i w:val="0"/>
          <w:iCs w:val="0"/>
          <w:color w:val="auto"/>
          <w:lang w:val="en-US" w:eastAsia="zh-CN"/>
        </w:rPr>
        <w:t>8.1.2 工艺技术及生产装置的安全可靠性评价</w:t>
      </w:r>
      <w:r>
        <w:rPr>
          <w:i w:val="0"/>
          <w:iCs w:val="0"/>
          <w:color w:val="auto"/>
        </w:rPr>
        <w:tab/>
      </w:r>
      <w:r>
        <w:rPr>
          <w:i w:val="0"/>
          <w:iCs w:val="0"/>
          <w:color w:val="auto"/>
        </w:rPr>
        <w:fldChar w:fldCharType="begin"/>
      </w:r>
      <w:r>
        <w:rPr>
          <w:i w:val="0"/>
          <w:iCs w:val="0"/>
          <w:color w:val="auto"/>
        </w:rPr>
        <w:instrText xml:space="preserve"> PAGEREF _Toc13212 \h </w:instrText>
      </w:r>
      <w:r>
        <w:rPr>
          <w:i w:val="0"/>
          <w:iCs w:val="0"/>
          <w:color w:val="auto"/>
        </w:rPr>
        <w:fldChar w:fldCharType="separate"/>
      </w:r>
      <w:r>
        <w:rPr>
          <w:i w:val="0"/>
          <w:iCs w:val="0"/>
          <w:color w:val="auto"/>
        </w:rPr>
        <w:t>97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_Toc27021 </w:instrText>
      </w:r>
      <w:r>
        <w:rPr>
          <w:i w:val="0"/>
          <w:iCs w:val="0"/>
          <w:color w:val="auto"/>
          <w:szCs w:val="28"/>
        </w:rPr>
        <w:fldChar w:fldCharType="separate"/>
      </w:r>
      <w:r>
        <w:rPr>
          <w:rFonts w:hint="eastAsia"/>
          <w:i w:val="0"/>
          <w:iCs w:val="0"/>
          <w:color w:val="auto"/>
          <w:lang w:val="en-US" w:eastAsia="zh-CN"/>
        </w:rPr>
        <w:t>8.1.3 主要装置、设备、设施与危险化学品生产或者储存过程的匹配性</w:t>
      </w:r>
      <w:r>
        <w:rPr>
          <w:i w:val="0"/>
          <w:iCs w:val="0"/>
          <w:color w:val="auto"/>
        </w:rPr>
        <w:tab/>
      </w:r>
      <w:r>
        <w:rPr>
          <w:i w:val="0"/>
          <w:iCs w:val="0"/>
          <w:color w:val="auto"/>
        </w:rPr>
        <w:fldChar w:fldCharType="begin"/>
      </w:r>
      <w:r>
        <w:rPr>
          <w:i w:val="0"/>
          <w:iCs w:val="0"/>
          <w:color w:val="auto"/>
        </w:rPr>
        <w:instrText xml:space="preserve"> PAGEREF _Toc27021 \h </w:instrText>
      </w:r>
      <w:r>
        <w:rPr>
          <w:i w:val="0"/>
          <w:iCs w:val="0"/>
          <w:color w:val="auto"/>
        </w:rPr>
        <w:fldChar w:fldCharType="separate"/>
      </w:r>
      <w:r>
        <w:rPr>
          <w:i w:val="0"/>
          <w:iCs w:val="0"/>
          <w:color w:val="auto"/>
        </w:rPr>
        <w:t>98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_Toc27744 </w:instrText>
      </w:r>
      <w:r>
        <w:rPr>
          <w:i w:val="0"/>
          <w:iCs w:val="0"/>
          <w:color w:val="auto"/>
          <w:szCs w:val="28"/>
        </w:rPr>
        <w:fldChar w:fldCharType="separate"/>
      </w:r>
      <w:r>
        <w:rPr>
          <w:rFonts w:hint="eastAsia"/>
          <w:i w:val="0"/>
          <w:iCs w:val="0"/>
          <w:color w:val="auto"/>
          <w:lang w:val="en-US" w:eastAsia="zh-CN"/>
        </w:rPr>
        <w:t>8.1.4 公用工程、辅助设施匹配性评价</w:t>
      </w:r>
      <w:r>
        <w:rPr>
          <w:i w:val="0"/>
          <w:iCs w:val="0"/>
          <w:color w:val="auto"/>
        </w:rPr>
        <w:tab/>
      </w:r>
      <w:r>
        <w:rPr>
          <w:i w:val="0"/>
          <w:iCs w:val="0"/>
          <w:color w:val="auto"/>
        </w:rPr>
        <w:fldChar w:fldCharType="begin"/>
      </w:r>
      <w:r>
        <w:rPr>
          <w:i w:val="0"/>
          <w:iCs w:val="0"/>
          <w:color w:val="auto"/>
        </w:rPr>
        <w:instrText xml:space="preserve"> PAGEREF _Toc27744 \h </w:instrText>
      </w:r>
      <w:r>
        <w:rPr>
          <w:i w:val="0"/>
          <w:iCs w:val="0"/>
          <w:color w:val="auto"/>
        </w:rPr>
        <w:fldChar w:fldCharType="separate"/>
      </w:r>
      <w:r>
        <w:rPr>
          <w:i w:val="0"/>
          <w:iCs w:val="0"/>
          <w:color w:val="auto"/>
        </w:rPr>
        <w:t>99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_Toc930 </w:instrText>
      </w:r>
      <w:r>
        <w:rPr>
          <w:i w:val="0"/>
          <w:iCs w:val="0"/>
          <w:color w:val="auto"/>
          <w:szCs w:val="28"/>
        </w:rPr>
        <w:fldChar w:fldCharType="separate"/>
      </w:r>
      <w:r>
        <w:rPr>
          <w:rFonts w:hint="eastAsia"/>
          <w:i w:val="0"/>
          <w:iCs w:val="0"/>
          <w:color w:val="auto"/>
          <w:lang w:val="en-US" w:eastAsia="zh-CN"/>
        </w:rPr>
        <w:t>8.2 事故案例的后果及原因</w:t>
      </w:r>
      <w:r>
        <w:rPr>
          <w:i w:val="0"/>
          <w:iCs w:val="0"/>
          <w:color w:val="auto"/>
        </w:rPr>
        <w:tab/>
      </w:r>
      <w:r>
        <w:rPr>
          <w:i w:val="0"/>
          <w:iCs w:val="0"/>
          <w:color w:val="auto"/>
        </w:rPr>
        <w:fldChar w:fldCharType="begin"/>
      </w:r>
      <w:r>
        <w:rPr>
          <w:i w:val="0"/>
          <w:iCs w:val="0"/>
          <w:color w:val="auto"/>
        </w:rPr>
        <w:instrText xml:space="preserve"> PAGEREF _Toc930 \h </w:instrText>
      </w:r>
      <w:r>
        <w:rPr>
          <w:i w:val="0"/>
          <w:iCs w:val="0"/>
          <w:color w:val="auto"/>
        </w:rPr>
        <w:fldChar w:fldCharType="separate"/>
      </w:r>
      <w:r>
        <w:rPr>
          <w:i w:val="0"/>
          <w:iCs w:val="0"/>
          <w:color w:val="auto"/>
        </w:rPr>
        <w:t>105</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_Toc30112 </w:instrText>
      </w:r>
      <w:r>
        <w:rPr>
          <w:i w:val="0"/>
          <w:iCs w:val="0"/>
          <w:color w:val="auto"/>
          <w:szCs w:val="28"/>
        </w:rPr>
        <w:fldChar w:fldCharType="separate"/>
      </w:r>
      <w:r>
        <w:rPr>
          <w:rFonts w:hint="default"/>
          <w:bCs/>
          <w:i w:val="0"/>
          <w:iCs w:val="0"/>
          <w:color w:val="auto"/>
          <w:szCs w:val="24"/>
          <w:highlight w:val="none"/>
          <w:lang w:val="en-US" w:eastAsia="zh-CN"/>
        </w:rPr>
        <w:t>9 安全对策措施与建议</w:t>
      </w:r>
      <w:r>
        <w:rPr>
          <w:i w:val="0"/>
          <w:iCs w:val="0"/>
          <w:color w:val="auto"/>
        </w:rPr>
        <w:tab/>
      </w:r>
      <w:r>
        <w:rPr>
          <w:i w:val="0"/>
          <w:iCs w:val="0"/>
          <w:color w:val="auto"/>
        </w:rPr>
        <w:fldChar w:fldCharType="begin"/>
      </w:r>
      <w:r>
        <w:rPr>
          <w:i w:val="0"/>
          <w:iCs w:val="0"/>
          <w:color w:val="auto"/>
        </w:rPr>
        <w:instrText xml:space="preserve"> PAGEREF _Toc30112 \h </w:instrText>
      </w:r>
      <w:r>
        <w:rPr>
          <w:i w:val="0"/>
          <w:iCs w:val="0"/>
          <w:color w:val="auto"/>
        </w:rPr>
        <w:fldChar w:fldCharType="separate"/>
      </w:r>
      <w:r>
        <w:rPr>
          <w:i w:val="0"/>
          <w:iCs w:val="0"/>
          <w:color w:val="auto"/>
        </w:rPr>
        <w:t>111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_Toc29574 </w:instrText>
      </w:r>
      <w:r>
        <w:rPr>
          <w:i w:val="0"/>
          <w:iCs w:val="0"/>
          <w:color w:val="auto"/>
          <w:szCs w:val="28"/>
        </w:rPr>
        <w:fldChar w:fldCharType="separate"/>
      </w:r>
      <w:r>
        <w:rPr>
          <w:rFonts w:hint="default"/>
          <w:bCs/>
          <w:i w:val="0"/>
          <w:iCs w:val="0"/>
          <w:color w:val="auto"/>
          <w:szCs w:val="24"/>
          <w:highlight w:val="none"/>
          <w:lang w:val="en-US" w:eastAsia="zh-CN"/>
        </w:rPr>
        <w:t>9.1 安全对策措施与建议的依据和原则</w:t>
      </w:r>
      <w:r>
        <w:rPr>
          <w:i w:val="0"/>
          <w:iCs w:val="0"/>
          <w:color w:val="auto"/>
        </w:rPr>
        <w:tab/>
      </w:r>
      <w:r>
        <w:rPr>
          <w:i w:val="0"/>
          <w:iCs w:val="0"/>
          <w:color w:val="auto"/>
        </w:rPr>
        <w:fldChar w:fldCharType="begin"/>
      </w:r>
      <w:r>
        <w:rPr>
          <w:i w:val="0"/>
          <w:iCs w:val="0"/>
          <w:color w:val="auto"/>
        </w:rPr>
        <w:instrText xml:space="preserve"> PAGEREF _Toc29574 \h </w:instrText>
      </w:r>
      <w:r>
        <w:rPr>
          <w:i w:val="0"/>
          <w:iCs w:val="0"/>
          <w:color w:val="auto"/>
        </w:rPr>
        <w:fldChar w:fldCharType="separate"/>
      </w:r>
      <w:r>
        <w:rPr>
          <w:i w:val="0"/>
          <w:iCs w:val="0"/>
          <w:color w:val="auto"/>
        </w:rPr>
        <w:t>111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_Toc19618 </w:instrText>
      </w:r>
      <w:r>
        <w:rPr>
          <w:i w:val="0"/>
          <w:iCs w:val="0"/>
          <w:color w:val="auto"/>
          <w:szCs w:val="28"/>
        </w:rPr>
        <w:fldChar w:fldCharType="separate"/>
      </w:r>
      <w:r>
        <w:rPr>
          <w:rFonts w:hint="default"/>
          <w:bCs/>
          <w:i w:val="0"/>
          <w:iCs w:val="0"/>
          <w:color w:val="auto"/>
          <w:szCs w:val="24"/>
          <w:highlight w:val="none"/>
          <w:lang w:val="en-US" w:eastAsia="zh-CN"/>
        </w:rPr>
        <w:t>9.2 《可研》中已有的安全对策措施</w:t>
      </w:r>
      <w:r>
        <w:rPr>
          <w:i w:val="0"/>
          <w:iCs w:val="0"/>
          <w:color w:val="auto"/>
        </w:rPr>
        <w:tab/>
      </w:r>
      <w:r>
        <w:rPr>
          <w:i w:val="0"/>
          <w:iCs w:val="0"/>
          <w:color w:val="auto"/>
        </w:rPr>
        <w:fldChar w:fldCharType="begin"/>
      </w:r>
      <w:r>
        <w:rPr>
          <w:i w:val="0"/>
          <w:iCs w:val="0"/>
          <w:color w:val="auto"/>
        </w:rPr>
        <w:instrText xml:space="preserve"> PAGEREF _Toc19618 \h </w:instrText>
      </w:r>
      <w:r>
        <w:rPr>
          <w:i w:val="0"/>
          <w:iCs w:val="0"/>
          <w:color w:val="auto"/>
        </w:rPr>
        <w:fldChar w:fldCharType="separate"/>
      </w:r>
      <w:r>
        <w:rPr>
          <w:i w:val="0"/>
          <w:iCs w:val="0"/>
          <w:color w:val="auto"/>
        </w:rPr>
        <w:t>111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_Toc7572 </w:instrText>
      </w:r>
      <w:r>
        <w:rPr>
          <w:i w:val="0"/>
          <w:iCs w:val="0"/>
          <w:color w:val="auto"/>
          <w:szCs w:val="28"/>
        </w:rPr>
        <w:fldChar w:fldCharType="separate"/>
      </w:r>
      <w:r>
        <w:rPr>
          <w:rFonts w:hint="default"/>
          <w:i w:val="0"/>
          <w:iCs w:val="0"/>
          <w:color w:val="auto"/>
          <w:lang w:val="en-US" w:eastAsia="zh-CN"/>
        </w:rPr>
        <w:t>9.3 本评价提出的安全对策措施</w:t>
      </w:r>
      <w:r>
        <w:rPr>
          <w:i w:val="0"/>
          <w:iCs w:val="0"/>
          <w:color w:val="auto"/>
        </w:rPr>
        <w:tab/>
      </w:r>
      <w:r>
        <w:rPr>
          <w:i w:val="0"/>
          <w:iCs w:val="0"/>
          <w:color w:val="auto"/>
        </w:rPr>
        <w:fldChar w:fldCharType="begin"/>
      </w:r>
      <w:r>
        <w:rPr>
          <w:i w:val="0"/>
          <w:iCs w:val="0"/>
          <w:color w:val="auto"/>
        </w:rPr>
        <w:instrText xml:space="preserve"> PAGEREF _Toc7572 \h </w:instrText>
      </w:r>
      <w:r>
        <w:rPr>
          <w:i w:val="0"/>
          <w:iCs w:val="0"/>
          <w:color w:val="auto"/>
        </w:rPr>
        <w:fldChar w:fldCharType="separate"/>
      </w:r>
      <w:r>
        <w:rPr>
          <w:i w:val="0"/>
          <w:iCs w:val="0"/>
          <w:color w:val="auto"/>
        </w:rPr>
        <w:t>116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_Toc22487 </w:instrText>
      </w:r>
      <w:r>
        <w:rPr>
          <w:i w:val="0"/>
          <w:iCs w:val="0"/>
          <w:color w:val="auto"/>
          <w:szCs w:val="28"/>
        </w:rPr>
        <w:fldChar w:fldCharType="separate"/>
      </w:r>
      <w:r>
        <w:rPr>
          <w:rFonts w:hint="default"/>
          <w:i w:val="0"/>
          <w:iCs w:val="0"/>
          <w:color w:val="auto"/>
          <w:lang w:val="en-US" w:eastAsia="zh-CN"/>
        </w:rPr>
        <w:t>9.3.1 建设项目的选址方面</w:t>
      </w:r>
      <w:r>
        <w:rPr>
          <w:i w:val="0"/>
          <w:iCs w:val="0"/>
          <w:color w:val="auto"/>
        </w:rPr>
        <w:tab/>
      </w:r>
      <w:r>
        <w:rPr>
          <w:i w:val="0"/>
          <w:iCs w:val="0"/>
          <w:color w:val="auto"/>
        </w:rPr>
        <w:fldChar w:fldCharType="begin"/>
      </w:r>
      <w:r>
        <w:rPr>
          <w:i w:val="0"/>
          <w:iCs w:val="0"/>
          <w:color w:val="auto"/>
        </w:rPr>
        <w:instrText xml:space="preserve"> PAGEREF _Toc22487 \h </w:instrText>
      </w:r>
      <w:r>
        <w:rPr>
          <w:i w:val="0"/>
          <w:iCs w:val="0"/>
          <w:color w:val="auto"/>
        </w:rPr>
        <w:fldChar w:fldCharType="separate"/>
      </w:r>
      <w:r>
        <w:rPr>
          <w:i w:val="0"/>
          <w:iCs w:val="0"/>
          <w:color w:val="auto"/>
        </w:rPr>
        <w:t>116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_Toc7156 </w:instrText>
      </w:r>
      <w:r>
        <w:rPr>
          <w:i w:val="0"/>
          <w:iCs w:val="0"/>
          <w:color w:val="auto"/>
          <w:szCs w:val="28"/>
        </w:rPr>
        <w:fldChar w:fldCharType="separate"/>
      </w:r>
      <w:r>
        <w:rPr>
          <w:rFonts w:hint="default"/>
          <w:i w:val="0"/>
          <w:iCs w:val="0"/>
          <w:color w:val="auto"/>
          <w:lang w:val="en-US" w:eastAsia="zh-CN"/>
        </w:rPr>
        <w:t>9.3.2 建设项目中主要装置、设备设施的布局及建构筑物方面</w:t>
      </w:r>
      <w:r>
        <w:rPr>
          <w:i w:val="0"/>
          <w:iCs w:val="0"/>
          <w:color w:val="auto"/>
        </w:rPr>
        <w:tab/>
      </w:r>
      <w:r>
        <w:rPr>
          <w:i w:val="0"/>
          <w:iCs w:val="0"/>
          <w:color w:val="auto"/>
        </w:rPr>
        <w:fldChar w:fldCharType="begin"/>
      </w:r>
      <w:r>
        <w:rPr>
          <w:i w:val="0"/>
          <w:iCs w:val="0"/>
          <w:color w:val="auto"/>
        </w:rPr>
        <w:instrText xml:space="preserve"> PAGEREF _Toc7156 \h </w:instrText>
      </w:r>
      <w:r>
        <w:rPr>
          <w:i w:val="0"/>
          <w:iCs w:val="0"/>
          <w:color w:val="auto"/>
        </w:rPr>
        <w:fldChar w:fldCharType="separate"/>
      </w:r>
      <w:r>
        <w:rPr>
          <w:i w:val="0"/>
          <w:iCs w:val="0"/>
          <w:color w:val="auto"/>
        </w:rPr>
        <w:t>117</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_Toc18525 </w:instrText>
      </w:r>
      <w:r>
        <w:rPr>
          <w:i w:val="0"/>
          <w:iCs w:val="0"/>
          <w:color w:val="auto"/>
          <w:szCs w:val="28"/>
        </w:rPr>
        <w:fldChar w:fldCharType="separate"/>
      </w:r>
      <w:r>
        <w:rPr>
          <w:rFonts w:hint="default"/>
          <w:i w:val="0"/>
          <w:iCs w:val="0"/>
          <w:color w:val="auto"/>
          <w:lang w:val="en-US" w:eastAsia="zh-CN"/>
        </w:rPr>
        <w:t>9.3.3 主要技术、工艺或者方式和装置、设备、设施方面</w:t>
      </w:r>
      <w:r>
        <w:rPr>
          <w:i w:val="0"/>
          <w:iCs w:val="0"/>
          <w:color w:val="auto"/>
        </w:rPr>
        <w:tab/>
      </w:r>
      <w:r>
        <w:rPr>
          <w:i w:val="0"/>
          <w:iCs w:val="0"/>
          <w:color w:val="auto"/>
        </w:rPr>
        <w:fldChar w:fldCharType="begin"/>
      </w:r>
      <w:r>
        <w:rPr>
          <w:i w:val="0"/>
          <w:iCs w:val="0"/>
          <w:color w:val="auto"/>
        </w:rPr>
        <w:instrText xml:space="preserve"> PAGEREF _Toc18525 \h </w:instrText>
      </w:r>
      <w:r>
        <w:rPr>
          <w:i w:val="0"/>
          <w:iCs w:val="0"/>
          <w:color w:val="auto"/>
        </w:rPr>
        <w:fldChar w:fldCharType="separate"/>
      </w:r>
      <w:r>
        <w:rPr>
          <w:i w:val="0"/>
          <w:iCs w:val="0"/>
          <w:color w:val="auto"/>
        </w:rPr>
        <w:t>128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_Toc9366 </w:instrText>
      </w:r>
      <w:r>
        <w:rPr>
          <w:i w:val="0"/>
          <w:iCs w:val="0"/>
          <w:color w:val="auto"/>
          <w:szCs w:val="28"/>
        </w:rPr>
        <w:fldChar w:fldCharType="separate"/>
      </w:r>
      <w:r>
        <w:rPr>
          <w:rFonts w:hint="default"/>
          <w:i w:val="0"/>
          <w:iCs w:val="0"/>
          <w:color w:val="auto"/>
          <w:lang w:val="en-US" w:eastAsia="zh-CN"/>
        </w:rPr>
        <w:t>9.3.4 危险化学品生产或者储存过程配套和辅助工程方面</w:t>
      </w:r>
      <w:r>
        <w:rPr>
          <w:i w:val="0"/>
          <w:iCs w:val="0"/>
          <w:color w:val="auto"/>
        </w:rPr>
        <w:tab/>
      </w:r>
      <w:r>
        <w:rPr>
          <w:i w:val="0"/>
          <w:iCs w:val="0"/>
          <w:color w:val="auto"/>
        </w:rPr>
        <w:fldChar w:fldCharType="begin"/>
      </w:r>
      <w:r>
        <w:rPr>
          <w:i w:val="0"/>
          <w:iCs w:val="0"/>
          <w:color w:val="auto"/>
        </w:rPr>
        <w:instrText xml:space="preserve"> PAGEREF _Toc9366 \h </w:instrText>
      </w:r>
      <w:r>
        <w:rPr>
          <w:i w:val="0"/>
          <w:iCs w:val="0"/>
          <w:color w:val="auto"/>
        </w:rPr>
        <w:fldChar w:fldCharType="separate"/>
      </w:r>
      <w:r>
        <w:rPr>
          <w:i w:val="0"/>
          <w:iCs w:val="0"/>
          <w:color w:val="auto"/>
        </w:rPr>
        <w:t>139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_Toc18562 </w:instrText>
      </w:r>
      <w:r>
        <w:rPr>
          <w:i w:val="0"/>
          <w:iCs w:val="0"/>
          <w:color w:val="auto"/>
          <w:szCs w:val="28"/>
        </w:rPr>
        <w:fldChar w:fldCharType="separate"/>
      </w:r>
      <w:r>
        <w:rPr>
          <w:rFonts w:hint="default"/>
          <w:i w:val="0"/>
          <w:iCs w:val="0"/>
          <w:color w:val="auto"/>
          <w:lang w:val="en-US" w:eastAsia="zh-CN"/>
        </w:rPr>
        <w:t>9.3.5 事故应急救援措施和器材设备方面</w:t>
      </w:r>
      <w:r>
        <w:rPr>
          <w:i w:val="0"/>
          <w:iCs w:val="0"/>
          <w:color w:val="auto"/>
        </w:rPr>
        <w:tab/>
      </w:r>
      <w:r>
        <w:rPr>
          <w:i w:val="0"/>
          <w:iCs w:val="0"/>
          <w:color w:val="auto"/>
        </w:rPr>
        <w:fldChar w:fldCharType="begin"/>
      </w:r>
      <w:r>
        <w:rPr>
          <w:i w:val="0"/>
          <w:iCs w:val="0"/>
          <w:color w:val="auto"/>
        </w:rPr>
        <w:instrText xml:space="preserve"> PAGEREF _Toc18562 \h </w:instrText>
      </w:r>
      <w:r>
        <w:rPr>
          <w:i w:val="0"/>
          <w:iCs w:val="0"/>
          <w:color w:val="auto"/>
        </w:rPr>
        <w:fldChar w:fldCharType="separate"/>
      </w:r>
      <w:r>
        <w:rPr>
          <w:i w:val="0"/>
          <w:iCs w:val="0"/>
          <w:color w:val="auto"/>
        </w:rPr>
        <w:t>149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_Toc23587 </w:instrText>
      </w:r>
      <w:r>
        <w:rPr>
          <w:i w:val="0"/>
          <w:iCs w:val="0"/>
          <w:color w:val="auto"/>
          <w:szCs w:val="28"/>
        </w:rPr>
        <w:fldChar w:fldCharType="separate"/>
      </w:r>
      <w:r>
        <w:rPr>
          <w:rFonts w:hint="default"/>
          <w:i w:val="0"/>
          <w:iCs w:val="0"/>
          <w:color w:val="auto"/>
          <w:lang w:val="en-US" w:eastAsia="zh-CN"/>
        </w:rPr>
        <w:t>9.3.6 安全管理方面</w:t>
      </w:r>
      <w:r>
        <w:rPr>
          <w:i w:val="0"/>
          <w:iCs w:val="0"/>
          <w:color w:val="auto"/>
        </w:rPr>
        <w:tab/>
      </w:r>
      <w:r>
        <w:rPr>
          <w:i w:val="0"/>
          <w:iCs w:val="0"/>
          <w:color w:val="auto"/>
        </w:rPr>
        <w:fldChar w:fldCharType="begin"/>
      </w:r>
      <w:r>
        <w:rPr>
          <w:i w:val="0"/>
          <w:iCs w:val="0"/>
          <w:color w:val="auto"/>
        </w:rPr>
        <w:instrText xml:space="preserve"> PAGEREF _Toc23587 \h </w:instrText>
      </w:r>
      <w:r>
        <w:rPr>
          <w:i w:val="0"/>
          <w:iCs w:val="0"/>
          <w:color w:val="auto"/>
        </w:rPr>
        <w:fldChar w:fldCharType="separate"/>
      </w:r>
      <w:r>
        <w:rPr>
          <w:i w:val="0"/>
          <w:iCs w:val="0"/>
          <w:color w:val="auto"/>
        </w:rPr>
        <w:t>151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_Toc26494 </w:instrText>
      </w:r>
      <w:r>
        <w:rPr>
          <w:i w:val="0"/>
          <w:iCs w:val="0"/>
          <w:color w:val="auto"/>
          <w:szCs w:val="28"/>
        </w:rPr>
        <w:fldChar w:fldCharType="separate"/>
      </w:r>
      <w:r>
        <w:rPr>
          <w:rFonts w:hint="eastAsia"/>
          <w:i w:val="0"/>
          <w:iCs w:val="0"/>
          <w:color w:val="auto"/>
          <w:lang w:val="en-US" w:eastAsia="zh-CN"/>
        </w:rPr>
        <w:t>9.3.7化工企业自动化提升要求</w:t>
      </w:r>
      <w:r>
        <w:rPr>
          <w:i w:val="0"/>
          <w:iCs w:val="0"/>
          <w:color w:val="auto"/>
        </w:rPr>
        <w:tab/>
      </w:r>
      <w:r>
        <w:rPr>
          <w:i w:val="0"/>
          <w:iCs w:val="0"/>
          <w:color w:val="auto"/>
        </w:rPr>
        <w:fldChar w:fldCharType="begin"/>
      </w:r>
      <w:r>
        <w:rPr>
          <w:i w:val="0"/>
          <w:iCs w:val="0"/>
          <w:color w:val="auto"/>
        </w:rPr>
        <w:instrText xml:space="preserve"> PAGEREF _Toc26494 \h </w:instrText>
      </w:r>
      <w:r>
        <w:rPr>
          <w:i w:val="0"/>
          <w:iCs w:val="0"/>
          <w:color w:val="auto"/>
        </w:rPr>
        <w:fldChar w:fldCharType="separate"/>
      </w:r>
      <w:r>
        <w:rPr>
          <w:i w:val="0"/>
          <w:iCs w:val="0"/>
          <w:color w:val="auto"/>
        </w:rPr>
        <w:t>154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_Toc25959 </w:instrText>
      </w:r>
      <w:r>
        <w:rPr>
          <w:i w:val="0"/>
          <w:iCs w:val="0"/>
          <w:color w:val="auto"/>
          <w:szCs w:val="28"/>
        </w:rPr>
        <w:fldChar w:fldCharType="separate"/>
      </w:r>
      <w:r>
        <w:rPr>
          <w:rFonts w:hint="default"/>
          <w:i w:val="0"/>
          <w:iCs w:val="0"/>
          <w:color w:val="auto"/>
          <w:lang w:val="en-US" w:eastAsia="zh-CN"/>
        </w:rPr>
        <w:t>9.3.</w:t>
      </w:r>
      <w:r>
        <w:rPr>
          <w:rFonts w:hint="eastAsia"/>
          <w:i w:val="0"/>
          <w:iCs w:val="0"/>
          <w:color w:val="auto"/>
          <w:lang w:val="en-US" w:eastAsia="zh-CN"/>
        </w:rPr>
        <w:t>8</w:t>
      </w:r>
      <w:r>
        <w:rPr>
          <w:rFonts w:hint="default"/>
          <w:i w:val="0"/>
          <w:iCs w:val="0"/>
          <w:color w:val="auto"/>
          <w:lang w:val="en-US" w:eastAsia="zh-CN"/>
        </w:rPr>
        <w:t xml:space="preserve"> 其他建议</w:t>
      </w:r>
      <w:r>
        <w:rPr>
          <w:i w:val="0"/>
          <w:iCs w:val="0"/>
          <w:color w:val="auto"/>
        </w:rPr>
        <w:tab/>
      </w:r>
      <w:r>
        <w:rPr>
          <w:i w:val="0"/>
          <w:iCs w:val="0"/>
          <w:color w:val="auto"/>
        </w:rPr>
        <w:fldChar w:fldCharType="begin"/>
      </w:r>
      <w:r>
        <w:rPr>
          <w:i w:val="0"/>
          <w:iCs w:val="0"/>
          <w:color w:val="auto"/>
        </w:rPr>
        <w:instrText xml:space="preserve"> PAGEREF _Toc25959 \h </w:instrText>
      </w:r>
      <w:r>
        <w:rPr>
          <w:i w:val="0"/>
          <w:iCs w:val="0"/>
          <w:color w:val="auto"/>
        </w:rPr>
        <w:fldChar w:fldCharType="separate"/>
      </w:r>
      <w:r>
        <w:rPr>
          <w:i w:val="0"/>
          <w:iCs w:val="0"/>
          <w:color w:val="auto"/>
        </w:rPr>
        <w:t>157</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_Toc29617 </w:instrText>
      </w:r>
      <w:r>
        <w:rPr>
          <w:i w:val="0"/>
          <w:iCs w:val="0"/>
          <w:color w:val="auto"/>
          <w:szCs w:val="28"/>
        </w:rPr>
        <w:fldChar w:fldCharType="separate"/>
      </w:r>
      <w:r>
        <w:rPr>
          <w:rFonts w:hint="default"/>
          <w:i w:val="0"/>
          <w:iCs w:val="0"/>
          <w:color w:val="auto"/>
          <w:lang w:val="en-US" w:eastAsia="zh-CN"/>
        </w:rPr>
        <w:t>10 安全评价结论</w:t>
      </w:r>
      <w:r>
        <w:rPr>
          <w:i w:val="0"/>
          <w:iCs w:val="0"/>
          <w:color w:val="auto"/>
        </w:rPr>
        <w:tab/>
      </w:r>
      <w:r>
        <w:rPr>
          <w:i w:val="0"/>
          <w:iCs w:val="0"/>
          <w:color w:val="auto"/>
        </w:rPr>
        <w:fldChar w:fldCharType="begin"/>
      </w:r>
      <w:r>
        <w:rPr>
          <w:i w:val="0"/>
          <w:iCs w:val="0"/>
          <w:color w:val="auto"/>
        </w:rPr>
        <w:instrText xml:space="preserve"> PAGEREF _Toc29617 \h </w:instrText>
      </w:r>
      <w:r>
        <w:rPr>
          <w:i w:val="0"/>
          <w:iCs w:val="0"/>
          <w:color w:val="auto"/>
        </w:rPr>
        <w:fldChar w:fldCharType="separate"/>
      </w:r>
      <w:r>
        <w:rPr>
          <w:i w:val="0"/>
          <w:iCs w:val="0"/>
          <w:color w:val="auto"/>
        </w:rPr>
        <w:t>161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_Toc14582 </w:instrText>
      </w:r>
      <w:r>
        <w:rPr>
          <w:i w:val="0"/>
          <w:iCs w:val="0"/>
          <w:color w:val="auto"/>
          <w:szCs w:val="28"/>
        </w:rPr>
        <w:fldChar w:fldCharType="separate"/>
      </w:r>
      <w:r>
        <w:rPr>
          <w:rFonts w:hint="default"/>
          <w:i w:val="0"/>
          <w:iCs w:val="0"/>
          <w:color w:val="auto"/>
          <w:lang w:val="en-US" w:eastAsia="zh-CN"/>
        </w:rPr>
        <w:t>10.1 评价结果</w:t>
      </w:r>
      <w:r>
        <w:rPr>
          <w:i w:val="0"/>
          <w:iCs w:val="0"/>
          <w:color w:val="auto"/>
        </w:rPr>
        <w:tab/>
      </w:r>
      <w:r>
        <w:rPr>
          <w:i w:val="0"/>
          <w:iCs w:val="0"/>
          <w:color w:val="auto"/>
        </w:rPr>
        <w:fldChar w:fldCharType="begin"/>
      </w:r>
      <w:r>
        <w:rPr>
          <w:i w:val="0"/>
          <w:iCs w:val="0"/>
          <w:color w:val="auto"/>
        </w:rPr>
        <w:instrText xml:space="preserve"> PAGEREF _Toc14582 \h </w:instrText>
      </w:r>
      <w:r>
        <w:rPr>
          <w:i w:val="0"/>
          <w:iCs w:val="0"/>
          <w:color w:val="auto"/>
        </w:rPr>
        <w:fldChar w:fldCharType="separate"/>
      </w:r>
      <w:r>
        <w:rPr>
          <w:i w:val="0"/>
          <w:iCs w:val="0"/>
          <w:color w:val="auto"/>
        </w:rPr>
        <w:t>161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_Toc16430 </w:instrText>
      </w:r>
      <w:r>
        <w:rPr>
          <w:i w:val="0"/>
          <w:iCs w:val="0"/>
          <w:color w:val="auto"/>
          <w:szCs w:val="28"/>
        </w:rPr>
        <w:fldChar w:fldCharType="separate"/>
      </w:r>
      <w:r>
        <w:rPr>
          <w:rFonts w:hint="default"/>
          <w:i w:val="0"/>
          <w:iCs w:val="0"/>
          <w:color w:val="auto"/>
          <w:lang w:val="en-US" w:eastAsia="zh-CN"/>
        </w:rPr>
        <w:t>10.1.1 危险、有害因素的辨识结果</w:t>
      </w:r>
      <w:r>
        <w:rPr>
          <w:i w:val="0"/>
          <w:iCs w:val="0"/>
          <w:color w:val="auto"/>
        </w:rPr>
        <w:tab/>
      </w:r>
      <w:r>
        <w:rPr>
          <w:i w:val="0"/>
          <w:iCs w:val="0"/>
          <w:color w:val="auto"/>
        </w:rPr>
        <w:fldChar w:fldCharType="begin"/>
      </w:r>
      <w:r>
        <w:rPr>
          <w:i w:val="0"/>
          <w:iCs w:val="0"/>
          <w:color w:val="auto"/>
        </w:rPr>
        <w:instrText xml:space="preserve"> PAGEREF _Toc16430 \h </w:instrText>
      </w:r>
      <w:r>
        <w:rPr>
          <w:i w:val="0"/>
          <w:iCs w:val="0"/>
          <w:color w:val="auto"/>
        </w:rPr>
        <w:fldChar w:fldCharType="separate"/>
      </w:r>
      <w:r>
        <w:rPr>
          <w:i w:val="0"/>
          <w:iCs w:val="0"/>
          <w:color w:val="auto"/>
        </w:rPr>
        <w:t>161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_Toc28449 </w:instrText>
      </w:r>
      <w:r>
        <w:rPr>
          <w:i w:val="0"/>
          <w:iCs w:val="0"/>
          <w:color w:val="auto"/>
          <w:szCs w:val="28"/>
        </w:rPr>
        <w:fldChar w:fldCharType="separate"/>
      </w:r>
      <w:r>
        <w:rPr>
          <w:rFonts w:hint="default"/>
          <w:i w:val="0"/>
          <w:iCs w:val="0"/>
          <w:color w:val="auto"/>
          <w:lang w:val="en-US" w:eastAsia="zh-CN"/>
        </w:rPr>
        <w:t>10.1.2 安全条件的评价结果</w:t>
      </w:r>
      <w:r>
        <w:rPr>
          <w:i w:val="0"/>
          <w:iCs w:val="0"/>
          <w:color w:val="auto"/>
        </w:rPr>
        <w:tab/>
      </w:r>
      <w:r>
        <w:rPr>
          <w:i w:val="0"/>
          <w:iCs w:val="0"/>
          <w:color w:val="auto"/>
        </w:rPr>
        <w:fldChar w:fldCharType="begin"/>
      </w:r>
      <w:r>
        <w:rPr>
          <w:i w:val="0"/>
          <w:iCs w:val="0"/>
          <w:color w:val="auto"/>
        </w:rPr>
        <w:instrText xml:space="preserve"> PAGEREF _Toc28449 \h </w:instrText>
      </w:r>
      <w:r>
        <w:rPr>
          <w:i w:val="0"/>
          <w:iCs w:val="0"/>
          <w:color w:val="auto"/>
        </w:rPr>
        <w:fldChar w:fldCharType="separate"/>
      </w:r>
      <w:r>
        <w:rPr>
          <w:i w:val="0"/>
          <w:iCs w:val="0"/>
          <w:color w:val="auto"/>
        </w:rPr>
        <w:t>162</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_Toc30563 </w:instrText>
      </w:r>
      <w:r>
        <w:rPr>
          <w:i w:val="0"/>
          <w:iCs w:val="0"/>
          <w:color w:val="auto"/>
          <w:szCs w:val="28"/>
        </w:rPr>
        <w:fldChar w:fldCharType="separate"/>
      </w:r>
      <w:r>
        <w:rPr>
          <w:rFonts w:hint="default"/>
          <w:i w:val="0"/>
          <w:iCs w:val="0"/>
          <w:color w:val="auto"/>
          <w:lang w:val="en-US" w:eastAsia="zh-CN"/>
        </w:rPr>
        <w:t>10.1.3 主要技术、工艺和装置、设备、设施及其安全可靠性评价结果</w:t>
      </w:r>
      <w:r>
        <w:rPr>
          <w:i w:val="0"/>
          <w:iCs w:val="0"/>
          <w:color w:val="auto"/>
        </w:rPr>
        <w:tab/>
      </w:r>
      <w:r>
        <w:rPr>
          <w:i w:val="0"/>
          <w:iCs w:val="0"/>
          <w:color w:val="auto"/>
        </w:rPr>
        <w:fldChar w:fldCharType="begin"/>
      </w:r>
      <w:r>
        <w:rPr>
          <w:i w:val="0"/>
          <w:iCs w:val="0"/>
          <w:color w:val="auto"/>
        </w:rPr>
        <w:instrText xml:space="preserve"> PAGEREF _Toc30563 \h </w:instrText>
      </w:r>
      <w:r>
        <w:rPr>
          <w:i w:val="0"/>
          <w:iCs w:val="0"/>
          <w:color w:val="auto"/>
        </w:rPr>
        <w:fldChar w:fldCharType="separate"/>
      </w:r>
      <w:r>
        <w:rPr>
          <w:i w:val="0"/>
          <w:iCs w:val="0"/>
          <w:color w:val="auto"/>
        </w:rPr>
        <w:t>163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_Toc13947 </w:instrText>
      </w:r>
      <w:r>
        <w:rPr>
          <w:i w:val="0"/>
          <w:iCs w:val="0"/>
          <w:color w:val="auto"/>
          <w:szCs w:val="28"/>
        </w:rPr>
        <w:fldChar w:fldCharType="separate"/>
      </w:r>
      <w:r>
        <w:rPr>
          <w:rFonts w:hint="default"/>
          <w:i w:val="0"/>
          <w:iCs w:val="0"/>
          <w:color w:val="auto"/>
          <w:lang w:val="en-US" w:eastAsia="zh-CN"/>
        </w:rPr>
        <w:t>10.1.4 应重视的安全对策措施</w:t>
      </w:r>
      <w:r>
        <w:rPr>
          <w:i w:val="0"/>
          <w:iCs w:val="0"/>
          <w:color w:val="auto"/>
        </w:rPr>
        <w:tab/>
      </w:r>
      <w:r>
        <w:rPr>
          <w:i w:val="0"/>
          <w:iCs w:val="0"/>
          <w:color w:val="auto"/>
        </w:rPr>
        <w:fldChar w:fldCharType="begin"/>
      </w:r>
      <w:r>
        <w:rPr>
          <w:i w:val="0"/>
          <w:iCs w:val="0"/>
          <w:color w:val="auto"/>
        </w:rPr>
        <w:instrText xml:space="preserve"> PAGEREF _Toc13947 \h </w:instrText>
      </w:r>
      <w:r>
        <w:rPr>
          <w:i w:val="0"/>
          <w:iCs w:val="0"/>
          <w:color w:val="auto"/>
        </w:rPr>
        <w:fldChar w:fldCharType="separate"/>
      </w:r>
      <w:r>
        <w:rPr>
          <w:i w:val="0"/>
          <w:iCs w:val="0"/>
          <w:color w:val="auto"/>
        </w:rPr>
        <w:t>163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_Toc27662 </w:instrText>
      </w:r>
      <w:r>
        <w:rPr>
          <w:i w:val="0"/>
          <w:iCs w:val="0"/>
          <w:color w:val="auto"/>
          <w:szCs w:val="28"/>
        </w:rPr>
        <w:fldChar w:fldCharType="separate"/>
      </w:r>
      <w:r>
        <w:rPr>
          <w:rFonts w:hint="default"/>
          <w:i w:val="0"/>
          <w:iCs w:val="0"/>
          <w:color w:val="auto"/>
          <w:lang w:val="en-US" w:eastAsia="zh-CN"/>
        </w:rPr>
        <w:t>10.2 安全评价结论</w:t>
      </w:r>
      <w:r>
        <w:rPr>
          <w:i w:val="0"/>
          <w:iCs w:val="0"/>
          <w:color w:val="auto"/>
        </w:rPr>
        <w:tab/>
      </w:r>
      <w:r>
        <w:rPr>
          <w:i w:val="0"/>
          <w:iCs w:val="0"/>
          <w:color w:val="auto"/>
        </w:rPr>
        <w:fldChar w:fldCharType="begin"/>
      </w:r>
      <w:r>
        <w:rPr>
          <w:i w:val="0"/>
          <w:iCs w:val="0"/>
          <w:color w:val="auto"/>
        </w:rPr>
        <w:instrText xml:space="preserve"> PAGEREF _Toc27662 \h </w:instrText>
      </w:r>
      <w:r>
        <w:rPr>
          <w:i w:val="0"/>
          <w:iCs w:val="0"/>
          <w:color w:val="auto"/>
        </w:rPr>
        <w:fldChar w:fldCharType="separate"/>
      </w:r>
      <w:r>
        <w:rPr>
          <w:i w:val="0"/>
          <w:iCs w:val="0"/>
          <w:color w:val="auto"/>
        </w:rPr>
        <w:t>169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_Toc17263 </w:instrText>
      </w:r>
      <w:r>
        <w:rPr>
          <w:i w:val="0"/>
          <w:iCs w:val="0"/>
          <w:color w:val="auto"/>
          <w:szCs w:val="28"/>
        </w:rPr>
        <w:fldChar w:fldCharType="separate"/>
      </w:r>
      <w:r>
        <w:rPr>
          <w:rFonts w:hint="default"/>
          <w:i w:val="0"/>
          <w:iCs w:val="0"/>
          <w:color w:val="auto"/>
          <w:lang w:val="en-US" w:eastAsia="zh-CN"/>
        </w:rPr>
        <w:t>10.2.1 危险、有害因素受控程度分析</w:t>
      </w:r>
      <w:r>
        <w:rPr>
          <w:i w:val="0"/>
          <w:iCs w:val="0"/>
          <w:color w:val="auto"/>
        </w:rPr>
        <w:tab/>
      </w:r>
      <w:r>
        <w:rPr>
          <w:i w:val="0"/>
          <w:iCs w:val="0"/>
          <w:color w:val="auto"/>
        </w:rPr>
        <w:fldChar w:fldCharType="begin"/>
      </w:r>
      <w:r>
        <w:rPr>
          <w:i w:val="0"/>
          <w:iCs w:val="0"/>
          <w:color w:val="auto"/>
        </w:rPr>
        <w:instrText xml:space="preserve"> PAGEREF _Toc17263 \h </w:instrText>
      </w:r>
      <w:r>
        <w:rPr>
          <w:i w:val="0"/>
          <w:iCs w:val="0"/>
          <w:color w:val="auto"/>
        </w:rPr>
        <w:fldChar w:fldCharType="separate"/>
      </w:r>
      <w:r>
        <w:rPr>
          <w:i w:val="0"/>
          <w:iCs w:val="0"/>
          <w:color w:val="auto"/>
        </w:rPr>
        <w:t>169</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_Toc8941 </w:instrText>
      </w:r>
      <w:r>
        <w:rPr>
          <w:i w:val="0"/>
          <w:iCs w:val="0"/>
          <w:color w:val="auto"/>
          <w:szCs w:val="28"/>
        </w:rPr>
        <w:fldChar w:fldCharType="separate"/>
      </w:r>
      <w:r>
        <w:rPr>
          <w:rFonts w:hint="default"/>
          <w:i w:val="0"/>
          <w:iCs w:val="0"/>
          <w:color w:val="auto"/>
          <w:lang w:val="en-US" w:eastAsia="zh-CN"/>
        </w:rPr>
        <w:t>10.2.2 建设项目法律法规的符合性</w:t>
      </w:r>
      <w:r>
        <w:rPr>
          <w:i w:val="0"/>
          <w:iCs w:val="0"/>
          <w:color w:val="auto"/>
        </w:rPr>
        <w:tab/>
      </w:r>
      <w:r>
        <w:rPr>
          <w:i w:val="0"/>
          <w:iCs w:val="0"/>
          <w:color w:val="auto"/>
        </w:rPr>
        <w:fldChar w:fldCharType="begin"/>
      </w:r>
      <w:r>
        <w:rPr>
          <w:i w:val="0"/>
          <w:iCs w:val="0"/>
          <w:color w:val="auto"/>
        </w:rPr>
        <w:instrText xml:space="preserve"> PAGEREF _Toc8941 \h </w:instrText>
      </w:r>
      <w:r>
        <w:rPr>
          <w:i w:val="0"/>
          <w:iCs w:val="0"/>
          <w:color w:val="auto"/>
        </w:rPr>
        <w:fldChar w:fldCharType="separate"/>
      </w:r>
      <w:r>
        <w:rPr>
          <w:i w:val="0"/>
          <w:iCs w:val="0"/>
          <w:color w:val="auto"/>
        </w:rPr>
        <w:t>170</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_Toc10690 </w:instrText>
      </w:r>
      <w:r>
        <w:rPr>
          <w:i w:val="0"/>
          <w:iCs w:val="0"/>
          <w:color w:val="auto"/>
          <w:szCs w:val="28"/>
        </w:rPr>
        <w:fldChar w:fldCharType="separate"/>
      </w:r>
      <w:r>
        <w:rPr>
          <w:rFonts w:hint="eastAsia"/>
          <w:i w:val="0"/>
          <w:iCs w:val="0"/>
          <w:color w:val="auto"/>
          <w:lang w:val="en-US" w:eastAsia="zh-CN"/>
        </w:rPr>
        <w:t>附录A安全评价依据</w:t>
      </w:r>
      <w:r>
        <w:rPr>
          <w:i w:val="0"/>
          <w:iCs w:val="0"/>
          <w:color w:val="auto"/>
        </w:rPr>
        <w:tab/>
      </w:r>
      <w:r>
        <w:rPr>
          <w:i w:val="0"/>
          <w:iCs w:val="0"/>
          <w:color w:val="auto"/>
        </w:rPr>
        <w:fldChar w:fldCharType="begin"/>
      </w:r>
      <w:r>
        <w:rPr>
          <w:i w:val="0"/>
          <w:iCs w:val="0"/>
          <w:color w:val="auto"/>
        </w:rPr>
        <w:instrText xml:space="preserve"> PAGEREF _Toc10690 \h </w:instrText>
      </w:r>
      <w:r>
        <w:rPr>
          <w:i w:val="0"/>
          <w:iCs w:val="0"/>
          <w:color w:val="auto"/>
        </w:rPr>
        <w:fldChar w:fldCharType="separate"/>
      </w:r>
      <w:r>
        <w:rPr>
          <w:i w:val="0"/>
          <w:iCs w:val="0"/>
          <w:color w:val="auto"/>
        </w:rPr>
        <w:t>173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_Toc25281 </w:instrText>
      </w:r>
      <w:r>
        <w:rPr>
          <w:i w:val="0"/>
          <w:iCs w:val="0"/>
          <w:color w:val="auto"/>
          <w:szCs w:val="28"/>
        </w:rPr>
        <w:fldChar w:fldCharType="separate"/>
      </w:r>
      <w:r>
        <w:rPr>
          <w:rFonts w:hint="eastAsia"/>
          <w:bCs/>
          <w:i w:val="0"/>
          <w:iCs w:val="0"/>
          <w:color w:val="auto"/>
          <w:lang w:val="en-US" w:eastAsia="zh-CN"/>
        </w:rPr>
        <w:t>A.1</w:t>
      </w:r>
      <w:r>
        <w:rPr>
          <w:rFonts w:hint="eastAsia"/>
          <w:bCs/>
          <w:i w:val="0"/>
          <w:iCs w:val="0"/>
          <w:color w:val="auto"/>
        </w:rPr>
        <w:t>法律、法规</w:t>
      </w:r>
      <w:r>
        <w:rPr>
          <w:i w:val="0"/>
          <w:iCs w:val="0"/>
          <w:color w:val="auto"/>
        </w:rPr>
        <w:tab/>
      </w:r>
      <w:r>
        <w:rPr>
          <w:i w:val="0"/>
          <w:iCs w:val="0"/>
          <w:color w:val="auto"/>
        </w:rPr>
        <w:fldChar w:fldCharType="begin"/>
      </w:r>
      <w:r>
        <w:rPr>
          <w:i w:val="0"/>
          <w:iCs w:val="0"/>
          <w:color w:val="auto"/>
        </w:rPr>
        <w:instrText xml:space="preserve"> PAGEREF _Toc25281 \h </w:instrText>
      </w:r>
      <w:r>
        <w:rPr>
          <w:i w:val="0"/>
          <w:iCs w:val="0"/>
          <w:color w:val="auto"/>
        </w:rPr>
        <w:fldChar w:fldCharType="separate"/>
      </w:r>
      <w:r>
        <w:rPr>
          <w:i w:val="0"/>
          <w:iCs w:val="0"/>
          <w:color w:val="auto"/>
        </w:rPr>
        <w:t>173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_Toc22266 </w:instrText>
      </w:r>
      <w:r>
        <w:rPr>
          <w:i w:val="0"/>
          <w:iCs w:val="0"/>
          <w:color w:val="auto"/>
          <w:szCs w:val="28"/>
        </w:rPr>
        <w:fldChar w:fldCharType="separate"/>
      </w:r>
      <w:r>
        <w:rPr>
          <w:rFonts w:hint="eastAsia"/>
          <w:bCs/>
          <w:i w:val="0"/>
          <w:iCs w:val="0"/>
          <w:color w:val="auto"/>
          <w:lang w:val="en-US" w:eastAsia="zh-CN"/>
        </w:rPr>
        <w:t>A</w:t>
      </w:r>
      <w:r>
        <w:rPr>
          <w:rFonts w:hint="eastAsia"/>
          <w:bCs/>
          <w:i w:val="0"/>
          <w:iCs w:val="0"/>
          <w:color w:val="auto"/>
        </w:rPr>
        <w:t>.2规章及规范性文件</w:t>
      </w:r>
      <w:r>
        <w:rPr>
          <w:i w:val="0"/>
          <w:iCs w:val="0"/>
          <w:color w:val="auto"/>
        </w:rPr>
        <w:tab/>
      </w:r>
      <w:r>
        <w:rPr>
          <w:i w:val="0"/>
          <w:iCs w:val="0"/>
          <w:color w:val="auto"/>
        </w:rPr>
        <w:fldChar w:fldCharType="begin"/>
      </w:r>
      <w:r>
        <w:rPr>
          <w:i w:val="0"/>
          <w:iCs w:val="0"/>
          <w:color w:val="auto"/>
        </w:rPr>
        <w:instrText xml:space="preserve"> PAGEREF _Toc22266 \h </w:instrText>
      </w:r>
      <w:r>
        <w:rPr>
          <w:i w:val="0"/>
          <w:iCs w:val="0"/>
          <w:color w:val="auto"/>
        </w:rPr>
        <w:fldChar w:fldCharType="separate"/>
      </w:r>
      <w:r>
        <w:rPr>
          <w:i w:val="0"/>
          <w:iCs w:val="0"/>
          <w:color w:val="auto"/>
        </w:rPr>
        <w:t>174</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_Toc17824 </w:instrText>
      </w:r>
      <w:r>
        <w:rPr>
          <w:i w:val="0"/>
          <w:iCs w:val="0"/>
          <w:color w:val="auto"/>
          <w:szCs w:val="28"/>
        </w:rPr>
        <w:fldChar w:fldCharType="separate"/>
      </w:r>
      <w:r>
        <w:rPr>
          <w:rFonts w:hint="eastAsia"/>
          <w:i w:val="0"/>
          <w:iCs w:val="0"/>
          <w:color w:val="auto"/>
          <w:lang w:val="en-US" w:eastAsia="zh-CN"/>
        </w:rPr>
        <w:t>A</w:t>
      </w:r>
      <w:r>
        <w:rPr>
          <w:rFonts w:hint="eastAsia"/>
          <w:i w:val="0"/>
          <w:iCs w:val="0"/>
          <w:color w:val="auto"/>
        </w:rPr>
        <w:t>.3国家相关标准、规范</w:t>
      </w:r>
      <w:r>
        <w:rPr>
          <w:i w:val="0"/>
          <w:iCs w:val="0"/>
          <w:color w:val="auto"/>
        </w:rPr>
        <w:tab/>
      </w:r>
      <w:r>
        <w:rPr>
          <w:i w:val="0"/>
          <w:iCs w:val="0"/>
          <w:color w:val="auto"/>
        </w:rPr>
        <w:fldChar w:fldCharType="begin"/>
      </w:r>
      <w:r>
        <w:rPr>
          <w:i w:val="0"/>
          <w:iCs w:val="0"/>
          <w:color w:val="auto"/>
        </w:rPr>
        <w:instrText xml:space="preserve"> PAGEREF _Toc17824 \h </w:instrText>
      </w:r>
      <w:r>
        <w:rPr>
          <w:i w:val="0"/>
          <w:iCs w:val="0"/>
          <w:color w:val="auto"/>
        </w:rPr>
        <w:fldChar w:fldCharType="separate"/>
      </w:r>
      <w:r>
        <w:rPr>
          <w:i w:val="0"/>
          <w:iCs w:val="0"/>
          <w:color w:val="auto"/>
        </w:rPr>
        <w:t>178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_Toc23792 </w:instrText>
      </w:r>
      <w:r>
        <w:rPr>
          <w:i w:val="0"/>
          <w:iCs w:val="0"/>
          <w:color w:val="auto"/>
          <w:szCs w:val="28"/>
        </w:rPr>
        <w:fldChar w:fldCharType="separate"/>
      </w:r>
      <w:r>
        <w:rPr>
          <w:rFonts w:hint="eastAsia"/>
          <w:i w:val="0"/>
          <w:iCs w:val="0"/>
          <w:color w:val="auto"/>
          <w:highlight w:val="none"/>
          <w:lang w:val="en-US" w:eastAsia="zh-CN"/>
        </w:rPr>
        <w:t>A.4行业标准</w:t>
      </w:r>
      <w:r>
        <w:rPr>
          <w:i w:val="0"/>
          <w:iCs w:val="0"/>
          <w:color w:val="auto"/>
        </w:rPr>
        <w:tab/>
      </w:r>
      <w:r>
        <w:rPr>
          <w:i w:val="0"/>
          <w:iCs w:val="0"/>
          <w:color w:val="auto"/>
        </w:rPr>
        <w:fldChar w:fldCharType="begin"/>
      </w:r>
      <w:r>
        <w:rPr>
          <w:i w:val="0"/>
          <w:iCs w:val="0"/>
          <w:color w:val="auto"/>
        </w:rPr>
        <w:instrText xml:space="preserve"> PAGEREF _Toc23792 \h </w:instrText>
      </w:r>
      <w:r>
        <w:rPr>
          <w:i w:val="0"/>
          <w:iCs w:val="0"/>
          <w:color w:val="auto"/>
        </w:rPr>
        <w:fldChar w:fldCharType="separate"/>
      </w:r>
      <w:r>
        <w:rPr>
          <w:i w:val="0"/>
          <w:iCs w:val="0"/>
          <w:color w:val="auto"/>
        </w:rPr>
        <w:t>181</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_Toc23980 </w:instrText>
      </w:r>
      <w:r>
        <w:rPr>
          <w:i w:val="0"/>
          <w:iCs w:val="0"/>
          <w:color w:val="auto"/>
          <w:szCs w:val="28"/>
        </w:rPr>
        <w:fldChar w:fldCharType="separate"/>
      </w:r>
      <w:r>
        <w:rPr>
          <w:rFonts w:hint="eastAsia"/>
          <w:i w:val="0"/>
          <w:iCs w:val="0"/>
          <w:color w:val="auto"/>
        </w:rPr>
        <w:t>附录 B 危险、有害因素的辨识及分析过程</w:t>
      </w:r>
      <w:r>
        <w:rPr>
          <w:i w:val="0"/>
          <w:iCs w:val="0"/>
          <w:color w:val="auto"/>
        </w:rPr>
        <w:tab/>
      </w:r>
      <w:r>
        <w:rPr>
          <w:i w:val="0"/>
          <w:iCs w:val="0"/>
          <w:color w:val="auto"/>
        </w:rPr>
        <w:fldChar w:fldCharType="begin"/>
      </w:r>
      <w:r>
        <w:rPr>
          <w:i w:val="0"/>
          <w:iCs w:val="0"/>
          <w:color w:val="auto"/>
        </w:rPr>
        <w:instrText xml:space="preserve"> PAGEREF _Toc23980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bookmarkStart w:id="1073" w:name="_GoBack"/>
      <w:bookmarkEnd w:id="1073"/>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_Toc30244 </w:instrText>
      </w:r>
      <w:r>
        <w:rPr>
          <w:i w:val="0"/>
          <w:iCs w:val="0"/>
          <w:color w:val="auto"/>
          <w:szCs w:val="28"/>
        </w:rPr>
        <w:fldChar w:fldCharType="separate"/>
      </w:r>
      <w:r>
        <w:rPr>
          <w:rFonts w:hint="eastAsia"/>
          <w:i w:val="0"/>
          <w:iCs w:val="0"/>
          <w:color w:val="auto"/>
        </w:rPr>
        <w:t>B.1 危险、有害物质的辨识</w:t>
      </w:r>
      <w:r>
        <w:rPr>
          <w:i w:val="0"/>
          <w:iCs w:val="0"/>
          <w:color w:val="auto"/>
        </w:rPr>
        <w:tab/>
      </w:r>
      <w:r>
        <w:rPr>
          <w:i w:val="0"/>
          <w:iCs w:val="0"/>
          <w:color w:val="auto"/>
        </w:rPr>
        <w:fldChar w:fldCharType="begin"/>
      </w:r>
      <w:r>
        <w:rPr>
          <w:i w:val="0"/>
          <w:iCs w:val="0"/>
          <w:color w:val="auto"/>
        </w:rPr>
        <w:instrText xml:space="preserve"> PAGEREF _Toc30244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_Toc20646 </w:instrText>
      </w:r>
      <w:r>
        <w:rPr>
          <w:i w:val="0"/>
          <w:iCs w:val="0"/>
          <w:color w:val="auto"/>
          <w:szCs w:val="28"/>
        </w:rPr>
        <w:fldChar w:fldCharType="separate"/>
      </w:r>
      <w:r>
        <w:rPr>
          <w:rFonts w:hint="eastAsia"/>
          <w:i w:val="0"/>
          <w:iCs w:val="0"/>
          <w:color w:val="auto"/>
        </w:rPr>
        <w:t>B.1.1.辨识依据</w:t>
      </w:r>
      <w:r>
        <w:rPr>
          <w:i w:val="0"/>
          <w:iCs w:val="0"/>
          <w:color w:val="auto"/>
        </w:rPr>
        <w:tab/>
      </w:r>
      <w:r>
        <w:rPr>
          <w:i w:val="0"/>
          <w:iCs w:val="0"/>
          <w:color w:val="auto"/>
        </w:rPr>
        <w:fldChar w:fldCharType="begin"/>
      </w:r>
      <w:r>
        <w:rPr>
          <w:i w:val="0"/>
          <w:iCs w:val="0"/>
          <w:color w:val="auto"/>
        </w:rPr>
        <w:instrText xml:space="preserve"> PAGEREF _Toc20646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_Toc14735 </w:instrText>
      </w:r>
      <w:r>
        <w:rPr>
          <w:i w:val="0"/>
          <w:iCs w:val="0"/>
          <w:color w:val="auto"/>
          <w:szCs w:val="28"/>
        </w:rPr>
        <w:fldChar w:fldCharType="separate"/>
      </w:r>
      <w:r>
        <w:rPr>
          <w:rFonts w:hint="eastAsia"/>
          <w:i w:val="0"/>
          <w:iCs w:val="0"/>
          <w:color w:val="auto"/>
        </w:rPr>
        <w:t>B.1.2 主要危险物质分析</w:t>
      </w:r>
      <w:r>
        <w:rPr>
          <w:i w:val="0"/>
          <w:iCs w:val="0"/>
          <w:color w:val="auto"/>
        </w:rPr>
        <w:tab/>
      </w:r>
      <w:r>
        <w:rPr>
          <w:i w:val="0"/>
          <w:iCs w:val="0"/>
          <w:color w:val="auto"/>
        </w:rPr>
        <w:fldChar w:fldCharType="begin"/>
      </w:r>
      <w:r>
        <w:rPr>
          <w:i w:val="0"/>
          <w:iCs w:val="0"/>
          <w:color w:val="auto"/>
        </w:rPr>
        <w:instrText xml:space="preserve"> PAGEREF _Toc14735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_Toc10489 </w:instrText>
      </w:r>
      <w:r>
        <w:rPr>
          <w:i w:val="0"/>
          <w:iCs w:val="0"/>
          <w:color w:val="auto"/>
          <w:szCs w:val="28"/>
        </w:rPr>
        <w:fldChar w:fldCharType="separate"/>
      </w:r>
      <w:r>
        <w:rPr>
          <w:rFonts w:hint="eastAsia"/>
          <w:i w:val="0"/>
          <w:iCs w:val="0"/>
          <w:color w:val="auto"/>
        </w:rPr>
        <w:t>B.2 危险、有害因素的辨识</w:t>
      </w:r>
      <w:r>
        <w:rPr>
          <w:i w:val="0"/>
          <w:iCs w:val="0"/>
          <w:color w:val="auto"/>
        </w:rPr>
        <w:tab/>
      </w:r>
      <w:r>
        <w:rPr>
          <w:i w:val="0"/>
          <w:iCs w:val="0"/>
          <w:color w:val="auto"/>
        </w:rPr>
        <w:fldChar w:fldCharType="begin"/>
      </w:r>
      <w:r>
        <w:rPr>
          <w:i w:val="0"/>
          <w:iCs w:val="0"/>
          <w:color w:val="auto"/>
        </w:rPr>
        <w:instrText xml:space="preserve"> PAGEREF _Toc10489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_Toc25081 </w:instrText>
      </w:r>
      <w:r>
        <w:rPr>
          <w:i w:val="0"/>
          <w:iCs w:val="0"/>
          <w:color w:val="auto"/>
          <w:szCs w:val="28"/>
        </w:rPr>
        <w:fldChar w:fldCharType="separate"/>
      </w:r>
      <w:r>
        <w:rPr>
          <w:rFonts w:hint="eastAsia"/>
          <w:i w:val="0"/>
          <w:iCs w:val="0"/>
          <w:color w:val="auto"/>
        </w:rPr>
        <w:t>B.2.1 辨识依据及产生原因</w:t>
      </w:r>
      <w:r>
        <w:rPr>
          <w:i w:val="0"/>
          <w:iCs w:val="0"/>
          <w:color w:val="auto"/>
        </w:rPr>
        <w:tab/>
      </w:r>
      <w:r>
        <w:rPr>
          <w:i w:val="0"/>
          <w:iCs w:val="0"/>
          <w:color w:val="auto"/>
        </w:rPr>
        <w:fldChar w:fldCharType="begin"/>
      </w:r>
      <w:r>
        <w:rPr>
          <w:i w:val="0"/>
          <w:iCs w:val="0"/>
          <w:color w:val="auto"/>
        </w:rPr>
        <w:instrText xml:space="preserve"> PAGEREF _Toc25081 \h </w:instrText>
      </w:r>
      <w:r>
        <w:rPr>
          <w:i w:val="0"/>
          <w:iCs w:val="0"/>
          <w:color w:val="auto"/>
        </w:rPr>
        <w:fldChar w:fldCharType="separate"/>
      </w:r>
      <w:r>
        <w:rPr>
          <w:i w:val="0"/>
          <w:iCs w:val="0"/>
          <w:color w:val="auto"/>
        </w:rPr>
        <w:t>183</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_Toc20525 </w:instrText>
      </w:r>
      <w:r>
        <w:rPr>
          <w:i w:val="0"/>
          <w:iCs w:val="0"/>
          <w:color w:val="auto"/>
          <w:szCs w:val="28"/>
        </w:rPr>
        <w:fldChar w:fldCharType="separate"/>
      </w:r>
      <w:r>
        <w:rPr>
          <w:rFonts w:hint="eastAsia"/>
          <w:i w:val="0"/>
          <w:iCs w:val="0"/>
          <w:color w:val="auto"/>
        </w:rPr>
        <w:t>B.2.2 项目厂址与总平危险有害因素辨识分析</w:t>
      </w:r>
      <w:r>
        <w:rPr>
          <w:i w:val="0"/>
          <w:iCs w:val="0"/>
          <w:color w:val="auto"/>
        </w:rPr>
        <w:tab/>
      </w:r>
      <w:r>
        <w:rPr>
          <w:i w:val="0"/>
          <w:iCs w:val="0"/>
          <w:color w:val="auto"/>
        </w:rPr>
        <w:fldChar w:fldCharType="begin"/>
      </w:r>
      <w:r>
        <w:rPr>
          <w:i w:val="0"/>
          <w:iCs w:val="0"/>
          <w:color w:val="auto"/>
        </w:rPr>
        <w:instrText xml:space="preserve"> PAGEREF _Toc20525 \h </w:instrText>
      </w:r>
      <w:r>
        <w:rPr>
          <w:i w:val="0"/>
          <w:iCs w:val="0"/>
          <w:color w:val="auto"/>
        </w:rPr>
        <w:fldChar w:fldCharType="separate"/>
      </w:r>
      <w:r>
        <w:rPr>
          <w:i w:val="0"/>
          <w:iCs w:val="0"/>
          <w:color w:val="auto"/>
        </w:rPr>
        <w:t>186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_Toc27944 </w:instrText>
      </w:r>
      <w:r>
        <w:rPr>
          <w:i w:val="0"/>
          <w:iCs w:val="0"/>
          <w:color w:val="auto"/>
          <w:szCs w:val="28"/>
        </w:rPr>
        <w:fldChar w:fldCharType="separate"/>
      </w:r>
      <w:r>
        <w:rPr>
          <w:rFonts w:hint="default"/>
          <w:i w:val="0"/>
          <w:iCs w:val="0"/>
          <w:color w:val="auto"/>
          <w:lang w:val="en-US" w:eastAsia="zh-CN"/>
        </w:rPr>
        <w:t>B.2.3 按导致事故类别进行危险、有害因素辨识与分析</w:t>
      </w:r>
      <w:r>
        <w:rPr>
          <w:i w:val="0"/>
          <w:iCs w:val="0"/>
          <w:color w:val="auto"/>
        </w:rPr>
        <w:tab/>
      </w:r>
      <w:r>
        <w:rPr>
          <w:i w:val="0"/>
          <w:iCs w:val="0"/>
          <w:color w:val="auto"/>
        </w:rPr>
        <w:fldChar w:fldCharType="begin"/>
      </w:r>
      <w:r>
        <w:rPr>
          <w:i w:val="0"/>
          <w:iCs w:val="0"/>
          <w:color w:val="auto"/>
        </w:rPr>
        <w:instrText xml:space="preserve"> PAGEREF _Toc27944 \h </w:instrText>
      </w:r>
      <w:r>
        <w:rPr>
          <w:i w:val="0"/>
          <w:iCs w:val="0"/>
          <w:color w:val="auto"/>
        </w:rPr>
        <w:fldChar w:fldCharType="separate"/>
      </w:r>
      <w:r>
        <w:rPr>
          <w:i w:val="0"/>
          <w:iCs w:val="0"/>
          <w:color w:val="auto"/>
        </w:rPr>
        <w:t>190</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_Toc1506 </w:instrText>
      </w:r>
      <w:r>
        <w:rPr>
          <w:i w:val="0"/>
          <w:iCs w:val="0"/>
          <w:color w:val="auto"/>
          <w:szCs w:val="28"/>
        </w:rPr>
        <w:fldChar w:fldCharType="separate"/>
      </w:r>
      <w:r>
        <w:rPr>
          <w:rFonts w:hint="eastAsia"/>
          <w:i w:val="0"/>
          <w:iCs w:val="0"/>
          <w:color w:val="auto"/>
          <w:lang w:val="en-US" w:eastAsia="zh-CN"/>
        </w:rPr>
        <w:t>B.2.4 生产系统和辅助系统中有害因素的辨识及分析</w:t>
      </w:r>
      <w:r>
        <w:rPr>
          <w:i w:val="0"/>
          <w:iCs w:val="0"/>
          <w:color w:val="auto"/>
        </w:rPr>
        <w:tab/>
      </w:r>
      <w:r>
        <w:rPr>
          <w:i w:val="0"/>
          <w:iCs w:val="0"/>
          <w:color w:val="auto"/>
        </w:rPr>
        <w:fldChar w:fldCharType="begin"/>
      </w:r>
      <w:r>
        <w:rPr>
          <w:i w:val="0"/>
          <w:iCs w:val="0"/>
          <w:color w:val="auto"/>
        </w:rPr>
        <w:instrText xml:space="preserve"> PAGEREF _Toc1506 \h </w:instrText>
      </w:r>
      <w:r>
        <w:rPr>
          <w:i w:val="0"/>
          <w:iCs w:val="0"/>
          <w:color w:val="auto"/>
        </w:rPr>
        <w:fldChar w:fldCharType="separate"/>
      </w:r>
      <w:r>
        <w:rPr>
          <w:i w:val="0"/>
          <w:iCs w:val="0"/>
          <w:color w:val="auto"/>
        </w:rPr>
        <w:t>240</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_Toc14690 </w:instrText>
      </w:r>
      <w:r>
        <w:rPr>
          <w:i w:val="0"/>
          <w:iCs w:val="0"/>
          <w:color w:val="auto"/>
          <w:szCs w:val="28"/>
        </w:rPr>
        <w:fldChar w:fldCharType="separate"/>
      </w:r>
      <w:r>
        <w:rPr>
          <w:rFonts w:hint="eastAsia"/>
          <w:i w:val="0"/>
          <w:iCs w:val="0"/>
          <w:color w:val="auto"/>
          <w:lang w:val="en-US" w:eastAsia="zh-CN"/>
        </w:rPr>
        <w:t>B.2.5 按导致事故直接原因进行危险、有害因素辨识与分析</w:t>
      </w:r>
      <w:r>
        <w:rPr>
          <w:i w:val="0"/>
          <w:iCs w:val="0"/>
          <w:color w:val="auto"/>
        </w:rPr>
        <w:tab/>
      </w:r>
      <w:r>
        <w:rPr>
          <w:i w:val="0"/>
          <w:iCs w:val="0"/>
          <w:color w:val="auto"/>
        </w:rPr>
        <w:fldChar w:fldCharType="begin"/>
      </w:r>
      <w:r>
        <w:rPr>
          <w:i w:val="0"/>
          <w:iCs w:val="0"/>
          <w:color w:val="auto"/>
        </w:rPr>
        <w:instrText xml:space="preserve"> PAGEREF _Toc14690 \h </w:instrText>
      </w:r>
      <w:r>
        <w:rPr>
          <w:i w:val="0"/>
          <w:iCs w:val="0"/>
          <w:color w:val="auto"/>
        </w:rPr>
        <w:fldChar w:fldCharType="separate"/>
      </w:r>
      <w:r>
        <w:rPr>
          <w:i w:val="0"/>
          <w:iCs w:val="0"/>
          <w:color w:val="auto"/>
        </w:rPr>
        <w:t>242</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_Toc32712 </w:instrText>
      </w:r>
      <w:r>
        <w:rPr>
          <w:i w:val="0"/>
          <w:iCs w:val="0"/>
          <w:color w:val="auto"/>
          <w:szCs w:val="28"/>
        </w:rPr>
        <w:fldChar w:fldCharType="separate"/>
      </w:r>
      <w:r>
        <w:rPr>
          <w:rFonts w:hint="eastAsia"/>
          <w:i w:val="0"/>
          <w:iCs w:val="0"/>
          <w:color w:val="auto"/>
          <w:lang w:val="en-US" w:eastAsia="zh-CN"/>
        </w:rPr>
        <w:t>B.3 重大危险源辨识</w:t>
      </w:r>
      <w:r>
        <w:rPr>
          <w:i w:val="0"/>
          <w:iCs w:val="0"/>
          <w:color w:val="auto"/>
        </w:rPr>
        <w:tab/>
      </w:r>
      <w:r>
        <w:rPr>
          <w:i w:val="0"/>
          <w:iCs w:val="0"/>
          <w:color w:val="auto"/>
        </w:rPr>
        <w:fldChar w:fldCharType="begin"/>
      </w:r>
      <w:r>
        <w:rPr>
          <w:i w:val="0"/>
          <w:iCs w:val="0"/>
          <w:color w:val="auto"/>
        </w:rPr>
        <w:instrText xml:space="preserve"> PAGEREF _Toc32712 \h </w:instrText>
      </w:r>
      <w:r>
        <w:rPr>
          <w:i w:val="0"/>
          <w:iCs w:val="0"/>
          <w:color w:val="auto"/>
        </w:rPr>
        <w:fldChar w:fldCharType="separate"/>
      </w:r>
      <w:r>
        <w:rPr>
          <w:i w:val="0"/>
          <w:iCs w:val="0"/>
          <w:color w:val="auto"/>
        </w:rPr>
        <w:t>245</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_Toc15380 </w:instrText>
      </w:r>
      <w:r>
        <w:rPr>
          <w:i w:val="0"/>
          <w:iCs w:val="0"/>
          <w:color w:val="auto"/>
          <w:szCs w:val="28"/>
        </w:rPr>
        <w:fldChar w:fldCharType="separate"/>
      </w:r>
      <w:r>
        <w:rPr>
          <w:rFonts w:hint="eastAsia"/>
          <w:i w:val="0"/>
          <w:iCs w:val="0"/>
          <w:color w:val="auto"/>
          <w:lang w:val="en-US" w:eastAsia="zh-CN"/>
        </w:rPr>
        <w:t>B.3.1 重大危险源辨识相关资料介绍</w:t>
      </w:r>
      <w:r>
        <w:rPr>
          <w:i w:val="0"/>
          <w:iCs w:val="0"/>
          <w:color w:val="auto"/>
        </w:rPr>
        <w:tab/>
      </w:r>
      <w:r>
        <w:rPr>
          <w:i w:val="0"/>
          <w:iCs w:val="0"/>
          <w:color w:val="auto"/>
        </w:rPr>
        <w:fldChar w:fldCharType="begin"/>
      </w:r>
      <w:r>
        <w:rPr>
          <w:i w:val="0"/>
          <w:iCs w:val="0"/>
          <w:color w:val="auto"/>
        </w:rPr>
        <w:instrText xml:space="preserve"> PAGEREF _Toc15380 \h </w:instrText>
      </w:r>
      <w:r>
        <w:rPr>
          <w:i w:val="0"/>
          <w:iCs w:val="0"/>
          <w:color w:val="auto"/>
        </w:rPr>
        <w:fldChar w:fldCharType="separate"/>
      </w:r>
      <w:r>
        <w:rPr>
          <w:i w:val="0"/>
          <w:iCs w:val="0"/>
          <w:color w:val="auto"/>
        </w:rPr>
        <w:t>245</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_Toc556 </w:instrText>
      </w:r>
      <w:r>
        <w:rPr>
          <w:i w:val="0"/>
          <w:iCs w:val="0"/>
          <w:color w:val="auto"/>
          <w:szCs w:val="28"/>
        </w:rPr>
        <w:fldChar w:fldCharType="separate"/>
      </w:r>
      <w:r>
        <w:rPr>
          <w:rFonts w:hint="eastAsia"/>
          <w:i w:val="0"/>
          <w:iCs w:val="0"/>
          <w:color w:val="auto"/>
          <w:lang w:val="en-US" w:eastAsia="zh-CN"/>
        </w:rPr>
        <w:t>B.3.2 危险化学品重大危险源辨识过程</w:t>
      </w:r>
      <w:r>
        <w:rPr>
          <w:i w:val="0"/>
          <w:iCs w:val="0"/>
          <w:color w:val="auto"/>
        </w:rPr>
        <w:tab/>
      </w:r>
      <w:r>
        <w:rPr>
          <w:i w:val="0"/>
          <w:iCs w:val="0"/>
          <w:color w:val="auto"/>
        </w:rPr>
        <w:fldChar w:fldCharType="begin"/>
      </w:r>
      <w:r>
        <w:rPr>
          <w:i w:val="0"/>
          <w:iCs w:val="0"/>
          <w:color w:val="auto"/>
        </w:rPr>
        <w:instrText xml:space="preserve"> PAGEREF _Toc556 \h </w:instrText>
      </w:r>
      <w:r>
        <w:rPr>
          <w:i w:val="0"/>
          <w:iCs w:val="0"/>
          <w:color w:val="auto"/>
        </w:rPr>
        <w:fldChar w:fldCharType="separate"/>
      </w:r>
      <w:r>
        <w:rPr>
          <w:i w:val="0"/>
          <w:iCs w:val="0"/>
          <w:color w:val="auto"/>
        </w:rPr>
        <w:t>248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_Toc668 </w:instrText>
      </w:r>
      <w:r>
        <w:rPr>
          <w:i w:val="0"/>
          <w:iCs w:val="0"/>
          <w:color w:val="auto"/>
          <w:szCs w:val="28"/>
        </w:rPr>
        <w:fldChar w:fldCharType="separate"/>
      </w:r>
      <w:r>
        <w:rPr>
          <w:rFonts w:hint="eastAsia"/>
          <w:i w:val="0"/>
          <w:iCs w:val="0"/>
          <w:color w:val="auto"/>
          <w:lang w:val="en-US" w:eastAsia="zh-CN"/>
        </w:rPr>
        <w:t>B.3.3 重大危险源辨识结果</w:t>
      </w:r>
      <w:r>
        <w:rPr>
          <w:i w:val="0"/>
          <w:iCs w:val="0"/>
          <w:color w:val="auto"/>
        </w:rPr>
        <w:tab/>
      </w:r>
      <w:r>
        <w:rPr>
          <w:i w:val="0"/>
          <w:iCs w:val="0"/>
          <w:color w:val="auto"/>
        </w:rPr>
        <w:fldChar w:fldCharType="begin"/>
      </w:r>
      <w:r>
        <w:rPr>
          <w:i w:val="0"/>
          <w:iCs w:val="0"/>
          <w:color w:val="auto"/>
        </w:rPr>
        <w:instrText xml:space="preserve"> PAGEREF _Toc668 \h </w:instrText>
      </w:r>
      <w:r>
        <w:rPr>
          <w:i w:val="0"/>
          <w:iCs w:val="0"/>
          <w:color w:val="auto"/>
        </w:rPr>
        <w:fldChar w:fldCharType="separate"/>
      </w:r>
      <w:r>
        <w:rPr>
          <w:i w:val="0"/>
          <w:iCs w:val="0"/>
          <w:color w:val="auto"/>
        </w:rPr>
        <w:t>251</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_Toc32273 </w:instrText>
      </w:r>
      <w:r>
        <w:rPr>
          <w:i w:val="0"/>
          <w:iCs w:val="0"/>
          <w:color w:val="auto"/>
          <w:szCs w:val="28"/>
        </w:rPr>
        <w:fldChar w:fldCharType="separate"/>
      </w:r>
      <w:r>
        <w:rPr>
          <w:rFonts w:hint="eastAsia"/>
          <w:i w:val="0"/>
          <w:iCs w:val="0"/>
          <w:color w:val="auto"/>
          <w:lang w:val="en-US" w:eastAsia="zh-CN"/>
        </w:rPr>
        <w:t>B.4 个人风险和社会风险值</w:t>
      </w:r>
      <w:r>
        <w:rPr>
          <w:i w:val="0"/>
          <w:iCs w:val="0"/>
          <w:color w:val="auto"/>
        </w:rPr>
        <w:tab/>
      </w:r>
      <w:r>
        <w:rPr>
          <w:i w:val="0"/>
          <w:iCs w:val="0"/>
          <w:color w:val="auto"/>
        </w:rPr>
        <w:fldChar w:fldCharType="begin"/>
      </w:r>
      <w:r>
        <w:rPr>
          <w:i w:val="0"/>
          <w:iCs w:val="0"/>
          <w:color w:val="auto"/>
        </w:rPr>
        <w:instrText xml:space="preserve"> PAGEREF _Toc32273 \h </w:instrText>
      </w:r>
      <w:r>
        <w:rPr>
          <w:i w:val="0"/>
          <w:iCs w:val="0"/>
          <w:color w:val="auto"/>
        </w:rPr>
        <w:fldChar w:fldCharType="separate"/>
      </w:r>
      <w:r>
        <w:rPr>
          <w:i w:val="0"/>
          <w:iCs w:val="0"/>
          <w:color w:val="auto"/>
        </w:rPr>
        <w:t>251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_Toc30351 </w:instrText>
      </w:r>
      <w:r>
        <w:rPr>
          <w:i w:val="0"/>
          <w:iCs w:val="0"/>
          <w:color w:val="auto"/>
          <w:szCs w:val="28"/>
        </w:rPr>
        <w:fldChar w:fldCharType="separate"/>
      </w:r>
      <w:r>
        <w:rPr>
          <w:rFonts w:hint="eastAsia"/>
          <w:i w:val="0"/>
          <w:iCs w:val="0"/>
          <w:color w:val="auto"/>
          <w:lang w:val="en-US" w:eastAsia="zh-CN"/>
        </w:rPr>
        <w:t>B.4.1 个人风险和社会风险值标准</w:t>
      </w:r>
      <w:r>
        <w:rPr>
          <w:i w:val="0"/>
          <w:iCs w:val="0"/>
          <w:color w:val="auto"/>
        </w:rPr>
        <w:tab/>
      </w:r>
      <w:r>
        <w:rPr>
          <w:i w:val="0"/>
          <w:iCs w:val="0"/>
          <w:color w:val="auto"/>
        </w:rPr>
        <w:fldChar w:fldCharType="begin"/>
      </w:r>
      <w:r>
        <w:rPr>
          <w:i w:val="0"/>
          <w:iCs w:val="0"/>
          <w:color w:val="auto"/>
        </w:rPr>
        <w:instrText xml:space="preserve"> PAGEREF _Toc30351 \h </w:instrText>
      </w:r>
      <w:r>
        <w:rPr>
          <w:i w:val="0"/>
          <w:iCs w:val="0"/>
          <w:color w:val="auto"/>
        </w:rPr>
        <w:fldChar w:fldCharType="separate"/>
      </w:r>
      <w:r>
        <w:rPr>
          <w:i w:val="0"/>
          <w:iCs w:val="0"/>
          <w:color w:val="auto"/>
        </w:rPr>
        <w:t>251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_Toc26865 </w:instrText>
      </w:r>
      <w:r>
        <w:rPr>
          <w:i w:val="0"/>
          <w:iCs w:val="0"/>
          <w:color w:val="auto"/>
          <w:szCs w:val="28"/>
        </w:rPr>
        <w:fldChar w:fldCharType="separate"/>
      </w:r>
      <w:r>
        <w:rPr>
          <w:rFonts w:hint="eastAsia"/>
          <w:i w:val="0"/>
          <w:iCs w:val="0"/>
          <w:color w:val="auto"/>
          <w:lang w:val="en-US" w:eastAsia="zh-CN"/>
        </w:rPr>
        <w:t>B.4.2 外部安全防护距离</w:t>
      </w:r>
      <w:r>
        <w:rPr>
          <w:i w:val="0"/>
          <w:iCs w:val="0"/>
          <w:color w:val="auto"/>
        </w:rPr>
        <w:tab/>
      </w:r>
      <w:r>
        <w:rPr>
          <w:i w:val="0"/>
          <w:iCs w:val="0"/>
          <w:color w:val="auto"/>
        </w:rPr>
        <w:fldChar w:fldCharType="begin"/>
      </w:r>
      <w:r>
        <w:rPr>
          <w:i w:val="0"/>
          <w:iCs w:val="0"/>
          <w:color w:val="auto"/>
        </w:rPr>
        <w:instrText xml:space="preserve"> PAGEREF _Toc26865 \h </w:instrText>
      </w:r>
      <w:r>
        <w:rPr>
          <w:i w:val="0"/>
          <w:iCs w:val="0"/>
          <w:color w:val="auto"/>
        </w:rPr>
        <w:fldChar w:fldCharType="separate"/>
      </w:r>
      <w:r>
        <w:rPr>
          <w:i w:val="0"/>
          <w:iCs w:val="0"/>
          <w:color w:val="auto"/>
        </w:rPr>
        <w:t>258</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_Toc26857 </w:instrText>
      </w:r>
      <w:r>
        <w:rPr>
          <w:i w:val="0"/>
          <w:iCs w:val="0"/>
          <w:color w:val="auto"/>
          <w:szCs w:val="28"/>
        </w:rPr>
        <w:fldChar w:fldCharType="separate"/>
      </w:r>
      <w:r>
        <w:rPr>
          <w:rFonts w:hint="eastAsia"/>
          <w:i w:val="0"/>
          <w:iCs w:val="0"/>
          <w:color w:val="auto"/>
          <w:lang w:val="en-US" w:eastAsia="zh-CN"/>
        </w:rPr>
        <w:t>附录 C 定性、定量分析危险、有害因素</w:t>
      </w:r>
      <w:r>
        <w:rPr>
          <w:i w:val="0"/>
          <w:iCs w:val="0"/>
          <w:color w:val="auto"/>
        </w:rPr>
        <w:tab/>
      </w:r>
      <w:r>
        <w:rPr>
          <w:i w:val="0"/>
          <w:iCs w:val="0"/>
          <w:color w:val="auto"/>
        </w:rPr>
        <w:fldChar w:fldCharType="begin"/>
      </w:r>
      <w:r>
        <w:rPr>
          <w:i w:val="0"/>
          <w:iCs w:val="0"/>
          <w:color w:val="auto"/>
        </w:rPr>
        <w:instrText xml:space="preserve"> PAGEREF _Toc26857 \h </w:instrText>
      </w:r>
      <w:r>
        <w:rPr>
          <w:i w:val="0"/>
          <w:iCs w:val="0"/>
          <w:color w:val="auto"/>
        </w:rPr>
        <w:fldChar w:fldCharType="separate"/>
      </w:r>
      <w:r>
        <w:rPr>
          <w:i w:val="0"/>
          <w:iCs w:val="0"/>
          <w:color w:val="auto"/>
        </w:rPr>
        <w:t>259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_Toc25492 </w:instrText>
      </w:r>
      <w:r>
        <w:rPr>
          <w:i w:val="0"/>
          <w:iCs w:val="0"/>
          <w:color w:val="auto"/>
          <w:szCs w:val="28"/>
        </w:rPr>
        <w:fldChar w:fldCharType="separate"/>
      </w:r>
      <w:r>
        <w:rPr>
          <w:rFonts w:hint="eastAsia"/>
          <w:i w:val="0"/>
          <w:iCs w:val="0"/>
          <w:color w:val="auto"/>
          <w:lang w:val="en-US" w:eastAsia="zh-CN"/>
        </w:rPr>
        <w:t>C.1 项目选址与周边环境单元</w:t>
      </w:r>
      <w:r>
        <w:rPr>
          <w:i w:val="0"/>
          <w:iCs w:val="0"/>
          <w:color w:val="auto"/>
        </w:rPr>
        <w:tab/>
      </w:r>
      <w:r>
        <w:rPr>
          <w:i w:val="0"/>
          <w:iCs w:val="0"/>
          <w:color w:val="auto"/>
        </w:rPr>
        <w:fldChar w:fldCharType="begin"/>
      </w:r>
      <w:r>
        <w:rPr>
          <w:i w:val="0"/>
          <w:iCs w:val="0"/>
          <w:color w:val="auto"/>
        </w:rPr>
        <w:instrText xml:space="preserve"> PAGEREF _Toc25492 \h </w:instrText>
      </w:r>
      <w:r>
        <w:rPr>
          <w:i w:val="0"/>
          <w:iCs w:val="0"/>
          <w:color w:val="auto"/>
        </w:rPr>
        <w:fldChar w:fldCharType="separate"/>
      </w:r>
      <w:r>
        <w:rPr>
          <w:i w:val="0"/>
          <w:iCs w:val="0"/>
          <w:color w:val="auto"/>
        </w:rPr>
        <w:t>259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_Toc17422 </w:instrText>
      </w:r>
      <w:r>
        <w:rPr>
          <w:i w:val="0"/>
          <w:iCs w:val="0"/>
          <w:color w:val="auto"/>
          <w:szCs w:val="28"/>
        </w:rPr>
        <w:fldChar w:fldCharType="separate"/>
      </w:r>
      <w:r>
        <w:rPr>
          <w:rFonts w:hint="eastAsia"/>
          <w:i w:val="0"/>
          <w:iCs w:val="0"/>
          <w:color w:val="auto"/>
          <w:lang w:val="en-US" w:eastAsia="zh-CN"/>
        </w:rPr>
        <w:t>C.2 平面布置及建构筑物单元</w:t>
      </w:r>
      <w:r>
        <w:rPr>
          <w:i w:val="0"/>
          <w:iCs w:val="0"/>
          <w:color w:val="auto"/>
        </w:rPr>
        <w:tab/>
      </w:r>
      <w:r>
        <w:rPr>
          <w:i w:val="0"/>
          <w:iCs w:val="0"/>
          <w:color w:val="auto"/>
        </w:rPr>
        <w:fldChar w:fldCharType="begin"/>
      </w:r>
      <w:r>
        <w:rPr>
          <w:i w:val="0"/>
          <w:iCs w:val="0"/>
          <w:color w:val="auto"/>
        </w:rPr>
        <w:instrText xml:space="preserve"> PAGEREF _Toc17422 \h </w:instrText>
      </w:r>
      <w:r>
        <w:rPr>
          <w:i w:val="0"/>
          <w:iCs w:val="0"/>
          <w:color w:val="auto"/>
        </w:rPr>
        <w:fldChar w:fldCharType="separate"/>
      </w:r>
      <w:r>
        <w:rPr>
          <w:i w:val="0"/>
          <w:iCs w:val="0"/>
          <w:color w:val="auto"/>
        </w:rPr>
        <w:t>265</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_Toc12451 </w:instrText>
      </w:r>
      <w:r>
        <w:rPr>
          <w:i w:val="0"/>
          <w:iCs w:val="0"/>
          <w:color w:val="auto"/>
          <w:szCs w:val="28"/>
        </w:rPr>
        <w:fldChar w:fldCharType="separate"/>
      </w:r>
      <w:r>
        <w:rPr>
          <w:rFonts w:hint="eastAsia"/>
          <w:i w:val="0"/>
          <w:iCs w:val="0"/>
          <w:color w:val="auto"/>
          <w:lang w:val="en-US" w:eastAsia="zh-CN"/>
        </w:rPr>
        <w:t>C.3 生产工艺装置单元</w:t>
      </w:r>
      <w:r>
        <w:rPr>
          <w:i w:val="0"/>
          <w:iCs w:val="0"/>
          <w:color w:val="auto"/>
        </w:rPr>
        <w:tab/>
      </w:r>
      <w:r>
        <w:rPr>
          <w:i w:val="0"/>
          <w:iCs w:val="0"/>
          <w:color w:val="auto"/>
        </w:rPr>
        <w:fldChar w:fldCharType="begin"/>
      </w:r>
      <w:r>
        <w:rPr>
          <w:i w:val="0"/>
          <w:iCs w:val="0"/>
          <w:color w:val="auto"/>
        </w:rPr>
        <w:instrText xml:space="preserve"> PAGEREF _Toc12451 \h </w:instrText>
      </w:r>
      <w:r>
        <w:rPr>
          <w:i w:val="0"/>
          <w:iCs w:val="0"/>
          <w:color w:val="auto"/>
        </w:rPr>
        <w:fldChar w:fldCharType="separate"/>
      </w:r>
      <w:r>
        <w:rPr>
          <w:i w:val="0"/>
          <w:iCs w:val="0"/>
          <w:color w:val="auto"/>
        </w:rPr>
        <w:t>276</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_Toc646 </w:instrText>
      </w:r>
      <w:r>
        <w:rPr>
          <w:i w:val="0"/>
          <w:iCs w:val="0"/>
          <w:color w:val="auto"/>
          <w:szCs w:val="28"/>
        </w:rPr>
        <w:fldChar w:fldCharType="separate"/>
      </w:r>
      <w:r>
        <w:rPr>
          <w:rFonts w:hint="eastAsia"/>
          <w:i w:val="0"/>
          <w:iCs w:val="0"/>
          <w:color w:val="auto"/>
        </w:rPr>
        <w:t>C</w:t>
      </w:r>
      <w:r>
        <w:rPr>
          <w:i w:val="0"/>
          <w:iCs w:val="0"/>
          <w:color w:val="auto"/>
        </w:rPr>
        <w:t xml:space="preserve">.4 </w:t>
      </w:r>
      <w:r>
        <w:rPr>
          <w:rFonts w:hint="eastAsia"/>
          <w:i w:val="0"/>
          <w:iCs w:val="0"/>
          <w:color w:val="auto"/>
        </w:rPr>
        <w:t>公用工程及辅助设施单元</w:t>
      </w:r>
      <w:r>
        <w:rPr>
          <w:i w:val="0"/>
          <w:iCs w:val="0"/>
          <w:color w:val="auto"/>
        </w:rPr>
        <w:tab/>
      </w:r>
      <w:r>
        <w:rPr>
          <w:i w:val="0"/>
          <w:iCs w:val="0"/>
          <w:color w:val="auto"/>
        </w:rPr>
        <w:fldChar w:fldCharType="begin"/>
      </w:r>
      <w:r>
        <w:rPr>
          <w:i w:val="0"/>
          <w:iCs w:val="0"/>
          <w:color w:val="auto"/>
        </w:rPr>
        <w:instrText xml:space="preserve"> PAGEREF _Toc646 \h </w:instrText>
      </w:r>
      <w:r>
        <w:rPr>
          <w:i w:val="0"/>
          <w:iCs w:val="0"/>
          <w:color w:val="auto"/>
        </w:rPr>
        <w:fldChar w:fldCharType="separate"/>
      </w:r>
      <w:r>
        <w:rPr>
          <w:i w:val="0"/>
          <w:iCs w:val="0"/>
          <w:color w:val="auto"/>
        </w:rPr>
        <w:t>281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_Toc16616 </w:instrText>
      </w:r>
      <w:r>
        <w:rPr>
          <w:i w:val="0"/>
          <w:iCs w:val="0"/>
          <w:color w:val="auto"/>
          <w:szCs w:val="28"/>
        </w:rPr>
        <w:fldChar w:fldCharType="separate"/>
      </w:r>
      <w:r>
        <w:rPr>
          <w:i w:val="0"/>
          <w:iCs w:val="0"/>
          <w:color w:val="auto"/>
        </w:rPr>
        <w:t>C</w:t>
      </w:r>
      <w:r>
        <w:rPr>
          <w:rFonts w:hint="eastAsia"/>
          <w:i w:val="0"/>
          <w:iCs w:val="0"/>
          <w:color w:val="auto"/>
        </w:rPr>
        <w:t>.4.1</w:t>
      </w:r>
      <w:r>
        <w:rPr>
          <w:i w:val="0"/>
          <w:iCs w:val="0"/>
          <w:color w:val="auto"/>
        </w:rPr>
        <w:t xml:space="preserve"> </w:t>
      </w:r>
      <w:r>
        <w:rPr>
          <w:rFonts w:hint="eastAsia"/>
          <w:i w:val="0"/>
          <w:iCs w:val="0"/>
          <w:color w:val="auto"/>
        </w:rPr>
        <w:t>电气子单元</w:t>
      </w:r>
      <w:r>
        <w:rPr>
          <w:i w:val="0"/>
          <w:iCs w:val="0"/>
          <w:color w:val="auto"/>
        </w:rPr>
        <w:tab/>
      </w:r>
      <w:r>
        <w:rPr>
          <w:i w:val="0"/>
          <w:iCs w:val="0"/>
          <w:color w:val="auto"/>
        </w:rPr>
        <w:fldChar w:fldCharType="begin"/>
      </w:r>
      <w:r>
        <w:rPr>
          <w:i w:val="0"/>
          <w:iCs w:val="0"/>
          <w:color w:val="auto"/>
        </w:rPr>
        <w:instrText xml:space="preserve"> PAGEREF _Toc16616 \h </w:instrText>
      </w:r>
      <w:r>
        <w:rPr>
          <w:i w:val="0"/>
          <w:iCs w:val="0"/>
          <w:color w:val="auto"/>
        </w:rPr>
        <w:fldChar w:fldCharType="separate"/>
      </w:r>
      <w:r>
        <w:rPr>
          <w:i w:val="0"/>
          <w:iCs w:val="0"/>
          <w:color w:val="auto"/>
        </w:rPr>
        <w:t>281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_Toc14547 </w:instrText>
      </w:r>
      <w:r>
        <w:rPr>
          <w:i w:val="0"/>
          <w:iCs w:val="0"/>
          <w:color w:val="auto"/>
          <w:szCs w:val="28"/>
        </w:rPr>
        <w:fldChar w:fldCharType="separate"/>
      </w:r>
      <w:r>
        <w:rPr>
          <w:i w:val="0"/>
          <w:iCs w:val="0"/>
          <w:color w:val="auto"/>
        </w:rPr>
        <w:t xml:space="preserve">C.4.2 </w:t>
      </w:r>
      <w:r>
        <w:rPr>
          <w:rFonts w:hint="eastAsia"/>
          <w:i w:val="0"/>
          <w:iCs w:val="0"/>
          <w:color w:val="auto"/>
        </w:rPr>
        <w:t>仪表自动控制子单元</w:t>
      </w:r>
      <w:r>
        <w:rPr>
          <w:i w:val="0"/>
          <w:iCs w:val="0"/>
          <w:color w:val="auto"/>
        </w:rPr>
        <w:tab/>
      </w:r>
      <w:r>
        <w:rPr>
          <w:i w:val="0"/>
          <w:iCs w:val="0"/>
          <w:color w:val="auto"/>
        </w:rPr>
        <w:fldChar w:fldCharType="begin"/>
      </w:r>
      <w:r>
        <w:rPr>
          <w:i w:val="0"/>
          <w:iCs w:val="0"/>
          <w:color w:val="auto"/>
        </w:rPr>
        <w:instrText xml:space="preserve"> PAGEREF _Toc14547 \h </w:instrText>
      </w:r>
      <w:r>
        <w:rPr>
          <w:i w:val="0"/>
          <w:iCs w:val="0"/>
          <w:color w:val="auto"/>
        </w:rPr>
        <w:fldChar w:fldCharType="separate"/>
      </w:r>
      <w:r>
        <w:rPr>
          <w:i w:val="0"/>
          <w:iCs w:val="0"/>
          <w:color w:val="auto"/>
        </w:rPr>
        <w:t>284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_Toc2638 </w:instrText>
      </w:r>
      <w:r>
        <w:rPr>
          <w:i w:val="0"/>
          <w:iCs w:val="0"/>
          <w:color w:val="auto"/>
          <w:szCs w:val="28"/>
        </w:rPr>
        <w:fldChar w:fldCharType="separate"/>
      </w:r>
      <w:r>
        <w:rPr>
          <w:i w:val="0"/>
          <w:iCs w:val="0"/>
          <w:color w:val="auto"/>
        </w:rPr>
        <w:t xml:space="preserve">C.4.3 </w:t>
      </w:r>
      <w:r>
        <w:rPr>
          <w:rFonts w:hint="eastAsia"/>
          <w:i w:val="0"/>
          <w:iCs w:val="0"/>
          <w:color w:val="auto"/>
        </w:rPr>
        <w:t>给排水系统子单元</w:t>
      </w:r>
      <w:r>
        <w:rPr>
          <w:i w:val="0"/>
          <w:iCs w:val="0"/>
          <w:color w:val="auto"/>
        </w:rPr>
        <w:tab/>
      </w:r>
      <w:r>
        <w:rPr>
          <w:i w:val="0"/>
          <w:iCs w:val="0"/>
          <w:color w:val="auto"/>
        </w:rPr>
        <w:fldChar w:fldCharType="begin"/>
      </w:r>
      <w:r>
        <w:rPr>
          <w:i w:val="0"/>
          <w:iCs w:val="0"/>
          <w:color w:val="auto"/>
        </w:rPr>
        <w:instrText xml:space="preserve"> PAGEREF _Toc2638 \h </w:instrText>
      </w:r>
      <w:r>
        <w:rPr>
          <w:i w:val="0"/>
          <w:iCs w:val="0"/>
          <w:color w:val="auto"/>
        </w:rPr>
        <w:fldChar w:fldCharType="separate"/>
      </w:r>
      <w:r>
        <w:rPr>
          <w:i w:val="0"/>
          <w:iCs w:val="0"/>
          <w:color w:val="auto"/>
        </w:rPr>
        <w:t>286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_Toc13020 </w:instrText>
      </w:r>
      <w:r>
        <w:rPr>
          <w:i w:val="0"/>
          <w:iCs w:val="0"/>
          <w:color w:val="auto"/>
          <w:szCs w:val="28"/>
        </w:rPr>
        <w:fldChar w:fldCharType="separate"/>
      </w:r>
      <w:r>
        <w:rPr>
          <w:i w:val="0"/>
          <w:iCs w:val="0"/>
          <w:color w:val="auto"/>
        </w:rPr>
        <w:t xml:space="preserve">C.4.4 </w:t>
      </w:r>
      <w:r>
        <w:rPr>
          <w:rFonts w:hint="eastAsia"/>
          <w:i w:val="0"/>
          <w:iCs w:val="0"/>
          <w:color w:val="auto"/>
        </w:rPr>
        <w:t>冷冻站子单元</w:t>
      </w:r>
      <w:r>
        <w:rPr>
          <w:i w:val="0"/>
          <w:iCs w:val="0"/>
          <w:color w:val="auto"/>
        </w:rPr>
        <w:tab/>
      </w:r>
      <w:r>
        <w:rPr>
          <w:i w:val="0"/>
          <w:iCs w:val="0"/>
          <w:color w:val="auto"/>
        </w:rPr>
        <w:fldChar w:fldCharType="begin"/>
      </w:r>
      <w:r>
        <w:rPr>
          <w:i w:val="0"/>
          <w:iCs w:val="0"/>
          <w:color w:val="auto"/>
        </w:rPr>
        <w:instrText xml:space="preserve"> PAGEREF _Toc13020 \h </w:instrText>
      </w:r>
      <w:r>
        <w:rPr>
          <w:i w:val="0"/>
          <w:iCs w:val="0"/>
          <w:color w:val="auto"/>
        </w:rPr>
        <w:fldChar w:fldCharType="separate"/>
      </w:r>
      <w:r>
        <w:rPr>
          <w:i w:val="0"/>
          <w:iCs w:val="0"/>
          <w:color w:val="auto"/>
        </w:rPr>
        <w:t>286</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_Toc18463 </w:instrText>
      </w:r>
      <w:r>
        <w:rPr>
          <w:i w:val="0"/>
          <w:iCs w:val="0"/>
          <w:color w:val="auto"/>
          <w:szCs w:val="28"/>
        </w:rPr>
        <w:fldChar w:fldCharType="separate"/>
      </w:r>
      <w:r>
        <w:rPr>
          <w:i w:val="0"/>
          <w:iCs w:val="0"/>
          <w:color w:val="auto"/>
        </w:rPr>
        <w:t>C.4.</w:t>
      </w:r>
      <w:r>
        <w:rPr>
          <w:rFonts w:hint="eastAsia"/>
          <w:i w:val="0"/>
          <w:iCs w:val="0"/>
          <w:color w:val="auto"/>
          <w:lang w:val="en-US" w:eastAsia="zh-CN"/>
        </w:rPr>
        <w:t>5</w:t>
      </w:r>
      <w:r>
        <w:rPr>
          <w:i w:val="0"/>
          <w:iCs w:val="0"/>
          <w:color w:val="auto"/>
        </w:rPr>
        <w:t xml:space="preserve"> </w:t>
      </w:r>
      <w:r>
        <w:rPr>
          <w:rFonts w:hint="eastAsia"/>
          <w:i w:val="0"/>
          <w:iCs w:val="0"/>
          <w:color w:val="auto"/>
          <w:lang w:val="en-US" w:eastAsia="zh-CN"/>
        </w:rPr>
        <w:t>废气处理装置</w:t>
      </w:r>
      <w:r>
        <w:rPr>
          <w:rFonts w:hint="eastAsia"/>
          <w:i w:val="0"/>
          <w:iCs w:val="0"/>
          <w:color w:val="auto"/>
        </w:rPr>
        <w:t>子单元</w:t>
      </w:r>
      <w:r>
        <w:rPr>
          <w:i w:val="0"/>
          <w:iCs w:val="0"/>
          <w:color w:val="auto"/>
        </w:rPr>
        <w:tab/>
      </w:r>
      <w:r>
        <w:rPr>
          <w:i w:val="0"/>
          <w:iCs w:val="0"/>
          <w:color w:val="auto"/>
        </w:rPr>
        <w:fldChar w:fldCharType="begin"/>
      </w:r>
      <w:r>
        <w:rPr>
          <w:i w:val="0"/>
          <w:iCs w:val="0"/>
          <w:color w:val="auto"/>
        </w:rPr>
        <w:instrText xml:space="preserve"> PAGEREF _Toc18463 \h </w:instrText>
      </w:r>
      <w:r>
        <w:rPr>
          <w:i w:val="0"/>
          <w:iCs w:val="0"/>
          <w:color w:val="auto"/>
        </w:rPr>
        <w:fldChar w:fldCharType="separate"/>
      </w:r>
      <w:r>
        <w:rPr>
          <w:i w:val="0"/>
          <w:iCs w:val="0"/>
          <w:color w:val="auto"/>
        </w:rPr>
        <w:t>288</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_Toc27070 </w:instrText>
      </w:r>
      <w:r>
        <w:rPr>
          <w:i w:val="0"/>
          <w:iCs w:val="0"/>
          <w:color w:val="auto"/>
          <w:szCs w:val="28"/>
        </w:rPr>
        <w:fldChar w:fldCharType="separate"/>
      </w:r>
      <w:r>
        <w:rPr>
          <w:i w:val="0"/>
          <w:iCs w:val="0"/>
          <w:color w:val="auto"/>
        </w:rPr>
        <w:t>C.4.</w:t>
      </w:r>
      <w:r>
        <w:rPr>
          <w:rFonts w:hint="eastAsia"/>
          <w:i w:val="0"/>
          <w:iCs w:val="0"/>
          <w:color w:val="auto"/>
          <w:lang w:val="en-US" w:eastAsia="zh-CN"/>
        </w:rPr>
        <w:t>6</w:t>
      </w:r>
      <w:r>
        <w:rPr>
          <w:rFonts w:hint="eastAsia"/>
          <w:i w:val="0"/>
          <w:iCs w:val="0"/>
          <w:color w:val="auto"/>
        </w:rPr>
        <w:t>空压氮</w:t>
      </w:r>
      <w:r>
        <w:rPr>
          <w:rFonts w:hint="eastAsia"/>
          <w:i w:val="0"/>
          <w:iCs w:val="0"/>
          <w:color w:val="auto"/>
          <w:lang w:val="en-US" w:eastAsia="zh-CN"/>
        </w:rPr>
        <w:t>气</w:t>
      </w:r>
      <w:r>
        <w:rPr>
          <w:rFonts w:hint="eastAsia"/>
          <w:i w:val="0"/>
          <w:iCs w:val="0"/>
          <w:color w:val="auto"/>
        </w:rPr>
        <w:t>装置子单元</w:t>
      </w:r>
      <w:r>
        <w:rPr>
          <w:i w:val="0"/>
          <w:iCs w:val="0"/>
          <w:color w:val="auto"/>
        </w:rPr>
        <w:tab/>
      </w:r>
      <w:r>
        <w:rPr>
          <w:i w:val="0"/>
          <w:iCs w:val="0"/>
          <w:color w:val="auto"/>
        </w:rPr>
        <w:fldChar w:fldCharType="begin"/>
      </w:r>
      <w:r>
        <w:rPr>
          <w:i w:val="0"/>
          <w:iCs w:val="0"/>
          <w:color w:val="auto"/>
        </w:rPr>
        <w:instrText xml:space="preserve"> PAGEREF _Toc27070 \h </w:instrText>
      </w:r>
      <w:r>
        <w:rPr>
          <w:i w:val="0"/>
          <w:iCs w:val="0"/>
          <w:color w:val="auto"/>
        </w:rPr>
        <w:fldChar w:fldCharType="separate"/>
      </w:r>
      <w:r>
        <w:rPr>
          <w:i w:val="0"/>
          <w:iCs w:val="0"/>
          <w:color w:val="auto"/>
        </w:rPr>
        <w:t>289</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_Toc31994 </w:instrText>
      </w:r>
      <w:r>
        <w:rPr>
          <w:i w:val="0"/>
          <w:iCs w:val="0"/>
          <w:color w:val="auto"/>
          <w:szCs w:val="28"/>
        </w:rPr>
        <w:fldChar w:fldCharType="separate"/>
      </w:r>
      <w:r>
        <w:rPr>
          <w:rFonts w:hint="eastAsia"/>
          <w:i w:val="0"/>
          <w:iCs w:val="0"/>
          <w:color w:val="auto"/>
        </w:rPr>
        <w:t>C</w:t>
      </w:r>
      <w:r>
        <w:rPr>
          <w:i w:val="0"/>
          <w:iCs w:val="0"/>
          <w:color w:val="auto"/>
        </w:rPr>
        <w:t xml:space="preserve">.5 </w:t>
      </w:r>
      <w:r>
        <w:rPr>
          <w:rFonts w:hint="eastAsia"/>
          <w:i w:val="0"/>
          <w:iCs w:val="0"/>
          <w:color w:val="auto"/>
        </w:rPr>
        <w:t>储运系统单元</w:t>
      </w:r>
      <w:r>
        <w:rPr>
          <w:i w:val="0"/>
          <w:iCs w:val="0"/>
          <w:color w:val="auto"/>
        </w:rPr>
        <w:tab/>
      </w:r>
      <w:r>
        <w:rPr>
          <w:i w:val="0"/>
          <w:iCs w:val="0"/>
          <w:color w:val="auto"/>
        </w:rPr>
        <w:fldChar w:fldCharType="begin"/>
      </w:r>
      <w:r>
        <w:rPr>
          <w:i w:val="0"/>
          <w:iCs w:val="0"/>
          <w:color w:val="auto"/>
        </w:rPr>
        <w:instrText xml:space="preserve"> PAGEREF _Toc31994 \h </w:instrText>
      </w:r>
      <w:r>
        <w:rPr>
          <w:i w:val="0"/>
          <w:iCs w:val="0"/>
          <w:color w:val="auto"/>
        </w:rPr>
        <w:fldChar w:fldCharType="separate"/>
      </w:r>
      <w:r>
        <w:rPr>
          <w:i w:val="0"/>
          <w:iCs w:val="0"/>
          <w:color w:val="auto"/>
        </w:rPr>
        <w:t>291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_Toc9569 </w:instrText>
      </w:r>
      <w:r>
        <w:rPr>
          <w:i w:val="0"/>
          <w:iCs w:val="0"/>
          <w:color w:val="auto"/>
          <w:szCs w:val="28"/>
        </w:rPr>
        <w:fldChar w:fldCharType="separate"/>
      </w:r>
      <w:r>
        <w:rPr>
          <w:i w:val="0"/>
          <w:iCs w:val="0"/>
          <w:color w:val="auto"/>
        </w:rPr>
        <w:t xml:space="preserve">C.5.1 </w:t>
      </w:r>
      <w:r>
        <w:rPr>
          <w:rFonts w:hint="eastAsia"/>
          <w:i w:val="0"/>
          <w:iCs w:val="0"/>
          <w:color w:val="auto"/>
        </w:rPr>
        <w:t>仓库子单元</w:t>
      </w:r>
      <w:r>
        <w:rPr>
          <w:i w:val="0"/>
          <w:iCs w:val="0"/>
          <w:color w:val="auto"/>
        </w:rPr>
        <w:tab/>
      </w:r>
      <w:r>
        <w:rPr>
          <w:i w:val="0"/>
          <w:iCs w:val="0"/>
          <w:color w:val="auto"/>
        </w:rPr>
        <w:fldChar w:fldCharType="begin"/>
      </w:r>
      <w:r>
        <w:rPr>
          <w:i w:val="0"/>
          <w:iCs w:val="0"/>
          <w:color w:val="auto"/>
        </w:rPr>
        <w:instrText xml:space="preserve"> PAGEREF _Toc9569 \h </w:instrText>
      </w:r>
      <w:r>
        <w:rPr>
          <w:i w:val="0"/>
          <w:iCs w:val="0"/>
          <w:color w:val="auto"/>
        </w:rPr>
        <w:fldChar w:fldCharType="separate"/>
      </w:r>
      <w:r>
        <w:rPr>
          <w:i w:val="0"/>
          <w:iCs w:val="0"/>
          <w:color w:val="auto"/>
        </w:rPr>
        <w:t>291</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_Toc29286 </w:instrText>
      </w:r>
      <w:r>
        <w:rPr>
          <w:i w:val="0"/>
          <w:iCs w:val="0"/>
          <w:color w:val="auto"/>
          <w:szCs w:val="28"/>
        </w:rPr>
        <w:fldChar w:fldCharType="separate"/>
      </w:r>
      <w:r>
        <w:rPr>
          <w:i w:val="0"/>
          <w:iCs w:val="0"/>
          <w:color w:val="auto"/>
        </w:rPr>
        <w:t xml:space="preserve">C.5.2 </w:t>
      </w:r>
      <w:r>
        <w:rPr>
          <w:rFonts w:hint="eastAsia"/>
          <w:i w:val="0"/>
          <w:iCs w:val="0"/>
          <w:color w:val="auto"/>
        </w:rPr>
        <w:t>罐区子单元</w:t>
      </w:r>
      <w:r>
        <w:rPr>
          <w:i w:val="0"/>
          <w:iCs w:val="0"/>
          <w:color w:val="auto"/>
        </w:rPr>
        <w:tab/>
      </w:r>
      <w:r>
        <w:rPr>
          <w:i w:val="0"/>
          <w:iCs w:val="0"/>
          <w:color w:val="auto"/>
        </w:rPr>
        <w:fldChar w:fldCharType="begin"/>
      </w:r>
      <w:r>
        <w:rPr>
          <w:i w:val="0"/>
          <w:iCs w:val="0"/>
          <w:color w:val="auto"/>
        </w:rPr>
        <w:instrText xml:space="preserve"> PAGEREF _Toc29286 \h </w:instrText>
      </w:r>
      <w:r>
        <w:rPr>
          <w:i w:val="0"/>
          <w:iCs w:val="0"/>
          <w:color w:val="auto"/>
        </w:rPr>
        <w:fldChar w:fldCharType="separate"/>
      </w:r>
      <w:r>
        <w:rPr>
          <w:i w:val="0"/>
          <w:iCs w:val="0"/>
          <w:color w:val="auto"/>
        </w:rPr>
        <w:t>294</w:t>
      </w:r>
      <w:r>
        <w:rPr>
          <w:i w:val="0"/>
          <w:iCs w:val="0"/>
          <w:color w:val="auto"/>
        </w:rPr>
        <w:fldChar w:fldCharType="end"/>
      </w:r>
      <w:r>
        <w:rPr>
          <w:i w:val="0"/>
          <w:iCs w:val="0"/>
          <w:color w:val="auto"/>
          <w:szCs w:val="28"/>
        </w:rPr>
        <w:fldChar w:fldCharType="end"/>
      </w:r>
    </w:p>
    <w:p>
      <w:pPr>
        <w:pStyle w:val="24"/>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_Toc23107 </w:instrText>
      </w:r>
      <w:r>
        <w:rPr>
          <w:i w:val="0"/>
          <w:iCs w:val="0"/>
          <w:color w:val="auto"/>
          <w:szCs w:val="28"/>
        </w:rPr>
        <w:fldChar w:fldCharType="separate"/>
      </w:r>
      <w:r>
        <w:rPr>
          <w:i w:val="0"/>
          <w:iCs w:val="0"/>
          <w:color w:val="auto"/>
        </w:rPr>
        <w:t xml:space="preserve">C.5.3 </w:t>
      </w:r>
      <w:r>
        <w:rPr>
          <w:rFonts w:hint="eastAsia"/>
          <w:i w:val="0"/>
          <w:iCs w:val="0"/>
          <w:color w:val="auto"/>
        </w:rPr>
        <w:t>装卸子单元</w:t>
      </w:r>
      <w:r>
        <w:rPr>
          <w:i w:val="0"/>
          <w:iCs w:val="0"/>
          <w:color w:val="auto"/>
        </w:rPr>
        <w:tab/>
      </w:r>
      <w:r>
        <w:rPr>
          <w:i w:val="0"/>
          <w:iCs w:val="0"/>
          <w:color w:val="auto"/>
        </w:rPr>
        <w:fldChar w:fldCharType="begin"/>
      </w:r>
      <w:r>
        <w:rPr>
          <w:i w:val="0"/>
          <w:iCs w:val="0"/>
          <w:color w:val="auto"/>
        </w:rPr>
        <w:instrText xml:space="preserve"> PAGEREF _Toc23107 \h </w:instrText>
      </w:r>
      <w:r>
        <w:rPr>
          <w:i w:val="0"/>
          <w:iCs w:val="0"/>
          <w:color w:val="auto"/>
        </w:rPr>
        <w:fldChar w:fldCharType="separate"/>
      </w:r>
      <w:r>
        <w:rPr>
          <w:i w:val="0"/>
          <w:iCs w:val="0"/>
          <w:color w:val="auto"/>
        </w:rPr>
        <w:t>297</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_Toc19155 </w:instrText>
      </w:r>
      <w:r>
        <w:rPr>
          <w:i w:val="0"/>
          <w:iCs w:val="0"/>
          <w:color w:val="auto"/>
          <w:szCs w:val="28"/>
        </w:rPr>
        <w:fldChar w:fldCharType="separate"/>
      </w:r>
      <w:r>
        <w:rPr>
          <w:rFonts w:hint="eastAsia"/>
          <w:i w:val="0"/>
          <w:iCs w:val="0"/>
          <w:color w:val="auto"/>
        </w:rPr>
        <w:t>C</w:t>
      </w:r>
      <w:r>
        <w:rPr>
          <w:i w:val="0"/>
          <w:iCs w:val="0"/>
          <w:color w:val="auto"/>
        </w:rPr>
        <w:t xml:space="preserve">.6 </w:t>
      </w:r>
      <w:r>
        <w:rPr>
          <w:rFonts w:hint="eastAsia"/>
          <w:i w:val="0"/>
          <w:iCs w:val="0"/>
          <w:color w:val="auto"/>
        </w:rPr>
        <w:t>特种设备单元</w:t>
      </w:r>
      <w:r>
        <w:rPr>
          <w:i w:val="0"/>
          <w:iCs w:val="0"/>
          <w:color w:val="auto"/>
        </w:rPr>
        <w:tab/>
      </w:r>
      <w:r>
        <w:rPr>
          <w:i w:val="0"/>
          <w:iCs w:val="0"/>
          <w:color w:val="auto"/>
        </w:rPr>
        <w:fldChar w:fldCharType="begin"/>
      </w:r>
      <w:r>
        <w:rPr>
          <w:i w:val="0"/>
          <w:iCs w:val="0"/>
          <w:color w:val="auto"/>
        </w:rPr>
        <w:instrText xml:space="preserve"> PAGEREF _Toc19155 \h </w:instrText>
      </w:r>
      <w:r>
        <w:rPr>
          <w:i w:val="0"/>
          <w:iCs w:val="0"/>
          <w:color w:val="auto"/>
        </w:rPr>
        <w:fldChar w:fldCharType="separate"/>
      </w:r>
      <w:r>
        <w:rPr>
          <w:i w:val="0"/>
          <w:iCs w:val="0"/>
          <w:color w:val="auto"/>
        </w:rPr>
        <w:t>298</w:t>
      </w:r>
      <w:r>
        <w:rPr>
          <w:i w:val="0"/>
          <w:iCs w:val="0"/>
          <w:color w:val="auto"/>
        </w:rPr>
        <w:fldChar w:fldCharType="end"/>
      </w:r>
      <w:r>
        <w:rPr>
          <w:i w:val="0"/>
          <w:iCs w:val="0"/>
          <w:color w:val="auto"/>
          <w:szCs w:val="28"/>
        </w:rPr>
        <w:fldChar w:fldCharType="end"/>
      </w:r>
    </w:p>
    <w:p>
      <w:pPr>
        <w:pStyle w:val="35"/>
        <w:tabs>
          <w:tab w:val="right" w:leader="dot" w:pos="9184"/>
        </w:tabs>
        <w:rPr>
          <w:i w:val="0"/>
          <w:iCs w:val="0"/>
          <w:color w:val="auto"/>
        </w:rPr>
      </w:pPr>
      <w:r>
        <w:rPr>
          <w:i w:val="0"/>
          <w:iCs w:val="0"/>
          <w:color w:val="auto"/>
          <w:szCs w:val="28"/>
        </w:rPr>
        <w:fldChar w:fldCharType="begin"/>
      </w:r>
      <w:r>
        <w:rPr>
          <w:i w:val="0"/>
          <w:iCs w:val="0"/>
          <w:color w:val="auto"/>
          <w:szCs w:val="28"/>
        </w:rPr>
        <w:instrText xml:space="preserve"> HYPERLINK \l _Toc8552 </w:instrText>
      </w:r>
      <w:r>
        <w:rPr>
          <w:i w:val="0"/>
          <w:iCs w:val="0"/>
          <w:color w:val="auto"/>
          <w:szCs w:val="28"/>
        </w:rPr>
        <w:fldChar w:fldCharType="separate"/>
      </w:r>
      <w:r>
        <w:rPr>
          <w:i w:val="0"/>
          <w:iCs w:val="0"/>
          <w:color w:val="auto"/>
        </w:rPr>
        <w:t>C</w:t>
      </w:r>
      <w:r>
        <w:rPr>
          <w:rFonts w:hint="eastAsia"/>
          <w:i w:val="0"/>
          <w:iCs w:val="0"/>
          <w:color w:val="auto"/>
        </w:rPr>
        <w:t>.7</w:t>
      </w:r>
      <w:r>
        <w:rPr>
          <w:i w:val="0"/>
          <w:iCs w:val="0"/>
          <w:color w:val="auto"/>
        </w:rPr>
        <w:t xml:space="preserve"> </w:t>
      </w:r>
      <w:r>
        <w:rPr>
          <w:rFonts w:hint="eastAsia"/>
          <w:i w:val="0"/>
          <w:iCs w:val="0"/>
          <w:color w:val="auto"/>
        </w:rPr>
        <w:t>消防单元</w:t>
      </w:r>
      <w:r>
        <w:rPr>
          <w:i w:val="0"/>
          <w:iCs w:val="0"/>
          <w:color w:val="auto"/>
        </w:rPr>
        <w:tab/>
      </w:r>
      <w:r>
        <w:rPr>
          <w:i w:val="0"/>
          <w:iCs w:val="0"/>
          <w:color w:val="auto"/>
        </w:rPr>
        <w:fldChar w:fldCharType="begin"/>
      </w:r>
      <w:r>
        <w:rPr>
          <w:i w:val="0"/>
          <w:iCs w:val="0"/>
          <w:color w:val="auto"/>
        </w:rPr>
        <w:instrText xml:space="preserve"> PAGEREF _Toc8552 \h </w:instrText>
      </w:r>
      <w:r>
        <w:rPr>
          <w:i w:val="0"/>
          <w:iCs w:val="0"/>
          <w:color w:val="auto"/>
        </w:rPr>
        <w:fldChar w:fldCharType="separate"/>
      </w:r>
      <w:r>
        <w:rPr>
          <w:i w:val="0"/>
          <w:iCs w:val="0"/>
          <w:color w:val="auto"/>
        </w:rPr>
        <w:t>300</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_Toc4172 </w:instrText>
      </w:r>
      <w:r>
        <w:rPr>
          <w:i w:val="0"/>
          <w:iCs w:val="0"/>
          <w:color w:val="auto"/>
          <w:szCs w:val="28"/>
        </w:rPr>
        <w:fldChar w:fldCharType="separate"/>
      </w:r>
      <w:r>
        <w:rPr>
          <w:rFonts w:hint="eastAsia"/>
          <w:i w:val="0"/>
          <w:iCs w:val="0"/>
          <w:color w:val="auto"/>
        </w:rPr>
        <w:t>附录D</w:t>
      </w:r>
      <w:r>
        <w:rPr>
          <w:i w:val="0"/>
          <w:iCs w:val="0"/>
          <w:color w:val="auto"/>
        </w:rPr>
        <w:t xml:space="preserve"> </w:t>
      </w:r>
      <w:r>
        <w:rPr>
          <w:rFonts w:hint="eastAsia"/>
          <w:i w:val="0"/>
          <w:iCs w:val="0"/>
          <w:color w:val="auto"/>
        </w:rPr>
        <w:t>危险化学品危险特性表</w:t>
      </w:r>
      <w:r>
        <w:rPr>
          <w:i w:val="0"/>
          <w:iCs w:val="0"/>
          <w:color w:val="auto"/>
        </w:rPr>
        <w:tab/>
      </w:r>
      <w:r>
        <w:rPr>
          <w:i w:val="0"/>
          <w:iCs w:val="0"/>
          <w:color w:val="auto"/>
        </w:rPr>
        <w:fldChar w:fldCharType="begin"/>
      </w:r>
      <w:r>
        <w:rPr>
          <w:i w:val="0"/>
          <w:iCs w:val="0"/>
          <w:color w:val="auto"/>
        </w:rPr>
        <w:instrText xml:space="preserve"> PAGEREF _Toc4172 \h </w:instrText>
      </w:r>
      <w:r>
        <w:rPr>
          <w:i w:val="0"/>
          <w:iCs w:val="0"/>
          <w:color w:val="auto"/>
        </w:rPr>
        <w:fldChar w:fldCharType="separate"/>
      </w:r>
      <w:r>
        <w:rPr>
          <w:i w:val="0"/>
          <w:iCs w:val="0"/>
          <w:color w:val="auto"/>
        </w:rPr>
        <w:t>304</w:t>
      </w:r>
      <w:r>
        <w:rPr>
          <w:i w:val="0"/>
          <w:iCs w:val="0"/>
          <w:color w:val="auto"/>
        </w:rPr>
        <w:fldChar w:fldCharType="end"/>
      </w:r>
      <w:r>
        <w:rPr>
          <w:i w:val="0"/>
          <w:iCs w:val="0"/>
          <w:color w:val="auto"/>
          <w:szCs w:val="28"/>
        </w:rPr>
        <w:fldChar w:fldCharType="end"/>
      </w:r>
    </w:p>
    <w:p>
      <w:pPr>
        <w:pStyle w:val="32"/>
        <w:tabs>
          <w:tab w:val="right" w:leader="dot" w:pos="9184"/>
          <w:tab w:val="clear" w:pos="9231"/>
        </w:tabs>
        <w:rPr>
          <w:i w:val="0"/>
          <w:iCs w:val="0"/>
          <w:color w:val="auto"/>
        </w:rPr>
      </w:pPr>
      <w:r>
        <w:rPr>
          <w:i w:val="0"/>
          <w:iCs w:val="0"/>
          <w:color w:val="auto"/>
          <w:szCs w:val="28"/>
        </w:rPr>
        <w:fldChar w:fldCharType="begin"/>
      </w:r>
      <w:r>
        <w:rPr>
          <w:i w:val="0"/>
          <w:iCs w:val="0"/>
          <w:color w:val="auto"/>
          <w:szCs w:val="28"/>
        </w:rPr>
        <w:instrText xml:space="preserve"> HYPERLINK \l _Toc26980 </w:instrText>
      </w:r>
      <w:r>
        <w:rPr>
          <w:i w:val="0"/>
          <w:iCs w:val="0"/>
          <w:color w:val="auto"/>
          <w:szCs w:val="28"/>
        </w:rPr>
        <w:fldChar w:fldCharType="separate"/>
      </w:r>
      <w:r>
        <w:rPr>
          <w:rFonts w:hint="eastAsia"/>
          <w:i w:val="0"/>
          <w:iCs w:val="0"/>
          <w:color w:val="auto"/>
          <w:lang w:val="en-US" w:eastAsia="zh-CN"/>
        </w:rPr>
        <w:t>附件</w:t>
      </w:r>
      <w:r>
        <w:rPr>
          <w:i w:val="0"/>
          <w:iCs w:val="0"/>
          <w:color w:val="auto"/>
        </w:rPr>
        <w:tab/>
      </w:r>
      <w:r>
        <w:rPr>
          <w:i w:val="0"/>
          <w:iCs w:val="0"/>
          <w:color w:val="auto"/>
        </w:rPr>
        <w:fldChar w:fldCharType="begin"/>
      </w:r>
      <w:r>
        <w:rPr>
          <w:i w:val="0"/>
          <w:iCs w:val="0"/>
          <w:color w:val="auto"/>
        </w:rPr>
        <w:instrText xml:space="preserve"> PAGEREF _Toc26980 \h </w:instrText>
      </w:r>
      <w:r>
        <w:rPr>
          <w:i w:val="0"/>
          <w:iCs w:val="0"/>
          <w:color w:val="auto"/>
        </w:rPr>
        <w:fldChar w:fldCharType="separate"/>
      </w:r>
      <w:r>
        <w:rPr>
          <w:i w:val="0"/>
          <w:iCs w:val="0"/>
          <w:color w:val="auto"/>
        </w:rPr>
        <w:t>312</w:t>
      </w:r>
      <w:r>
        <w:rPr>
          <w:i w:val="0"/>
          <w:iCs w:val="0"/>
          <w:color w:val="auto"/>
        </w:rPr>
        <w:fldChar w:fldCharType="end"/>
      </w:r>
      <w:r>
        <w:rPr>
          <w:i w:val="0"/>
          <w:iCs w:val="0"/>
          <w:color w:val="auto"/>
          <w:szCs w:val="28"/>
        </w:rPr>
        <w:fldChar w:fldCharType="end"/>
      </w:r>
    </w:p>
    <w:p>
      <w:pPr>
        <w:pStyle w:val="35"/>
        <w:tabs>
          <w:tab w:val="right" w:leader="dot" w:pos="9174"/>
        </w:tabs>
        <w:ind w:left="210"/>
        <w:rPr>
          <w:color w:val="auto"/>
          <w:szCs w:val="28"/>
        </w:rPr>
      </w:pPr>
      <w:r>
        <w:rPr>
          <w:i w:val="0"/>
          <w:iCs w:val="0"/>
          <w:color w:val="auto"/>
          <w:szCs w:val="28"/>
        </w:rPr>
        <w:fldChar w:fldCharType="end"/>
      </w:r>
    </w:p>
    <w:p>
      <w:pPr>
        <w:jc w:val="center"/>
        <w:rPr>
          <w:rFonts w:hAnsi="宋体"/>
          <w:b/>
          <w:color w:val="auto"/>
          <w:sz w:val="36"/>
          <w:szCs w:val="36"/>
        </w:rPr>
        <w:sectPr>
          <w:headerReference r:id="rId9" w:type="default"/>
          <w:footerReference r:id="rId10" w:type="default"/>
          <w:pgSz w:w="11906" w:h="16838"/>
          <w:pgMar w:top="1418" w:right="1134" w:bottom="1418" w:left="1588" w:header="851" w:footer="851" w:gutter="0"/>
          <w:pgBorders>
            <w:top w:val="none" w:sz="0" w:space="0"/>
            <w:left w:val="none" w:sz="0" w:space="0"/>
            <w:bottom w:val="none" w:sz="0" w:space="0"/>
            <w:right w:val="none" w:sz="0" w:space="0"/>
          </w:pgBorders>
          <w:pgNumType w:fmt="upperRoman"/>
          <w:cols w:space="720" w:num="1"/>
          <w:titlePg/>
          <w:docGrid w:type="lines" w:linePitch="312" w:charSpace="0"/>
        </w:sectPr>
      </w:pPr>
    </w:p>
    <w:p>
      <w:pPr>
        <w:jc w:val="center"/>
        <w:rPr>
          <w:rFonts w:hint="eastAsia" w:eastAsia="宋体"/>
          <w:b/>
          <w:color w:val="auto"/>
          <w:sz w:val="36"/>
          <w:szCs w:val="36"/>
          <w:lang w:eastAsia="zh-CN"/>
        </w:rPr>
      </w:pPr>
      <w:r>
        <w:rPr>
          <w:rFonts w:hint="eastAsia" w:hAnsi="宋体"/>
          <w:b/>
          <w:color w:val="auto"/>
          <w:sz w:val="36"/>
          <w:szCs w:val="36"/>
          <w:lang w:eastAsia="zh-CN"/>
        </w:rPr>
        <w:t>江西旺达新材料有限公司</w:t>
      </w:r>
    </w:p>
    <w:p>
      <w:pPr>
        <w:jc w:val="center"/>
        <w:rPr>
          <w:rFonts w:hint="eastAsia" w:hAnsi="宋体"/>
          <w:b/>
          <w:color w:val="auto"/>
          <w:kern w:val="0"/>
          <w:sz w:val="36"/>
          <w:szCs w:val="36"/>
        </w:rPr>
      </w:pPr>
      <w:r>
        <w:rPr>
          <w:rFonts w:hint="eastAsia" w:ascii="宋体" w:hAnsi="宋体"/>
          <w:b/>
          <w:color w:val="auto"/>
          <w:sz w:val="36"/>
          <w:szCs w:val="36"/>
        </w:rPr>
        <w:t>年产</w:t>
      </w:r>
      <w:r>
        <w:rPr>
          <w:b/>
          <w:color w:val="auto"/>
          <w:sz w:val="36"/>
          <w:szCs w:val="36"/>
        </w:rPr>
        <w:t>200</w:t>
      </w:r>
      <w:r>
        <w:rPr>
          <w:rFonts w:hint="eastAsia"/>
          <w:b/>
          <w:color w:val="auto"/>
          <w:sz w:val="36"/>
          <w:szCs w:val="36"/>
          <w:lang w:val="en-US" w:eastAsia="zh-CN"/>
        </w:rPr>
        <w:t>0</w:t>
      </w:r>
      <w:r>
        <w:rPr>
          <w:b/>
          <w:color w:val="auto"/>
          <w:sz w:val="36"/>
          <w:szCs w:val="36"/>
        </w:rPr>
        <w:t>0</w:t>
      </w:r>
      <w:r>
        <w:rPr>
          <w:rFonts w:hint="eastAsia" w:ascii="宋体" w:hAnsi="宋体"/>
          <w:b/>
          <w:color w:val="auto"/>
          <w:sz w:val="36"/>
          <w:szCs w:val="36"/>
        </w:rPr>
        <w:t>吨有机玻璃</w:t>
      </w:r>
      <w:r>
        <w:rPr>
          <w:rFonts w:hint="eastAsia" w:ascii="宋体" w:hAnsi="宋体"/>
          <w:b/>
          <w:color w:val="auto"/>
          <w:sz w:val="36"/>
          <w:szCs w:val="36"/>
          <w:lang w:val="en-US" w:eastAsia="zh-CN"/>
        </w:rPr>
        <w:t>原料生产</w:t>
      </w:r>
      <w:r>
        <w:rPr>
          <w:rFonts w:hint="eastAsia" w:ascii="宋体" w:hAnsi="宋体"/>
          <w:b/>
          <w:color w:val="auto"/>
          <w:sz w:val="36"/>
          <w:szCs w:val="36"/>
        </w:rPr>
        <w:t>项目</w:t>
      </w:r>
    </w:p>
    <w:p>
      <w:pPr>
        <w:jc w:val="center"/>
        <w:rPr>
          <w:b/>
          <w:color w:val="auto"/>
          <w:kern w:val="0"/>
          <w:sz w:val="36"/>
          <w:szCs w:val="36"/>
        </w:rPr>
      </w:pPr>
      <w:r>
        <w:rPr>
          <w:rFonts w:hAnsi="宋体"/>
          <w:b/>
          <w:color w:val="auto"/>
          <w:kern w:val="0"/>
          <w:sz w:val="36"/>
          <w:szCs w:val="36"/>
        </w:rPr>
        <w:t>安全</w:t>
      </w:r>
      <w:r>
        <w:rPr>
          <w:rFonts w:hint="eastAsia" w:hAnsi="宋体"/>
          <w:b/>
          <w:color w:val="auto"/>
          <w:kern w:val="0"/>
          <w:sz w:val="36"/>
          <w:szCs w:val="36"/>
          <w:lang w:val="en-US" w:eastAsia="zh-CN"/>
        </w:rPr>
        <w:t>条件</w:t>
      </w:r>
      <w:r>
        <w:rPr>
          <w:rFonts w:hAnsi="宋体"/>
          <w:b/>
          <w:color w:val="auto"/>
          <w:kern w:val="0"/>
          <w:sz w:val="36"/>
          <w:szCs w:val="36"/>
        </w:rPr>
        <w:t>评价报告</w:t>
      </w:r>
    </w:p>
    <w:p>
      <w:pPr>
        <w:pStyle w:val="2"/>
        <w:pageBreakBefore w:val="0"/>
        <w:widowControl w:val="0"/>
        <w:kinsoku/>
        <w:wordWrap/>
        <w:overflowPunct/>
        <w:topLinePunct w:val="0"/>
        <w:autoSpaceDE/>
        <w:autoSpaceDN/>
        <w:bidi w:val="0"/>
        <w:adjustRightInd/>
        <w:snapToGrid/>
        <w:spacing w:before="0" w:after="0" w:line="600" w:lineRule="exact"/>
        <w:textAlignment w:val="auto"/>
        <w:rPr>
          <w:rFonts w:hint="eastAsia"/>
          <w:color w:val="auto"/>
        </w:rPr>
      </w:pPr>
      <w:bookmarkStart w:id="9" w:name="_Toc28488"/>
      <w:bookmarkStart w:id="10" w:name="_Toc2419"/>
      <w:bookmarkStart w:id="11" w:name="_Toc11939"/>
      <w:bookmarkStart w:id="12" w:name="_Toc31483"/>
      <w:bookmarkStart w:id="13" w:name="_Toc21362"/>
      <w:bookmarkStart w:id="14" w:name="_Toc17254"/>
      <w:bookmarkStart w:id="15" w:name="_Toc8748"/>
      <w:r>
        <w:rPr>
          <w:rFonts w:hint="eastAsia"/>
          <w:color w:val="auto"/>
        </w:rPr>
        <w:t>1编制说明</w:t>
      </w:r>
      <w:bookmarkEnd w:id="9"/>
      <w:bookmarkEnd w:id="10"/>
      <w:bookmarkEnd w:id="11"/>
      <w:bookmarkEnd w:id="12"/>
      <w:bookmarkEnd w:id="13"/>
      <w:bookmarkEnd w:id="14"/>
      <w:bookmarkEnd w:id="15"/>
    </w:p>
    <w:p>
      <w:pPr>
        <w:pStyle w:val="3"/>
        <w:pageBreakBefore w:val="0"/>
        <w:widowControl w:val="0"/>
        <w:kinsoku/>
        <w:wordWrap/>
        <w:overflowPunct/>
        <w:topLinePunct w:val="0"/>
        <w:autoSpaceDE/>
        <w:autoSpaceDN/>
        <w:bidi w:val="0"/>
        <w:adjustRightInd/>
        <w:snapToGrid/>
        <w:spacing w:before="0" w:beforeLines="0" w:after="0" w:afterLines="0" w:line="600" w:lineRule="exact"/>
        <w:textAlignment w:val="auto"/>
        <w:rPr>
          <w:rFonts w:hint="eastAsia"/>
          <w:color w:val="auto"/>
        </w:rPr>
      </w:pPr>
      <w:bookmarkStart w:id="16" w:name="_Toc4559"/>
      <w:bookmarkStart w:id="17" w:name="_Toc10862"/>
      <w:bookmarkStart w:id="18" w:name="_Toc15882"/>
      <w:bookmarkStart w:id="19" w:name="_Toc26000"/>
      <w:bookmarkStart w:id="20" w:name="_Toc1381"/>
      <w:bookmarkStart w:id="21" w:name="_Toc22451"/>
      <w:bookmarkStart w:id="22" w:name="_Toc30591"/>
      <w:r>
        <w:rPr>
          <w:rFonts w:hint="eastAsia"/>
          <w:color w:val="auto"/>
        </w:rPr>
        <w:t>1.1评价目的</w:t>
      </w:r>
      <w:bookmarkEnd w:id="16"/>
      <w:bookmarkEnd w:id="17"/>
      <w:bookmarkEnd w:id="18"/>
      <w:bookmarkEnd w:id="19"/>
      <w:bookmarkEnd w:id="20"/>
      <w:bookmarkEnd w:id="21"/>
      <w:bookmarkEnd w:id="22"/>
    </w:p>
    <w:p>
      <w:pPr>
        <w:ind w:firstLine="560"/>
        <w:rPr>
          <w:color w:val="auto"/>
          <w:sz w:val="28"/>
          <w:szCs w:val="28"/>
        </w:rPr>
      </w:pPr>
      <w:r>
        <w:rPr>
          <w:color w:val="auto"/>
          <w:sz w:val="28"/>
          <w:szCs w:val="28"/>
        </w:rPr>
        <w:t>1、为贯彻“安全第一、预防为主、综合治理”的安全生产方针，确保建设工程项目中安全设施与主体工程同时设计、同时施工、同时投产使用，保证该项目建成后符合国家有关法规、标准和规定，该项目需进行项目安全</w:t>
      </w:r>
      <w:r>
        <w:rPr>
          <w:rFonts w:hint="eastAsia"/>
          <w:color w:val="auto"/>
          <w:sz w:val="28"/>
          <w:szCs w:val="28"/>
        </w:rPr>
        <w:t>预</w:t>
      </w:r>
      <w:r>
        <w:rPr>
          <w:color w:val="auto"/>
          <w:sz w:val="28"/>
          <w:szCs w:val="28"/>
        </w:rPr>
        <w:t>评价。</w:t>
      </w:r>
    </w:p>
    <w:p>
      <w:pPr>
        <w:ind w:firstLine="560"/>
        <w:rPr>
          <w:color w:val="auto"/>
          <w:sz w:val="28"/>
          <w:szCs w:val="28"/>
        </w:rPr>
      </w:pPr>
      <w:r>
        <w:rPr>
          <w:color w:val="auto"/>
          <w:sz w:val="28"/>
          <w:szCs w:val="28"/>
        </w:rPr>
        <w:t>2、分析项目中存在的主要危险、有害因素及其产生危险、危害后果的主要条件；对该项目生产过程中</w:t>
      </w:r>
      <w:r>
        <w:rPr>
          <w:rFonts w:hint="eastAsia"/>
          <w:color w:val="auto"/>
          <w:sz w:val="28"/>
          <w:szCs w:val="28"/>
        </w:rPr>
        <w:t>潜在</w:t>
      </w:r>
      <w:r>
        <w:rPr>
          <w:color w:val="auto"/>
          <w:sz w:val="28"/>
          <w:szCs w:val="28"/>
        </w:rPr>
        <w:t>危险、有害因素进行定性、定量的评价和科学分析，对其控制手段进行评价，同时预测其</w:t>
      </w:r>
      <w:r>
        <w:rPr>
          <w:rFonts w:hint="eastAsia"/>
          <w:color w:val="auto"/>
          <w:sz w:val="28"/>
          <w:szCs w:val="28"/>
        </w:rPr>
        <w:t>风险</w:t>
      </w:r>
      <w:r>
        <w:rPr>
          <w:color w:val="auto"/>
          <w:sz w:val="28"/>
          <w:szCs w:val="28"/>
        </w:rPr>
        <w:t>等级并</w:t>
      </w:r>
      <w:r>
        <w:rPr>
          <w:rFonts w:hint="eastAsia"/>
          <w:color w:val="auto"/>
          <w:sz w:val="28"/>
          <w:szCs w:val="28"/>
        </w:rPr>
        <w:t>预测</w:t>
      </w:r>
      <w:r>
        <w:rPr>
          <w:color w:val="auto"/>
          <w:sz w:val="28"/>
          <w:szCs w:val="28"/>
        </w:rPr>
        <w:t>危险源火灾、爆炸或泄漏事故可能造成的事故后果。</w:t>
      </w:r>
    </w:p>
    <w:p>
      <w:pPr>
        <w:ind w:firstLine="560"/>
        <w:rPr>
          <w:color w:val="auto"/>
          <w:sz w:val="28"/>
          <w:szCs w:val="28"/>
        </w:rPr>
      </w:pPr>
      <w:r>
        <w:rPr>
          <w:color w:val="auto"/>
          <w:sz w:val="28"/>
          <w:szCs w:val="28"/>
        </w:rPr>
        <w:t>3、提出消除、预防或降低装置危险性的安全对策措施，为建设项目初步设计提供科学依据，以利于提高建设项目本质安全程度。</w:t>
      </w:r>
    </w:p>
    <w:p>
      <w:pPr>
        <w:ind w:firstLine="560"/>
        <w:rPr>
          <w:snapToGrid w:val="0"/>
          <w:color w:val="auto"/>
          <w:kern w:val="0"/>
          <w:sz w:val="28"/>
          <w:szCs w:val="28"/>
        </w:rPr>
      </w:pPr>
      <w:r>
        <w:rPr>
          <w:color w:val="auto"/>
          <w:sz w:val="28"/>
          <w:szCs w:val="28"/>
        </w:rPr>
        <w:t>4、为安全生产监督管理部门</w:t>
      </w:r>
      <w:r>
        <w:rPr>
          <w:rFonts w:hint="eastAsia"/>
          <w:color w:val="auto"/>
          <w:sz w:val="28"/>
          <w:szCs w:val="28"/>
        </w:rPr>
        <w:t>对建设项目进行安全审批</w:t>
      </w:r>
      <w:r>
        <w:rPr>
          <w:color w:val="auto"/>
          <w:sz w:val="28"/>
          <w:szCs w:val="28"/>
        </w:rPr>
        <w:t>提供依据。</w:t>
      </w:r>
    </w:p>
    <w:p>
      <w:pPr>
        <w:pStyle w:val="3"/>
        <w:keepNext/>
        <w:keepLines/>
        <w:pageBreakBefore w:val="0"/>
        <w:widowControl w:val="0"/>
        <w:kinsoku/>
        <w:wordWrap/>
        <w:overflowPunct/>
        <w:topLinePunct w:val="0"/>
        <w:autoSpaceDE/>
        <w:autoSpaceDN/>
        <w:bidi w:val="0"/>
        <w:adjustRightInd/>
        <w:snapToGrid/>
        <w:spacing w:before="0" w:beforeLines="0" w:after="0" w:line="600" w:lineRule="exact"/>
        <w:textAlignment w:val="auto"/>
        <w:rPr>
          <w:rFonts w:hint="eastAsia"/>
          <w:color w:val="auto"/>
          <w:lang w:val="en-US" w:eastAsia="zh-CN"/>
        </w:rPr>
      </w:pPr>
      <w:bookmarkStart w:id="23" w:name="_Toc25255"/>
      <w:bookmarkStart w:id="24" w:name="_Toc27207"/>
      <w:bookmarkStart w:id="25" w:name="_Toc8778"/>
      <w:bookmarkStart w:id="26" w:name="_Toc11985"/>
      <w:bookmarkStart w:id="27" w:name="_Toc5296"/>
      <w:bookmarkStart w:id="28" w:name="_Toc14078"/>
      <w:bookmarkStart w:id="29" w:name="_Toc25841"/>
      <w:r>
        <w:rPr>
          <w:rFonts w:hint="eastAsia"/>
          <w:color w:val="auto"/>
        </w:rPr>
        <w:t>1.2</w:t>
      </w:r>
      <w:bookmarkEnd w:id="23"/>
      <w:r>
        <w:rPr>
          <w:rFonts w:hint="eastAsia"/>
          <w:color w:val="auto"/>
          <w:lang w:val="en-US" w:eastAsia="zh-CN"/>
        </w:rPr>
        <w:t>前期准备情况</w:t>
      </w:r>
      <w:bookmarkEnd w:id="24"/>
      <w:bookmarkEnd w:id="25"/>
      <w:bookmarkEnd w:id="26"/>
      <w:bookmarkEnd w:id="27"/>
      <w:bookmarkEnd w:id="28"/>
      <w:bookmarkEnd w:id="29"/>
    </w:p>
    <w:p>
      <w:pPr>
        <w:ind w:firstLine="560" w:firstLineChars="200"/>
        <w:rPr>
          <w:rFonts w:hint="default"/>
          <w:color w:val="auto"/>
          <w:lang w:val="en-US" w:eastAsia="zh-CN"/>
        </w:rPr>
      </w:pPr>
      <w:r>
        <w:rPr>
          <w:rFonts w:hint="default"/>
          <w:color w:val="auto"/>
          <w:lang w:val="en-US" w:eastAsia="zh-CN"/>
        </w:rPr>
        <w:t>在签订安全评价委托书后，我们即开始了安全评价工作。</w:t>
      </w:r>
    </w:p>
    <w:p>
      <w:pPr>
        <w:ind w:firstLine="560" w:firstLineChars="200"/>
        <w:rPr>
          <w:rFonts w:hint="default"/>
          <w:color w:val="auto"/>
          <w:lang w:val="en-US" w:eastAsia="zh-CN"/>
        </w:rPr>
      </w:pPr>
      <w:r>
        <w:rPr>
          <w:rFonts w:hint="default"/>
          <w:color w:val="auto"/>
          <w:lang w:val="en-US" w:eastAsia="zh-CN"/>
        </w:rPr>
        <w:t>1.成立了安全评价工作组，仔细研究了该项目的可行性研究报告；</w:t>
      </w:r>
    </w:p>
    <w:p>
      <w:pPr>
        <w:ind w:firstLine="560" w:firstLineChars="200"/>
        <w:rPr>
          <w:rFonts w:hint="default"/>
          <w:color w:val="auto"/>
          <w:lang w:val="en-US" w:eastAsia="zh-CN"/>
        </w:rPr>
      </w:pPr>
      <w:r>
        <w:rPr>
          <w:rFonts w:hint="default"/>
          <w:color w:val="auto"/>
          <w:lang w:val="en-US" w:eastAsia="zh-CN"/>
        </w:rPr>
        <w:t>2.根据研究结果与建设单位共同协商确定了评价范围和评价对象；</w:t>
      </w:r>
    </w:p>
    <w:p>
      <w:pPr>
        <w:ind w:firstLine="560" w:firstLineChars="200"/>
        <w:rPr>
          <w:rFonts w:hint="default"/>
          <w:color w:val="auto"/>
          <w:lang w:val="en-US" w:eastAsia="zh-CN"/>
        </w:rPr>
      </w:pPr>
      <w:r>
        <w:rPr>
          <w:rFonts w:hint="default"/>
          <w:color w:val="auto"/>
          <w:lang w:val="en-US" w:eastAsia="zh-CN"/>
        </w:rPr>
        <w:t>3.收集到了该项目安全评价所需的各种文件、资料和数据。</w:t>
      </w:r>
    </w:p>
    <w:p>
      <w:pPr>
        <w:pStyle w:val="3"/>
        <w:pageBreakBefore w:val="0"/>
        <w:widowControl w:val="0"/>
        <w:kinsoku/>
        <w:wordWrap/>
        <w:overflowPunct/>
        <w:topLinePunct w:val="0"/>
        <w:autoSpaceDE/>
        <w:autoSpaceDN/>
        <w:bidi w:val="0"/>
        <w:adjustRightInd/>
        <w:snapToGrid/>
        <w:spacing w:before="0" w:beforeLines="0" w:after="0" w:afterLines="0" w:line="600" w:lineRule="exact"/>
        <w:textAlignment w:val="auto"/>
        <w:rPr>
          <w:rFonts w:hint="eastAsia"/>
          <w:color w:val="auto"/>
        </w:rPr>
      </w:pPr>
      <w:bookmarkStart w:id="30" w:name="_Toc6672"/>
      <w:bookmarkStart w:id="31" w:name="_Toc904"/>
      <w:bookmarkStart w:id="32" w:name="_Toc29363"/>
      <w:bookmarkStart w:id="33" w:name="_Toc311"/>
      <w:bookmarkStart w:id="34" w:name="_Toc24591"/>
      <w:bookmarkStart w:id="35" w:name="_Toc25805"/>
      <w:bookmarkStart w:id="36" w:name="_Toc19228"/>
      <w:r>
        <w:rPr>
          <w:rFonts w:hint="eastAsia"/>
          <w:color w:val="auto"/>
        </w:rPr>
        <w:t>1.</w:t>
      </w:r>
      <w:r>
        <w:rPr>
          <w:rFonts w:hint="eastAsia"/>
          <w:color w:val="auto"/>
          <w:lang w:val="en-US" w:eastAsia="zh-CN"/>
        </w:rPr>
        <w:t>3</w:t>
      </w:r>
      <w:r>
        <w:rPr>
          <w:rFonts w:hint="eastAsia"/>
          <w:color w:val="auto"/>
        </w:rPr>
        <w:t>评价</w:t>
      </w:r>
      <w:r>
        <w:rPr>
          <w:rFonts w:hint="eastAsia"/>
          <w:color w:val="auto"/>
          <w:lang w:val="en-US" w:eastAsia="zh-CN"/>
        </w:rPr>
        <w:t>对象和</w:t>
      </w:r>
      <w:r>
        <w:rPr>
          <w:rFonts w:hint="eastAsia"/>
          <w:color w:val="auto"/>
        </w:rPr>
        <w:t>范围</w:t>
      </w:r>
      <w:bookmarkEnd w:id="30"/>
      <w:bookmarkEnd w:id="31"/>
      <w:bookmarkEnd w:id="32"/>
      <w:bookmarkEnd w:id="33"/>
      <w:bookmarkEnd w:id="34"/>
      <w:bookmarkEnd w:id="35"/>
      <w:bookmarkEnd w:id="36"/>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hAnsi="宋体"/>
          <w:color w:val="auto"/>
          <w:sz w:val="28"/>
          <w:szCs w:val="28"/>
        </w:rPr>
      </w:pPr>
      <w:r>
        <w:rPr>
          <w:rFonts w:hint="eastAsia" w:hAnsi="宋体"/>
          <w:color w:val="auto"/>
          <w:sz w:val="28"/>
          <w:szCs w:val="28"/>
          <w:lang w:val="en-US" w:eastAsia="zh-CN"/>
        </w:rPr>
        <w:t>根据前期准备情况，确定了</w:t>
      </w:r>
      <w:r>
        <w:rPr>
          <w:rFonts w:hint="eastAsia" w:ascii="宋体" w:hAnsi="宋体"/>
          <w:color w:val="auto"/>
          <w:sz w:val="28"/>
          <w:szCs w:val="28"/>
          <w:lang w:eastAsia="zh-CN"/>
        </w:rPr>
        <w:t>江西旺达新材料有限公司</w:t>
      </w:r>
      <w:r>
        <w:rPr>
          <w:rFonts w:hint="eastAsia" w:ascii="宋体" w:hAnsi="宋体"/>
          <w:color w:val="auto"/>
          <w:sz w:val="28"/>
          <w:szCs w:val="28"/>
        </w:rPr>
        <w:t>年产</w:t>
      </w:r>
      <w:r>
        <w:rPr>
          <w:color w:val="auto"/>
          <w:sz w:val="28"/>
          <w:szCs w:val="28"/>
        </w:rPr>
        <w:t>2000</w:t>
      </w:r>
      <w:r>
        <w:rPr>
          <w:rFonts w:hint="eastAsia"/>
          <w:color w:val="auto"/>
          <w:sz w:val="28"/>
          <w:szCs w:val="28"/>
          <w:lang w:val="en-US" w:eastAsia="zh-CN"/>
        </w:rPr>
        <w:t>0</w:t>
      </w:r>
      <w:r>
        <w:rPr>
          <w:rFonts w:hint="eastAsia" w:ascii="宋体" w:hAnsi="宋体"/>
          <w:color w:val="auto"/>
          <w:sz w:val="28"/>
          <w:szCs w:val="28"/>
        </w:rPr>
        <w:t>吨有机玻璃</w:t>
      </w:r>
      <w:r>
        <w:rPr>
          <w:rFonts w:hint="eastAsia" w:ascii="宋体" w:hAnsi="宋体"/>
          <w:color w:val="auto"/>
          <w:sz w:val="28"/>
          <w:szCs w:val="28"/>
          <w:lang w:val="en-US" w:eastAsia="zh-CN"/>
        </w:rPr>
        <w:t>原料生产</w:t>
      </w:r>
      <w:r>
        <w:rPr>
          <w:rFonts w:hint="eastAsia" w:ascii="宋体" w:hAnsi="宋体"/>
          <w:color w:val="auto"/>
          <w:sz w:val="28"/>
          <w:szCs w:val="28"/>
        </w:rPr>
        <w:t>项目</w:t>
      </w:r>
      <w:r>
        <w:rPr>
          <w:rFonts w:hint="eastAsia" w:ascii="宋体" w:hAnsi="宋体"/>
          <w:color w:val="auto"/>
          <w:sz w:val="28"/>
          <w:szCs w:val="28"/>
          <w:lang w:val="en-US" w:eastAsia="zh-CN"/>
        </w:rPr>
        <w:t>安全条件评价的评价对象和评价范围。</w:t>
      </w:r>
      <w:r>
        <w:rPr>
          <w:rFonts w:hint="eastAsia" w:hAnsi="宋体"/>
          <w:color w:val="auto"/>
          <w:sz w:val="28"/>
          <w:szCs w:val="28"/>
        </w:rPr>
        <w:t>具体</w:t>
      </w:r>
      <w:r>
        <w:rPr>
          <w:rFonts w:hint="eastAsia" w:hAnsi="宋体"/>
          <w:color w:val="auto"/>
          <w:sz w:val="28"/>
          <w:szCs w:val="28"/>
          <w:lang w:val="en-US" w:eastAsia="zh-CN"/>
        </w:rPr>
        <w:t>评价范围</w:t>
      </w:r>
      <w:r>
        <w:rPr>
          <w:rFonts w:hint="eastAsia" w:hAnsi="宋体"/>
          <w:color w:val="auto"/>
          <w:sz w:val="28"/>
          <w:szCs w:val="28"/>
        </w:rPr>
        <w:t>如下：</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hAnsi="宋体"/>
          <w:color w:val="auto"/>
          <w:sz w:val="28"/>
          <w:szCs w:val="28"/>
          <w:highlight w:val="none"/>
        </w:rPr>
      </w:pPr>
      <w:r>
        <w:rPr>
          <w:rFonts w:hint="eastAsia" w:hAnsi="宋体"/>
          <w:color w:val="auto"/>
          <w:sz w:val="28"/>
          <w:szCs w:val="28"/>
          <w:highlight w:val="none"/>
        </w:rPr>
        <w:t>1）项目选址及总平面布置；</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hAnsi="宋体"/>
          <w:color w:val="auto"/>
          <w:sz w:val="28"/>
          <w:szCs w:val="28"/>
          <w:highlight w:val="none"/>
        </w:rPr>
      </w:pPr>
      <w:r>
        <w:rPr>
          <w:rFonts w:hint="eastAsia" w:hAnsi="宋体"/>
          <w:color w:val="auto"/>
          <w:sz w:val="28"/>
          <w:szCs w:val="28"/>
          <w:highlight w:val="none"/>
        </w:rPr>
        <w:t>2）工艺生产装置：</w:t>
      </w:r>
      <w:r>
        <w:rPr>
          <w:rFonts w:hint="eastAsia" w:hAnsi="宋体"/>
          <w:color w:val="auto"/>
          <w:sz w:val="28"/>
          <w:highlight w:val="none"/>
        </w:rPr>
        <w:t>10</w:t>
      </w:r>
      <w:r>
        <w:rPr>
          <w:rFonts w:hint="eastAsia" w:hAnsi="宋体"/>
          <w:color w:val="auto"/>
          <w:sz w:val="28"/>
          <w:highlight w:val="none"/>
          <w:lang w:val="en-US" w:eastAsia="zh-CN"/>
        </w:rPr>
        <w:t>1裂解</w:t>
      </w:r>
      <w:r>
        <w:rPr>
          <w:rFonts w:hint="eastAsia" w:hAnsi="宋体"/>
          <w:color w:val="auto"/>
          <w:sz w:val="28"/>
          <w:highlight w:val="none"/>
        </w:rPr>
        <w:t>车间</w:t>
      </w:r>
      <w:r>
        <w:rPr>
          <w:rFonts w:hint="eastAsia" w:hAnsi="宋体"/>
          <w:color w:val="auto"/>
          <w:sz w:val="28"/>
          <w:highlight w:val="none"/>
          <w:lang w:eastAsia="zh-CN"/>
        </w:rPr>
        <w:t>（</w:t>
      </w:r>
      <w:r>
        <w:rPr>
          <w:rFonts w:hint="eastAsia" w:hAnsi="宋体"/>
          <w:color w:val="auto"/>
          <w:sz w:val="28"/>
          <w:highlight w:val="none"/>
          <w:lang w:val="en-US" w:eastAsia="zh-CN"/>
        </w:rPr>
        <w:t>裂解炉等装置</w:t>
      </w:r>
      <w:r>
        <w:rPr>
          <w:rFonts w:hint="eastAsia" w:hAnsi="宋体"/>
          <w:color w:val="auto"/>
          <w:sz w:val="28"/>
          <w:highlight w:val="none"/>
          <w:lang w:eastAsia="zh-CN"/>
        </w:rPr>
        <w:t>）</w:t>
      </w:r>
      <w:r>
        <w:rPr>
          <w:rFonts w:hint="eastAsia" w:hAnsi="宋体"/>
          <w:color w:val="auto"/>
          <w:sz w:val="28"/>
          <w:highlight w:val="none"/>
        </w:rPr>
        <w:t>、10</w:t>
      </w:r>
      <w:r>
        <w:rPr>
          <w:rFonts w:hint="eastAsia" w:hAnsi="宋体"/>
          <w:color w:val="auto"/>
          <w:sz w:val="28"/>
          <w:highlight w:val="none"/>
          <w:lang w:val="en-US" w:eastAsia="zh-CN"/>
        </w:rPr>
        <w:t>2精馏</w:t>
      </w:r>
      <w:r>
        <w:rPr>
          <w:rFonts w:hint="eastAsia" w:hAnsi="宋体"/>
          <w:color w:val="auto"/>
          <w:sz w:val="28"/>
          <w:highlight w:val="none"/>
        </w:rPr>
        <w:t>车间</w:t>
      </w:r>
      <w:r>
        <w:rPr>
          <w:rFonts w:hint="eastAsia" w:hAnsi="宋体"/>
          <w:color w:val="auto"/>
          <w:sz w:val="28"/>
          <w:highlight w:val="none"/>
          <w:lang w:eastAsia="zh-CN"/>
        </w:rPr>
        <w:t>（</w:t>
      </w:r>
      <w:r>
        <w:rPr>
          <w:rFonts w:hint="eastAsia" w:hAnsi="宋体"/>
          <w:color w:val="auto"/>
          <w:sz w:val="28"/>
          <w:highlight w:val="none"/>
          <w:lang w:val="en-US" w:eastAsia="zh-CN"/>
        </w:rPr>
        <w:t>蒸馏釜、精馏塔等装置</w:t>
      </w:r>
      <w:r>
        <w:rPr>
          <w:rFonts w:hint="eastAsia" w:hAnsi="宋体"/>
          <w:color w:val="auto"/>
          <w:sz w:val="28"/>
          <w:highlight w:val="none"/>
          <w:lang w:eastAsia="zh-CN"/>
        </w:rPr>
        <w:t>）</w:t>
      </w:r>
      <w:r>
        <w:rPr>
          <w:rFonts w:hint="eastAsia" w:hAnsi="宋体"/>
          <w:color w:val="auto"/>
          <w:sz w:val="28"/>
          <w:szCs w:val="28"/>
          <w:highlight w:val="none"/>
        </w:rPr>
        <w:t>；</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eastAsia="宋体"/>
          <w:color w:val="auto"/>
          <w:sz w:val="28"/>
          <w:szCs w:val="28"/>
          <w:highlight w:val="none"/>
          <w:lang w:eastAsia="zh-CN"/>
        </w:rPr>
      </w:pPr>
      <w:r>
        <w:rPr>
          <w:rFonts w:hint="eastAsia" w:hAnsi="宋体"/>
          <w:color w:val="auto"/>
          <w:sz w:val="28"/>
          <w:szCs w:val="28"/>
          <w:highlight w:val="none"/>
        </w:rPr>
        <w:t>3）存储设施：</w:t>
      </w:r>
      <w:r>
        <w:rPr>
          <w:rFonts w:hint="eastAsia"/>
          <w:color w:val="auto"/>
          <w:sz w:val="28"/>
          <w:szCs w:val="28"/>
          <w:highlight w:val="none"/>
        </w:rPr>
        <w:t>201</w:t>
      </w:r>
      <w:r>
        <w:rPr>
          <w:rFonts w:hint="eastAsia"/>
          <w:color w:val="auto"/>
          <w:sz w:val="28"/>
          <w:szCs w:val="28"/>
          <w:highlight w:val="none"/>
          <w:lang w:val="en-US" w:eastAsia="zh-CN"/>
        </w:rPr>
        <w:t>甲类</w:t>
      </w:r>
      <w:r>
        <w:rPr>
          <w:rFonts w:hint="eastAsia"/>
          <w:color w:val="auto"/>
          <w:sz w:val="28"/>
          <w:szCs w:val="28"/>
          <w:highlight w:val="none"/>
        </w:rPr>
        <w:t>仓库、</w:t>
      </w:r>
      <w:r>
        <w:rPr>
          <w:color w:val="auto"/>
          <w:sz w:val="28"/>
          <w:szCs w:val="28"/>
          <w:highlight w:val="none"/>
        </w:rPr>
        <w:t>202</w:t>
      </w:r>
      <w:r>
        <w:rPr>
          <w:rFonts w:hint="eastAsia"/>
          <w:color w:val="auto"/>
          <w:sz w:val="28"/>
          <w:szCs w:val="28"/>
          <w:highlight w:val="none"/>
          <w:lang w:val="en-US" w:eastAsia="zh-CN"/>
        </w:rPr>
        <w:t>丙类</w:t>
      </w:r>
      <w:r>
        <w:rPr>
          <w:color w:val="auto"/>
          <w:sz w:val="28"/>
          <w:szCs w:val="28"/>
          <w:highlight w:val="none"/>
        </w:rPr>
        <w:t>仓库</w:t>
      </w:r>
      <w:r>
        <w:rPr>
          <w:rFonts w:hint="eastAsia"/>
          <w:color w:val="auto"/>
          <w:sz w:val="28"/>
          <w:szCs w:val="28"/>
          <w:highlight w:val="none"/>
        </w:rPr>
        <w:t>一</w:t>
      </w:r>
      <w:r>
        <w:rPr>
          <w:color w:val="auto"/>
          <w:sz w:val="28"/>
          <w:szCs w:val="28"/>
          <w:highlight w:val="none"/>
        </w:rPr>
        <w:t>、</w:t>
      </w:r>
      <w:r>
        <w:rPr>
          <w:rFonts w:hint="eastAsia"/>
          <w:color w:val="auto"/>
          <w:sz w:val="28"/>
          <w:szCs w:val="28"/>
          <w:highlight w:val="none"/>
          <w:lang w:val="en-US" w:eastAsia="zh-CN"/>
        </w:rPr>
        <w:t>203罐区（甲类）、</w:t>
      </w:r>
      <w:r>
        <w:rPr>
          <w:color w:val="auto"/>
          <w:sz w:val="28"/>
          <w:szCs w:val="28"/>
          <w:highlight w:val="none"/>
        </w:rPr>
        <w:t>20</w:t>
      </w:r>
      <w:r>
        <w:rPr>
          <w:rFonts w:hint="eastAsia"/>
          <w:color w:val="auto"/>
          <w:sz w:val="28"/>
          <w:szCs w:val="28"/>
          <w:highlight w:val="none"/>
          <w:lang w:val="en-US" w:eastAsia="zh-CN"/>
        </w:rPr>
        <w:t>4丙类</w:t>
      </w:r>
      <w:r>
        <w:rPr>
          <w:color w:val="auto"/>
          <w:sz w:val="28"/>
          <w:szCs w:val="28"/>
          <w:highlight w:val="none"/>
        </w:rPr>
        <w:t>仓库</w:t>
      </w:r>
      <w:r>
        <w:rPr>
          <w:rFonts w:hint="eastAsia"/>
          <w:color w:val="auto"/>
          <w:sz w:val="28"/>
          <w:szCs w:val="28"/>
          <w:highlight w:val="none"/>
        </w:rPr>
        <w:t>二</w:t>
      </w:r>
      <w:r>
        <w:rPr>
          <w:rFonts w:hint="eastAsia"/>
          <w:color w:val="auto"/>
          <w:sz w:val="28"/>
          <w:szCs w:val="28"/>
          <w:highlight w:val="none"/>
          <w:lang w:eastAsia="zh-CN"/>
        </w:rPr>
        <w:t>；</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color w:val="auto"/>
          <w:sz w:val="28"/>
          <w:szCs w:val="28"/>
          <w:highlight w:val="none"/>
          <w:lang w:val="zh-CN"/>
        </w:rPr>
      </w:pPr>
      <w:r>
        <w:rPr>
          <w:rFonts w:hint="eastAsia" w:hAnsi="宋体"/>
          <w:color w:val="auto"/>
          <w:sz w:val="28"/>
          <w:szCs w:val="28"/>
          <w:highlight w:val="none"/>
        </w:rPr>
        <w:t>4）</w:t>
      </w:r>
      <w:r>
        <w:rPr>
          <w:rFonts w:hAnsi="宋体"/>
          <w:color w:val="auto"/>
          <w:sz w:val="28"/>
          <w:szCs w:val="28"/>
          <w:highlight w:val="none"/>
        </w:rPr>
        <w:t>公用</w:t>
      </w:r>
      <w:r>
        <w:rPr>
          <w:rFonts w:hint="eastAsia" w:hAnsi="宋体"/>
          <w:color w:val="auto"/>
          <w:sz w:val="28"/>
          <w:szCs w:val="28"/>
          <w:highlight w:val="none"/>
        </w:rPr>
        <w:t>辅助</w:t>
      </w:r>
      <w:r>
        <w:rPr>
          <w:rFonts w:hAnsi="宋体"/>
          <w:color w:val="auto"/>
          <w:sz w:val="28"/>
          <w:szCs w:val="28"/>
          <w:highlight w:val="none"/>
        </w:rPr>
        <w:t>工程</w:t>
      </w:r>
      <w:r>
        <w:rPr>
          <w:rFonts w:hint="eastAsia" w:hAnsi="宋体"/>
          <w:color w:val="auto"/>
          <w:sz w:val="28"/>
          <w:szCs w:val="28"/>
          <w:highlight w:val="none"/>
          <w:lang w:eastAsia="zh-CN"/>
        </w:rPr>
        <w:t>：</w:t>
      </w:r>
      <w:r>
        <w:rPr>
          <w:rFonts w:hint="eastAsia" w:ascii="宋体" w:hAnsi="宋体"/>
          <w:color w:val="auto"/>
          <w:sz w:val="28"/>
          <w:szCs w:val="28"/>
          <w:highlight w:val="none"/>
          <w:lang w:val="zh-CN"/>
        </w:rPr>
        <w:t>消防水</w:t>
      </w:r>
      <w:r>
        <w:rPr>
          <w:rFonts w:hint="eastAsia" w:ascii="宋体" w:hAnsi="宋体"/>
          <w:color w:val="auto"/>
          <w:sz w:val="28"/>
          <w:szCs w:val="28"/>
          <w:highlight w:val="none"/>
          <w:lang w:val="en-US" w:eastAsia="zh-CN"/>
        </w:rPr>
        <w:t>罐</w:t>
      </w:r>
      <w:r>
        <w:rPr>
          <w:rFonts w:hint="eastAsia" w:ascii="宋体" w:hAnsi="宋体"/>
          <w:color w:val="auto"/>
          <w:sz w:val="28"/>
          <w:szCs w:val="28"/>
          <w:highlight w:val="none"/>
          <w:lang w:val="zh-CN"/>
        </w:rPr>
        <w:t>、消防泵房、事故应急池、</w:t>
      </w:r>
      <w:r>
        <w:rPr>
          <w:rFonts w:hint="eastAsia" w:ascii="宋体" w:hAnsi="宋体"/>
          <w:color w:val="auto"/>
          <w:sz w:val="28"/>
          <w:szCs w:val="28"/>
          <w:highlight w:val="none"/>
          <w:lang w:val="en-US" w:eastAsia="zh-CN"/>
        </w:rPr>
        <w:t>循环水池、</w:t>
      </w:r>
      <w:r>
        <w:rPr>
          <w:rFonts w:hint="eastAsia" w:ascii="宋体" w:hAnsi="宋体"/>
          <w:color w:val="auto"/>
          <w:sz w:val="28"/>
          <w:szCs w:val="28"/>
          <w:highlight w:val="none"/>
          <w:lang w:val="zh-CN"/>
        </w:rPr>
        <w:t>污水处理</w:t>
      </w:r>
      <w:r>
        <w:rPr>
          <w:rFonts w:hint="eastAsia" w:ascii="宋体" w:hAnsi="宋体"/>
          <w:color w:val="auto"/>
          <w:sz w:val="28"/>
          <w:szCs w:val="28"/>
          <w:highlight w:val="none"/>
          <w:lang w:val="en-US" w:eastAsia="zh-CN"/>
        </w:rPr>
        <w:t>池、初期雨水池</w:t>
      </w:r>
      <w:r>
        <w:rPr>
          <w:rFonts w:hint="eastAsia" w:ascii="宋体" w:hAnsi="宋体"/>
          <w:color w:val="auto"/>
          <w:sz w:val="28"/>
          <w:szCs w:val="28"/>
          <w:highlight w:val="none"/>
          <w:lang w:val="zh-CN"/>
        </w:rPr>
        <w:t>、</w:t>
      </w:r>
      <w:r>
        <w:rPr>
          <w:rFonts w:hint="eastAsia" w:ascii="宋体" w:hAnsi="宋体"/>
          <w:color w:val="auto"/>
          <w:sz w:val="28"/>
          <w:szCs w:val="28"/>
          <w:highlight w:val="none"/>
          <w:lang w:val="en-US" w:eastAsia="zh-CN"/>
        </w:rPr>
        <w:t>中心控制室、综合楼和</w:t>
      </w:r>
      <w:r>
        <w:rPr>
          <w:rFonts w:hint="eastAsia" w:ascii="宋体" w:hAnsi="宋体"/>
          <w:color w:val="auto"/>
          <w:sz w:val="28"/>
          <w:szCs w:val="28"/>
          <w:highlight w:val="none"/>
          <w:lang w:val="zh-CN"/>
        </w:rPr>
        <w:t>门卫等。</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Ansi="宋体"/>
          <w:color w:val="auto"/>
          <w:sz w:val="28"/>
          <w:szCs w:val="28"/>
          <w:highlight w:val="yellow"/>
        </w:rPr>
      </w:pPr>
      <w:r>
        <w:rPr>
          <w:rFonts w:hAnsi="宋体"/>
          <w:color w:val="auto"/>
          <w:sz w:val="28"/>
          <w:szCs w:val="28"/>
          <w:highlight w:val="none"/>
        </w:rPr>
        <w:t>该项目厂外物料运输、职业危害及环境保护等均不在评价范围内。评价依据主要采用现行的法律法规及相应的行业标准。</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hAnsi="宋体"/>
          <w:color w:val="auto"/>
          <w:sz w:val="28"/>
          <w:szCs w:val="28"/>
        </w:rPr>
      </w:pPr>
      <w:r>
        <w:rPr>
          <w:rFonts w:hAnsi="宋体"/>
          <w:color w:val="auto"/>
          <w:sz w:val="28"/>
          <w:szCs w:val="28"/>
        </w:rPr>
        <w:t>本评价针对评价范围内的选址、总平面布置及建筑根据相关法律、法规、标准、规范进行符合性检查，对设备、装置及涉及的仓储等所涉及的危险、有害因素进行分析辨识，评价其工艺及设备的可靠性，公用、辅助设施的满足程度，并依据相应法律、法规、标准、规范的要求提出对策措施建议。</w:t>
      </w:r>
    </w:p>
    <w:p>
      <w:pPr>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Ansi="宋体"/>
          <w:color w:val="auto"/>
          <w:sz w:val="28"/>
          <w:szCs w:val="28"/>
        </w:rPr>
      </w:pPr>
      <w:r>
        <w:rPr>
          <w:rFonts w:hint="eastAsia" w:hAnsi="宋体"/>
          <w:color w:val="auto"/>
          <w:sz w:val="28"/>
          <w:szCs w:val="28"/>
        </w:rPr>
        <w:t>本报告是在江西</w:t>
      </w:r>
      <w:r>
        <w:rPr>
          <w:rFonts w:hint="eastAsia" w:hAnsi="宋体"/>
          <w:color w:val="auto"/>
          <w:sz w:val="28"/>
          <w:szCs w:val="28"/>
          <w:lang w:val="en-US" w:eastAsia="zh-CN"/>
        </w:rPr>
        <w:t>旺达新材料</w:t>
      </w:r>
      <w:r>
        <w:rPr>
          <w:rFonts w:hAnsi="宋体"/>
          <w:color w:val="auto"/>
          <w:sz w:val="28"/>
          <w:szCs w:val="28"/>
        </w:rPr>
        <w:t>有限公司</w:t>
      </w:r>
      <w:r>
        <w:rPr>
          <w:rFonts w:hint="eastAsia" w:hAnsi="宋体"/>
          <w:color w:val="auto"/>
          <w:sz w:val="28"/>
          <w:szCs w:val="28"/>
        </w:rPr>
        <w:t>提供的资料基础上完成的，如提供的资料有虚假内容，并由此导致的经济和法律责任及其它后果均由委托方自行承担。如委托方在项目评价组出具报告后，若建设项目周边条件发生重大变化的，变更建设地址的，主要技术、工艺路线、产品方案或者装置规模发生重大变化的，造成系统的安全程度也随之发生变化，本报告将失去有效性。</w:t>
      </w:r>
    </w:p>
    <w:p>
      <w:pPr>
        <w:pStyle w:val="3"/>
        <w:bidi w:val="0"/>
        <w:rPr>
          <w:rFonts w:hint="default" w:eastAsia="宋体"/>
          <w:color w:val="auto"/>
          <w:lang w:val="en-US" w:eastAsia="zh-CN"/>
        </w:rPr>
      </w:pPr>
      <w:bookmarkStart w:id="37" w:name="_Toc27986"/>
      <w:bookmarkStart w:id="38" w:name="_Toc15132"/>
      <w:bookmarkStart w:id="39" w:name="_Toc16479"/>
      <w:bookmarkStart w:id="40" w:name="_Toc16522"/>
      <w:bookmarkStart w:id="41" w:name="_Toc13914"/>
      <w:bookmarkStart w:id="42" w:name="_Toc5371"/>
      <w:bookmarkStart w:id="43" w:name="_Toc6990"/>
      <w:r>
        <w:rPr>
          <w:color w:val="auto"/>
        </w:rPr>
        <w:t>1.</w:t>
      </w:r>
      <w:r>
        <w:rPr>
          <w:rFonts w:hint="eastAsia"/>
          <w:color w:val="auto"/>
          <w:lang w:val="en-US" w:eastAsia="zh-CN"/>
        </w:rPr>
        <w:t>4</w:t>
      </w:r>
      <w:r>
        <w:rPr>
          <w:color w:val="auto"/>
        </w:rPr>
        <w:t>评价</w:t>
      </w:r>
      <w:bookmarkEnd w:id="37"/>
      <w:r>
        <w:rPr>
          <w:rFonts w:hint="eastAsia"/>
          <w:color w:val="auto"/>
          <w:lang w:val="en-US" w:eastAsia="zh-CN"/>
        </w:rPr>
        <w:t>工作经过和程序</w:t>
      </w:r>
      <w:bookmarkEnd w:id="38"/>
      <w:bookmarkEnd w:id="39"/>
      <w:bookmarkEnd w:id="40"/>
      <w:bookmarkEnd w:id="41"/>
      <w:bookmarkEnd w:id="42"/>
      <w:bookmarkEnd w:id="43"/>
    </w:p>
    <w:p>
      <w:pPr>
        <w:pStyle w:val="21"/>
        <w:spacing w:after="0" w:line="360" w:lineRule="auto"/>
        <w:ind w:left="0" w:leftChars="0" w:firstLine="560" w:firstLineChars="200"/>
        <w:jc w:val="left"/>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1.工作经过</w:t>
      </w:r>
    </w:p>
    <w:p>
      <w:pPr>
        <w:pStyle w:val="21"/>
        <w:spacing w:after="0" w:line="360" w:lineRule="auto"/>
        <w:ind w:left="0" w:leftChars="0" w:firstLine="560" w:firstLineChars="200"/>
        <w:jc w:val="left"/>
        <w:rPr>
          <w:rFonts w:hint="eastAsia" w:ascii="宋体" w:hAnsi="宋体"/>
          <w:color w:val="auto"/>
          <w:sz w:val="28"/>
          <w:szCs w:val="28"/>
        </w:rPr>
      </w:pPr>
      <w:r>
        <w:rPr>
          <w:rFonts w:hint="eastAsia" w:ascii="宋体" w:hAnsi="宋体"/>
          <w:color w:val="auto"/>
          <w:sz w:val="28"/>
          <w:szCs w:val="28"/>
        </w:rPr>
        <w:t>项目组根据</w:t>
      </w:r>
      <w:r>
        <w:rPr>
          <w:rFonts w:hint="eastAsia" w:hAnsi="宋体"/>
          <w:color w:val="auto"/>
          <w:sz w:val="28"/>
          <w:szCs w:val="28"/>
          <w:lang w:eastAsia="zh-CN"/>
        </w:rPr>
        <w:t>江西旺达新材料有限公司年产20000吨有机玻璃原料生产项目</w:t>
      </w:r>
      <w:r>
        <w:rPr>
          <w:rFonts w:hint="eastAsia" w:ascii="宋体" w:hAnsi="宋体"/>
          <w:color w:val="auto"/>
          <w:sz w:val="28"/>
          <w:szCs w:val="28"/>
        </w:rPr>
        <w:t>的情况，辨识和分析项目的危险、有害因素、重大危险源等。在危险、有害因素辨识基础上，</w:t>
      </w:r>
      <w:r>
        <w:rPr>
          <w:rFonts w:ascii="宋体" w:hAnsi="宋体"/>
          <w:color w:val="auto"/>
          <w:sz w:val="28"/>
          <w:szCs w:val="28"/>
        </w:rPr>
        <w:t>根据《安全评价通则》（AQ8001-2007）、</w:t>
      </w:r>
      <w:r>
        <w:rPr>
          <w:rFonts w:hint="eastAsia" w:ascii="宋体" w:hAnsi="宋体"/>
          <w:color w:val="auto"/>
          <w:sz w:val="28"/>
          <w:szCs w:val="28"/>
        </w:rPr>
        <w:t>《危险化学品建设项目安全评价细则(试行)》的相关要求和项目工艺功能、设备、设施情况，确定安全评价单元。本评价报告采用安全检查表法、预先危险分析法及危险度等进行定性、定量评价，对导致事故发生的可能性和严重程度进行评价，并提出有针对性的对策措施。</w:t>
      </w:r>
    </w:p>
    <w:p>
      <w:pPr>
        <w:spacing w:line="360" w:lineRule="auto"/>
        <w:ind w:firstLine="560" w:firstLineChars="200"/>
        <w:jc w:val="left"/>
        <w:rPr>
          <w:rFonts w:hint="eastAsia" w:ascii="宋体" w:hAnsi="宋体"/>
          <w:color w:val="auto"/>
          <w:sz w:val="28"/>
          <w:szCs w:val="28"/>
        </w:rPr>
      </w:pPr>
      <w:r>
        <w:rPr>
          <w:rFonts w:hint="eastAsia" w:ascii="宋体" w:hAnsi="宋体"/>
          <w:color w:val="auto"/>
          <w:sz w:val="28"/>
          <w:szCs w:val="28"/>
        </w:rPr>
        <w:t>评价报告完成后，项目组就该项目安全评价中各个方面的情况与建设单位反复、充分交换意见，在此基础上完成《</w:t>
      </w:r>
      <w:r>
        <w:rPr>
          <w:rFonts w:hint="eastAsia" w:ascii="宋体" w:hAnsi="宋体"/>
          <w:color w:val="auto"/>
          <w:sz w:val="28"/>
          <w:szCs w:val="28"/>
          <w:lang w:eastAsia="zh-CN"/>
        </w:rPr>
        <w:t>江西旺达新材料有限公司年产20000吨有机玻璃原料生产项目</w:t>
      </w:r>
      <w:r>
        <w:rPr>
          <w:rFonts w:hint="eastAsia" w:ascii="宋体" w:hAnsi="宋体"/>
          <w:color w:val="auto"/>
          <w:sz w:val="28"/>
          <w:szCs w:val="28"/>
        </w:rPr>
        <w:t>安全条件评价报告》。</w:t>
      </w:r>
    </w:p>
    <w:p>
      <w:pPr>
        <w:ind w:firstLine="548" w:firstLineChars="196"/>
        <w:rPr>
          <w:rFonts w:hint="default" w:hAnsi="宋体" w:eastAsia="宋体"/>
          <w:bCs/>
          <w:color w:val="auto"/>
          <w:sz w:val="28"/>
          <w:lang w:val="en-US" w:eastAsia="zh-CN"/>
        </w:rPr>
      </w:pPr>
      <w:r>
        <w:rPr>
          <w:rFonts w:hint="eastAsia" w:hAnsi="宋体"/>
          <w:bCs/>
          <w:color w:val="auto"/>
          <w:sz w:val="28"/>
          <w:lang w:val="en-US" w:eastAsia="zh-CN"/>
        </w:rPr>
        <w:t>2.安全评价程序</w:t>
      </w:r>
    </w:p>
    <w:p>
      <w:pPr>
        <w:ind w:firstLine="548" w:firstLineChars="196"/>
        <w:rPr>
          <w:rFonts w:hAnsi="宋体"/>
          <w:bCs/>
          <w:color w:val="auto"/>
          <w:sz w:val="28"/>
        </w:rPr>
      </w:pPr>
      <w:r>
        <w:rPr>
          <w:color w:val="auto"/>
        </w:rPr>
        <mc:AlternateContent>
          <mc:Choice Requires="wpg">
            <w:drawing>
              <wp:anchor distT="0" distB="0" distL="114300" distR="114300" simplePos="0" relativeHeight="251660288" behindDoc="0" locked="0" layoutInCell="1" allowOverlap="1">
                <wp:simplePos x="0" y="0"/>
                <wp:positionH relativeFrom="column">
                  <wp:posOffset>2061210</wp:posOffset>
                </wp:positionH>
                <wp:positionV relativeFrom="paragraph">
                  <wp:posOffset>-649605</wp:posOffset>
                </wp:positionV>
                <wp:extent cx="2132965" cy="4342765"/>
                <wp:effectExtent l="0" t="4445" r="0" b="15240"/>
                <wp:wrapSquare wrapText="bothSides"/>
                <wp:docPr id="21" name="组合 21"/>
                <wp:cNvGraphicFramePr/>
                <a:graphic xmlns:a="http://schemas.openxmlformats.org/drawingml/2006/main">
                  <a:graphicData uri="http://schemas.microsoft.com/office/word/2010/wordprocessingGroup">
                    <wpg:wgp>
                      <wpg:cNvGrpSpPr>
                        <a:grpSpLocks noRot="1"/>
                      </wpg:cNvGrpSpPr>
                      <wpg:grpSpPr>
                        <a:xfrm rot="16200000">
                          <a:off x="0" y="0"/>
                          <a:ext cx="2132965" cy="4342986"/>
                          <a:chOff x="4828" y="8010"/>
                          <a:chExt cx="3059" cy="8095"/>
                        </a:xfrm>
                      </wpg:grpSpPr>
                      <wps:wsp>
                        <wps:cNvPr id="4" name="文本框 4"/>
                        <wps:cNvSpPr txBox="1"/>
                        <wps:spPr>
                          <a:xfrm>
                            <a:off x="4828" y="9063"/>
                            <a:ext cx="3028" cy="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辩识与分析危险、有害因素</w:t>
                              </w:r>
                            </w:p>
                          </w:txbxContent>
                        </wps:txbx>
                        <wps:bodyPr vert="eaVert" upright="1"/>
                      </wps:wsp>
                      <wps:wsp>
                        <wps:cNvPr id="6" name="文本框 6"/>
                        <wps:cNvSpPr txBox="1"/>
                        <wps:spPr>
                          <a:xfrm>
                            <a:off x="4828" y="10199"/>
                            <a:ext cx="3045" cy="64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划分评价单元</w:t>
                              </w:r>
                            </w:p>
                          </w:txbxContent>
                        </wps:txbx>
                        <wps:bodyPr vert="eaVert" upright="1"/>
                      </wps:wsp>
                      <wps:wsp>
                        <wps:cNvPr id="7" name="文本框 7"/>
                        <wps:cNvSpPr txBox="1"/>
                        <wps:spPr>
                          <a:xfrm>
                            <a:off x="4828" y="11232"/>
                            <a:ext cx="3045" cy="59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选择评价方法</w:t>
                              </w:r>
                            </w:p>
                          </w:txbxContent>
                        </wps:txbx>
                        <wps:bodyPr vert="eaVert" upright="1"/>
                      </wps:wsp>
                      <wps:wsp>
                        <wps:cNvPr id="8" name="文本框 8"/>
                        <wps:cNvSpPr txBox="1"/>
                        <wps:spPr>
                          <a:xfrm>
                            <a:off x="4828" y="12243"/>
                            <a:ext cx="3059" cy="59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4"/>
                                </w:rPr>
                              </w:pPr>
                              <w:r>
                                <w:rPr>
                                  <w:rFonts w:hint="eastAsia"/>
                                  <w:sz w:val="21"/>
                                  <w:szCs w:val="21"/>
                                </w:rPr>
                                <w:t>定性、定量评价</w:t>
                              </w:r>
                            </w:p>
                          </w:txbxContent>
                        </wps:txbx>
                        <wps:bodyPr vert="eaVert" upright="1"/>
                      </wps:wsp>
                      <wps:wsp>
                        <wps:cNvPr id="9" name="文本框 9"/>
                        <wps:cNvSpPr txBox="1"/>
                        <wps:spPr>
                          <a:xfrm>
                            <a:off x="4828" y="13254"/>
                            <a:ext cx="3059" cy="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提出安全对策措施建议</w:t>
                              </w:r>
                            </w:p>
                          </w:txbxContent>
                        </wps:txbx>
                        <wps:bodyPr vert="eaVert" upright="1"/>
                      </wps:wsp>
                      <wps:wsp>
                        <wps:cNvPr id="10" name="文本框 10"/>
                        <wps:cNvSpPr txBox="1"/>
                        <wps:spPr>
                          <a:xfrm>
                            <a:off x="4828" y="14364"/>
                            <a:ext cx="3045" cy="61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做出评价结论</w:t>
                              </w:r>
                            </w:p>
                          </w:txbxContent>
                        </wps:txbx>
                        <wps:bodyPr vert="eaVert" upright="1"/>
                      </wps:wsp>
                      <wps:wsp>
                        <wps:cNvPr id="11" name="文本框 11"/>
                        <wps:cNvSpPr txBox="1"/>
                        <wps:spPr>
                          <a:xfrm>
                            <a:off x="4828" y="15461"/>
                            <a:ext cx="3045" cy="64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1"/>
                                  <w:szCs w:val="21"/>
                                </w:rPr>
                              </w:pPr>
                              <w:r>
                                <w:rPr>
                                  <w:rFonts w:hint="eastAsia"/>
                                  <w:sz w:val="21"/>
                                  <w:szCs w:val="21"/>
                                </w:rPr>
                                <w:t>编制安全评价报告</w:t>
                              </w:r>
                            </w:p>
                          </w:txbxContent>
                        </wps:txbx>
                        <wps:bodyPr vert="eaVert" upright="1"/>
                      </wps:wsp>
                      <wps:wsp>
                        <wps:cNvPr id="12" name="直接连接符 12"/>
                        <wps:cNvCnPr/>
                        <wps:spPr>
                          <a:xfrm>
                            <a:off x="6268" y="8605"/>
                            <a:ext cx="0" cy="468"/>
                          </a:xfrm>
                          <a:prstGeom prst="line">
                            <a:avLst/>
                          </a:prstGeom>
                          <a:ln w="9525" cap="flat" cmpd="sng">
                            <a:solidFill>
                              <a:srgbClr val="000000"/>
                            </a:solidFill>
                            <a:prstDash val="solid"/>
                            <a:headEnd type="none" w="med" len="med"/>
                            <a:tailEnd type="triangle" w="med" len="med"/>
                          </a:ln>
                        </wps:spPr>
                        <wps:bodyPr upright="1"/>
                      </wps:wsp>
                      <wps:wsp>
                        <wps:cNvPr id="13" name="直接连接符 13"/>
                        <wps:cNvCnPr/>
                        <wps:spPr>
                          <a:xfrm>
                            <a:off x="6267" y="9752"/>
                            <a:ext cx="0" cy="471"/>
                          </a:xfrm>
                          <a:prstGeom prst="line">
                            <a:avLst/>
                          </a:prstGeom>
                          <a:ln w="9525" cap="flat" cmpd="sng">
                            <a:solidFill>
                              <a:srgbClr val="000000"/>
                            </a:solidFill>
                            <a:prstDash val="solid"/>
                            <a:headEnd type="none" w="med" len="med"/>
                            <a:tailEnd type="triangle" w="med" len="med"/>
                          </a:ln>
                        </wps:spPr>
                        <wps:bodyPr upright="1"/>
                      </wps:wsp>
                      <wps:wsp>
                        <wps:cNvPr id="14" name="直接连接符 14"/>
                        <wps:cNvCnPr/>
                        <wps:spPr>
                          <a:xfrm>
                            <a:off x="6263" y="10893"/>
                            <a:ext cx="4" cy="354"/>
                          </a:xfrm>
                          <a:prstGeom prst="line">
                            <a:avLst/>
                          </a:prstGeom>
                          <a:ln w="9525" cap="flat" cmpd="sng">
                            <a:solidFill>
                              <a:srgbClr val="000000"/>
                            </a:solidFill>
                            <a:prstDash val="solid"/>
                            <a:headEnd type="none" w="med" len="med"/>
                            <a:tailEnd type="triangle" w="med" len="med"/>
                          </a:ln>
                        </wps:spPr>
                        <wps:bodyPr upright="1"/>
                      </wps:wsp>
                      <wps:wsp>
                        <wps:cNvPr id="15" name="直接连接符 15"/>
                        <wps:cNvCnPr/>
                        <wps:spPr>
                          <a:xfrm flipH="1">
                            <a:off x="6267" y="11808"/>
                            <a:ext cx="13" cy="374"/>
                          </a:xfrm>
                          <a:prstGeom prst="line">
                            <a:avLst/>
                          </a:prstGeom>
                          <a:ln w="9525" cap="flat" cmpd="sng">
                            <a:solidFill>
                              <a:srgbClr val="000000"/>
                            </a:solidFill>
                            <a:prstDash val="solid"/>
                            <a:headEnd type="none" w="med" len="med"/>
                            <a:tailEnd type="triangle" w="med" len="med"/>
                          </a:ln>
                        </wps:spPr>
                        <wps:bodyPr upright="1"/>
                      </wps:wsp>
                      <wps:wsp>
                        <wps:cNvPr id="16" name="直接连接符 16"/>
                        <wps:cNvCnPr/>
                        <wps:spPr>
                          <a:xfrm>
                            <a:off x="6268" y="12922"/>
                            <a:ext cx="0" cy="310"/>
                          </a:xfrm>
                          <a:prstGeom prst="line">
                            <a:avLst/>
                          </a:prstGeom>
                          <a:ln w="9525" cap="flat" cmpd="sng">
                            <a:solidFill>
                              <a:srgbClr val="000000"/>
                            </a:solidFill>
                            <a:prstDash val="solid"/>
                            <a:headEnd type="none" w="med" len="med"/>
                            <a:tailEnd type="triangle" w="med" len="med"/>
                          </a:ln>
                        </wps:spPr>
                        <wps:bodyPr upright="1"/>
                      </wps:wsp>
                      <wps:wsp>
                        <wps:cNvPr id="17" name="直接连接符 17"/>
                        <wps:cNvCnPr/>
                        <wps:spPr>
                          <a:xfrm>
                            <a:off x="6268" y="13958"/>
                            <a:ext cx="0" cy="310"/>
                          </a:xfrm>
                          <a:prstGeom prst="line">
                            <a:avLst/>
                          </a:prstGeom>
                          <a:ln w="9525" cap="flat" cmpd="sng">
                            <a:solidFill>
                              <a:srgbClr val="000000"/>
                            </a:solidFill>
                            <a:prstDash val="solid"/>
                            <a:headEnd type="none" w="med" len="med"/>
                            <a:tailEnd type="triangle" w="med" len="med"/>
                          </a:ln>
                        </wps:spPr>
                        <wps:bodyPr upright="1"/>
                      </wps:wsp>
                      <wps:wsp>
                        <wps:cNvPr id="18" name="直接连接符 18"/>
                        <wps:cNvCnPr/>
                        <wps:spPr>
                          <a:xfrm>
                            <a:off x="6268" y="15031"/>
                            <a:ext cx="0" cy="310"/>
                          </a:xfrm>
                          <a:prstGeom prst="line">
                            <a:avLst/>
                          </a:prstGeom>
                          <a:ln w="9525" cap="flat" cmpd="sng">
                            <a:solidFill>
                              <a:srgbClr val="000000"/>
                            </a:solidFill>
                            <a:prstDash val="solid"/>
                            <a:headEnd type="none" w="med" len="med"/>
                            <a:tailEnd type="triangle" w="med" len="med"/>
                          </a:ln>
                        </wps:spPr>
                        <wps:bodyPr upright="1"/>
                      </wps:wsp>
                      <wps:wsp>
                        <wps:cNvPr id="19" name="文本框 19"/>
                        <wps:cNvSpPr txBox="1"/>
                        <wps:spPr>
                          <a:xfrm>
                            <a:off x="4828" y="8010"/>
                            <a:ext cx="3013"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sz w:val="24"/>
                                </w:rPr>
                              </w:pPr>
                              <w:r>
                                <w:rPr>
                                  <w:rFonts w:hint="eastAsia"/>
                                  <w:sz w:val="21"/>
                                  <w:szCs w:val="21"/>
                                </w:rPr>
                                <w:t>前期准备</w:t>
                              </w:r>
                            </w:p>
                          </w:txbxContent>
                        </wps:txbx>
                        <wps:bodyPr vert="eaVert" upright="1"/>
                      </wps:wsp>
                    </wpg:wgp>
                  </a:graphicData>
                </a:graphic>
              </wp:anchor>
            </w:drawing>
          </mc:Choice>
          <mc:Fallback>
            <w:pict>
              <v:group id="_x0000_s1026" o:spid="_x0000_s1026" o:spt="203" style="position:absolute;left:0pt;margin-left:162.3pt;margin-top:-51.15pt;height:341.95pt;width:167.95pt;mso-wrap-distance-bottom:0pt;mso-wrap-distance-left:9pt;mso-wrap-distance-right:9pt;mso-wrap-distance-top:0pt;rotation:-5898240f;z-index:251660288;mso-width-relative:page;mso-height-relative:page;" coordorigin="4828,8010" coordsize="3059,8095" o:gfxdata="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">
                <o:lock v:ext="edit" rotation="t" aspectratio="f"/>
                <v:shape id="_x0000_s1026" o:spid="_x0000_s1026" o:spt="202" type="#_x0000_t202" style="position:absolute;left:4828;top:9063;height:645;width:3028;" fillcolor="#FFFFFF" filled="t" stroked="t" coordsize="21600,21600" o:gfxdata="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R9qn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辩识与分析危险、有害因素</w:t>
                        </w:r>
                      </w:p>
                    </w:txbxContent>
                  </v:textbox>
                </v:shape>
                <v:shape id="_x0000_s1026" o:spid="_x0000_s1026" o:spt="202" type="#_x0000_t202" style="position:absolute;left:4828;top:10199;height:644;width:3045;" fillcolor="#FFFFFF" filled="t" stroked="t" coordsize="21600,21600" o:gfxdata="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2eFLugAAANo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划分评价单元</w:t>
                        </w:r>
                      </w:p>
                    </w:txbxContent>
                  </v:textbox>
                </v:shape>
                <v:shape id="_x0000_s1026" o:spid="_x0000_s1026" o:spt="202" type="#_x0000_t202" style="position:absolute;left:4828;top:11232;height:593;width:3045;" fillcolor="#FFFFFF" filled="t" stroked="t" coordsize="21600,21600" o:gfxdata="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lUTQugAAANo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选择评价方法</w:t>
                        </w:r>
                      </w:p>
                    </w:txbxContent>
                  </v:textbox>
                </v:shape>
                <v:shape id="_x0000_s1026" o:spid="_x0000_s1026" o:spt="202" type="#_x0000_t202" style="position:absolute;left:4828;top:12243;height:593;width:3059;" fillcolor="#FFFFFF" filled="t" stroked="t" coordsize="21600,21600" o:gfxdata="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ArQorUAAADaAAAADwAA&#10;AAAAAAABACAAAAAiAAAAZHJzL2Rvd25yZXYueG1sUEsBAhQAFAAAAAgAh07iQDMvBZ47AAAAOQAA&#10;ABAAAAAAAAAAAQAgAAAABAEAAGRycy9zaGFwZXhtbC54bWxQSwUGAAAAAAYABgBbAQAArgMAAAAA&#10;">
                  <v:fill on="t" focussize="0,0"/>
                  <v:stroke color="#000000" joinstyle="miter"/>
                  <v:imagedata o:title=""/>
                  <o:lock v:ext="edit" aspectratio="f"/>
                  <v:textbox style="layout-flow:vertical-ideographic;">
                    <w:txbxContent>
                      <w:p>
                        <w:pPr>
                          <w:spacing w:line="240" w:lineRule="auto"/>
                          <w:jc w:val="center"/>
                          <w:rPr>
                            <w:rFonts w:hint="eastAsia"/>
                            <w:sz w:val="24"/>
                          </w:rPr>
                        </w:pPr>
                        <w:r>
                          <w:rPr>
                            <w:rFonts w:hint="eastAsia"/>
                            <w:sz w:val="21"/>
                            <w:szCs w:val="21"/>
                          </w:rPr>
                          <w:t>定性、定量评价</w:t>
                        </w:r>
                      </w:p>
                    </w:txbxContent>
                  </v:textbox>
                </v:shape>
                <v:shape id="_x0000_s1026" o:spid="_x0000_s1026" o:spt="202" type="#_x0000_t202" style="position:absolute;left:4828;top:13254;height:645;width:3059;" fillcolor="#FFFFFF" filled="t" stroked="t" coordsize="21600,21600" o:gfxdata="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Z1O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提出安全对策措施建议</w:t>
                        </w:r>
                      </w:p>
                    </w:txbxContent>
                  </v:textbox>
                </v:shape>
                <v:shape id="_x0000_s1026" o:spid="_x0000_s1026" o:spt="202" type="#_x0000_t202" style="position:absolute;left:4828;top:14364;height:618;width:3045;" fillcolor="#FFFFFF" filled="t" stroked="t" coordsize="21600,21600" o:gfxdata="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XCmm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做出评价结论</w:t>
                        </w:r>
                      </w:p>
                    </w:txbxContent>
                  </v:textbox>
                </v:shape>
                <v:shape id="_x0000_s1026" o:spid="_x0000_s1026" o:spt="202" type="#_x0000_t202" style="position:absolute;left:4828;top:15461;height:644;width:3045;" fillcolor="#FFFFFF" filled="t" stroked="t" coordsize="21600,21600" o:gfxdata="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5uv8r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style="layout-flow:vertical-ideographic;">
                    <w:txbxContent>
                      <w:p>
                        <w:pPr>
                          <w:spacing w:line="240" w:lineRule="auto"/>
                          <w:jc w:val="center"/>
                          <w:rPr>
                            <w:rFonts w:hint="eastAsia"/>
                            <w:sz w:val="21"/>
                            <w:szCs w:val="21"/>
                          </w:rPr>
                        </w:pPr>
                        <w:r>
                          <w:rPr>
                            <w:rFonts w:hint="eastAsia"/>
                            <w:sz w:val="21"/>
                            <w:szCs w:val="21"/>
                          </w:rPr>
                          <w:t>编制安全评价报告</w:t>
                        </w:r>
                      </w:p>
                    </w:txbxContent>
                  </v:textbox>
                </v:shape>
                <v:line id="_x0000_s1026" o:spid="_x0000_s1026" o:spt="20" style="position:absolute;left:6268;top:8605;height:468;width:0;" filled="f" stroked="t" coordsize="21600,21600" o:gfxdata="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jfH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6267;top:9752;height:471;width:0;" filled="f" stroked="t" coordsize="21600,21600"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263;top:10893;height:354;width:4;" filled="f" stroked="t" coordsize="21600,2160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267;top:11808;flip:x;height:374;width:13;" filled="f" stroked="t" coordsize="21600,21600" o:gfxdata="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Fee+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268;top:12922;height:310;width:0;" filled="f" stroked="t" coordsize="21600,21600" o:gfxdata="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zBR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6268;top:13958;height:310;width:0;"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_x0000_s1026" o:spid="_x0000_s1026" o:spt="20" style="position:absolute;left:6268;top:15031;height:310;width:0;" filled="f" stroked="t" coordsize="21600,21600" o:gfxdata="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f8K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4828;top:8010;height:624;width:3013;" fillcolor="#FFFFFF" filled="t" stroked="t" coordsize="21600,21600" o:gfxdata="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e2j9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style="layout-flow:vertical-ideographic;">
                    <w:txbxContent>
                      <w:p>
                        <w:pPr>
                          <w:spacing w:line="240" w:lineRule="auto"/>
                          <w:jc w:val="center"/>
                          <w:rPr>
                            <w:rFonts w:hint="eastAsia"/>
                            <w:sz w:val="24"/>
                          </w:rPr>
                        </w:pPr>
                        <w:r>
                          <w:rPr>
                            <w:rFonts w:hint="eastAsia"/>
                            <w:sz w:val="21"/>
                            <w:szCs w:val="21"/>
                          </w:rPr>
                          <w:t>前期准备</w:t>
                        </w:r>
                      </w:p>
                    </w:txbxContent>
                  </v:textbox>
                </v:shape>
                <w10:wrap type="square"/>
              </v:group>
            </w:pict>
          </mc:Fallback>
        </mc:AlternateContent>
      </w:r>
      <w:r>
        <w:rPr>
          <w:rFonts w:hint="eastAsia" w:hAnsi="宋体"/>
          <w:bCs/>
          <w:color w:val="auto"/>
          <w:sz w:val="28"/>
          <w:lang w:val="en-US" w:eastAsia="zh-CN"/>
        </w:rPr>
        <w:t>该项目的评价工作程序</w:t>
      </w:r>
      <w:r>
        <w:rPr>
          <w:rFonts w:hAnsi="宋体"/>
          <w:bCs/>
          <w:color w:val="auto"/>
          <w:sz w:val="28"/>
        </w:rPr>
        <w:t>如图1</w:t>
      </w:r>
      <w:r>
        <w:rPr>
          <w:rFonts w:hint="eastAsia" w:hAnsi="宋体"/>
          <w:bCs/>
          <w:color w:val="auto"/>
          <w:sz w:val="28"/>
        </w:rPr>
        <w:t>.</w:t>
      </w:r>
      <w:r>
        <w:rPr>
          <w:rFonts w:hint="eastAsia" w:hAnsi="宋体"/>
          <w:bCs/>
          <w:color w:val="auto"/>
          <w:sz w:val="28"/>
          <w:lang w:val="en-US" w:eastAsia="zh-CN"/>
        </w:rPr>
        <w:t>4</w:t>
      </w:r>
      <w:r>
        <w:rPr>
          <w:rFonts w:hAnsi="宋体"/>
          <w:bCs/>
          <w:color w:val="auto"/>
          <w:sz w:val="28"/>
        </w:rPr>
        <w:t>-1。</w:t>
      </w:r>
    </w:p>
    <w:p>
      <w:pPr>
        <w:pStyle w:val="62"/>
        <w:rPr>
          <w:rFonts w:hAnsi="宋体"/>
          <w:bCs/>
          <w:color w:val="auto"/>
          <w:sz w:val="28"/>
        </w:rPr>
      </w:pPr>
    </w:p>
    <w:p>
      <w:pPr>
        <w:pStyle w:val="62"/>
        <w:rPr>
          <w:rFonts w:hAnsi="宋体"/>
          <w:bCs/>
          <w:color w:val="auto"/>
          <w:sz w:val="28"/>
        </w:rPr>
      </w:pPr>
    </w:p>
    <w:p>
      <w:pPr>
        <w:spacing w:line="360" w:lineRule="auto"/>
        <w:ind w:firstLine="4558" w:firstLineChars="1628"/>
        <w:rPr>
          <w:color w:val="auto"/>
        </w:rPr>
      </w:pPr>
    </w:p>
    <w:p>
      <w:pPr>
        <w:pStyle w:val="62"/>
        <w:rPr>
          <w:rFonts w:hAnsi="宋体"/>
          <w:bCs/>
          <w:color w:val="auto"/>
          <w:sz w:val="28"/>
        </w:rPr>
      </w:pPr>
    </w:p>
    <w:p>
      <w:pPr>
        <w:pStyle w:val="62"/>
        <w:rPr>
          <w:rFonts w:hAnsi="宋体"/>
          <w:bCs/>
          <w:color w:val="auto"/>
          <w:sz w:val="28"/>
        </w:rPr>
      </w:pPr>
    </w:p>
    <w:p>
      <w:pPr>
        <w:pStyle w:val="62"/>
        <w:rPr>
          <w:rFonts w:hAnsi="宋体"/>
          <w:bCs/>
          <w:color w:val="auto"/>
          <w:sz w:val="28"/>
        </w:rPr>
      </w:pPr>
    </w:p>
    <w:p>
      <w:pPr>
        <w:pStyle w:val="14"/>
        <w:keepNext w:val="0"/>
        <w:keepLines w:val="0"/>
        <w:pageBreakBefore w:val="0"/>
        <w:widowControl w:val="0"/>
        <w:kinsoku/>
        <w:wordWrap/>
        <w:overflowPunct/>
        <w:topLinePunct w:val="0"/>
        <w:autoSpaceDE/>
        <w:autoSpaceDN/>
        <w:bidi w:val="0"/>
        <w:adjustRightInd/>
        <w:snapToGrid/>
        <w:spacing w:line="240" w:lineRule="atLeast"/>
        <w:jc w:val="center"/>
        <w:textAlignment w:val="auto"/>
        <w:rPr>
          <w:color w:val="auto"/>
        </w:rPr>
      </w:pPr>
      <w:r>
        <w:rPr>
          <w:color w:val="auto"/>
        </w:rPr>
        <w:t>图</w:t>
      </w:r>
      <w:r>
        <w:rPr>
          <w:color w:val="auto"/>
        </w:rPr>
        <w:fldChar w:fldCharType="begin"/>
      </w:r>
      <w:r>
        <w:rPr>
          <w:color w:val="auto"/>
        </w:rPr>
        <w:instrText xml:space="preserve"> SEQ 图 \* ARABIC </w:instrText>
      </w:r>
      <w:r>
        <w:rPr>
          <w:color w:val="auto"/>
        </w:rPr>
        <w:fldChar w:fldCharType="separate"/>
      </w:r>
      <w:r>
        <w:rPr>
          <w:color w:val="auto"/>
        </w:rPr>
        <w:t>1</w:t>
      </w:r>
      <w:r>
        <w:rPr>
          <w:color w:val="auto"/>
        </w:rPr>
        <w:fldChar w:fldCharType="end"/>
      </w:r>
      <w:r>
        <w:rPr>
          <w:rFonts w:hint="eastAsia"/>
          <w:color w:val="auto"/>
          <w:lang w:eastAsia="zh-CN"/>
        </w:rPr>
        <w:t>.</w:t>
      </w:r>
      <w:r>
        <w:rPr>
          <w:rFonts w:hint="eastAsia"/>
          <w:color w:val="auto"/>
          <w:lang w:val="en-US" w:eastAsia="zh-CN"/>
        </w:rPr>
        <w:t>4</w:t>
      </w:r>
      <w:r>
        <w:rPr>
          <w:rFonts w:hint="eastAsia"/>
          <w:color w:val="auto"/>
          <w:lang w:eastAsia="zh-CN"/>
        </w:rPr>
        <w:t>-1</w:t>
      </w:r>
      <w:r>
        <w:rPr>
          <w:color w:val="auto"/>
        </w:rPr>
        <w:t>　安全评价工作程序框图</w:t>
      </w:r>
    </w:p>
    <w:p>
      <w:pPr>
        <w:pStyle w:val="2"/>
        <w:bidi w:val="0"/>
        <w:rPr>
          <w:rFonts w:hint="eastAsia"/>
          <w:color w:val="auto"/>
          <w:szCs w:val="28"/>
        </w:rPr>
      </w:pPr>
      <w:r>
        <w:rPr>
          <w:color w:val="auto"/>
          <w:sz w:val="32"/>
          <w:szCs w:val="32"/>
        </w:rPr>
        <w:br w:type="page"/>
      </w:r>
      <w:bookmarkStart w:id="44" w:name="_Toc29100"/>
      <w:bookmarkStart w:id="45" w:name="_Toc27005"/>
      <w:bookmarkStart w:id="46" w:name="_Toc21923"/>
      <w:bookmarkStart w:id="47" w:name="_Toc27728"/>
      <w:bookmarkStart w:id="48" w:name="_Toc12500"/>
      <w:bookmarkStart w:id="49" w:name="_Toc11503"/>
      <w:bookmarkStart w:id="50" w:name="_Toc31697"/>
      <w:r>
        <w:rPr>
          <w:rStyle w:val="64"/>
          <w:rFonts w:hint="eastAsia" w:ascii="宋体" w:hAnsi="宋体" w:eastAsia="宋体" w:cs="宋体"/>
          <w:b/>
          <w:color w:val="auto"/>
        </w:rPr>
        <w:t>2建设项目概况</w:t>
      </w:r>
      <w:bookmarkEnd w:id="44"/>
      <w:bookmarkEnd w:id="45"/>
      <w:bookmarkEnd w:id="46"/>
      <w:bookmarkEnd w:id="47"/>
      <w:bookmarkEnd w:id="48"/>
      <w:bookmarkEnd w:id="49"/>
      <w:bookmarkEnd w:id="50"/>
    </w:p>
    <w:p>
      <w:pPr>
        <w:pStyle w:val="3"/>
        <w:keepNext/>
        <w:keepLines/>
        <w:pageBreakBefore w:val="0"/>
        <w:widowControl w:val="0"/>
        <w:kinsoku/>
        <w:wordWrap/>
        <w:overflowPunct/>
        <w:topLinePunct w:val="0"/>
        <w:autoSpaceDE/>
        <w:autoSpaceDN/>
        <w:bidi w:val="0"/>
        <w:adjustRightInd/>
        <w:snapToGrid/>
        <w:spacing w:before="0" w:beforeLines="0" w:after="0" w:line="600" w:lineRule="exact"/>
        <w:jc w:val="left"/>
        <w:textAlignment w:val="auto"/>
        <w:rPr>
          <w:rFonts w:hint="eastAsia"/>
          <w:color w:val="auto"/>
        </w:rPr>
      </w:pPr>
      <w:bookmarkStart w:id="51" w:name="_Toc11782"/>
      <w:bookmarkStart w:id="52" w:name="_Toc18167"/>
      <w:bookmarkStart w:id="53" w:name="_Toc29836"/>
      <w:bookmarkStart w:id="54" w:name="_Toc13469"/>
      <w:bookmarkStart w:id="55" w:name="_Toc6408"/>
      <w:bookmarkStart w:id="56" w:name="_Toc13506"/>
      <w:bookmarkStart w:id="57" w:name="_Toc15507"/>
      <w:r>
        <w:rPr>
          <w:rFonts w:hint="eastAsia"/>
          <w:color w:val="auto"/>
        </w:rPr>
        <w:t>2.1建设单位简介及项目由来</w:t>
      </w:r>
      <w:bookmarkEnd w:id="51"/>
      <w:bookmarkEnd w:id="52"/>
      <w:bookmarkEnd w:id="53"/>
      <w:bookmarkEnd w:id="54"/>
      <w:bookmarkEnd w:id="55"/>
      <w:bookmarkEnd w:id="56"/>
      <w:bookmarkEnd w:id="57"/>
    </w:p>
    <w:p>
      <w:pPr>
        <w:pStyle w:val="4"/>
        <w:keepNext/>
        <w:keepLines/>
        <w:pageBreakBefore w:val="0"/>
        <w:widowControl w:val="0"/>
        <w:kinsoku/>
        <w:wordWrap/>
        <w:overflowPunct/>
        <w:topLinePunct w:val="0"/>
        <w:autoSpaceDE/>
        <w:autoSpaceDN/>
        <w:bidi w:val="0"/>
        <w:adjustRightInd/>
        <w:snapToGrid/>
        <w:spacing w:before="0" w:beforeLines="0" w:line="600" w:lineRule="exact"/>
        <w:jc w:val="left"/>
        <w:textAlignment w:val="auto"/>
        <w:rPr>
          <w:rFonts w:hint="eastAsia"/>
          <w:color w:val="auto"/>
        </w:rPr>
      </w:pPr>
      <w:bookmarkStart w:id="58" w:name="_Toc5854"/>
      <w:bookmarkStart w:id="59" w:name="_Toc4806"/>
      <w:bookmarkStart w:id="60" w:name="_Toc1375"/>
      <w:bookmarkStart w:id="61" w:name="_Toc1860"/>
      <w:bookmarkStart w:id="62" w:name="_Toc1690"/>
      <w:bookmarkStart w:id="63" w:name="_Toc13646"/>
      <w:bookmarkStart w:id="64" w:name="_Toc14687"/>
      <w:r>
        <w:rPr>
          <w:rFonts w:hint="eastAsia"/>
          <w:color w:val="auto"/>
        </w:rPr>
        <w:t>2.</w:t>
      </w:r>
      <w:r>
        <w:rPr>
          <w:rFonts w:hint="eastAsia"/>
          <w:color w:val="auto"/>
          <w:lang w:val="en-US" w:eastAsia="zh-CN"/>
        </w:rPr>
        <w:t>1</w:t>
      </w:r>
      <w:r>
        <w:rPr>
          <w:rFonts w:hint="eastAsia"/>
          <w:color w:val="auto"/>
        </w:rPr>
        <w:t>.1建设单位简介</w:t>
      </w:r>
      <w:bookmarkEnd w:id="58"/>
      <w:bookmarkEnd w:id="59"/>
      <w:bookmarkEnd w:id="60"/>
      <w:bookmarkEnd w:id="61"/>
      <w:bookmarkEnd w:id="62"/>
      <w:bookmarkEnd w:id="63"/>
      <w:bookmarkEnd w:id="64"/>
    </w:p>
    <w:p>
      <w:pPr>
        <w:pStyle w:val="21"/>
        <w:ind w:firstLine="560" w:firstLineChars="200"/>
        <w:rPr>
          <w:rFonts w:hint="eastAsia" w:hAnsi="宋体"/>
          <w:color w:val="auto"/>
          <w:szCs w:val="28"/>
        </w:rPr>
      </w:pPr>
      <w:r>
        <w:rPr>
          <w:color w:val="auto"/>
          <w:szCs w:val="28"/>
        </w:rPr>
        <w:t>1</w:t>
      </w:r>
      <w:r>
        <w:rPr>
          <w:rFonts w:hAnsi="宋体"/>
          <w:color w:val="auto"/>
          <w:szCs w:val="28"/>
        </w:rPr>
        <w:t>、企业简介</w:t>
      </w:r>
    </w:p>
    <w:p>
      <w:pPr>
        <w:ind w:firstLine="560" w:firstLineChars="200"/>
        <w:rPr>
          <w:rFonts w:hint="eastAsia" w:hAnsi="宋体"/>
          <w:bCs/>
          <w:color w:val="auto"/>
          <w:sz w:val="28"/>
          <w:szCs w:val="28"/>
        </w:rPr>
      </w:pPr>
      <w:r>
        <w:rPr>
          <w:rFonts w:hint="eastAsia" w:hAnsi="宋体"/>
          <w:bCs/>
          <w:color w:val="auto"/>
          <w:sz w:val="28"/>
          <w:szCs w:val="28"/>
          <w:lang w:eastAsia="zh-CN"/>
        </w:rPr>
        <w:t>江西旺达新材料有限公司</w:t>
      </w:r>
      <w:r>
        <w:rPr>
          <w:rFonts w:hAnsi="宋体"/>
          <w:bCs/>
          <w:color w:val="auto"/>
          <w:sz w:val="28"/>
          <w:szCs w:val="28"/>
        </w:rPr>
        <w:t>成立于20</w:t>
      </w:r>
      <w:r>
        <w:rPr>
          <w:rFonts w:hint="eastAsia" w:hAnsi="宋体"/>
          <w:bCs/>
          <w:color w:val="auto"/>
          <w:sz w:val="28"/>
          <w:szCs w:val="28"/>
          <w:lang w:val="en-US" w:eastAsia="zh-CN"/>
        </w:rPr>
        <w:t>22</w:t>
      </w:r>
      <w:r>
        <w:rPr>
          <w:rFonts w:hAnsi="宋体"/>
          <w:bCs/>
          <w:color w:val="auto"/>
          <w:sz w:val="28"/>
          <w:szCs w:val="28"/>
        </w:rPr>
        <w:t>年</w:t>
      </w:r>
      <w:r>
        <w:rPr>
          <w:rFonts w:hint="eastAsia" w:hAnsi="宋体"/>
          <w:bCs/>
          <w:color w:val="auto"/>
          <w:sz w:val="28"/>
          <w:szCs w:val="28"/>
          <w:lang w:val="en-US" w:eastAsia="zh-CN"/>
        </w:rPr>
        <w:t>7</w:t>
      </w:r>
      <w:r>
        <w:rPr>
          <w:rFonts w:hAnsi="宋体"/>
          <w:bCs/>
          <w:color w:val="auto"/>
          <w:sz w:val="28"/>
          <w:szCs w:val="28"/>
        </w:rPr>
        <w:t>月</w:t>
      </w:r>
      <w:r>
        <w:rPr>
          <w:rFonts w:hint="eastAsia" w:hAnsi="宋体"/>
          <w:bCs/>
          <w:color w:val="auto"/>
          <w:sz w:val="28"/>
          <w:szCs w:val="28"/>
          <w:lang w:val="en-US" w:eastAsia="zh-CN"/>
        </w:rPr>
        <w:t>11</w:t>
      </w:r>
      <w:r>
        <w:rPr>
          <w:rFonts w:hAnsi="宋体"/>
          <w:bCs/>
          <w:color w:val="auto"/>
          <w:sz w:val="28"/>
          <w:szCs w:val="28"/>
        </w:rPr>
        <w:t>日，属有限责任公司（自然人投资或控股）。法人代表：</w:t>
      </w:r>
      <w:r>
        <w:rPr>
          <w:rFonts w:hint="eastAsia" w:hAnsi="宋体"/>
          <w:bCs/>
          <w:color w:val="auto"/>
          <w:sz w:val="28"/>
          <w:szCs w:val="28"/>
          <w:lang w:val="en-US" w:eastAsia="zh-CN"/>
        </w:rPr>
        <w:t>黄小群</w:t>
      </w:r>
      <w:r>
        <w:rPr>
          <w:rFonts w:hAnsi="宋体"/>
          <w:bCs/>
          <w:color w:val="auto"/>
          <w:sz w:val="28"/>
          <w:szCs w:val="28"/>
        </w:rPr>
        <w:t>，注册资本：</w:t>
      </w:r>
      <w:r>
        <w:rPr>
          <w:rFonts w:hint="eastAsia" w:hAnsi="宋体"/>
          <w:bCs/>
          <w:color w:val="auto"/>
          <w:sz w:val="28"/>
          <w:szCs w:val="28"/>
          <w:lang w:val="en-US" w:eastAsia="zh-CN"/>
        </w:rPr>
        <w:t>888</w:t>
      </w:r>
      <w:r>
        <w:rPr>
          <w:rFonts w:hAnsi="宋体"/>
          <w:bCs/>
          <w:color w:val="auto"/>
          <w:sz w:val="28"/>
          <w:szCs w:val="28"/>
        </w:rPr>
        <w:t>万元。经营范围：</w:t>
      </w:r>
      <w:r>
        <w:rPr>
          <w:rFonts w:hint="eastAsia" w:hAnsi="宋体"/>
          <w:bCs/>
          <w:color w:val="auto"/>
          <w:sz w:val="28"/>
          <w:szCs w:val="28"/>
          <w:lang w:val="en-US" w:eastAsia="zh-CN"/>
        </w:rPr>
        <w:t>一般项目：合成材料制造（不含危险化学品</w:t>
      </w:r>
      <w:r>
        <w:rPr>
          <w:rFonts w:hAnsi="宋体"/>
          <w:bCs/>
          <w:color w:val="auto"/>
          <w:sz w:val="28"/>
          <w:szCs w:val="28"/>
        </w:rPr>
        <w:t>）</w:t>
      </w:r>
      <w:r>
        <w:rPr>
          <w:rFonts w:hint="eastAsia" w:hAnsi="宋体"/>
          <w:bCs/>
          <w:color w:val="auto"/>
          <w:sz w:val="28"/>
          <w:szCs w:val="28"/>
          <w:lang w:eastAsia="zh-CN"/>
        </w:rPr>
        <w:t>，</w:t>
      </w:r>
      <w:r>
        <w:rPr>
          <w:rFonts w:hint="eastAsia" w:hAnsi="宋体"/>
          <w:bCs/>
          <w:color w:val="auto"/>
          <w:sz w:val="28"/>
          <w:szCs w:val="28"/>
          <w:lang w:val="en-US" w:eastAsia="zh-CN"/>
        </w:rPr>
        <w:t>玻璃纤维增强塑料制品制造，塑料制品销售，玻璃制造，化工产品销售（不含许可类化工产品）</w:t>
      </w:r>
      <w:r>
        <w:rPr>
          <w:rFonts w:hint="eastAsia" w:hAnsi="宋体"/>
          <w:bCs/>
          <w:color w:val="auto"/>
          <w:sz w:val="28"/>
          <w:szCs w:val="28"/>
          <w:lang w:eastAsia="zh-CN"/>
        </w:rPr>
        <w:t>、</w:t>
      </w:r>
      <w:r>
        <w:rPr>
          <w:rFonts w:hint="eastAsia" w:hAnsi="宋体"/>
          <w:bCs/>
          <w:color w:val="auto"/>
          <w:sz w:val="28"/>
          <w:szCs w:val="28"/>
          <w:lang w:val="en-US" w:eastAsia="zh-CN"/>
        </w:rPr>
        <w:t>合成材料销售（除许可业务外，可自主依法经营法律法规非禁止或限制的项目）</w:t>
      </w:r>
      <w:r>
        <w:rPr>
          <w:rFonts w:hAnsi="宋体"/>
          <w:bCs/>
          <w:color w:val="auto"/>
          <w:sz w:val="28"/>
          <w:szCs w:val="28"/>
        </w:rPr>
        <w:t>。</w:t>
      </w:r>
    </w:p>
    <w:p>
      <w:pPr>
        <w:ind w:firstLine="560" w:firstLineChars="200"/>
        <w:rPr>
          <w:rFonts w:ascii="宋体" w:hAnsi="宋体"/>
          <w:bCs/>
          <w:color w:val="auto"/>
          <w:sz w:val="28"/>
          <w:szCs w:val="28"/>
        </w:rPr>
      </w:pPr>
      <w:r>
        <w:rPr>
          <w:color w:val="auto"/>
          <w:sz w:val="28"/>
        </w:rPr>
        <w:t>2</w:t>
      </w:r>
      <w:r>
        <w:rPr>
          <w:rFonts w:hAnsi="宋体"/>
          <w:color w:val="auto"/>
          <w:sz w:val="28"/>
        </w:rPr>
        <w:t>、项目</w:t>
      </w:r>
      <w:r>
        <w:rPr>
          <w:rFonts w:hint="eastAsia" w:hAnsi="宋体"/>
          <w:color w:val="auto"/>
          <w:sz w:val="28"/>
        </w:rPr>
        <w:t>相关</w:t>
      </w:r>
    </w:p>
    <w:p>
      <w:pPr>
        <w:pStyle w:val="21"/>
        <w:ind w:firstLine="560" w:firstLineChars="200"/>
        <w:rPr>
          <w:rFonts w:hint="eastAsia"/>
          <w:color w:val="auto"/>
          <w:szCs w:val="28"/>
        </w:rPr>
      </w:pPr>
      <w:r>
        <w:rPr>
          <w:rFonts w:hint="eastAsia" w:hAnsi="宋体"/>
          <w:bCs/>
          <w:color w:val="auto"/>
          <w:szCs w:val="28"/>
        </w:rPr>
        <w:t>该项目主要原料为有机玻璃</w:t>
      </w:r>
      <w:r>
        <w:rPr>
          <w:rFonts w:hint="eastAsia" w:hAnsi="宋体"/>
          <w:bCs/>
          <w:color w:val="auto"/>
          <w:szCs w:val="28"/>
          <w:lang w:val="en-US" w:eastAsia="zh-CN"/>
        </w:rPr>
        <w:t>板</w:t>
      </w:r>
      <w:r>
        <w:rPr>
          <w:rFonts w:hint="eastAsia" w:hAnsi="宋体"/>
          <w:bCs/>
          <w:color w:val="auto"/>
          <w:szCs w:val="28"/>
        </w:rPr>
        <w:t>边角料</w:t>
      </w:r>
      <w:r>
        <w:rPr>
          <w:rFonts w:hint="eastAsia" w:hAnsi="宋体"/>
          <w:bCs/>
          <w:color w:val="auto"/>
          <w:szCs w:val="28"/>
          <w:lang w:val="en-US" w:eastAsia="zh-CN"/>
        </w:rPr>
        <w:t>和废料</w:t>
      </w:r>
      <w:r>
        <w:rPr>
          <w:rFonts w:hint="eastAsia" w:hAnsi="宋体"/>
          <w:bCs/>
          <w:color w:val="auto"/>
          <w:szCs w:val="28"/>
        </w:rPr>
        <w:t>，经过破碎、</w:t>
      </w:r>
      <w:r>
        <w:rPr>
          <w:rFonts w:hint="eastAsia" w:hAnsi="宋体"/>
          <w:bCs/>
          <w:color w:val="auto"/>
          <w:szCs w:val="28"/>
          <w:lang w:val="en-US" w:eastAsia="zh-CN"/>
        </w:rPr>
        <w:t>人工捡</w:t>
      </w:r>
      <w:r>
        <w:rPr>
          <w:rFonts w:hint="eastAsia" w:hAnsi="宋体"/>
          <w:bCs/>
          <w:color w:val="auto"/>
          <w:szCs w:val="28"/>
        </w:rPr>
        <w:t>选、裂解为粗甲基丙烯酸甲酯，粗甲基丙烯酸甲酯再经精馏得精甲基丙烯酸甲酯。该项目工艺技术</w:t>
      </w:r>
      <w:r>
        <w:rPr>
          <w:rFonts w:hint="eastAsia" w:hAnsi="宋体"/>
          <w:bCs/>
          <w:color w:val="auto"/>
          <w:szCs w:val="28"/>
          <w:lang w:val="en-US" w:eastAsia="zh-CN"/>
        </w:rPr>
        <w:t>来源于企业自主研发</w:t>
      </w:r>
      <w:r>
        <w:rPr>
          <w:rFonts w:hint="eastAsia" w:hAnsi="宋体"/>
          <w:bCs/>
          <w:color w:val="auto"/>
          <w:szCs w:val="28"/>
        </w:rPr>
        <w:t>。</w:t>
      </w:r>
      <w:r>
        <w:rPr>
          <w:rFonts w:hint="eastAsia"/>
          <w:color w:val="auto"/>
          <w:szCs w:val="28"/>
        </w:rPr>
        <w:t>对比国家发展和改革委员会令20</w:t>
      </w:r>
      <w:r>
        <w:rPr>
          <w:rFonts w:hint="eastAsia"/>
          <w:color w:val="auto"/>
          <w:szCs w:val="28"/>
          <w:lang w:val="en-US" w:eastAsia="zh-CN"/>
        </w:rPr>
        <w:t>23</w:t>
      </w:r>
      <w:r>
        <w:rPr>
          <w:rFonts w:hint="eastAsia"/>
          <w:color w:val="auto"/>
          <w:szCs w:val="28"/>
        </w:rPr>
        <w:t>年第</w:t>
      </w:r>
      <w:r>
        <w:rPr>
          <w:rFonts w:hint="eastAsia"/>
          <w:color w:val="auto"/>
          <w:szCs w:val="28"/>
          <w:lang w:val="en-US" w:eastAsia="zh-CN"/>
        </w:rPr>
        <w:t>7</w:t>
      </w:r>
      <w:r>
        <w:rPr>
          <w:rFonts w:hint="eastAsia"/>
          <w:color w:val="auto"/>
          <w:szCs w:val="28"/>
        </w:rPr>
        <w:t>号</w:t>
      </w:r>
      <w:r>
        <w:rPr>
          <w:color w:val="auto"/>
          <w:szCs w:val="28"/>
        </w:rPr>
        <w:t>《产业结构调整指导目录（20</w:t>
      </w:r>
      <w:r>
        <w:rPr>
          <w:rFonts w:hint="eastAsia"/>
          <w:color w:val="auto"/>
          <w:szCs w:val="28"/>
          <w:lang w:val="en-US" w:eastAsia="zh-CN"/>
        </w:rPr>
        <w:t>24</w:t>
      </w:r>
      <w:r>
        <w:rPr>
          <w:color w:val="auto"/>
          <w:szCs w:val="28"/>
        </w:rPr>
        <w:t>年本）》</w:t>
      </w:r>
      <w:r>
        <w:rPr>
          <w:rFonts w:hint="eastAsia"/>
          <w:color w:val="auto"/>
          <w:szCs w:val="28"/>
        </w:rPr>
        <w:t>的要求，该项目不属于限制和淘汰类。</w:t>
      </w:r>
    </w:p>
    <w:p>
      <w:pPr>
        <w:pStyle w:val="21"/>
        <w:ind w:firstLine="560" w:firstLineChars="200"/>
        <w:rPr>
          <w:rFonts w:hint="eastAsia"/>
          <w:color w:val="auto"/>
          <w:szCs w:val="28"/>
        </w:rPr>
      </w:pPr>
      <w:r>
        <w:rPr>
          <w:rFonts w:hint="eastAsia"/>
          <w:color w:val="auto"/>
          <w:szCs w:val="28"/>
        </w:rPr>
        <w:t>3、该项目</w:t>
      </w:r>
      <w:r>
        <w:rPr>
          <w:rFonts w:hint="eastAsia"/>
          <w:color w:val="auto"/>
          <w:szCs w:val="28"/>
          <w:lang w:val="en-US" w:eastAsia="zh-CN"/>
        </w:rPr>
        <w:t>建设</w:t>
      </w:r>
      <w:r>
        <w:rPr>
          <w:rFonts w:hint="eastAsia"/>
          <w:color w:val="auto"/>
          <w:szCs w:val="28"/>
        </w:rPr>
        <w:t>情况介绍</w:t>
      </w:r>
    </w:p>
    <w:p>
      <w:pPr>
        <w:ind w:firstLine="560" w:firstLineChars="200"/>
        <w:rPr>
          <w:rFonts w:hint="eastAsia" w:hAnsi="宋体"/>
          <w:bCs/>
          <w:color w:val="auto"/>
          <w:sz w:val="28"/>
          <w:szCs w:val="28"/>
        </w:rPr>
      </w:pPr>
      <w:r>
        <w:rPr>
          <w:rFonts w:hint="default" w:ascii="Times New Roman" w:hAnsi="Times New Roman" w:cs="Times New Roman"/>
          <w:color w:val="auto"/>
          <w:sz w:val="28"/>
          <w:szCs w:val="28"/>
          <w:highlight w:val="none"/>
          <w:lang w:val="zh-CN"/>
        </w:rPr>
        <w:t>该</w:t>
      </w:r>
      <w:r>
        <w:rPr>
          <w:rFonts w:hint="eastAsia" w:cs="Times New Roman"/>
          <w:color w:val="auto"/>
          <w:sz w:val="28"/>
          <w:highlight w:val="none"/>
          <w:lang w:val="en-US" w:eastAsia="zh-CN"/>
        </w:rPr>
        <w:t>项目</w:t>
      </w:r>
      <w:r>
        <w:rPr>
          <w:rFonts w:hint="default" w:ascii="Times New Roman" w:hAnsi="Times New Roman" w:cs="Times New Roman"/>
          <w:color w:val="auto"/>
          <w:sz w:val="28"/>
          <w:highlight w:val="none"/>
          <w:lang w:val="en-US" w:eastAsia="zh-CN"/>
        </w:rPr>
        <w:t>规划使用土地</w:t>
      </w:r>
      <w:r>
        <w:rPr>
          <w:rFonts w:hint="eastAsia" w:cs="Times New Roman"/>
          <w:color w:val="auto"/>
          <w:sz w:val="28"/>
          <w:highlight w:val="none"/>
          <w:lang w:val="en-US" w:eastAsia="zh-CN"/>
        </w:rPr>
        <w:t>约28.1亩</w:t>
      </w:r>
      <w:r>
        <w:rPr>
          <w:rFonts w:hint="default" w:ascii="Times New Roman" w:hAnsi="Times New Roman" w:cs="Times New Roman"/>
          <w:color w:val="auto"/>
          <w:sz w:val="28"/>
          <w:highlight w:val="none"/>
          <w:lang w:val="en-US" w:eastAsia="zh-CN"/>
        </w:rPr>
        <w:t>（位于化工集中区四至范围内）</w:t>
      </w:r>
      <w:r>
        <w:rPr>
          <w:rFonts w:hint="default" w:ascii="Times New Roman" w:hAnsi="Times New Roman" w:cs="Times New Roman"/>
          <w:color w:val="auto"/>
          <w:sz w:val="28"/>
          <w:lang w:val="en-US" w:eastAsia="zh-CN"/>
        </w:rPr>
        <w:t>，</w:t>
      </w:r>
      <w:r>
        <w:rPr>
          <w:rFonts w:hint="default" w:ascii="Times New Roman" w:hAnsi="Times New Roman" w:cs="Times New Roman"/>
          <w:color w:val="auto"/>
          <w:sz w:val="28"/>
        </w:rPr>
        <w:t>新建生产厂房及仓储、办公等辅助用房及厂区水、电等公用工程设施的建设，20000吨（MMA）有机玻璃原料生产线建设。</w:t>
      </w:r>
      <w:r>
        <w:rPr>
          <w:rFonts w:hAnsi="宋体"/>
          <w:bCs/>
          <w:color w:val="auto"/>
          <w:sz w:val="28"/>
          <w:szCs w:val="28"/>
        </w:rPr>
        <w:t>该项目规模为：年产2000</w:t>
      </w:r>
      <w:r>
        <w:rPr>
          <w:rFonts w:hint="eastAsia" w:hAnsi="宋体"/>
          <w:bCs/>
          <w:color w:val="auto"/>
          <w:sz w:val="28"/>
          <w:szCs w:val="28"/>
          <w:lang w:val="en-US" w:eastAsia="zh-CN"/>
        </w:rPr>
        <w:t>0</w:t>
      </w:r>
      <w:r>
        <w:rPr>
          <w:rFonts w:hAnsi="宋体"/>
          <w:bCs/>
          <w:color w:val="auto"/>
          <w:sz w:val="28"/>
          <w:szCs w:val="28"/>
        </w:rPr>
        <w:t>吨有机玻璃</w:t>
      </w:r>
      <w:r>
        <w:rPr>
          <w:rFonts w:hint="eastAsia" w:hAnsi="宋体"/>
          <w:bCs/>
          <w:color w:val="auto"/>
          <w:sz w:val="28"/>
          <w:szCs w:val="28"/>
          <w:lang w:val="en-US" w:eastAsia="zh-CN"/>
        </w:rPr>
        <w:t>原料</w:t>
      </w:r>
      <w:r>
        <w:rPr>
          <w:rFonts w:hAnsi="宋体"/>
          <w:bCs/>
          <w:color w:val="auto"/>
          <w:sz w:val="28"/>
          <w:szCs w:val="28"/>
        </w:rPr>
        <w:t>，</w:t>
      </w:r>
      <w:r>
        <w:rPr>
          <w:rFonts w:hint="eastAsia" w:hAnsi="宋体"/>
          <w:bCs/>
          <w:color w:val="auto"/>
          <w:sz w:val="28"/>
          <w:szCs w:val="28"/>
          <w:lang w:val="en-US" w:eastAsia="zh-CN"/>
        </w:rPr>
        <w:t>于2022年8月18日取得江西省企业投资项目备案通知书（项目统一代码为：2208-360902-04-05-436045）</w:t>
      </w:r>
      <w:r>
        <w:rPr>
          <w:rFonts w:hAnsi="宋体"/>
          <w:bCs/>
          <w:color w:val="auto"/>
          <w:sz w:val="28"/>
          <w:szCs w:val="28"/>
        </w:rPr>
        <w:t>。该项目位于江西省</w:t>
      </w:r>
      <w:r>
        <w:rPr>
          <w:rFonts w:hint="eastAsia" w:hAnsi="宋体"/>
          <w:bCs/>
          <w:color w:val="auto"/>
          <w:sz w:val="28"/>
          <w:szCs w:val="28"/>
          <w:lang w:eastAsia="zh-CN"/>
        </w:rPr>
        <w:t>宜春市</w:t>
      </w:r>
      <w:r>
        <w:rPr>
          <w:rFonts w:hint="eastAsia" w:hAnsi="宋体"/>
          <w:bCs/>
          <w:color w:val="auto"/>
          <w:sz w:val="28"/>
          <w:szCs w:val="28"/>
          <w:lang w:val="en-US" w:eastAsia="zh-CN"/>
        </w:rPr>
        <w:t>袁州</w:t>
      </w:r>
      <w:r>
        <w:rPr>
          <w:rFonts w:hAnsi="宋体"/>
          <w:bCs/>
          <w:color w:val="auto"/>
          <w:sz w:val="28"/>
          <w:szCs w:val="28"/>
        </w:rPr>
        <w:t>医药</w:t>
      </w:r>
      <w:r>
        <w:rPr>
          <w:rFonts w:hint="eastAsia" w:hAnsi="宋体"/>
          <w:bCs/>
          <w:color w:val="auto"/>
          <w:sz w:val="28"/>
          <w:szCs w:val="28"/>
          <w:lang w:val="en-US" w:eastAsia="zh-CN"/>
        </w:rPr>
        <w:t>工业园</w:t>
      </w:r>
      <w:r>
        <w:rPr>
          <w:rFonts w:hAnsi="宋体"/>
          <w:bCs/>
          <w:color w:val="auto"/>
          <w:sz w:val="28"/>
          <w:szCs w:val="28"/>
        </w:rPr>
        <w:t>化工</w:t>
      </w:r>
      <w:r>
        <w:rPr>
          <w:rFonts w:hint="eastAsia" w:hAnsi="宋体"/>
          <w:bCs/>
          <w:color w:val="auto"/>
          <w:sz w:val="28"/>
          <w:szCs w:val="28"/>
          <w:lang w:val="en-US" w:eastAsia="zh-CN"/>
        </w:rPr>
        <w:t>集中区A2区内，用地面积18715.84</w:t>
      </w:r>
      <w:r>
        <w:rPr>
          <w:rFonts w:hAnsi="宋体"/>
          <w:bCs/>
          <w:color w:val="auto"/>
          <w:sz w:val="28"/>
          <w:szCs w:val="28"/>
        </w:rPr>
        <w:t>平方米</w:t>
      </w:r>
      <w:r>
        <w:rPr>
          <w:rFonts w:hint="eastAsia" w:hAnsi="宋体"/>
          <w:bCs/>
          <w:color w:val="auto"/>
          <w:sz w:val="28"/>
          <w:szCs w:val="28"/>
          <w:lang w:eastAsia="zh-CN"/>
        </w:rPr>
        <w:t>，</w:t>
      </w:r>
      <w:r>
        <w:rPr>
          <w:rFonts w:hint="eastAsia" w:hAnsi="宋体"/>
          <w:bCs/>
          <w:color w:val="auto"/>
          <w:sz w:val="28"/>
          <w:szCs w:val="28"/>
          <w:lang w:val="en-US" w:eastAsia="zh-CN"/>
        </w:rPr>
        <w:t>约28.1亩</w:t>
      </w:r>
      <w:r>
        <w:rPr>
          <w:rFonts w:hAnsi="宋体"/>
          <w:bCs/>
          <w:color w:val="auto"/>
          <w:sz w:val="28"/>
          <w:szCs w:val="28"/>
        </w:rPr>
        <w:t>。</w:t>
      </w:r>
    </w:p>
    <w:p>
      <w:pPr>
        <w:ind w:firstLine="560" w:firstLineChars="200"/>
        <w:rPr>
          <w:rFonts w:hint="eastAsia" w:hAnsi="宋体"/>
          <w:bCs/>
          <w:color w:val="auto"/>
          <w:sz w:val="28"/>
          <w:szCs w:val="28"/>
          <w:highlight w:val="none"/>
        </w:rPr>
      </w:pPr>
      <w:r>
        <w:rPr>
          <w:rFonts w:hint="eastAsia" w:hAnsi="宋体"/>
          <w:bCs/>
          <w:color w:val="auto"/>
          <w:sz w:val="28"/>
          <w:szCs w:val="28"/>
        </w:rPr>
        <w:t>该项目以外购</w:t>
      </w:r>
      <w:r>
        <w:rPr>
          <w:rFonts w:hint="eastAsia" w:hAnsi="宋体"/>
          <w:bCs/>
          <w:color w:val="auto"/>
          <w:sz w:val="28"/>
          <w:szCs w:val="28"/>
          <w:lang w:val="en-US" w:eastAsia="zh-CN"/>
        </w:rPr>
        <w:t>有机玻璃板边角料和废料</w:t>
      </w:r>
      <w:r>
        <w:rPr>
          <w:rFonts w:hint="eastAsia" w:hAnsi="宋体"/>
          <w:bCs/>
          <w:color w:val="auto"/>
          <w:sz w:val="28"/>
          <w:szCs w:val="28"/>
        </w:rPr>
        <w:t>作为原料，通过裂解、精馏工序，得到甲基丙烯酸甲酯单体。该项目涉及的</w:t>
      </w:r>
      <w:r>
        <w:rPr>
          <w:rFonts w:hint="eastAsia" w:hAnsi="宋体"/>
          <w:bCs/>
          <w:color w:val="auto"/>
          <w:sz w:val="28"/>
          <w:szCs w:val="28"/>
          <w:lang w:val="en-US" w:eastAsia="zh-CN"/>
        </w:rPr>
        <w:t>化学物质</w:t>
      </w:r>
      <w:r>
        <w:rPr>
          <w:rFonts w:hint="eastAsia" w:hAnsi="宋体"/>
          <w:bCs/>
          <w:color w:val="auto"/>
          <w:sz w:val="28"/>
          <w:szCs w:val="28"/>
        </w:rPr>
        <w:t>有：甲基丙烯酸甲酯</w:t>
      </w:r>
      <w:r>
        <w:rPr>
          <w:rFonts w:hint="eastAsia" w:hAnsi="宋体"/>
          <w:bCs/>
          <w:color w:val="auto"/>
          <w:sz w:val="28"/>
          <w:szCs w:val="28"/>
          <w:lang w:eastAsia="zh-CN"/>
        </w:rPr>
        <w:t>、</w:t>
      </w:r>
      <w:r>
        <w:rPr>
          <w:rFonts w:hint="eastAsia" w:hAnsi="宋体"/>
          <w:bCs/>
          <w:color w:val="auto"/>
          <w:sz w:val="28"/>
          <w:szCs w:val="28"/>
          <w:lang w:val="en-US" w:eastAsia="zh-CN"/>
        </w:rPr>
        <w:t>对苯二酚、甲醇、丙烯酸甲酯、甲基丙烯酸、柴油、氮气（压缩的）、</w:t>
      </w:r>
      <w:r>
        <w:rPr>
          <w:rFonts w:hint="eastAsia" w:hAnsi="宋体"/>
          <w:bCs/>
          <w:color w:val="auto"/>
          <w:sz w:val="28"/>
          <w:szCs w:val="28"/>
          <w:highlight w:val="none"/>
          <w:lang w:val="en-US" w:eastAsia="zh-CN"/>
        </w:rPr>
        <w:t>精馏残液（</w:t>
      </w:r>
      <w:r>
        <w:rPr>
          <w:rFonts w:hint="eastAsia"/>
          <w:color w:val="auto"/>
          <w:highlight w:val="none"/>
          <w:lang w:val="en-US" w:eastAsia="zh-CN"/>
        </w:rPr>
        <w:t>聚甲基丙烯酸甲酯、环己烯（烷）二甲酸二甲酯类、环戊烯（烷）二甲酸二甲酯类等</w:t>
      </w:r>
      <w:r>
        <w:rPr>
          <w:rFonts w:hint="eastAsia" w:hAnsi="宋体"/>
          <w:bCs/>
          <w:color w:val="auto"/>
          <w:sz w:val="28"/>
          <w:szCs w:val="28"/>
          <w:highlight w:val="none"/>
          <w:lang w:val="en-US" w:eastAsia="zh-CN"/>
        </w:rPr>
        <w:t>）、裂解残渣（</w:t>
      </w:r>
      <w:r>
        <w:rPr>
          <w:rFonts w:hint="eastAsia"/>
          <w:color w:val="auto"/>
          <w:highlight w:val="none"/>
        </w:rPr>
        <w:t>硬脂酸、邻苯二甲酸二丁酯</w:t>
      </w:r>
      <w:r>
        <w:rPr>
          <w:rFonts w:hint="eastAsia" w:hAnsi="宋体"/>
          <w:bCs/>
          <w:color w:val="auto"/>
          <w:sz w:val="28"/>
          <w:szCs w:val="28"/>
          <w:highlight w:val="none"/>
          <w:lang w:val="en-US" w:eastAsia="zh-CN"/>
        </w:rPr>
        <w:t>）等</w:t>
      </w:r>
      <w:r>
        <w:rPr>
          <w:rFonts w:hint="eastAsia" w:hAnsi="宋体"/>
          <w:bCs/>
          <w:color w:val="auto"/>
          <w:sz w:val="28"/>
          <w:szCs w:val="28"/>
          <w:highlight w:val="none"/>
        </w:rPr>
        <w:t>。</w:t>
      </w:r>
    </w:p>
    <w:p>
      <w:pPr>
        <w:pStyle w:val="4"/>
        <w:bidi w:val="0"/>
        <w:rPr>
          <w:color w:val="auto"/>
        </w:rPr>
      </w:pPr>
      <w:bookmarkStart w:id="65" w:name="_Toc8518"/>
      <w:bookmarkStart w:id="66" w:name="_Toc2399"/>
      <w:bookmarkStart w:id="67" w:name="_Toc12205"/>
      <w:bookmarkStart w:id="68" w:name="_Toc267"/>
      <w:bookmarkStart w:id="69" w:name="_Toc23273"/>
      <w:bookmarkStart w:id="70" w:name="_Toc21407"/>
      <w:bookmarkStart w:id="71" w:name="_Toc12292"/>
      <w:r>
        <w:rPr>
          <w:color w:val="auto"/>
        </w:rPr>
        <w:t>2.</w:t>
      </w:r>
      <w:r>
        <w:rPr>
          <w:rFonts w:hint="eastAsia"/>
          <w:color w:val="auto"/>
          <w:lang w:val="en-US" w:eastAsia="zh-CN"/>
        </w:rPr>
        <w:t>1</w:t>
      </w:r>
      <w:r>
        <w:rPr>
          <w:color w:val="auto"/>
        </w:rPr>
        <w:t>.</w:t>
      </w:r>
      <w:r>
        <w:rPr>
          <w:rFonts w:hint="eastAsia"/>
          <w:color w:val="auto"/>
        </w:rPr>
        <w:t>2项目背景</w:t>
      </w:r>
      <w:bookmarkEnd w:id="65"/>
      <w:bookmarkEnd w:id="66"/>
      <w:bookmarkEnd w:id="67"/>
      <w:bookmarkEnd w:id="68"/>
      <w:bookmarkEnd w:id="69"/>
      <w:bookmarkEnd w:id="70"/>
      <w:bookmarkEnd w:id="71"/>
    </w:p>
    <w:p>
      <w:pPr>
        <w:ind w:firstLine="560" w:firstLineChars="200"/>
        <w:rPr>
          <w:rFonts w:hint="eastAsia" w:hAnsi="宋体"/>
          <w:color w:val="auto"/>
          <w:sz w:val="28"/>
        </w:rPr>
      </w:pPr>
      <w:r>
        <w:rPr>
          <w:rFonts w:hint="eastAsia" w:hAnsi="宋体"/>
          <w:color w:val="auto"/>
          <w:sz w:val="28"/>
        </w:rPr>
        <w:t>1、产品的主要性能用途</w:t>
      </w:r>
    </w:p>
    <w:p>
      <w:pPr>
        <w:ind w:firstLine="560" w:firstLineChars="200"/>
        <w:rPr>
          <w:rFonts w:hint="eastAsia" w:hAnsi="宋体"/>
          <w:color w:val="auto"/>
          <w:sz w:val="28"/>
        </w:rPr>
      </w:pPr>
      <w:r>
        <w:rPr>
          <w:rFonts w:hAnsi="宋体"/>
          <w:color w:val="auto"/>
          <w:sz w:val="28"/>
        </w:rPr>
        <w:t>甲基丙烯酸甲酯是</w:t>
      </w:r>
      <w:r>
        <w:rPr>
          <w:rFonts w:hAnsi="宋体"/>
          <w:color w:val="auto"/>
          <w:sz w:val="28"/>
        </w:rPr>
        <w:fldChar w:fldCharType="begin"/>
      </w:r>
      <w:r>
        <w:rPr>
          <w:rFonts w:hAnsi="宋体"/>
          <w:color w:val="auto"/>
          <w:sz w:val="28"/>
        </w:rPr>
        <w:instrText xml:space="preserve"> HYPERLINK "https://baike.baidu.com/item/%E8%81%9A%E7%94%B2%E5%9F%BA%E4%B8%99%E7%83%AF%E9%85%B8%E7%94%B2%E9%85%AF" \t "_blank" </w:instrText>
      </w:r>
      <w:r>
        <w:rPr>
          <w:rFonts w:hAnsi="宋体"/>
          <w:color w:val="auto"/>
          <w:sz w:val="28"/>
        </w:rPr>
        <w:fldChar w:fldCharType="separate"/>
      </w:r>
      <w:r>
        <w:rPr>
          <w:rFonts w:hAnsi="宋体"/>
          <w:color w:val="auto"/>
          <w:sz w:val="28"/>
        </w:rPr>
        <w:t>聚甲基丙烯酸甲酯</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"https://baike.baidu.com/item/%E6%9C%89%E6%9C%BA%E7%8E%BB%E7%92%83" \t "_blank" </w:instrText>
      </w:r>
      <w:r>
        <w:rPr>
          <w:rFonts w:hAnsi="宋体"/>
          <w:color w:val="auto"/>
          <w:sz w:val="28"/>
        </w:rPr>
        <w:fldChar w:fldCharType="separate"/>
      </w:r>
      <w:r>
        <w:rPr>
          <w:rFonts w:hAnsi="宋体"/>
          <w:color w:val="auto"/>
          <w:sz w:val="28"/>
        </w:rPr>
        <w:t>有机玻璃</w:t>
      </w:r>
      <w:r>
        <w:rPr>
          <w:rFonts w:hAnsi="宋体"/>
          <w:color w:val="auto"/>
          <w:sz w:val="28"/>
        </w:rPr>
        <w:fldChar w:fldCharType="end"/>
      </w:r>
      <w:r>
        <w:rPr>
          <w:rFonts w:hAnsi="宋体"/>
          <w:color w:val="auto"/>
          <w:sz w:val="28"/>
        </w:rPr>
        <w:t>）单体，也与其他乙烯基单体共聚得到不同性质的产品</w:t>
      </w:r>
      <w:r>
        <w:rPr>
          <w:rFonts w:hint="eastAsia" w:hAnsi="宋体"/>
          <w:color w:val="auto"/>
          <w:sz w:val="28"/>
        </w:rPr>
        <w:t>。</w:t>
      </w:r>
      <w:r>
        <w:rPr>
          <w:rFonts w:hAnsi="宋体"/>
          <w:color w:val="auto"/>
          <w:sz w:val="28"/>
        </w:rPr>
        <w:t>用于制造</w:t>
      </w:r>
      <w:r>
        <w:rPr>
          <w:rFonts w:hAnsi="宋体"/>
          <w:color w:val="auto"/>
          <w:sz w:val="28"/>
        </w:rPr>
        <w:fldChar w:fldCharType="begin"/>
      </w:r>
      <w:r>
        <w:rPr>
          <w:rFonts w:hAnsi="宋体"/>
          <w:color w:val="auto"/>
          <w:sz w:val="28"/>
        </w:rPr>
        <w:instrText xml:space="preserve"> HYPERLINK "https://baike.baidu.com/item/%E6%9C%89%E6%9C%BA%E7%8E%BB%E7%92%83" \t "_blank" </w:instrText>
      </w:r>
      <w:r>
        <w:rPr>
          <w:rFonts w:hAnsi="宋体"/>
          <w:color w:val="auto"/>
          <w:sz w:val="28"/>
        </w:rPr>
        <w:fldChar w:fldCharType="separate"/>
      </w:r>
      <w:r>
        <w:rPr>
          <w:rFonts w:hAnsi="宋体"/>
          <w:color w:val="auto"/>
          <w:sz w:val="28"/>
        </w:rPr>
        <w:t>有机玻璃</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"https://baike.baidu.com/item/%E6%B6%82%E6%96%99" \t "_blank" </w:instrText>
      </w:r>
      <w:r>
        <w:rPr>
          <w:rFonts w:hAnsi="宋体"/>
          <w:color w:val="auto"/>
          <w:sz w:val="28"/>
        </w:rPr>
        <w:fldChar w:fldCharType="separate"/>
      </w:r>
      <w:r>
        <w:rPr>
          <w:rFonts w:hAnsi="宋体"/>
          <w:color w:val="auto"/>
          <w:sz w:val="28"/>
        </w:rPr>
        <w:t>涂料</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"https://baike.baidu.com/item/%E6%B6%A6%E6%BB%91%E6%B2%B9/53559" \t "_blank" </w:instrText>
      </w:r>
      <w:r>
        <w:rPr>
          <w:rFonts w:hAnsi="宋体"/>
          <w:color w:val="auto"/>
          <w:sz w:val="28"/>
        </w:rPr>
        <w:fldChar w:fldCharType="separate"/>
      </w:r>
      <w:r>
        <w:rPr>
          <w:rFonts w:hAnsi="宋体"/>
          <w:color w:val="auto"/>
          <w:sz w:val="28"/>
        </w:rPr>
        <w:t>润滑油</w:t>
      </w:r>
      <w:r>
        <w:rPr>
          <w:rFonts w:hAnsi="宋体"/>
          <w:color w:val="auto"/>
          <w:sz w:val="28"/>
        </w:rPr>
        <w:fldChar w:fldCharType="end"/>
      </w:r>
      <w:r>
        <w:rPr>
          <w:rFonts w:hAnsi="宋体"/>
          <w:color w:val="auto"/>
          <w:sz w:val="28"/>
        </w:rPr>
        <w:t>添加剂、塑料、</w:t>
      </w:r>
      <w:r>
        <w:rPr>
          <w:rFonts w:hAnsi="宋体"/>
          <w:color w:val="auto"/>
          <w:sz w:val="28"/>
        </w:rPr>
        <w:fldChar w:fldCharType="begin"/>
      </w:r>
      <w:r>
        <w:rPr>
          <w:rFonts w:hAnsi="宋体"/>
          <w:color w:val="auto"/>
          <w:sz w:val="28"/>
        </w:rPr>
        <w:instrText xml:space="preserve"> HYPERLINK "https://baike.baidu.com/item/%E7%B2%98%E5%90%88%E5%89%82" \t "_blank" </w:instrText>
      </w:r>
      <w:r>
        <w:rPr>
          <w:rFonts w:hAnsi="宋体"/>
          <w:color w:val="auto"/>
          <w:sz w:val="28"/>
        </w:rPr>
        <w:fldChar w:fldCharType="separate"/>
      </w:r>
      <w:r>
        <w:rPr>
          <w:rFonts w:hAnsi="宋体"/>
          <w:color w:val="auto"/>
          <w:sz w:val="28"/>
        </w:rPr>
        <w:t>粘合剂</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"https://baike.baidu.com/item/%E6%A0%91%E8%84%82" \t "_blank" </w:instrText>
      </w:r>
      <w:r>
        <w:rPr>
          <w:rFonts w:hAnsi="宋体"/>
          <w:color w:val="auto"/>
          <w:sz w:val="28"/>
        </w:rPr>
        <w:fldChar w:fldCharType="separate"/>
      </w:r>
      <w:r>
        <w:rPr>
          <w:rFonts w:hAnsi="宋体"/>
          <w:color w:val="auto"/>
          <w:sz w:val="28"/>
        </w:rPr>
        <w:t>树脂</w:t>
      </w:r>
      <w:r>
        <w:rPr>
          <w:rFonts w:hAnsi="宋体"/>
          <w:color w:val="auto"/>
          <w:sz w:val="28"/>
        </w:rPr>
        <w:fldChar w:fldCharType="end"/>
      </w:r>
      <w:r>
        <w:rPr>
          <w:rFonts w:hAnsi="宋体"/>
          <w:color w:val="auto"/>
          <w:sz w:val="28"/>
        </w:rPr>
        <w:t>、木材浸润剂、电机线圈浸透剂、</w:t>
      </w:r>
      <w:r>
        <w:rPr>
          <w:rFonts w:hAnsi="宋体"/>
          <w:color w:val="auto"/>
          <w:sz w:val="28"/>
        </w:rPr>
        <w:fldChar w:fldCharType="begin"/>
      </w:r>
      <w:r>
        <w:rPr>
          <w:rFonts w:hAnsi="宋体"/>
          <w:color w:val="auto"/>
          <w:sz w:val="28"/>
        </w:rPr>
        <w:instrText xml:space="preserve"> HYPERLINK "https://baike.baidu.com/item/%E7%A6%BB%E5%AD%90%E4%BA%A4%E6%8D%A2%E6%A0%91%E8%84%82" \t "_blank" </w:instrText>
      </w:r>
      <w:r>
        <w:rPr>
          <w:rFonts w:hAnsi="宋体"/>
          <w:color w:val="auto"/>
          <w:sz w:val="28"/>
        </w:rPr>
        <w:fldChar w:fldCharType="separate"/>
      </w:r>
      <w:r>
        <w:rPr>
          <w:rFonts w:hAnsi="宋体"/>
          <w:color w:val="auto"/>
          <w:sz w:val="28"/>
        </w:rPr>
        <w:t>离子交换树脂</w:t>
      </w:r>
      <w:r>
        <w:rPr>
          <w:rFonts w:hAnsi="宋体"/>
          <w:color w:val="auto"/>
          <w:sz w:val="28"/>
        </w:rPr>
        <w:fldChar w:fldCharType="end"/>
      </w:r>
      <w:r>
        <w:rPr>
          <w:rFonts w:hAnsi="宋体"/>
          <w:color w:val="auto"/>
          <w:sz w:val="28"/>
        </w:rPr>
        <w:t>、纸张上光剂、</w:t>
      </w:r>
      <w:r>
        <w:rPr>
          <w:rFonts w:hAnsi="宋体"/>
          <w:color w:val="auto"/>
          <w:sz w:val="28"/>
        </w:rPr>
        <w:fldChar w:fldCharType="begin"/>
      </w:r>
      <w:r>
        <w:rPr>
          <w:rFonts w:hAnsi="宋体"/>
          <w:color w:val="auto"/>
          <w:sz w:val="28"/>
        </w:rPr>
        <w:instrText xml:space="preserve"> HYPERLINK "https://baike.baidu.com/item/%E7%BA%BA%E7%BB%87%E5%8D%B0%E6%9F%93%E5%8A%A9%E5%89%82" \t "_blank" </w:instrText>
      </w:r>
      <w:r>
        <w:rPr>
          <w:rFonts w:hAnsi="宋体"/>
          <w:color w:val="auto"/>
          <w:sz w:val="28"/>
        </w:rPr>
        <w:fldChar w:fldCharType="separate"/>
      </w:r>
      <w:r>
        <w:rPr>
          <w:rFonts w:hAnsi="宋体"/>
          <w:color w:val="auto"/>
          <w:sz w:val="28"/>
        </w:rPr>
        <w:t>纺织印染助剂</w:t>
      </w:r>
      <w:r>
        <w:rPr>
          <w:rFonts w:hAnsi="宋体"/>
          <w:color w:val="auto"/>
          <w:sz w:val="28"/>
        </w:rPr>
        <w:fldChar w:fldCharType="end"/>
      </w:r>
      <w:r>
        <w:rPr>
          <w:rFonts w:hAnsi="宋体"/>
          <w:color w:val="auto"/>
          <w:sz w:val="28"/>
        </w:rPr>
        <w:t>、皮革处理剂、</w:t>
      </w:r>
      <w:r>
        <w:rPr>
          <w:rFonts w:hAnsi="宋体"/>
          <w:color w:val="auto"/>
          <w:sz w:val="28"/>
        </w:rPr>
        <w:fldChar w:fldCharType="begin"/>
      </w:r>
      <w:r>
        <w:rPr>
          <w:rFonts w:hAnsi="宋体"/>
          <w:color w:val="auto"/>
          <w:sz w:val="28"/>
        </w:rPr>
        <w:instrText xml:space="preserve"> HYPERLINK "https://baike.baidu.com/item/%E5%8D%B0%E6%9F%93%E5%8A%A9%E5%89%82" \t "_blank" </w:instrText>
      </w:r>
      <w:r>
        <w:rPr>
          <w:rFonts w:hAnsi="宋体"/>
          <w:color w:val="auto"/>
          <w:sz w:val="28"/>
        </w:rPr>
        <w:fldChar w:fldCharType="separate"/>
      </w:r>
      <w:r>
        <w:rPr>
          <w:rFonts w:hAnsi="宋体"/>
          <w:color w:val="auto"/>
          <w:sz w:val="28"/>
        </w:rPr>
        <w:t>印染助剂</w:t>
      </w:r>
      <w:r>
        <w:rPr>
          <w:rFonts w:hAnsi="宋体"/>
          <w:color w:val="auto"/>
          <w:sz w:val="28"/>
        </w:rPr>
        <w:fldChar w:fldCharType="end"/>
      </w:r>
      <w:r>
        <w:rPr>
          <w:rFonts w:hAnsi="宋体"/>
          <w:color w:val="auto"/>
          <w:sz w:val="28"/>
        </w:rPr>
        <w:t>和绝缘灌注材料等。</w:t>
      </w:r>
    </w:p>
    <w:p>
      <w:pPr>
        <w:ind w:firstLine="560" w:firstLineChars="200"/>
        <w:rPr>
          <w:rFonts w:hint="eastAsia" w:hAnsi="宋体"/>
          <w:color w:val="auto"/>
          <w:sz w:val="28"/>
        </w:rPr>
      </w:pPr>
      <w:r>
        <w:rPr>
          <w:rFonts w:hAnsi="宋体"/>
          <w:color w:val="auto"/>
          <w:sz w:val="28"/>
        </w:rPr>
        <w:t>甲基丙烯酸甲酯主要应用在聚合和共聚领域，对每一种应用都需要采用特别的聚合工艺，使用引发剂为游离型（</w:t>
      </w:r>
      <w:r>
        <w:rPr>
          <w:rFonts w:hAnsi="宋体"/>
          <w:color w:val="auto"/>
          <w:sz w:val="28"/>
        </w:rPr>
        <w:fldChar w:fldCharType="begin"/>
      </w:r>
      <w:r>
        <w:rPr>
          <w:rFonts w:hAnsi="宋体"/>
          <w:color w:val="auto"/>
          <w:sz w:val="28"/>
        </w:rPr>
        <w:instrText xml:space="preserve"> HYPERLINK "https://baike.baidu.com/item/%E6%9C%89%E6%9C%BA%E8%BF%87%E6%B0%A7%E5%8C%96%E7%89%A9" \t "_blank" </w:instrText>
      </w:r>
      <w:r>
        <w:rPr>
          <w:rFonts w:hAnsi="宋体"/>
          <w:color w:val="auto"/>
          <w:sz w:val="28"/>
        </w:rPr>
        <w:fldChar w:fldCharType="separate"/>
      </w:r>
      <w:r>
        <w:rPr>
          <w:rFonts w:hAnsi="宋体"/>
          <w:color w:val="auto"/>
          <w:sz w:val="28"/>
        </w:rPr>
        <w:t>有机过氧化物</w:t>
      </w:r>
      <w:r>
        <w:rPr>
          <w:rFonts w:hAnsi="宋体"/>
          <w:color w:val="auto"/>
          <w:sz w:val="28"/>
        </w:rPr>
        <w:fldChar w:fldCharType="end"/>
      </w:r>
      <w:r>
        <w:rPr>
          <w:rFonts w:hAnsi="宋体"/>
          <w:color w:val="auto"/>
          <w:sz w:val="28"/>
        </w:rPr>
        <w:t>、偶氮化合物）或离子型。可以通过本体聚合制得有机玻璃。用于人工装饰材料，建筑工业制件，光信息材料，电气部件封装等。可以通过乳液聚合制得涂料；漆、粘合剂；防水剂、调节润滑油粘度助剂等。可以代替苯乙烯做交联剂，稀释</w:t>
      </w:r>
      <w:r>
        <w:rPr>
          <w:rFonts w:hAnsi="宋体"/>
          <w:color w:val="auto"/>
          <w:sz w:val="28"/>
        </w:rPr>
        <w:fldChar w:fldCharType="begin"/>
      </w:r>
      <w:r>
        <w:rPr>
          <w:rFonts w:hAnsi="宋体"/>
          <w:color w:val="auto"/>
          <w:sz w:val="28"/>
        </w:rPr>
        <w:instrText xml:space="preserve"> HYPERLINK "https://baike.baidu.com/item/%E4%B8%8D%E9%A5%B1%E5%92%8C%E8%81%9A%E9%85%AF%E6%A0%91%E8%84%82" \t "_blank" </w:instrText>
      </w:r>
      <w:r>
        <w:rPr>
          <w:rFonts w:hAnsi="宋体"/>
          <w:color w:val="auto"/>
          <w:sz w:val="28"/>
        </w:rPr>
        <w:fldChar w:fldCharType="separate"/>
      </w:r>
      <w:r>
        <w:rPr>
          <w:rFonts w:hAnsi="宋体"/>
          <w:color w:val="auto"/>
          <w:sz w:val="28"/>
        </w:rPr>
        <w:t>不饱和聚酯树脂</w:t>
      </w:r>
      <w:r>
        <w:rPr>
          <w:rFonts w:hAnsi="宋体"/>
          <w:color w:val="auto"/>
          <w:sz w:val="28"/>
        </w:rPr>
        <w:fldChar w:fldCharType="end"/>
      </w:r>
      <w:r>
        <w:rPr>
          <w:rFonts w:hAnsi="宋体"/>
          <w:color w:val="auto"/>
          <w:sz w:val="28"/>
        </w:rPr>
        <w:t>，做天然和合成橡胶改性剂。甲基丙烯酸甲酯大部分用于有机玻璃行业，但在其他许多领域应用也及其广泛。在医用功能高分子（高分子材料制品和高分子药物），纺织（腈纶第二单体）作为功能性单体，在涂料、油漆及</w:t>
      </w:r>
      <w:r>
        <w:rPr>
          <w:rFonts w:hAnsi="宋体"/>
          <w:color w:val="auto"/>
          <w:sz w:val="28"/>
        </w:rPr>
        <w:fldChar w:fldCharType="begin"/>
      </w:r>
      <w:r>
        <w:rPr>
          <w:rFonts w:hAnsi="宋体"/>
          <w:color w:val="auto"/>
          <w:sz w:val="28"/>
        </w:rPr>
        <w:instrText xml:space="preserve"> HYPERLINK "https://baike.baidu.com/item/%E8%83%B6%E7%B2%98%E5%89%82" \t "_blank" </w:instrText>
      </w:r>
      <w:r>
        <w:rPr>
          <w:rFonts w:hAnsi="宋体"/>
          <w:color w:val="auto"/>
          <w:sz w:val="28"/>
        </w:rPr>
        <w:fldChar w:fldCharType="separate"/>
      </w:r>
      <w:r>
        <w:rPr>
          <w:rFonts w:hAnsi="宋体"/>
          <w:color w:val="auto"/>
          <w:sz w:val="28"/>
        </w:rPr>
        <w:t>胶粘剂</w:t>
      </w:r>
      <w:r>
        <w:rPr>
          <w:rFonts w:hAnsi="宋体"/>
          <w:color w:val="auto"/>
          <w:sz w:val="28"/>
        </w:rPr>
        <w:fldChar w:fldCharType="end"/>
      </w:r>
      <w:r>
        <w:rPr>
          <w:rFonts w:hAnsi="宋体"/>
          <w:color w:val="auto"/>
          <w:sz w:val="28"/>
        </w:rPr>
        <w:t>等领域也取得了广泛的应用。</w:t>
      </w:r>
    </w:p>
    <w:p>
      <w:pPr>
        <w:ind w:firstLine="560" w:firstLineChars="200"/>
        <w:rPr>
          <w:rFonts w:hint="eastAsia" w:hAnsi="宋体"/>
          <w:color w:val="auto"/>
          <w:sz w:val="28"/>
        </w:rPr>
      </w:pPr>
      <w:r>
        <w:rPr>
          <w:rFonts w:hint="eastAsia" w:hAnsi="宋体"/>
          <w:color w:val="auto"/>
          <w:sz w:val="28"/>
        </w:rPr>
        <w:t>2、项目背景</w:t>
      </w:r>
    </w:p>
    <w:p>
      <w:pPr>
        <w:ind w:firstLine="560" w:firstLineChars="200"/>
        <w:rPr>
          <w:rFonts w:hAnsi="宋体"/>
          <w:color w:val="auto"/>
          <w:sz w:val="28"/>
        </w:rPr>
      </w:pPr>
      <w:r>
        <w:rPr>
          <w:rFonts w:hAnsi="宋体"/>
          <w:color w:val="auto"/>
          <w:sz w:val="28"/>
        </w:rPr>
        <w:fldChar w:fldCharType="begin"/>
      </w:r>
      <w:r>
        <w:rPr>
          <w:rFonts w:hAnsi="宋体"/>
          <w:color w:val="auto"/>
          <w:sz w:val="28"/>
        </w:rPr>
        <w:instrText xml:space="preserve"> HYPERLINK "https://baike.baidu.com/item/%E7%94%B2%E5%9F%BA%E4%B8%99%E7%83%AF%E9%85%B8%E7%94%B2%E9%85%AF" \t "_blank" </w:instrText>
      </w:r>
      <w:r>
        <w:rPr>
          <w:rFonts w:hAnsi="宋体"/>
          <w:color w:val="auto"/>
          <w:sz w:val="28"/>
        </w:rPr>
        <w:fldChar w:fldCharType="separate"/>
      </w:r>
      <w:r>
        <w:rPr>
          <w:rFonts w:hAnsi="宋体"/>
          <w:color w:val="auto"/>
          <w:sz w:val="28"/>
        </w:rPr>
        <w:t>甲基丙烯酸甲酯</w:t>
      </w:r>
      <w:r>
        <w:rPr>
          <w:rFonts w:hAnsi="宋体"/>
          <w:color w:val="auto"/>
          <w:sz w:val="28"/>
        </w:rPr>
        <w:fldChar w:fldCharType="end"/>
      </w:r>
      <w:r>
        <w:rPr>
          <w:rFonts w:hAnsi="宋体"/>
          <w:color w:val="auto"/>
          <w:sz w:val="28"/>
        </w:rPr>
        <w:t>是一种</w:t>
      </w:r>
      <w:r>
        <w:rPr>
          <w:rFonts w:hAnsi="宋体"/>
          <w:color w:val="auto"/>
          <w:sz w:val="28"/>
        </w:rPr>
        <w:fldChar w:fldCharType="begin"/>
      </w:r>
      <w:r>
        <w:rPr>
          <w:rFonts w:hAnsi="宋体"/>
          <w:color w:val="auto"/>
          <w:sz w:val="28"/>
        </w:rPr>
        <w:instrText xml:space="preserve"> HYPERLINK "https://baike.baidu.com/item/%E6%9C%89%E6%9C%BA%E5%8C%96%E5%90%88%E7%89%A9" \t "_blank" </w:instrText>
      </w:r>
      <w:r>
        <w:rPr>
          <w:rFonts w:hAnsi="宋体"/>
          <w:color w:val="auto"/>
          <w:sz w:val="28"/>
        </w:rPr>
        <w:fldChar w:fldCharType="separate"/>
      </w:r>
      <w:r>
        <w:rPr>
          <w:rFonts w:hAnsi="宋体"/>
          <w:color w:val="auto"/>
          <w:sz w:val="28"/>
        </w:rPr>
        <w:t>有机化合物</w:t>
      </w:r>
      <w:r>
        <w:rPr>
          <w:rFonts w:hAnsi="宋体"/>
          <w:color w:val="auto"/>
          <w:sz w:val="28"/>
        </w:rPr>
        <w:fldChar w:fldCharType="end"/>
      </w:r>
      <w:r>
        <w:rPr>
          <w:rFonts w:hAnsi="宋体"/>
          <w:color w:val="auto"/>
          <w:sz w:val="28"/>
        </w:rPr>
        <w:t>，又称</w:t>
      </w:r>
      <w:r>
        <w:rPr>
          <w:rFonts w:hAnsi="宋体"/>
          <w:color w:val="auto"/>
          <w:sz w:val="28"/>
        </w:rPr>
        <w:fldChar w:fldCharType="begin"/>
      </w:r>
      <w:r>
        <w:rPr>
          <w:rFonts w:hAnsi="宋体"/>
          <w:color w:val="auto"/>
          <w:sz w:val="28"/>
        </w:rPr>
        <w:instrText xml:space="preserve"> HYPERLINK "https://baike.baidu.com/item/MMA/5608773" \t "_blank" </w:instrText>
      </w:r>
      <w:r>
        <w:rPr>
          <w:rFonts w:hAnsi="宋体"/>
          <w:color w:val="auto"/>
          <w:sz w:val="28"/>
        </w:rPr>
        <w:fldChar w:fldCharType="separate"/>
      </w:r>
      <w:r>
        <w:rPr>
          <w:rFonts w:hAnsi="宋体"/>
          <w:color w:val="auto"/>
          <w:sz w:val="28"/>
        </w:rPr>
        <w:t>MMA</w:t>
      </w:r>
      <w:r>
        <w:rPr>
          <w:rFonts w:hAnsi="宋体"/>
          <w:color w:val="auto"/>
          <w:sz w:val="28"/>
        </w:rPr>
        <w:fldChar w:fldCharType="end"/>
      </w:r>
      <w:r>
        <w:rPr>
          <w:rFonts w:hAnsi="宋体"/>
          <w:color w:val="auto"/>
          <w:sz w:val="28"/>
        </w:rPr>
        <w:t>，简称</w:t>
      </w:r>
      <w:r>
        <w:rPr>
          <w:rFonts w:hAnsi="宋体"/>
          <w:color w:val="auto"/>
          <w:sz w:val="28"/>
        </w:rPr>
        <w:fldChar w:fldCharType="begin"/>
      </w:r>
      <w:r>
        <w:rPr>
          <w:rFonts w:hAnsi="宋体"/>
          <w:color w:val="auto"/>
          <w:sz w:val="28"/>
        </w:rPr>
        <w:instrText xml:space="preserve"> HYPERLINK "https://baike.baidu.com/item/%E7%94%B2%E7%94%B2%E9%85%AF" \t "_blank" </w:instrText>
      </w:r>
      <w:r>
        <w:rPr>
          <w:rFonts w:hAnsi="宋体"/>
          <w:color w:val="auto"/>
          <w:sz w:val="28"/>
        </w:rPr>
        <w:fldChar w:fldCharType="separate"/>
      </w:r>
      <w:r>
        <w:rPr>
          <w:rFonts w:hAnsi="宋体"/>
          <w:color w:val="auto"/>
          <w:sz w:val="28"/>
        </w:rPr>
        <w:t>甲甲酯</w:t>
      </w:r>
      <w:r>
        <w:rPr>
          <w:rFonts w:hAnsi="宋体"/>
          <w:color w:val="auto"/>
          <w:sz w:val="28"/>
        </w:rPr>
        <w:fldChar w:fldCharType="end"/>
      </w:r>
      <w:r>
        <w:rPr>
          <w:rFonts w:hint="eastAsia" w:hAnsi="宋体"/>
          <w:color w:val="auto"/>
          <w:sz w:val="28"/>
        </w:rPr>
        <w:t>。</w:t>
      </w:r>
      <w:r>
        <w:rPr>
          <w:rFonts w:hAnsi="宋体"/>
          <w:color w:val="auto"/>
          <w:sz w:val="28"/>
        </w:rPr>
        <w:t>是一种重要的化工原料，是生产透明塑料聚甲基丙烯酸甲酯（有机玻璃，PMMA）的单体。易燃，有强刺激性气味，有中等毒性，应避免长期接触。甲基丙烯酸甲酯是</w:t>
      </w:r>
      <w:r>
        <w:rPr>
          <w:rFonts w:hAnsi="宋体"/>
          <w:color w:val="auto"/>
          <w:sz w:val="28"/>
        </w:rPr>
        <w:fldChar w:fldCharType="begin"/>
      </w:r>
      <w:r>
        <w:rPr>
          <w:rFonts w:hAnsi="宋体"/>
          <w:color w:val="auto"/>
          <w:sz w:val="28"/>
        </w:rPr>
        <w:instrText xml:space="preserve"> HYPERLINK "https://baike.baidu.com/item/%E8%81%9A%E7%94%B2%E5%9F%BA%E4%B8%99%E7%83%AF%E9%85%B8%E7%94%B2%E9%85%AF" \t "_blank" </w:instrText>
      </w:r>
      <w:r>
        <w:rPr>
          <w:rFonts w:hAnsi="宋体"/>
          <w:color w:val="auto"/>
          <w:sz w:val="28"/>
        </w:rPr>
        <w:fldChar w:fldCharType="separate"/>
      </w:r>
      <w:r>
        <w:rPr>
          <w:rFonts w:hAnsi="宋体"/>
          <w:color w:val="auto"/>
          <w:sz w:val="28"/>
        </w:rPr>
        <w:t>聚甲基丙烯酸甲酯</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"https://baike.baidu.com/item/%E6%9C%89%E6%9C%BA%E7%8E%BB%E7%92%83" \t "_blank" </w:instrText>
      </w:r>
      <w:r>
        <w:rPr>
          <w:rFonts w:hAnsi="宋体"/>
          <w:color w:val="auto"/>
          <w:sz w:val="28"/>
        </w:rPr>
        <w:fldChar w:fldCharType="separate"/>
      </w:r>
      <w:r>
        <w:rPr>
          <w:rFonts w:hAnsi="宋体"/>
          <w:color w:val="auto"/>
          <w:sz w:val="28"/>
        </w:rPr>
        <w:t>有机玻璃</w:t>
      </w:r>
      <w:r>
        <w:rPr>
          <w:rFonts w:hAnsi="宋体"/>
          <w:color w:val="auto"/>
          <w:sz w:val="28"/>
        </w:rPr>
        <w:fldChar w:fldCharType="end"/>
      </w:r>
      <w:r>
        <w:rPr>
          <w:rFonts w:hAnsi="宋体"/>
          <w:color w:val="auto"/>
          <w:sz w:val="28"/>
        </w:rPr>
        <w:t>）单体，也与其他乙烯基单体共聚得到不同性质的产品</w:t>
      </w:r>
      <w:r>
        <w:rPr>
          <w:rFonts w:hint="eastAsia" w:hAnsi="宋体"/>
          <w:color w:val="auto"/>
          <w:sz w:val="28"/>
        </w:rPr>
        <w:t>。</w:t>
      </w:r>
      <w:r>
        <w:rPr>
          <w:rFonts w:hAnsi="宋体"/>
          <w:color w:val="auto"/>
          <w:sz w:val="28"/>
        </w:rPr>
        <w:t>用于制造</w:t>
      </w:r>
      <w:r>
        <w:rPr>
          <w:rFonts w:hAnsi="宋体"/>
          <w:color w:val="auto"/>
          <w:sz w:val="28"/>
        </w:rPr>
        <w:fldChar w:fldCharType="begin"/>
      </w:r>
      <w:r>
        <w:rPr>
          <w:rFonts w:hAnsi="宋体"/>
          <w:color w:val="auto"/>
          <w:sz w:val="28"/>
        </w:rPr>
        <w:instrText xml:space="preserve"> HYPERLINK "https://baike.baidu.com/item/%E6%9C%89%E6%9C%BA%E7%8E%BB%E7%92%83" \t "_blank" </w:instrText>
      </w:r>
      <w:r>
        <w:rPr>
          <w:rFonts w:hAnsi="宋体"/>
          <w:color w:val="auto"/>
          <w:sz w:val="28"/>
        </w:rPr>
        <w:fldChar w:fldCharType="separate"/>
      </w:r>
      <w:r>
        <w:rPr>
          <w:rFonts w:hAnsi="宋体"/>
          <w:color w:val="auto"/>
          <w:sz w:val="28"/>
        </w:rPr>
        <w:t>有机玻璃</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"https://baike.baidu.com/item/%E6%B6%82%E6%96%99" \t "_blank" </w:instrText>
      </w:r>
      <w:r>
        <w:rPr>
          <w:rFonts w:hAnsi="宋体"/>
          <w:color w:val="auto"/>
          <w:sz w:val="28"/>
        </w:rPr>
        <w:fldChar w:fldCharType="separate"/>
      </w:r>
      <w:r>
        <w:rPr>
          <w:rFonts w:hAnsi="宋体"/>
          <w:color w:val="auto"/>
          <w:sz w:val="28"/>
        </w:rPr>
        <w:t>涂料</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"https://baike.baidu.com/item/%E6%B6%A6%E6%BB%91%E6%B2%B9/53559" \t "_blank" </w:instrText>
      </w:r>
      <w:r>
        <w:rPr>
          <w:rFonts w:hAnsi="宋体"/>
          <w:color w:val="auto"/>
          <w:sz w:val="28"/>
        </w:rPr>
        <w:fldChar w:fldCharType="separate"/>
      </w:r>
      <w:r>
        <w:rPr>
          <w:rFonts w:hAnsi="宋体"/>
          <w:color w:val="auto"/>
          <w:sz w:val="28"/>
        </w:rPr>
        <w:t>润滑油</w:t>
      </w:r>
      <w:r>
        <w:rPr>
          <w:rFonts w:hAnsi="宋体"/>
          <w:color w:val="auto"/>
          <w:sz w:val="28"/>
        </w:rPr>
        <w:fldChar w:fldCharType="end"/>
      </w:r>
      <w:r>
        <w:rPr>
          <w:rFonts w:hAnsi="宋体"/>
          <w:color w:val="auto"/>
          <w:sz w:val="28"/>
        </w:rPr>
        <w:t>添加剂、塑料、</w:t>
      </w:r>
      <w:r>
        <w:rPr>
          <w:rFonts w:hAnsi="宋体"/>
          <w:color w:val="auto"/>
          <w:sz w:val="28"/>
        </w:rPr>
        <w:fldChar w:fldCharType="begin"/>
      </w:r>
      <w:r>
        <w:rPr>
          <w:rFonts w:hAnsi="宋体"/>
          <w:color w:val="auto"/>
          <w:sz w:val="28"/>
        </w:rPr>
        <w:instrText xml:space="preserve"> HYPERLINK "https://baike.baidu.com/item/%E7%B2%98%E5%90%88%E5%89%82" \t "_blank" </w:instrText>
      </w:r>
      <w:r>
        <w:rPr>
          <w:rFonts w:hAnsi="宋体"/>
          <w:color w:val="auto"/>
          <w:sz w:val="28"/>
        </w:rPr>
        <w:fldChar w:fldCharType="separate"/>
      </w:r>
      <w:r>
        <w:rPr>
          <w:rFonts w:hAnsi="宋体"/>
          <w:color w:val="auto"/>
          <w:sz w:val="28"/>
        </w:rPr>
        <w:t>粘合剂</w:t>
      </w:r>
      <w:r>
        <w:rPr>
          <w:rFonts w:hAnsi="宋体"/>
          <w:color w:val="auto"/>
          <w:sz w:val="28"/>
        </w:rPr>
        <w:fldChar w:fldCharType="end"/>
      </w:r>
      <w:r>
        <w:rPr>
          <w:rFonts w:hAnsi="宋体"/>
          <w:color w:val="auto"/>
          <w:sz w:val="28"/>
        </w:rPr>
        <w:t>、</w:t>
      </w:r>
      <w:r>
        <w:rPr>
          <w:rFonts w:hAnsi="宋体"/>
          <w:color w:val="auto"/>
          <w:sz w:val="28"/>
        </w:rPr>
        <w:fldChar w:fldCharType="begin"/>
      </w:r>
      <w:r>
        <w:rPr>
          <w:rFonts w:hAnsi="宋体"/>
          <w:color w:val="auto"/>
          <w:sz w:val="28"/>
        </w:rPr>
        <w:instrText xml:space="preserve"> HYPERLINK "https://baike.baidu.com/item/%E6%A0%91%E8%84%82" \t "_blank" </w:instrText>
      </w:r>
      <w:r>
        <w:rPr>
          <w:rFonts w:hAnsi="宋体"/>
          <w:color w:val="auto"/>
          <w:sz w:val="28"/>
        </w:rPr>
        <w:fldChar w:fldCharType="separate"/>
      </w:r>
      <w:r>
        <w:rPr>
          <w:rFonts w:hAnsi="宋体"/>
          <w:color w:val="auto"/>
          <w:sz w:val="28"/>
        </w:rPr>
        <w:t>树脂</w:t>
      </w:r>
      <w:r>
        <w:rPr>
          <w:rFonts w:hAnsi="宋体"/>
          <w:color w:val="auto"/>
          <w:sz w:val="28"/>
        </w:rPr>
        <w:fldChar w:fldCharType="end"/>
      </w:r>
      <w:r>
        <w:rPr>
          <w:rFonts w:hAnsi="宋体"/>
          <w:color w:val="auto"/>
          <w:sz w:val="28"/>
        </w:rPr>
        <w:t>、木材浸润剂、电机线圈浸透剂、</w:t>
      </w:r>
      <w:r>
        <w:rPr>
          <w:rFonts w:hAnsi="宋体"/>
          <w:color w:val="auto"/>
          <w:sz w:val="28"/>
        </w:rPr>
        <w:fldChar w:fldCharType="begin"/>
      </w:r>
      <w:r>
        <w:rPr>
          <w:rFonts w:hAnsi="宋体"/>
          <w:color w:val="auto"/>
          <w:sz w:val="28"/>
        </w:rPr>
        <w:instrText xml:space="preserve"> HYPERLINK "https://baike.baidu.com/item/%E7%A6%BB%E5%AD%90%E4%BA%A4%E6%8D%A2%E6%A0%91%E8%84%82" \t "_blank" </w:instrText>
      </w:r>
      <w:r>
        <w:rPr>
          <w:rFonts w:hAnsi="宋体"/>
          <w:color w:val="auto"/>
          <w:sz w:val="28"/>
        </w:rPr>
        <w:fldChar w:fldCharType="separate"/>
      </w:r>
      <w:r>
        <w:rPr>
          <w:rFonts w:hAnsi="宋体"/>
          <w:color w:val="auto"/>
          <w:sz w:val="28"/>
        </w:rPr>
        <w:t>离子交换树脂</w:t>
      </w:r>
      <w:r>
        <w:rPr>
          <w:rFonts w:hAnsi="宋体"/>
          <w:color w:val="auto"/>
          <w:sz w:val="28"/>
        </w:rPr>
        <w:fldChar w:fldCharType="end"/>
      </w:r>
      <w:r>
        <w:rPr>
          <w:rFonts w:hAnsi="宋体"/>
          <w:color w:val="auto"/>
          <w:sz w:val="28"/>
        </w:rPr>
        <w:t>、纸张上光剂、</w:t>
      </w:r>
      <w:r>
        <w:rPr>
          <w:rFonts w:hAnsi="宋体"/>
          <w:color w:val="auto"/>
          <w:sz w:val="28"/>
        </w:rPr>
        <w:fldChar w:fldCharType="begin"/>
      </w:r>
      <w:r>
        <w:rPr>
          <w:rFonts w:hAnsi="宋体"/>
          <w:color w:val="auto"/>
          <w:sz w:val="28"/>
        </w:rPr>
        <w:instrText xml:space="preserve"> HYPERLINK "https://baike.baidu.com/item/%E7%BA%BA%E7%BB%87%E5%8D%B0%E6%9F%93%E5%8A%A9%E5%89%82" \t "_blank" </w:instrText>
      </w:r>
      <w:r>
        <w:rPr>
          <w:rFonts w:hAnsi="宋体"/>
          <w:color w:val="auto"/>
          <w:sz w:val="28"/>
        </w:rPr>
        <w:fldChar w:fldCharType="separate"/>
      </w:r>
      <w:r>
        <w:rPr>
          <w:rFonts w:hAnsi="宋体"/>
          <w:color w:val="auto"/>
          <w:sz w:val="28"/>
        </w:rPr>
        <w:t>纺织印染助剂</w:t>
      </w:r>
      <w:r>
        <w:rPr>
          <w:rFonts w:hAnsi="宋体"/>
          <w:color w:val="auto"/>
          <w:sz w:val="28"/>
        </w:rPr>
        <w:fldChar w:fldCharType="end"/>
      </w:r>
      <w:r>
        <w:rPr>
          <w:rFonts w:hAnsi="宋体"/>
          <w:color w:val="auto"/>
          <w:sz w:val="28"/>
        </w:rPr>
        <w:t>、皮革处理剂、</w:t>
      </w:r>
      <w:r>
        <w:rPr>
          <w:rFonts w:hAnsi="宋体"/>
          <w:color w:val="auto"/>
          <w:sz w:val="28"/>
        </w:rPr>
        <w:fldChar w:fldCharType="begin"/>
      </w:r>
      <w:r>
        <w:rPr>
          <w:rFonts w:hAnsi="宋体"/>
          <w:color w:val="auto"/>
          <w:sz w:val="28"/>
        </w:rPr>
        <w:instrText xml:space="preserve"> HYPERLINK "https://baike.baidu.com/item/%E5%8D%B0%E6%9F%93%E5%8A%A9%E5%89%82" \t "_blank" </w:instrText>
      </w:r>
      <w:r>
        <w:rPr>
          <w:rFonts w:hAnsi="宋体"/>
          <w:color w:val="auto"/>
          <w:sz w:val="28"/>
        </w:rPr>
        <w:fldChar w:fldCharType="separate"/>
      </w:r>
      <w:r>
        <w:rPr>
          <w:rFonts w:hAnsi="宋体"/>
          <w:color w:val="auto"/>
          <w:sz w:val="28"/>
        </w:rPr>
        <w:t>印染助剂</w:t>
      </w:r>
      <w:r>
        <w:rPr>
          <w:rFonts w:hAnsi="宋体"/>
          <w:color w:val="auto"/>
          <w:sz w:val="28"/>
        </w:rPr>
        <w:fldChar w:fldCharType="end"/>
      </w:r>
      <w:r>
        <w:rPr>
          <w:rFonts w:hAnsi="宋体"/>
          <w:color w:val="auto"/>
          <w:sz w:val="28"/>
        </w:rPr>
        <w:t>和绝缘灌注材料等。</w:t>
      </w:r>
    </w:p>
    <w:p>
      <w:pPr>
        <w:ind w:firstLine="560" w:firstLineChars="200"/>
        <w:rPr>
          <w:rFonts w:hAnsi="宋体"/>
          <w:color w:val="auto"/>
          <w:sz w:val="28"/>
        </w:rPr>
      </w:pPr>
      <w:r>
        <w:rPr>
          <w:rFonts w:hint="eastAsia" w:hAnsi="宋体"/>
          <w:color w:val="auto"/>
          <w:sz w:val="28"/>
        </w:rPr>
        <w:t>2007年</w:t>
      </w:r>
      <w:r>
        <w:rPr>
          <w:rFonts w:hAnsi="宋体"/>
          <w:color w:val="auto"/>
          <w:sz w:val="28"/>
        </w:rPr>
        <w:t>世界</w:t>
      </w:r>
      <w:r>
        <w:rPr>
          <w:rFonts w:hint="eastAsia" w:hAnsi="宋体"/>
          <w:color w:val="auto"/>
          <w:sz w:val="28"/>
        </w:rPr>
        <w:t>MMA（甲基</w:t>
      </w:r>
      <w:r>
        <w:rPr>
          <w:rFonts w:hAnsi="宋体"/>
          <w:color w:val="auto"/>
          <w:sz w:val="28"/>
        </w:rPr>
        <w:t>丙烯酸甲酯）</w:t>
      </w:r>
      <w:r>
        <w:rPr>
          <w:rFonts w:hint="eastAsia" w:hAnsi="宋体"/>
          <w:color w:val="auto"/>
          <w:sz w:val="28"/>
        </w:rPr>
        <w:t>生产</w:t>
      </w:r>
      <w:r>
        <w:rPr>
          <w:rFonts w:hAnsi="宋体"/>
          <w:color w:val="auto"/>
          <w:sz w:val="28"/>
        </w:rPr>
        <w:t>能力</w:t>
      </w:r>
      <w:r>
        <w:rPr>
          <w:rFonts w:hint="eastAsia" w:hAnsi="宋体"/>
          <w:color w:val="auto"/>
          <w:sz w:val="28"/>
        </w:rPr>
        <w:t>341.6万吨/年</w:t>
      </w:r>
      <w:r>
        <w:rPr>
          <w:rFonts w:hAnsi="宋体"/>
          <w:color w:val="auto"/>
          <w:sz w:val="28"/>
        </w:rPr>
        <w:t>，产量约</w:t>
      </w:r>
      <w:r>
        <w:rPr>
          <w:rFonts w:hint="eastAsia" w:hAnsi="宋体"/>
          <w:color w:val="auto"/>
          <w:sz w:val="28"/>
        </w:rPr>
        <w:t>304.5万吨</w:t>
      </w:r>
      <w:r>
        <w:rPr>
          <w:rFonts w:hAnsi="宋体"/>
          <w:color w:val="auto"/>
          <w:sz w:val="28"/>
        </w:rPr>
        <w:t>，装置开工率</w:t>
      </w:r>
      <w:r>
        <w:rPr>
          <w:rFonts w:hint="eastAsia" w:hAnsi="宋体"/>
          <w:color w:val="auto"/>
          <w:sz w:val="28"/>
        </w:rPr>
        <w:t>89%。M</w:t>
      </w:r>
      <w:r>
        <w:rPr>
          <w:rFonts w:hAnsi="宋体"/>
          <w:color w:val="auto"/>
          <w:sz w:val="28"/>
        </w:rPr>
        <w:t>MA</w:t>
      </w:r>
      <w:r>
        <w:rPr>
          <w:rFonts w:hint="eastAsia" w:hAnsi="宋体"/>
          <w:color w:val="auto"/>
          <w:sz w:val="28"/>
        </w:rPr>
        <w:t>生产</w:t>
      </w:r>
      <w:r>
        <w:rPr>
          <w:rFonts w:hAnsi="宋体"/>
          <w:color w:val="auto"/>
          <w:sz w:val="28"/>
        </w:rPr>
        <w:t>主要集中在美国、西欧和日本三个发达国家和地区的</w:t>
      </w:r>
      <w:r>
        <w:rPr>
          <w:rFonts w:hint="eastAsia" w:hAnsi="宋体"/>
          <w:color w:val="auto"/>
          <w:sz w:val="28"/>
        </w:rPr>
        <w:t>20多家</w:t>
      </w:r>
      <w:r>
        <w:rPr>
          <w:rFonts w:hAnsi="宋体"/>
          <w:color w:val="auto"/>
          <w:sz w:val="28"/>
        </w:rPr>
        <w:t>工厂，生产能力合计约228</w:t>
      </w:r>
      <w:r>
        <w:rPr>
          <w:rFonts w:hint="eastAsia" w:hAnsi="宋体"/>
          <w:color w:val="auto"/>
          <w:sz w:val="28"/>
        </w:rPr>
        <w:t>万吨/年，</w:t>
      </w:r>
      <w:r>
        <w:rPr>
          <w:rFonts w:hAnsi="宋体"/>
          <w:color w:val="auto"/>
          <w:sz w:val="28"/>
        </w:rPr>
        <w:t>占世界总生产能力</w:t>
      </w:r>
      <w:r>
        <w:rPr>
          <w:rFonts w:hint="eastAsia" w:hAnsi="宋体"/>
          <w:color w:val="auto"/>
          <w:sz w:val="28"/>
        </w:rPr>
        <w:t>70%。</w:t>
      </w:r>
      <w:r>
        <w:rPr>
          <w:rFonts w:hAnsi="宋体"/>
          <w:color w:val="auto"/>
          <w:sz w:val="28"/>
        </w:rPr>
        <w:t>在</w:t>
      </w:r>
      <w:r>
        <w:rPr>
          <w:rFonts w:hint="eastAsia" w:hAnsi="宋体"/>
          <w:color w:val="auto"/>
          <w:sz w:val="28"/>
        </w:rPr>
        <w:t>世界</w:t>
      </w:r>
      <w:r>
        <w:rPr>
          <w:rFonts w:hAnsi="宋体"/>
          <w:color w:val="auto"/>
          <w:sz w:val="28"/>
        </w:rPr>
        <w:t>其它地区，现有和在建的较大规模</w:t>
      </w:r>
      <w:r>
        <w:rPr>
          <w:rFonts w:hint="eastAsia" w:hAnsi="宋体"/>
          <w:color w:val="auto"/>
          <w:sz w:val="28"/>
        </w:rPr>
        <w:t>MMA生产</w:t>
      </w:r>
      <w:r>
        <w:rPr>
          <w:rFonts w:hAnsi="宋体"/>
          <w:color w:val="auto"/>
          <w:sz w:val="28"/>
        </w:rPr>
        <w:t>装置大部分也属于欧、美、日生产公司的</w:t>
      </w:r>
      <w:r>
        <w:rPr>
          <w:rFonts w:hint="eastAsia" w:hAnsi="宋体"/>
          <w:color w:val="auto"/>
          <w:sz w:val="28"/>
        </w:rPr>
        <w:t>合资</w:t>
      </w:r>
      <w:r>
        <w:rPr>
          <w:rFonts w:hAnsi="宋体"/>
          <w:color w:val="auto"/>
          <w:sz w:val="28"/>
        </w:rPr>
        <w:t>企业、子公司或许可生产</w:t>
      </w:r>
      <w:r>
        <w:rPr>
          <w:rFonts w:hint="eastAsia" w:hAnsi="宋体"/>
          <w:color w:val="auto"/>
          <w:sz w:val="28"/>
        </w:rPr>
        <w:t>，2008年</w:t>
      </w:r>
      <w:r>
        <w:rPr>
          <w:rFonts w:hAnsi="宋体"/>
          <w:color w:val="auto"/>
          <w:sz w:val="28"/>
        </w:rPr>
        <w:t>上半年，全球</w:t>
      </w:r>
      <w:r>
        <w:rPr>
          <w:rFonts w:hint="eastAsia" w:hAnsi="宋体"/>
          <w:color w:val="auto"/>
          <w:sz w:val="28"/>
        </w:rPr>
        <w:t>MMA总</w:t>
      </w:r>
      <w:r>
        <w:rPr>
          <w:rFonts w:hAnsi="宋体"/>
          <w:color w:val="auto"/>
          <w:sz w:val="28"/>
        </w:rPr>
        <w:t>生产能力已增至</w:t>
      </w:r>
      <w:r>
        <w:rPr>
          <w:rFonts w:hint="eastAsia" w:hAnsi="宋体"/>
          <w:color w:val="auto"/>
          <w:sz w:val="28"/>
        </w:rPr>
        <w:t>3</w:t>
      </w:r>
      <w:r>
        <w:rPr>
          <w:rFonts w:hAnsi="宋体"/>
          <w:color w:val="auto"/>
          <w:sz w:val="28"/>
        </w:rPr>
        <w:t>63.5</w:t>
      </w:r>
      <w:r>
        <w:rPr>
          <w:rFonts w:hint="eastAsia" w:hAnsi="宋体"/>
          <w:color w:val="auto"/>
          <w:sz w:val="28"/>
        </w:rPr>
        <w:t>万吨/年。根据</w:t>
      </w:r>
      <w:r>
        <w:rPr>
          <w:rFonts w:hAnsi="宋体"/>
          <w:color w:val="auto"/>
          <w:sz w:val="28"/>
        </w:rPr>
        <w:t>国外研究机构最新统计，</w:t>
      </w:r>
      <w:r>
        <w:rPr>
          <w:rFonts w:hint="eastAsia" w:hAnsi="宋体"/>
          <w:color w:val="auto"/>
          <w:sz w:val="28"/>
        </w:rPr>
        <w:t>MMA市场</w:t>
      </w:r>
      <w:r>
        <w:rPr>
          <w:rFonts w:hAnsi="宋体"/>
          <w:color w:val="auto"/>
          <w:sz w:val="28"/>
        </w:rPr>
        <w:t>需求且以每年</w:t>
      </w:r>
      <w:r>
        <w:rPr>
          <w:rFonts w:hint="eastAsia" w:hAnsi="宋体"/>
          <w:color w:val="auto"/>
          <w:sz w:val="28"/>
        </w:rPr>
        <w:t>5%左右</w:t>
      </w:r>
      <w:r>
        <w:rPr>
          <w:rFonts w:hAnsi="宋体"/>
          <w:color w:val="auto"/>
          <w:sz w:val="28"/>
        </w:rPr>
        <w:t>的速度增长，</w:t>
      </w:r>
      <w:r>
        <w:rPr>
          <w:rFonts w:hint="eastAsia" w:hAnsi="宋体"/>
          <w:color w:val="auto"/>
          <w:sz w:val="28"/>
        </w:rPr>
        <w:t>需求</w:t>
      </w:r>
      <w:r>
        <w:rPr>
          <w:rFonts w:hAnsi="宋体"/>
          <w:color w:val="auto"/>
          <w:sz w:val="28"/>
        </w:rPr>
        <w:t>增速超过</w:t>
      </w:r>
      <w:r>
        <w:rPr>
          <w:rFonts w:hint="eastAsia" w:hAnsi="宋体"/>
          <w:color w:val="auto"/>
          <w:sz w:val="28"/>
        </w:rPr>
        <w:t>同期GDP增长</w:t>
      </w:r>
      <w:r>
        <w:rPr>
          <w:rFonts w:hAnsi="宋体"/>
          <w:color w:val="auto"/>
          <w:sz w:val="28"/>
        </w:rPr>
        <w:t>速度，</w:t>
      </w:r>
      <w:r>
        <w:rPr>
          <w:rFonts w:hint="eastAsia" w:hAnsi="宋体"/>
          <w:color w:val="auto"/>
          <w:sz w:val="28"/>
        </w:rPr>
        <w:t>2016年</w:t>
      </w:r>
      <w:r>
        <w:rPr>
          <w:rFonts w:hAnsi="宋体"/>
          <w:color w:val="auto"/>
          <w:sz w:val="28"/>
        </w:rPr>
        <w:t>增长至</w:t>
      </w:r>
      <w:r>
        <w:rPr>
          <w:rFonts w:hint="eastAsia" w:hAnsi="宋体"/>
          <w:color w:val="auto"/>
          <w:sz w:val="28"/>
        </w:rPr>
        <w:t>420万吨</w:t>
      </w:r>
      <w:r>
        <w:rPr>
          <w:rFonts w:hAnsi="宋体"/>
          <w:color w:val="auto"/>
          <w:sz w:val="28"/>
        </w:rPr>
        <w:t>左右。同期</w:t>
      </w:r>
      <w:r>
        <w:rPr>
          <w:rFonts w:hint="eastAsia" w:hAnsi="宋体"/>
          <w:color w:val="auto"/>
          <w:sz w:val="28"/>
        </w:rPr>
        <w:t>，</w:t>
      </w:r>
      <w:r>
        <w:rPr>
          <w:rFonts w:hAnsi="宋体"/>
          <w:color w:val="auto"/>
          <w:sz w:val="28"/>
        </w:rPr>
        <w:t>亚洲</w:t>
      </w:r>
      <w:r>
        <w:rPr>
          <w:rFonts w:hint="eastAsia" w:hAnsi="宋体"/>
          <w:color w:val="auto"/>
          <w:sz w:val="28"/>
        </w:rPr>
        <w:t>MMA市场需求增长</w:t>
      </w:r>
      <w:r>
        <w:rPr>
          <w:rFonts w:hAnsi="宋体"/>
          <w:color w:val="auto"/>
          <w:sz w:val="28"/>
        </w:rPr>
        <w:t>更为迅速，达到年均</w:t>
      </w:r>
      <w:r>
        <w:rPr>
          <w:rFonts w:hint="eastAsia" w:hAnsi="宋体"/>
          <w:color w:val="auto"/>
          <w:sz w:val="28"/>
        </w:rPr>
        <w:t>8.4%。</w:t>
      </w:r>
      <w:r>
        <w:rPr>
          <w:rFonts w:hAnsi="宋体"/>
          <w:color w:val="auto"/>
          <w:sz w:val="28"/>
        </w:rPr>
        <w:t>我国</w:t>
      </w:r>
      <w:r>
        <w:rPr>
          <w:rFonts w:hint="eastAsia" w:hAnsi="宋体"/>
          <w:color w:val="auto"/>
          <w:sz w:val="28"/>
        </w:rPr>
        <w:t>MMA市场</w:t>
      </w:r>
      <w:r>
        <w:rPr>
          <w:rFonts w:hAnsi="宋体"/>
          <w:color w:val="auto"/>
          <w:sz w:val="28"/>
        </w:rPr>
        <w:t>年均增长速度高达</w:t>
      </w:r>
      <w:r>
        <w:rPr>
          <w:rFonts w:hint="eastAsia" w:hAnsi="宋体"/>
          <w:color w:val="auto"/>
          <w:sz w:val="28"/>
        </w:rPr>
        <w:t>9.4%，</w:t>
      </w:r>
      <w:r>
        <w:rPr>
          <w:rFonts w:hAnsi="宋体"/>
          <w:color w:val="auto"/>
          <w:sz w:val="28"/>
        </w:rPr>
        <w:t>未来几年将成为仅次于美国和日本的全球第三大</w:t>
      </w:r>
      <w:r>
        <w:rPr>
          <w:rFonts w:hint="eastAsia" w:hAnsi="宋体"/>
          <w:color w:val="auto"/>
          <w:sz w:val="28"/>
        </w:rPr>
        <w:t>消费</w:t>
      </w:r>
      <w:r>
        <w:rPr>
          <w:rFonts w:hAnsi="宋体"/>
          <w:color w:val="auto"/>
          <w:sz w:val="28"/>
        </w:rPr>
        <w:t>市场</w:t>
      </w:r>
      <w:r>
        <w:rPr>
          <w:rFonts w:hint="eastAsia" w:hAnsi="宋体"/>
          <w:color w:val="auto"/>
          <w:sz w:val="28"/>
        </w:rPr>
        <w:t>。</w:t>
      </w:r>
      <w:r>
        <w:rPr>
          <w:rFonts w:hAnsi="宋体"/>
          <w:color w:val="auto"/>
          <w:sz w:val="28"/>
        </w:rPr>
        <w:t>亚洲</w:t>
      </w:r>
      <w:r>
        <w:rPr>
          <w:rFonts w:hint="eastAsia" w:hAnsi="宋体"/>
          <w:color w:val="auto"/>
          <w:sz w:val="28"/>
        </w:rPr>
        <w:t>是MMA需求</w:t>
      </w:r>
      <w:r>
        <w:rPr>
          <w:rFonts w:hAnsi="宋体"/>
          <w:color w:val="auto"/>
          <w:sz w:val="28"/>
        </w:rPr>
        <w:t>增长的主要动力，将来自于液晶</w:t>
      </w:r>
      <w:r>
        <w:rPr>
          <w:rFonts w:hint="eastAsia" w:hAnsi="宋体"/>
          <w:color w:val="auto"/>
          <w:sz w:val="28"/>
        </w:rPr>
        <w:t>显示器</w:t>
      </w:r>
      <w:r>
        <w:rPr>
          <w:rFonts w:hAnsi="宋体"/>
          <w:color w:val="auto"/>
          <w:sz w:val="28"/>
        </w:rPr>
        <w:t>、建筑和汽车</w:t>
      </w:r>
      <w:r>
        <w:rPr>
          <w:rFonts w:hint="eastAsia" w:hAnsi="宋体"/>
          <w:color w:val="auto"/>
          <w:sz w:val="28"/>
        </w:rPr>
        <w:t>领域</w:t>
      </w:r>
      <w:r>
        <w:rPr>
          <w:rFonts w:hAnsi="宋体"/>
          <w:color w:val="auto"/>
          <w:sz w:val="28"/>
        </w:rPr>
        <w:t>。</w:t>
      </w:r>
    </w:p>
    <w:p>
      <w:pPr>
        <w:pStyle w:val="3"/>
        <w:keepNext/>
        <w:keepLines/>
        <w:pageBreakBefore w:val="0"/>
        <w:widowControl w:val="0"/>
        <w:kinsoku/>
        <w:wordWrap/>
        <w:overflowPunct/>
        <w:topLinePunct w:val="0"/>
        <w:autoSpaceDE/>
        <w:autoSpaceDN/>
        <w:bidi w:val="0"/>
        <w:adjustRightInd/>
        <w:snapToGrid/>
        <w:spacing w:before="0" w:after="0"/>
        <w:textAlignment w:val="auto"/>
        <w:rPr>
          <w:color w:val="auto"/>
        </w:rPr>
      </w:pPr>
      <w:bookmarkStart w:id="72" w:name="_Toc1698"/>
      <w:bookmarkStart w:id="73" w:name="_Toc333"/>
      <w:bookmarkStart w:id="74" w:name="_Toc13335"/>
      <w:bookmarkStart w:id="75" w:name="_Toc11298"/>
      <w:bookmarkStart w:id="76" w:name="_Toc11728"/>
      <w:bookmarkStart w:id="77" w:name="_Toc26788"/>
      <w:bookmarkStart w:id="78" w:name="_Toc26945"/>
      <w:r>
        <w:rPr>
          <w:color w:val="auto"/>
        </w:rPr>
        <w:t>2.</w:t>
      </w:r>
      <w:r>
        <w:rPr>
          <w:rFonts w:hint="eastAsia"/>
          <w:color w:val="auto"/>
        </w:rPr>
        <w:t>2</w:t>
      </w:r>
      <w:r>
        <w:rPr>
          <w:color w:val="auto"/>
        </w:rPr>
        <w:t>项目</w:t>
      </w:r>
      <w:r>
        <w:rPr>
          <w:rFonts w:hint="eastAsia"/>
          <w:color w:val="auto"/>
          <w:lang w:val="en-US" w:eastAsia="zh-CN"/>
        </w:rPr>
        <w:t>基本</w:t>
      </w:r>
      <w:r>
        <w:rPr>
          <w:color w:val="auto"/>
        </w:rPr>
        <w:t>概况</w:t>
      </w:r>
      <w:bookmarkEnd w:id="72"/>
      <w:bookmarkEnd w:id="73"/>
      <w:bookmarkEnd w:id="74"/>
      <w:bookmarkEnd w:id="75"/>
      <w:bookmarkEnd w:id="76"/>
      <w:bookmarkEnd w:id="77"/>
      <w:bookmarkEnd w:id="78"/>
    </w:p>
    <w:p>
      <w:pPr>
        <w:ind w:firstLine="560" w:firstLineChars="200"/>
        <w:rPr>
          <w:rFonts w:hint="default" w:eastAsia="宋体"/>
          <w:color w:val="auto"/>
          <w:sz w:val="28"/>
          <w:szCs w:val="28"/>
          <w:lang w:val="en-US" w:eastAsia="zh-CN"/>
        </w:rPr>
      </w:pPr>
      <w:r>
        <w:rPr>
          <w:rFonts w:hAnsi="宋体"/>
          <w:color w:val="auto"/>
          <w:sz w:val="28"/>
        </w:rPr>
        <w:t>项目名称</w:t>
      </w:r>
      <w:r>
        <w:rPr>
          <w:color w:val="auto"/>
          <w:sz w:val="28"/>
        </w:rPr>
        <w:t>：</w:t>
      </w:r>
      <w:r>
        <w:rPr>
          <w:color w:val="auto"/>
          <w:sz w:val="28"/>
          <w:szCs w:val="28"/>
          <w:lang w:val="zh-CN"/>
        </w:rPr>
        <w:t>年产2000</w:t>
      </w:r>
      <w:r>
        <w:rPr>
          <w:rFonts w:hint="eastAsia"/>
          <w:color w:val="auto"/>
          <w:sz w:val="28"/>
          <w:szCs w:val="28"/>
          <w:lang w:val="en-US" w:eastAsia="zh-CN"/>
        </w:rPr>
        <w:t>0</w:t>
      </w:r>
      <w:r>
        <w:rPr>
          <w:color w:val="auto"/>
          <w:sz w:val="28"/>
          <w:szCs w:val="28"/>
          <w:lang w:val="zh-CN"/>
        </w:rPr>
        <w:t>吨有机玻璃</w:t>
      </w:r>
      <w:r>
        <w:rPr>
          <w:rFonts w:hint="eastAsia"/>
          <w:color w:val="auto"/>
          <w:sz w:val="28"/>
          <w:szCs w:val="28"/>
          <w:lang w:val="en-US" w:eastAsia="zh-CN"/>
        </w:rPr>
        <w:t>原料生产项目</w:t>
      </w:r>
    </w:p>
    <w:p>
      <w:pPr>
        <w:ind w:firstLine="560" w:firstLineChars="200"/>
        <w:rPr>
          <w:rFonts w:hint="default" w:eastAsia="宋体"/>
          <w:color w:val="auto"/>
          <w:sz w:val="28"/>
          <w:lang w:val="en-US" w:eastAsia="zh-CN"/>
        </w:rPr>
      </w:pPr>
      <w:r>
        <w:rPr>
          <w:color w:val="auto"/>
          <w:sz w:val="28"/>
        </w:rPr>
        <w:t>项目地址：</w:t>
      </w:r>
      <w:r>
        <w:rPr>
          <w:rFonts w:hAnsi="宋体"/>
          <w:bCs/>
          <w:color w:val="auto"/>
          <w:sz w:val="28"/>
          <w:szCs w:val="28"/>
        </w:rPr>
        <w:t>江西省</w:t>
      </w:r>
      <w:r>
        <w:rPr>
          <w:rFonts w:hint="eastAsia" w:hAnsi="宋体"/>
          <w:bCs/>
          <w:color w:val="auto"/>
          <w:sz w:val="28"/>
          <w:szCs w:val="28"/>
          <w:lang w:eastAsia="zh-CN"/>
        </w:rPr>
        <w:t>宜春市</w:t>
      </w:r>
      <w:r>
        <w:rPr>
          <w:rFonts w:hint="eastAsia" w:hAnsi="宋体"/>
          <w:bCs/>
          <w:color w:val="auto"/>
          <w:sz w:val="28"/>
          <w:szCs w:val="28"/>
          <w:lang w:val="en-US" w:eastAsia="zh-CN"/>
        </w:rPr>
        <w:t>袁州区医药工业园化工集中区</w:t>
      </w:r>
    </w:p>
    <w:p>
      <w:pPr>
        <w:ind w:firstLine="560" w:firstLineChars="200"/>
        <w:rPr>
          <w:rFonts w:hint="eastAsia" w:hAnsi="宋体"/>
          <w:color w:val="auto"/>
          <w:sz w:val="28"/>
        </w:rPr>
      </w:pPr>
      <w:r>
        <w:rPr>
          <w:rFonts w:hAnsi="宋体"/>
          <w:color w:val="auto"/>
          <w:sz w:val="28"/>
        </w:rPr>
        <w:t>项目规模：2</w:t>
      </w:r>
      <w:r>
        <w:rPr>
          <w:rFonts w:hint="eastAsia" w:hAnsi="宋体"/>
          <w:color w:val="auto"/>
          <w:sz w:val="28"/>
        </w:rPr>
        <w:t>00</w:t>
      </w:r>
      <w:r>
        <w:rPr>
          <w:rFonts w:hint="eastAsia" w:hAnsi="宋体"/>
          <w:color w:val="auto"/>
          <w:sz w:val="28"/>
          <w:lang w:val="en-US" w:eastAsia="zh-CN"/>
        </w:rPr>
        <w:t>0</w:t>
      </w:r>
      <w:r>
        <w:rPr>
          <w:rFonts w:hint="eastAsia" w:hAnsi="宋体"/>
          <w:color w:val="auto"/>
          <w:sz w:val="28"/>
        </w:rPr>
        <w:t>0t/a甲基丙烯酸甲酯</w:t>
      </w:r>
    </w:p>
    <w:p>
      <w:pPr>
        <w:ind w:firstLine="560" w:firstLineChars="200"/>
        <w:rPr>
          <w:rFonts w:hint="eastAsia" w:eastAsia="宋体"/>
          <w:color w:val="auto"/>
          <w:sz w:val="28"/>
          <w:lang w:val="en-US" w:eastAsia="zh-CN"/>
        </w:rPr>
      </w:pPr>
      <w:r>
        <w:rPr>
          <w:rFonts w:hAnsi="宋体"/>
          <w:color w:val="auto"/>
          <w:sz w:val="28"/>
        </w:rPr>
        <w:t>项目性质：</w:t>
      </w:r>
      <w:r>
        <w:rPr>
          <w:rFonts w:hint="eastAsia" w:hAnsi="宋体"/>
          <w:color w:val="auto"/>
          <w:sz w:val="28"/>
          <w:lang w:val="en-US" w:eastAsia="zh-CN"/>
        </w:rPr>
        <w:t>新</w:t>
      </w:r>
      <w:r>
        <w:rPr>
          <w:rFonts w:hint="eastAsia" w:hAnsi="宋体"/>
          <w:color w:val="auto"/>
          <w:sz w:val="28"/>
        </w:rPr>
        <w:t>建</w:t>
      </w:r>
      <w:r>
        <w:rPr>
          <w:rFonts w:hint="eastAsia" w:hAnsi="宋体"/>
          <w:color w:val="auto"/>
          <w:sz w:val="28"/>
          <w:lang w:val="en-US" w:eastAsia="zh-CN"/>
        </w:rPr>
        <w:t>项目</w:t>
      </w:r>
    </w:p>
    <w:p>
      <w:pPr>
        <w:ind w:firstLine="560" w:firstLineChars="200"/>
        <w:rPr>
          <w:color w:val="auto"/>
          <w:sz w:val="28"/>
        </w:rPr>
      </w:pPr>
      <w:r>
        <w:rPr>
          <w:rFonts w:hAnsi="宋体"/>
          <w:color w:val="auto"/>
          <w:sz w:val="28"/>
        </w:rPr>
        <w:t>项目投资</w:t>
      </w:r>
      <w:r>
        <w:rPr>
          <w:rFonts w:hAnsi="宋体"/>
          <w:color w:val="auto"/>
          <w:sz w:val="28"/>
          <w:szCs w:val="28"/>
        </w:rPr>
        <w:t>估算总额：</w:t>
      </w:r>
      <w:r>
        <w:rPr>
          <w:rFonts w:hint="eastAsia" w:hAnsi="宋体"/>
          <w:color w:val="auto"/>
          <w:sz w:val="28"/>
          <w:szCs w:val="28"/>
          <w:lang w:val="en-US" w:eastAsia="zh-CN"/>
        </w:rPr>
        <w:t>18775</w:t>
      </w:r>
      <w:r>
        <w:rPr>
          <w:rFonts w:hint="eastAsia" w:hAnsi="宋体"/>
          <w:color w:val="auto"/>
          <w:sz w:val="28"/>
          <w:szCs w:val="28"/>
        </w:rPr>
        <w:t>万元</w:t>
      </w:r>
    </w:p>
    <w:p>
      <w:pPr>
        <w:ind w:firstLine="560" w:firstLineChars="200"/>
        <w:rPr>
          <w:rFonts w:hint="eastAsia" w:ascii="仿宋_GB2312" w:hAnsi="楷体_GB2312" w:eastAsia="宋体"/>
          <w:color w:val="auto"/>
          <w:sz w:val="28"/>
          <w:szCs w:val="28"/>
          <w:lang w:eastAsia="zh-CN"/>
        </w:rPr>
      </w:pPr>
      <w:r>
        <w:rPr>
          <w:rFonts w:hAnsi="宋体"/>
          <w:color w:val="auto"/>
          <w:sz w:val="28"/>
        </w:rPr>
        <w:t>投资主体：</w:t>
      </w:r>
      <w:r>
        <w:rPr>
          <w:rFonts w:hint="eastAsia" w:hAnsi="宋体"/>
          <w:color w:val="auto"/>
          <w:sz w:val="28"/>
          <w:lang w:eastAsia="zh-CN"/>
        </w:rPr>
        <w:t>江西旺达新材料有限公司</w:t>
      </w:r>
    </w:p>
    <w:p>
      <w:pPr>
        <w:ind w:firstLine="560" w:firstLineChars="200"/>
        <w:rPr>
          <w:rFonts w:hint="eastAsia" w:hAnsi="宋体" w:eastAsia="宋体"/>
          <w:color w:val="auto"/>
          <w:sz w:val="28"/>
          <w:lang w:eastAsia="zh-CN"/>
        </w:rPr>
      </w:pPr>
      <w:r>
        <w:rPr>
          <w:rFonts w:hAnsi="宋体"/>
          <w:color w:val="auto"/>
          <w:sz w:val="28"/>
        </w:rPr>
        <w:t>建设单位：</w:t>
      </w:r>
      <w:r>
        <w:rPr>
          <w:rFonts w:hint="eastAsia" w:hAnsi="宋体"/>
          <w:color w:val="auto"/>
          <w:sz w:val="28"/>
          <w:lang w:eastAsia="zh-CN"/>
        </w:rPr>
        <w:t>江西旺达新材料有限公司</w:t>
      </w:r>
    </w:p>
    <w:p>
      <w:pPr>
        <w:ind w:firstLine="560" w:firstLineChars="200"/>
        <w:rPr>
          <w:rFonts w:hint="eastAsia" w:hAnsi="宋体"/>
          <w:color w:val="auto"/>
          <w:sz w:val="28"/>
        </w:rPr>
      </w:pPr>
      <w:r>
        <w:rPr>
          <w:rFonts w:hAnsi="宋体"/>
          <w:color w:val="auto"/>
          <w:sz w:val="28"/>
        </w:rPr>
        <w:t>企业性质：</w:t>
      </w:r>
      <w:r>
        <w:rPr>
          <w:rFonts w:hint="eastAsia" w:hAnsi="宋体"/>
          <w:color w:val="auto"/>
          <w:sz w:val="28"/>
        </w:rPr>
        <w:t>有限责任公司（自然人投资或控股）</w:t>
      </w:r>
    </w:p>
    <w:p>
      <w:pPr>
        <w:ind w:firstLine="560" w:firstLineChars="200"/>
        <w:rPr>
          <w:rFonts w:hint="eastAsia" w:hAnsi="宋体" w:eastAsia="宋体"/>
          <w:color w:val="auto"/>
          <w:sz w:val="28"/>
          <w:lang w:eastAsia="zh-CN"/>
        </w:rPr>
      </w:pPr>
      <w:r>
        <w:rPr>
          <w:rFonts w:hAnsi="宋体"/>
          <w:color w:val="auto"/>
          <w:sz w:val="28"/>
        </w:rPr>
        <w:t>法定代表人</w:t>
      </w:r>
      <w:r>
        <w:rPr>
          <w:rFonts w:hint="eastAsia" w:hAnsi="宋体"/>
          <w:color w:val="auto"/>
          <w:sz w:val="28"/>
        </w:rPr>
        <w:t>：</w:t>
      </w:r>
      <w:r>
        <w:rPr>
          <w:rFonts w:hint="eastAsia" w:hAnsi="宋体"/>
          <w:color w:val="auto"/>
          <w:sz w:val="28"/>
          <w:lang w:val="en-US" w:eastAsia="zh-CN"/>
        </w:rPr>
        <w:t>黄小群</w:t>
      </w:r>
    </w:p>
    <w:p>
      <w:pPr>
        <w:ind w:firstLine="560" w:firstLineChars="200"/>
        <w:rPr>
          <w:color w:val="auto"/>
          <w:sz w:val="28"/>
        </w:rPr>
      </w:pPr>
      <w:r>
        <w:rPr>
          <w:rFonts w:hint="eastAsia" w:hAnsi="宋体"/>
          <w:color w:val="auto"/>
          <w:sz w:val="28"/>
          <w:lang w:val="en-US" w:eastAsia="zh-CN"/>
        </w:rPr>
        <w:t>用</w:t>
      </w:r>
      <w:r>
        <w:rPr>
          <w:rFonts w:hAnsi="宋体"/>
          <w:color w:val="auto"/>
          <w:sz w:val="28"/>
        </w:rPr>
        <w:t>地面积：</w:t>
      </w:r>
      <w:r>
        <w:rPr>
          <w:rFonts w:hint="eastAsia" w:hAnsi="宋体"/>
          <w:color w:val="auto"/>
          <w:sz w:val="28"/>
          <w:lang w:val="en-US" w:eastAsia="zh-CN"/>
        </w:rPr>
        <w:t>18715.84</w:t>
      </w:r>
      <w:r>
        <w:rPr>
          <w:rFonts w:hint="eastAsia" w:hAnsi="宋体"/>
          <w:color w:val="auto"/>
          <w:sz w:val="28"/>
        </w:rPr>
        <w:t>平方米</w:t>
      </w:r>
    </w:p>
    <w:p>
      <w:pPr>
        <w:ind w:firstLine="560" w:firstLineChars="200"/>
        <w:rPr>
          <w:rFonts w:hint="eastAsia" w:hAnsi="宋体"/>
          <w:color w:val="auto"/>
          <w:sz w:val="28"/>
          <w:lang w:val="en-US" w:eastAsia="zh-CN"/>
        </w:rPr>
      </w:pPr>
      <w:r>
        <w:rPr>
          <w:rFonts w:hint="eastAsia"/>
          <w:color w:val="auto"/>
          <w:sz w:val="28"/>
          <w:szCs w:val="28"/>
        </w:rPr>
        <w:t>总平面布置图设计单位</w:t>
      </w:r>
      <w:r>
        <w:rPr>
          <w:rFonts w:hAnsi="宋体"/>
          <w:color w:val="auto"/>
          <w:sz w:val="28"/>
        </w:rPr>
        <w:t>：</w:t>
      </w:r>
      <w:r>
        <w:rPr>
          <w:rFonts w:hint="eastAsia" w:hAnsi="宋体"/>
          <w:color w:val="auto"/>
          <w:sz w:val="28"/>
          <w:lang w:val="en-US" w:eastAsia="zh-CN"/>
        </w:rPr>
        <w:t>河北英科石化工程</w:t>
      </w:r>
      <w:r>
        <w:rPr>
          <w:rFonts w:hint="eastAsia" w:hAnsi="宋体"/>
          <w:color w:val="auto"/>
          <w:sz w:val="28"/>
        </w:rPr>
        <w:t>有限公司</w:t>
      </w:r>
      <w:r>
        <w:rPr>
          <w:rFonts w:hint="eastAsia" w:hAnsi="宋体"/>
          <w:color w:val="auto"/>
          <w:sz w:val="28"/>
          <w:lang w:val="en-US" w:eastAsia="zh-CN"/>
        </w:rPr>
        <w:t>(化工石化医药行业工程设计化工工程甲级）</w:t>
      </w:r>
    </w:p>
    <w:p>
      <w:pPr>
        <w:ind w:firstLine="560" w:firstLineChars="200"/>
        <w:rPr>
          <w:rFonts w:hint="eastAsia" w:hAnsi="宋体"/>
          <w:color w:val="auto"/>
          <w:sz w:val="28"/>
          <w:lang w:val="en-US" w:eastAsia="zh-CN"/>
        </w:rPr>
      </w:pPr>
      <w:r>
        <w:rPr>
          <w:rFonts w:hint="eastAsia" w:hAnsi="宋体"/>
          <w:color w:val="auto"/>
          <w:sz w:val="28"/>
          <w:lang w:val="en-US" w:eastAsia="zh-CN"/>
        </w:rPr>
        <w:t>该项目的产品组成见表2.2-1.</w:t>
      </w:r>
    </w:p>
    <w:p>
      <w:pPr>
        <w:pStyle w:val="53"/>
        <w:rPr>
          <w:rFonts w:hint="eastAsia" w:hAnsi="宋体"/>
          <w:color w:val="auto"/>
          <w:sz w:val="28"/>
          <w:lang w:val="en-US" w:eastAsia="zh-CN"/>
        </w:rPr>
      </w:pPr>
      <w:r>
        <w:rPr>
          <w:rFonts w:hint="eastAsia" w:hAnsi="宋体"/>
          <w:color w:val="auto"/>
          <w:sz w:val="28"/>
          <w:lang w:val="en-US" w:eastAsia="zh-CN"/>
        </w:rPr>
        <w:t>表2.2-1项目产品方案一览表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2993"/>
        <w:gridCol w:w="1614"/>
        <w:gridCol w:w="1779"/>
        <w:gridCol w:w="2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序号</w:t>
            </w:r>
          </w:p>
        </w:tc>
        <w:tc>
          <w:tcPr>
            <w:tcW w:w="2993"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产品名称</w:t>
            </w:r>
          </w:p>
        </w:tc>
        <w:tc>
          <w:tcPr>
            <w:tcW w:w="1614"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年产量/t</w:t>
            </w:r>
          </w:p>
        </w:tc>
        <w:tc>
          <w:tcPr>
            <w:tcW w:w="1779"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外售量/t</w:t>
            </w:r>
          </w:p>
        </w:tc>
        <w:tc>
          <w:tcPr>
            <w:tcW w:w="2179"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1</w:t>
            </w:r>
          </w:p>
        </w:tc>
        <w:tc>
          <w:tcPr>
            <w:tcW w:w="2993"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甲基丙烯酸甲酯</w:t>
            </w:r>
          </w:p>
        </w:tc>
        <w:tc>
          <w:tcPr>
            <w:tcW w:w="1614"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20000</w:t>
            </w:r>
          </w:p>
        </w:tc>
        <w:tc>
          <w:tcPr>
            <w:tcW w:w="1779"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20000</w:t>
            </w:r>
          </w:p>
        </w:tc>
        <w:tc>
          <w:tcPr>
            <w:tcW w:w="2179"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w:t>
            </w:r>
          </w:p>
        </w:tc>
        <w:tc>
          <w:tcPr>
            <w:tcW w:w="2993"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精馏残液</w:t>
            </w:r>
          </w:p>
        </w:tc>
        <w:tc>
          <w:tcPr>
            <w:tcW w:w="1614" w:type="dxa"/>
            <w:vAlign w:val="center"/>
          </w:tcPr>
          <w:p>
            <w:pPr>
              <w:jc w:val="center"/>
              <w:rPr>
                <w:rFonts w:hint="default" w:hAnsi="宋体"/>
                <w:color w:val="auto"/>
                <w:sz w:val="21"/>
                <w:szCs w:val="21"/>
                <w:vertAlign w:val="baseline"/>
                <w:lang w:val="en-US" w:eastAsia="zh-CN"/>
              </w:rPr>
            </w:pPr>
            <w:r>
              <w:rPr>
                <w:rFonts w:hint="eastAsia"/>
                <w:color w:val="auto"/>
                <w:kern w:val="0"/>
                <w:sz w:val="21"/>
                <w:szCs w:val="21"/>
                <w:lang w:val="en-US" w:eastAsia="zh-CN"/>
              </w:rPr>
              <w:t>1790.99</w:t>
            </w:r>
          </w:p>
        </w:tc>
        <w:tc>
          <w:tcPr>
            <w:tcW w:w="1779" w:type="dxa"/>
            <w:vAlign w:val="center"/>
          </w:tcPr>
          <w:p>
            <w:pPr>
              <w:jc w:val="center"/>
              <w:rPr>
                <w:rFonts w:hint="default" w:hAnsi="宋体"/>
                <w:color w:val="auto"/>
                <w:sz w:val="21"/>
                <w:szCs w:val="21"/>
                <w:vertAlign w:val="baseline"/>
                <w:lang w:val="en-US" w:eastAsia="zh-CN"/>
              </w:rPr>
            </w:pPr>
            <w:r>
              <w:rPr>
                <w:rFonts w:hint="eastAsia"/>
                <w:color w:val="auto"/>
                <w:kern w:val="0"/>
                <w:sz w:val="21"/>
                <w:szCs w:val="21"/>
                <w:lang w:val="en-US" w:eastAsia="zh-CN"/>
              </w:rPr>
              <w:t>1790.99</w:t>
            </w:r>
          </w:p>
        </w:tc>
        <w:tc>
          <w:tcPr>
            <w:tcW w:w="2179" w:type="dxa"/>
            <w:vAlign w:val="center"/>
          </w:tcPr>
          <w:p>
            <w:pPr>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外售</w:t>
            </w:r>
          </w:p>
        </w:tc>
      </w:tr>
    </w:tbl>
    <w:p>
      <w:pPr>
        <w:ind w:firstLine="560" w:firstLineChars="200"/>
        <w:rPr>
          <w:rFonts w:hint="eastAsia" w:hAnsi="宋体"/>
          <w:color w:val="auto"/>
          <w:sz w:val="28"/>
          <w:lang w:val="en-US" w:eastAsia="zh-CN"/>
        </w:rPr>
      </w:pPr>
      <w:r>
        <w:rPr>
          <w:rFonts w:hint="eastAsia" w:hAnsi="宋体"/>
          <w:color w:val="auto"/>
          <w:sz w:val="28"/>
          <w:lang w:val="en-US" w:eastAsia="zh-CN"/>
        </w:rPr>
        <w:t>该项目建设内容具体见表2.2-2</w:t>
      </w:r>
    </w:p>
    <w:p>
      <w:pPr>
        <w:pStyle w:val="53"/>
        <w:rPr>
          <w:rFonts w:hint="eastAsia" w:hAnsi="宋体"/>
          <w:color w:val="auto"/>
          <w:sz w:val="28"/>
          <w:lang w:val="en-US" w:eastAsia="zh-CN"/>
        </w:rPr>
      </w:pPr>
      <w:r>
        <w:rPr>
          <w:rFonts w:hint="eastAsia" w:hAnsi="宋体"/>
          <w:color w:val="auto"/>
          <w:sz w:val="28"/>
          <w:lang w:val="en-US" w:eastAsia="zh-CN"/>
        </w:rPr>
        <w:t>表2.2-</w:t>
      </w:r>
      <w:r>
        <w:rPr>
          <w:rFonts w:hint="eastAsia"/>
          <w:color w:val="auto"/>
          <w:sz w:val="28"/>
          <w:lang w:val="en-US" w:eastAsia="zh-CN"/>
        </w:rPr>
        <w:t>2</w:t>
      </w:r>
      <w:r>
        <w:rPr>
          <w:rFonts w:hint="eastAsia" w:hAnsi="宋体"/>
          <w:color w:val="auto"/>
          <w:sz w:val="28"/>
          <w:lang w:val="en-US" w:eastAsia="zh-CN"/>
        </w:rPr>
        <w:t>项目组成一览表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900"/>
        <w:gridCol w:w="900"/>
        <w:gridCol w:w="6086"/>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工程类别</w:t>
            </w:r>
          </w:p>
        </w:tc>
        <w:tc>
          <w:tcPr>
            <w:tcW w:w="1800" w:type="dxa"/>
            <w:gridSpan w:val="2"/>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建设名称</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建设内容</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主体工程</w:t>
            </w: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101裂解车间</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甲类车间，新设60台电阻裂解炉，车间东侧设置粗体接收罐</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102精馏车间</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甲类车间，新设4套精馏装置</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储运工程</w:t>
            </w: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201甲类仓库</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甲类，占地84m</w:t>
            </w:r>
            <w:r>
              <w:rPr>
                <w:rFonts w:hint="eastAsia" w:hAnsi="宋体"/>
                <w:color w:val="auto"/>
                <w:sz w:val="21"/>
                <w:szCs w:val="21"/>
                <w:vertAlign w:val="superscript"/>
                <w:lang w:val="en-US" w:eastAsia="zh-CN"/>
              </w:rPr>
              <w:t>2</w:t>
            </w:r>
            <w:r>
              <w:rPr>
                <w:rFonts w:hint="eastAsia" w:hAnsi="宋体"/>
                <w:color w:val="auto"/>
                <w:sz w:val="21"/>
                <w:szCs w:val="21"/>
                <w:vertAlign w:val="baseline"/>
                <w:lang w:val="en-US" w:eastAsia="zh-CN"/>
              </w:rPr>
              <w:t>，拟储存危废、阻聚剂</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202丙类仓库一</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丙类，占地133m</w:t>
            </w:r>
            <w:r>
              <w:rPr>
                <w:rFonts w:hint="eastAsia" w:hAnsi="宋体"/>
                <w:color w:val="auto"/>
                <w:sz w:val="21"/>
                <w:szCs w:val="21"/>
                <w:vertAlign w:val="superscript"/>
                <w:lang w:val="en-US" w:eastAsia="zh-CN"/>
              </w:rPr>
              <w:t>2</w:t>
            </w:r>
            <w:r>
              <w:rPr>
                <w:rFonts w:hint="eastAsia" w:hAnsi="宋体"/>
                <w:color w:val="auto"/>
                <w:sz w:val="21"/>
                <w:szCs w:val="21"/>
                <w:vertAlign w:val="baseline"/>
                <w:lang w:val="en-US" w:eastAsia="zh-CN"/>
              </w:rPr>
              <w:t>，拟储存一般固废等</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203罐区</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甲类，新建3个80m</w:t>
            </w:r>
            <w:r>
              <w:rPr>
                <w:rFonts w:hint="eastAsia" w:hAnsi="宋体"/>
                <w:color w:val="auto"/>
                <w:sz w:val="21"/>
                <w:szCs w:val="21"/>
                <w:vertAlign w:val="superscript"/>
                <w:lang w:val="en-US" w:eastAsia="zh-CN"/>
              </w:rPr>
              <w:t>3</w:t>
            </w:r>
            <w:r>
              <w:rPr>
                <w:rFonts w:hint="eastAsia" w:hAnsi="宋体"/>
                <w:color w:val="auto"/>
                <w:sz w:val="21"/>
                <w:szCs w:val="21"/>
                <w:vertAlign w:val="baseline"/>
                <w:lang w:val="en-US" w:eastAsia="zh-CN"/>
              </w:rPr>
              <w:t>甲基丙烯酸甲酯粗体罐，2个80m</w:t>
            </w:r>
            <w:r>
              <w:rPr>
                <w:rFonts w:hint="eastAsia" w:hAnsi="宋体"/>
                <w:color w:val="auto"/>
                <w:sz w:val="21"/>
                <w:szCs w:val="21"/>
                <w:vertAlign w:val="superscript"/>
                <w:lang w:val="en-US" w:eastAsia="zh-CN"/>
              </w:rPr>
              <w:t>3</w:t>
            </w:r>
            <w:r>
              <w:rPr>
                <w:rFonts w:hint="eastAsia" w:hAnsi="宋体"/>
                <w:color w:val="auto"/>
                <w:sz w:val="21"/>
                <w:szCs w:val="21"/>
                <w:vertAlign w:val="baseline"/>
                <w:lang w:val="en-US" w:eastAsia="zh-CN"/>
              </w:rPr>
              <w:t>甲基丙烯酸甲酯精体罐，1个80m</w:t>
            </w:r>
            <w:r>
              <w:rPr>
                <w:rFonts w:hint="eastAsia" w:hAnsi="宋体"/>
                <w:color w:val="auto"/>
                <w:sz w:val="21"/>
                <w:szCs w:val="21"/>
                <w:vertAlign w:val="superscript"/>
                <w:lang w:val="en-US" w:eastAsia="zh-CN"/>
              </w:rPr>
              <w:t>3</w:t>
            </w:r>
            <w:r>
              <w:rPr>
                <w:rFonts w:hint="eastAsia" w:hAnsi="宋体"/>
                <w:color w:val="auto"/>
                <w:sz w:val="21"/>
                <w:szCs w:val="21"/>
                <w:vertAlign w:val="baseline"/>
                <w:lang w:val="en-US" w:eastAsia="zh-CN"/>
              </w:rPr>
              <w:t>甲基丙烯酸甲酯残液罐，拟设置氮封固定顶</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204丙类仓库二</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丙类，占地1215m</w:t>
            </w:r>
            <w:r>
              <w:rPr>
                <w:rFonts w:hint="eastAsia" w:hAnsi="宋体"/>
                <w:color w:val="auto"/>
                <w:sz w:val="21"/>
                <w:szCs w:val="21"/>
                <w:vertAlign w:val="superscript"/>
                <w:lang w:val="en-US" w:eastAsia="zh-CN"/>
              </w:rPr>
              <w:t>2</w:t>
            </w:r>
            <w:r>
              <w:rPr>
                <w:rFonts w:hint="eastAsia" w:hAnsi="宋体"/>
                <w:color w:val="auto"/>
                <w:sz w:val="21"/>
                <w:szCs w:val="21"/>
                <w:vertAlign w:val="baseline"/>
                <w:lang w:val="en-US" w:eastAsia="zh-CN"/>
              </w:rPr>
              <w:t>，拟设置原料储存、人工分拣、破碎三个功能分区</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公用工程</w:t>
            </w: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供热工程</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供热工程依托园区蒸汽管网供热，项目需蒸汽约</w:t>
            </w:r>
            <w:r>
              <w:rPr>
                <w:rFonts w:hint="eastAsia" w:hAnsi="宋体"/>
                <w:color w:val="auto"/>
                <w:sz w:val="21"/>
                <w:szCs w:val="21"/>
                <w:highlight w:val="none"/>
                <w:vertAlign w:val="baseline"/>
                <w:lang w:val="en-US" w:eastAsia="zh-CN"/>
              </w:rPr>
              <w:t>3.5t/h</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供电系统</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306公用工程间发配电间</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180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空压、氮气</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highlight w:val="none"/>
                <w:vertAlign w:val="baseline"/>
                <w:lang w:val="en-US" w:eastAsia="zh-CN"/>
              </w:rPr>
              <w:t>306公用工程间设置2台3.6m</w:t>
            </w:r>
            <w:r>
              <w:rPr>
                <w:rFonts w:hint="eastAsia" w:hAnsi="宋体"/>
                <w:color w:val="auto"/>
                <w:sz w:val="21"/>
                <w:szCs w:val="21"/>
                <w:highlight w:val="none"/>
                <w:vertAlign w:val="superscript"/>
                <w:lang w:val="en-US" w:eastAsia="zh-CN"/>
              </w:rPr>
              <w:t>3</w:t>
            </w:r>
            <w:r>
              <w:rPr>
                <w:rFonts w:hint="eastAsia" w:hAnsi="宋体"/>
                <w:color w:val="auto"/>
                <w:sz w:val="21"/>
                <w:szCs w:val="21"/>
                <w:highlight w:val="none"/>
                <w:vertAlign w:val="baseline"/>
                <w:lang w:val="en-US" w:eastAsia="zh-CN"/>
              </w:rPr>
              <w:t>/min，排气压力0.8MPa的螺杆空气压缩机（1用1备）；</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90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给排水工程</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生产用水</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园区供水管网主管为DN300，压力0.3MPa，厂区接入管为DN200，供水能力≥120m</w:t>
            </w:r>
            <w:r>
              <w:rPr>
                <w:rFonts w:hint="eastAsia" w:hAnsi="宋体"/>
                <w:color w:val="auto"/>
                <w:sz w:val="21"/>
                <w:szCs w:val="21"/>
                <w:vertAlign w:val="superscript"/>
                <w:lang w:val="en-US" w:eastAsia="zh-CN"/>
              </w:rPr>
              <w:t>3</w:t>
            </w:r>
            <w:r>
              <w:rPr>
                <w:rFonts w:hint="eastAsia" w:hAnsi="宋体"/>
                <w:color w:val="auto"/>
                <w:sz w:val="21"/>
                <w:szCs w:val="21"/>
                <w:vertAlign w:val="baseline"/>
                <w:lang w:val="en-US" w:eastAsia="zh-CN"/>
              </w:rPr>
              <w:t>/h</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Ansi="宋体"/>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p>
        </w:tc>
        <w:tc>
          <w:tcPr>
            <w:tcW w:w="90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Ansi="宋体"/>
                <w:color w:val="auto"/>
                <w:sz w:val="21"/>
                <w:szCs w:val="21"/>
                <w:vertAlign w:val="baseline"/>
                <w:lang w:val="en-US" w:eastAsia="zh-CN"/>
              </w:rPr>
            </w:pP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 xml:space="preserve">循环冷却水 </w:t>
            </w:r>
          </w:p>
        </w:tc>
        <w:tc>
          <w:tcPr>
            <w:tcW w:w="608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拟设 2台75kW 循环水泵（1用 1 备），单台循环水量500t/h，补水48t/d，配套 2 台冷却水塔、2 台冷却塔循环泵、2台冷却风机等。</w:t>
            </w:r>
          </w:p>
        </w:tc>
        <w:tc>
          <w:tcPr>
            <w:tcW w:w="6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Merge w:val="continue"/>
            <w:vAlign w:val="center"/>
          </w:tcPr>
          <w:p>
            <w:pPr>
              <w:spacing w:line="240" w:lineRule="auto"/>
              <w:jc w:val="center"/>
              <w:rPr>
                <w:rFonts w:hint="eastAsia"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生产废水</w:t>
            </w:r>
          </w:p>
        </w:tc>
        <w:tc>
          <w:tcPr>
            <w:tcW w:w="6086" w:type="dxa"/>
            <w:vMerge w:val="restart"/>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 304污水处理池，处理达到园区污水处理厂接管标准后</w:t>
            </w:r>
          </w:p>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 xml:space="preserve">进入园区污水处理厂进一步处理达标后排放 </w:t>
            </w: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Merge w:val="continue"/>
            <w:vAlign w:val="center"/>
          </w:tcPr>
          <w:p>
            <w:pPr>
              <w:spacing w:line="240" w:lineRule="auto"/>
              <w:jc w:val="center"/>
              <w:rPr>
                <w:rFonts w:hint="eastAsia"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生活污水水</w:t>
            </w:r>
          </w:p>
        </w:tc>
        <w:tc>
          <w:tcPr>
            <w:tcW w:w="6086" w:type="dxa"/>
            <w:vMerge w:val="continue"/>
            <w:vAlign w:val="center"/>
          </w:tcPr>
          <w:p>
            <w:pPr>
              <w:spacing w:line="240" w:lineRule="auto"/>
              <w:jc w:val="center"/>
              <w:rPr>
                <w:rFonts w:hint="eastAsia" w:hAnsi="宋体"/>
                <w:color w:val="auto"/>
                <w:sz w:val="21"/>
                <w:szCs w:val="21"/>
                <w:vertAlign w:val="baseline"/>
                <w:lang w:val="en-US" w:eastAsia="zh-CN"/>
              </w:rPr>
            </w:pP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环保工程</w:t>
            </w: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废水处理</w:t>
            </w: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生产废水和生活污水</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新建304污水处理池，处理达到园区污水处理厂接管标准后进入园区污水处理厂进一步处理达标后排放</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废气处理</w:t>
            </w: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项目有机废气</w:t>
            </w:r>
          </w:p>
        </w:tc>
        <w:tc>
          <w:tcPr>
            <w:tcW w:w="6086" w:type="dxa"/>
            <w:vAlign w:val="center"/>
          </w:tcPr>
          <w:p>
            <w:pPr>
              <w:spacing w:line="240" w:lineRule="auto"/>
              <w:jc w:val="center"/>
              <w:rPr>
                <w:rFonts w:hint="default"/>
                <w:color w:val="auto"/>
                <w:lang w:val="en-US" w:eastAsia="zh-CN"/>
              </w:rPr>
            </w:pPr>
            <w:r>
              <w:rPr>
                <w:rFonts w:hint="eastAsia" w:hAnsi="宋体"/>
                <w:color w:val="auto"/>
                <w:sz w:val="21"/>
                <w:szCs w:val="21"/>
                <w:highlight w:val="none"/>
                <w:vertAlign w:val="baseline"/>
                <w:lang w:val="en-US" w:eastAsia="zh-CN"/>
              </w:rPr>
              <w:t>引至TO炉焚烧</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固废处理</w:t>
            </w: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一般固废、危废</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highlight w:val="none"/>
                <w:vertAlign w:val="baseline"/>
                <w:lang w:val="en-US" w:eastAsia="zh-CN"/>
              </w:rPr>
              <w:t>一般固废暂存在202丙类仓库一的固废间内</w:t>
            </w:r>
            <w:r>
              <w:rPr>
                <w:rFonts w:hint="eastAsia" w:hAnsi="宋体"/>
                <w:color w:val="auto"/>
                <w:sz w:val="21"/>
                <w:szCs w:val="21"/>
                <w:vertAlign w:val="baseline"/>
                <w:lang w:val="en-US" w:eastAsia="zh-CN"/>
              </w:rPr>
              <w:t>，201甲类仓库拟设危废间。罐区设1个80m³精馏残液储罐</w:t>
            </w: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Merge w:val="restart"/>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事故应急</w:t>
            </w: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初期雨水池</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占地面积为99㎡，容积为</w:t>
            </w:r>
            <w:r>
              <w:rPr>
                <w:rFonts w:hint="eastAsia" w:hAnsi="宋体"/>
                <w:color w:val="auto"/>
                <w:sz w:val="21"/>
                <w:szCs w:val="21"/>
                <w:highlight w:val="none"/>
                <w:vertAlign w:val="baseline"/>
                <w:lang w:val="en-US" w:eastAsia="zh-CN"/>
              </w:rPr>
              <w:t>300m³</w:t>
            </w:r>
            <w:r>
              <w:rPr>
                <w:rFonts w:hint="eastAsia" w:hAnsi="宋体"/>
                <w:color w:val="auto"/>
                <w:sz w:val="21"/>
                <w:szCs w:val="21"/>
                <w:vertAlign w:val="baseline"/>
                <w:lang w:val="en-US" w:eastAsia="zh-CN"/>
              </w:rPr>
              <w:t>。</w:t>
            </w: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Merge w:val="continue"/>
            <w:vAlign w:val="center"/>
          </w:tcPr>
          <w:p>
            <w:pPr>
              <w:spacing w:line="240" w:lineRule="auto"/>
              <w:jc w:val="center"/>
              <w:rPr>
                <w:rFonts w:hint="eastAsia"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事故应急池</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highlight w:val="none"/>
                <w:vertAlign w:val="baseline"/>
                <w:lang w:val="en-US" w:eastAsia="zh-CN"/>
              </w:rPr>
              <w:t>占地面积为155.5㎡，容积为500m³。</w:t>
            </w: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900" w:type="dxa"/>
            <w:vMerge w:val="continue"/>
            <w:vAlign w:val="center"/>
          </w:tcPr>
          <w:p>
            <w:pPr>
              <w:spacing w:line="240" w:lineRule="auto"/>
              <w:jc w:val="center"/>
              <w:rPr>
                <w:rFonts w:hint="eastAsia" w:hAnsi="宋体"/>
                <w:color w:val="auto"/>
                <w:sz w:val="21"/>
                <w:szCs w:val="21"/>
                <w:vertAlign w:val="baseline"/>
                <w:lang w:val="en-US" w:eastAsia="zh-CN"/>
              </w:rPr>
            </w:pPr>
          </w:p>
        </w:tc>
        <w:tc>
          <w:tcPr>
            <w:tcW w:w="900"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消防水罐</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highlight w:val="none"/>
                <w:vertAlign w:val="baseline"/>
                <w:lang w:val="en-US" w:eastAsia="zh-CN"/>
              </w:rPr>
              <w:t>2个，占地面积76.97㎡，罐高9m。</w:t>
            </w:r>
          </w:p>
        </w:tc>
        <w:tc>
          <w:tcPr>
            <w:tcW w:w="679" w:type="dxa"/>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Align w:val="center"/>
          </w:tcPr>
          <w:p>
            <w:pPr>
              <w:spacing w:line="240" w:lineRule="auto"/>
              <w:jc w:val="center"/>
              <w:rPr>
                <w:rFonts w:hint="default" w:hAnsi="宋体"/>
                <w:color w:val="auto"/>
                <w:sz w:val="21"/>
                <w:szCs w:val="21"/>
                <w:vertAlign w:val="baseline"/>
                <w:lang w:val="en-US" w:eastAsia="zh-CN"/>
              </w:rPr>
            </w:pPr>
          </w:p>
        </w:tc>
        <w:tc>
          <w:tcPr>
            <w:tcW w:w="1800" w:type="dxa"/>
            <w:gridSpan w:val="2"/>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中心控制室</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丁类，抗爆，耐火等级为一级，占地面积为81.84㎡，建筑面积为81.84㎡。</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restart"/>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办公和防卫工程</w:t>
            </w:r>
          </w:p>
        </w:tc>
        <w:tc>
          <w:tcPr>
            <w:tcW w:w="1800" w:type="dxa"/>
            <w:gridSpan w:val="2"/>
            <w:vAlign w:val="center"/>
          </w:tcPr>
          <w:p>
            <w:pPr>
              <w:spacing w:line="240" w:lineRule="auto"/>
              <w:jc w:val="center"/>
              <w:rPr>
                <w:rFonts w:hint="eastAsia" w:hAnsi="宋体"/>
                <w:color w:val="auto"/>
                <w:sz w:val="21"/>
                <w:szCs w:val="21"/>
                <w:vertAlign w:val="baseline"/>
                <w:lang w:val="en-US" w:eastAsia="zh-CN"/>
              </w:rPr>
            </w:pPr>
            <w:r>
              <w:rPr>
                <w:rFonts w:hint="eastAsia" w:hAnsi="宋体"/>
                <w:color w:val="auto"/>
                <w:sz w:val="21"/>
                <w:szCs w:val="21"/>
                <w:vertAlign w:val="baseline"/>
                <w:lang w:val="en-US" w:eastAsia="zh-CN"/>
              </w:rPr>
              <w:t>综合楼</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民建，耐火等级为二级，占地面积</w:t>
            </w:r>
            <w:r>
              <w:rPr>
                <w:rFonts w:hint="eastAsia" w:hAnsi="宋体"/>
                <w:color w:val="auto"/>
                <w:sz w:val="21"/>
                <w:szCs w:val="21"/>
                <w:highlight w:val="none"/>
                <w:vertAlign w:val="baseline"/>
                <w:lang w:val="en-US" w:eastAsia="zh-CN"/>
              </w:rPr>
              <w:t>为272.08㎡</w:t>
            </w:r>
            <w:r>
              <w:rPr>
                <w:rFonts w:hint="eastAsia" w:hAnsi="宋体"/>
                <w:color w:val="auto"/>
                <w:sz w:val="21"/>
                <w:szCs w:val="21"/>
                <w:vertAlign w:val="baseline"/>
                <w:lang w:val="en-US" w:eastAsia="zh-CN"/>
              </w:rPr>
              <w:t>，建筑面积为</w:t>
            </w:r>
            <w:r>
              <w:rPr>
                <w:rFonts w:hint="eastAsia" w:hAnsi="宋体"/>
                <w:color w:val="auto"/>
                <w:sz w:val="21"/>
                <w:szCs w:val="21"/>
                <w:highlight w:val="none"/>
                <w:vertAlign w:val="baseline"/>
                <w:lang w:val="en-US" w:eastAsia="zh-CN"/>
              </w:rPr>
              <w:t>544.16</w:t>
            </w:r>
            <w:r>
              <w:rPr>
                <w:rFonts w:hint="eastAsia" w:hAnsi="宋体"/>
                <w:color w:val="auto"/>
                <w:sz w:val="21"/>
                <w:szCs w:val="21"/>
                <w:vertAlign w:val="baseline"/>
                <w:lang w:val="en-US" w:eastAsia="zh-CN"/>
              </w:rPr>
              <w:t>㎡。</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dxa"/>
            <w:vMerge w:val="continue"/>
            <w:vAlign w:val="center"/>
          </w:tcPr>
          <w:p>
            <w:pPr>
              <w:spacing w:line="240" w:lineRule="auto"/>
              <w:jc w:val="center"/>
              <w:rPr>
                <w:rFonts w:hint="default" w:hAnsi="宋体"/>
                <w:color w:val="auto"/>
                <w:sz w:val="21"/>
                <w:szCs w:val="21"/>
                <w:vertAlign w:val="baseline"/>
                <w:lang w:val="en-US" w:eastAsia="zh-CN"/>
              </w:rPr>
            </w:pPr>
          </w:p>
        </w:tc>
        <w:tc>
          <w:tcPr>
            <w:tcW w:w="1800" w:type="dxa"/>
            <w:gridSpan w:val="2"/>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门卫</w:t>
            </w:r>
          </w:p>
        </w:tc>
        <w:tc>
          <w:tcPr>
            <w:tcW w:w="6086"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民建，耐火等级为二级，占地面积为62㎡，建筑面积为62㎡。</w:t>
            </w:r>
          </w:p>
        </w:tc>
        <w:tc>
          <w:tcPr>
            <w:tcW w:w="679" w:type="dxa"/>
            <w:vAlign w:val="center"/>
          </w:tcPr>
          <w:p>
            <w:pPr>
              <w:spacing w:line="240" w:lineRule="auto"/>
              <w:jc w:val="center"/>
              <w:rPr>
                <w:rFonts w:hint="default" w:hAnsi="宋体"/>
                <w:color w:val="auto"/>
                <w:sz w:val="21"/>
                <w:szCs w:val="21"/>
                <w:vertAlign w:val="baseline"/>
                <w:lang w:val="en-US" w:eastAsia="zh-CN"/>
              </w:rPr>
            </w:pPr>
            <w:r>
              <w:rPr>
                <w:rFonts w:hint="eastAsia" w:hAnsi="宋体"/>
                <w:color w:val="auto"/>
                <w:sz w:val="21"/>
                <w:szCs w:val="21"/>
                <w:vertAlign w:val="baseline"/>
                <w:lang w:val="en-US" w:eastAsia="zh-CN"/>
              </w:rPr>
              <w:t>新建</w:t>
            </w:r>
          </w:p>
        </w:tc>
      </w:tr>
    </w:tbl>
    <w:p>
      <w:pPr>
        <w:ind w:firstLine="560" w:firstLineChars="200"/>
        <w:rPr>
          <w:rFonts w:hint="eastAsia" w:hAnsi="宋体"/>
          <w:color w:val="auto"/>
          <w:sz w:val="28"/>
          <w:lang w:val="en-US" w:eastAsia="zh-CN"/>
        </w:rPr>
      </w:pPr>
      <w:r>
        <w:rPr>
          <w:rFonts w:hint="eastAsia" w:hAnsi="宋体"/>
          <w:color w:val="auto"/>
          <w:sz w:val="28"/>
          <w:lang w:val="en-US" w:eastAsia="zh-CN"/>
        </w:rPr>
        <w:t>项目前期工作：</w:t>
      </w:r>
    </w:p>
    <w:p>
      <w:pPr>
        <w:ind w:firstLine="560" w:firstLineChars="200"/>
        <w:rPr>
          <w:rFonts w:hint="eastAsia" w:hAnsi="宋体"/>
          <w:color w:val="auto"/>
          <w:sz w:val="28"/>
          <w:lang w:val="en-US" w:eastAsia="zh-CN"/>
        </w:rPr>
      </w:pPr>
      <w:r>
        <w:rPr>
          <w:rFonts w:hint="eastAsia" w:hAnsi="宋体"/>
          <w:color w:val="auto"/>
          <w:sz w:val="28"/>
          <w:lang w:val="en-US" w:eastAsia="zh-CN"/>
        </w:rPr>
        <w:t>江西旺达新材料有限公司年产20000吨有机玻璃原料生产项目取得了宜春市袁州区发展和改革委员会审批的项目备案文件，统一项目代码：2208-360902-04-05-436045，详见见附件。</w:t>
      </w:r>
    </w:p>
    <w:p>
      <w:pPr>
        <w:ind w:firstLine="560" w:firstLineChars="200"/>
        <w:rPr>
          <w:rFonts w:hint="default" w:hAnsi="宋体"/>
          <w:color w:val="auto"/>
          <w:sz w:val="28"/>
          <w:lang w:val="en-US" w:eastAsia="zh-CN"/>
        </w:rPr>
      </w:pPr>
      <w:r>
        <w:rPr>
          <w:rFonts w:hint="eastAsia" w:hAnsi="宋体"/>
          <w:color w:val="auto"/>
          <w:sz w:val="28"/>
          <w:lang w:val="en-US" w:eastAsia="zh-CN"/>
        </w:rPr>
        <w:t>江西旺达新材料有限公司厂区规划及建筑方案审查项目经袁州区规划审查委员会2023年第五次会议同意并下发了《袁州区规划委员会办公室抄告单》（袁区规办抄字[2023]第72号），详见附件。</w:t>
      </w:r>
    </w:p>
    <w:p>
      <w:pPr>
        <w:ind w:firstLine="560" w:firstLineChars="200"/>
        <w:rPr>
          <w:rFonts w:hint="eastAsia" w:hAnsi="宋体"/>
          <w:color w:val="auto"/>
          <w:sz w:val="28"/>
          <w:lang w:val="en-US" w:eastAsia="zh-CN"/>
        </w:rPr>
      </w:pPr>
      <w:r>
        <w:rPr>
          <w:rFonts w:hint="eastAsia" w:hAnsi="宋体"/>
          <w:color w:val="auto"/>
          <w:sz w:val="28"/>
          <w:lang w:val="en-US" w:eastAsia="zh-CN"/>
        </w:rPr>
        <w:t>江西旺达新材料有限公司《甲基丙烯酸甲酯项目裂解反应化学反应安全风险研究与评估报告》（报告编号：JXHY-2305701），由江西和元安全科学技术有限公司编制并出具报告，详见附件。</w:t>
      </w:r>
    </w:p>
    <w:p>
      <w:pPr>
        <w:ind w:firstLine="560" w:firstLineChars="200"/>
        <w:rPr>
          <w:rFonts w:hint="eastAsia" w:hAnsi="宋体"/>
          <w:color w:val="auto"/>
          <w:sz w:val="28"/>
          <w:lang w:val="en-US" w:eastAsia="zh-CN"/>
        </w:rPr>
      </w:pPr>
      <w:r>
        <w:rPr>
          <w:rFonts w:hint="eastAsia" w:hAnsi="宋体"/>
          <w:color w:val="auto"/>
          <w:sz w:val="28"/>
          <w:lang w:val="en-US" w:eastAsia="zh-CN"/>
        </w:rPr>
        <w:t>江西旺达新材料有限公司《国内首次使用化工工艺安全可靠性论证报告（年产20000吨甲基丙烯酸甲酯）》，由江西和兴元隆工程咨询有限公司编制，通过专家审查，专家组出具《国内首次使用化工工艺安全可靠性论证报告评审意见》（编号：赣应急学会工艺论证[2023]004号），该报告通过专家组评审，详见附件。</w:t>
      </w:r>
    </w:p>
    <w:p>
      <w:pPr>
        <w:ind w:firstLine="560" w:firstLineChars="200"/>
        <w:rPr>
          <w:rFonts w:hint="eastAsia" w:hAnsi="宋体"/>
          <w:color w:val="auto"/>
          <w:sz w:val="28"/>
          <w:lang w:val="en-US" w:eastAsia="zh-CN"/>
        </w:rPr>
      </w:pPr>
      <w:r>
        <w:rPr>
          <w:rFonts w:hint="eastAsia" w:hAnsi="宋体"/>
          <w:color w:val="auto"/>
          <w:sz w:val="28"/>
          <w:lang w:val="en-US" w:eastAsia="zh-CN"/>
        </w:rPr>
        <w:t>江西旺达新材料有限公司年产20000吨有机玻璃原料生产项目总平面布置图由河北英科石化工程有限公司（化工石化医药行业工程设计乙级，化工石化医药行业工程设计化工工程甲级资质，证书编号：A213009740）编制，详见附件。</w:t>
      </w:r>
    </w:p>
    <w:p>
      <w:pPr>
        <w:ind w:firstLine="560" w:firstLineChars="200"/>
        <w:rPr>
          <w:rFonts w:hint="default" w:hAnsi="宋体" w:eastAsia="宋体"/>
          <w:color w:val="auto"/>
          <w:sz w:val="28"/>
          <w:lang w:val="en-US" w:eastAsia="zh-CN"/>
        </w:rPr>
      </w:pPr>
      <w:r>
        <w:rPr>
          <w:rFonts w:hint="eastAsia" w:hAnsi="宋体"/>
          <w:color w:val="auto"/>
          <w:sz w:val="28"/>
          <w:lang w:val="en-US" w:eastAsia="zh-CN"/>
        </w:rPr>
        <w:t>项目总投资</w:t>
      </w:r>
      <w:r>
        <w:rPr>
          <w:rFonts w:hint="eastAsia" w:hAnsi="宋体"/>
          <w:color w:val="auto"/>
          <w:sz w:val="28"/>
          <w:szCs w:val="28"/>
          <w:lang w:val="en-US" w:eastAsia="zh-CN"/>
        </w:rPr>
        <w:t>18775</w:t>
      </w:r>
      <w:r>
        <w:rPr>
          <w:rFonts w:hint="eastAsia" w:hAnsi="宋体"/>
          <w:color w:val="auto"/>
          <w:sz w:val="28"/>
          <w:szCs w:val="28"/>
        </w:rPr>
        <w:t>万元</w:t>
      </w:r>
      <w:r>
        <w:rPr>
          <w:rFonts w:hint="eastAsia" w:hAnsi="宋体"/>
          <w:color w:val="auto"/>
          <w:sz w:val="28"/>
          <w:szCs w:val="28"/>
          <w:lang w:eastAsia="zh-CN"/>
        </w:rPr>
        <w:t>，</w:t>
      </w:r>
      <w:r>
        <w:rPr>
          <w:rFonts w:hint="eastAsia" w:hAnsi="宋体"/>
          <w:color w:val="auto"/>
          <w:sz w:val="28"/>
          <w:szCs w:val="28"/>
          <w:lang w:val="en-US" w:eastAsia="zh-CN"/>
        </w:rPr>
        <w:t>其中固定资产投资约14000万元，流动资金约3000万元，其他约1000万元，安全设施投入约775万元。</w:t>
      </w:r>
    </w:p>
    <w:p>
      <w:pPr>
        <w:pStyle w:val="4"/>
        <w:rPr>
          <w:rFonts w:hint="eastAsia"/>
          <w:color w:val="auto"/>
          <w:lang w:val="en-US" w:eastAsia="zh-CN"/>
        </w:rPr>
      </w:pPr>
      <w:bookmarkStart w:id="79" w:name="_Toc6517"/>
      <w:bookmarkStart w:id="80" w:name="_Toc32448"/>
      <w:bookmarkStart w:id="81" w:name="_Toc28746"/>
      <w:bookmarkStart w:id="82" w:name="_Toc5560"/>
      <w:bookmarkStart w:id="83" w:name="_Toc28664"/>
      <w:bookmarkStart w:id="84" w:name="_Toc1999"/>
      <w:bookmarkStart w:id="85" w:name="_Toc17866"/>
      <w:r>
        <w:rPr>
          <w:rFonts w:hint="eastAsia"/>
          <w:color w:val="auto"/>
          <w:lang w:val="en-US" w:eastAsia="zh-CN"/>
        </w:rPr>
        <w:t>2.2.1建设项目选址</w:t>
      </w:r>
      <w:bookmarkEnd w:id="79"/>
      <w:bookmarkEnd w:id="80"/>
      <w:bookmarkEnd w:id="81"/>
      <w:bookmarkEnd w:id="82"/>
      <w:bookmarkEnd w:id="83"/>
      <w:bookmarkEnd w:id="84"/>
    </w:p>
    <w:p>
      <w:pPr>
        <w:ind w:firstLine="560" w:firstLineChars="200"/>
        <w:rPr>
          <w:rFonts w:hint="default" w:hAnsi="宋体" w:eastAsia="宋体"/>
          <w:bCs/>
          <w:color w:val="auto"/>
          <w:sz w:val="28"/>
          <w:szCs w:val="28"/>
          <w:lang w:val="en-US" w:eastAsia="zh-CN"/>
        </w:rPr>
      </w:pPr>
      <w:r>
        <w:rPr>
          <w:rFonts w:hint="eastAsia" w:hAnsi="宋体"/>
          <w:bCs/>
          <w:color w:val="auto"/>
          <w:sz w:val="28"/>
          <w:szCs w:val="28"/>
          <w:lang w:val="en-US" w:eastAsia="zh-CN"/>
        </w:rPr>
        <w:t>1、地理位置</w:t>
      </w:r>
    </w:p>
    <w:p>
      <w:pPr>
        <w:ind w:firstLine="560" w:firstLineChars="200"/>
        <w:rPr>
          <w:rFonts w:hint="eastAsia"/>
          <w:color w:val="auto"/>
          <w:sz w:val="28"/>
          <w:szCs w:val="28"/>
          <w:lang w:val="en-US" w:eastAsia="zh-CN"/>
        </w:rPr>
      </w:pPr>
      <w:r>
        <w:rPr>
          <w:rFonts w:hint="eastAsia"/>
          <w:color w:val="auto"/>
          <w:sz w:val="28"/>
          <w:szCs w:val="28"/>
          <w:lang w:val="en-US" w:eastAsia="zh-CN"/>
        </w:rPr>
        <w:t>宜春市地处东经 113°54'至 116°27'、北纬 27°33'至 29°06'之间。东与安义、新建、南昌、临川接壤，南与崇仁、乐安、峡江、新余、分宜、安福为邻，西与萍乡和湖南相连，北与修水、武宁、永修交界。下辖三市六县一区(袁州区、樟树市、丰城市、高安市，靖安县、奉新县、上高县、宜丰县、铜鼓县、万载县)。</w:t>
      </w:r>
    </w:p>
    <w:p>
      <w:pPr>
        <w:ind w:firstLine="560" w:firstLineChars="200"/>
        <w:rPr>
          <w:rFonts w:hint="eastAsia"/>
          <w:color w:val="auto"/>
          <w:sz w:val="28"/>
          <w:szCs w:val="28"/>
          <w:lang w:val="en-US" w:eastAsia="zh-CN"/>
        </w:rPr>
      </w:pPr>
      <w:r>
        <w:rPr>
          <w:rFonts w:hint="eastAsia"/>
          <w:color w:val="auto"/>
          <w:sz w:val="28"/>
          <w:szCs w:val="28"/>
          <w:lang w:val="en-US" w:eastAsia="zh-CN"/>
        </w:rPr>
        <w:t>该项目位于袁州区医药工业园内，地理坐标北纬27.899885°，东经114.360694°。沪昆高速从南侧横穿，东至上海，西至昆明，320 国道纵贯开发区，南接中心城区，北至万载县，交通便捷。地理位置见下图。</w:t>
      </w:r>
    </w:p>
    <w:p>
      <w:pPr>
        <w:ind w:firstLine="480" w:firstLineChars="200"/>
        <w:rPr>
          <w:color w:val="auto"/>
          <w:sz w:val="28"/>
          <w:szCs w:val="28"/>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2673985</wp:posOffset>
                </wp:positionH>
                <wp:positionV relativeFrom="paragraph">
                  <wp:posOffset>1165225</wp:posOffset>
                </wp:positionV>
                <wp:extent cx="643890" cy="214630"/>
                <wp:effectExtent l="12700" t="12700" r="29210" b="115570"/>
                <wp:wrapNone/>
                <wp:docPr id="22" name="矩形标注 22"/>
                <wp:cNvGraphicFramePr/>
                <a:graphic xmlns:a="http://schemas.openxmlformats.org/drawingml/2006/main">
                  <a:graphicData uri="http://schemas.microsoft.com/office/word/2010/wordprocessingShape">
                    <wps:wsp>
                      <wps:cNvSpPr/>
                      <wps:spPr>
                        <a:xfrm>
                          <a:off x="0" y="0"/>
                          <a:ext cx="643890" cy="214630"/>
                        </a:xfrm>
                        <a:prstGeom prst="wedgeRectCallout">
                          <a:avLst>
                            <a:gd name="adj1" fmla="val -10256"/>
                            <a:gd name="adj2" fmla="val 91715"/>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eastAsia="宋体"/>
                                <w:lang w:val="en-US" w:eastAsia="zh-CN"/>
                              </w:rPr>
                            </w:pPr>
                            <w:r>
                              <w:rPr>
                                <w:rFonts w:hint="eastAsia"/>
                                <w:color w:val="auto"/>
                                <w:sz w:val="21"/>
                                <w:szCs w:val="21"/>
                                <w:lang w:val="en-US" w:eastAsia="zh-CN"/>
                              </w:rPr>
                              <w:t>项目位</w:t>
                            </w:r>
                            <w:r>
                              <w:rPr>
                                <w:rFonts w:hint="eastAsia"/>
                                <w:lang w:val="en-US" w:eastAsia="zh-CN"/>
                              </w:rPr>
                              <w:t>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10.55pt;margin-top:91.75pt;height:16.9pt;width:50.7pt;z-index:251665408;v-text-anchor:middle;mso-width-relative:page;mso-height-relative:page;" filled="f" stroked="t" coordsize="21600,21600" o:gfxdata="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KCuGF/aAAAACwEAAA8AAAAAAAAAAQAgAAAAIgAAAGRy&#10;cy9kb3ducmV2LnhtbFBLAQIUABQAAAAIAIdO4kBZpcOsrgIAAEYFAAAOAAAAAAAAAAEAIAAAACkB&#10;AABkcnMvZTJvRG9jLnhtbFBLBQYAAAAABgAGAFkBAABJBgAAAAA=&#10;" adj="8585,30610">
                <v:fill on="f" focussize="0,0"/>
                <v:stroke weight="2pt" color="#376092 [2404]" joinstyle="round"/>
                <v:imagedata o:title=""/>
                <o:lock v:ext="edit" aspectratio="f"/>
                <v:textbox>
                  <w:txbxContent>
                    <w:p>
                      <w:pPr>
                        <w:jc w:val="center"/>
                        <w:rPr>
                          <w:rFonts w:hint="default" w:eastAsia="宋体"/>
                          <w:lang w:val="en-US" w:eastAsia="zh-CN"/>
                        </w:rPr>
                      </w:pPr>
                      <w:r>
                        <w:rPr>
                          <w:rFonts w:hint="eastAsia"/>
                          <w:color w:val="auto"/>
                          <w:sz w:val="21"/>
                          <w:szCs w:val="21"/>
                          <w:lang w:val="en-US" w:eastAsia="zh-CN"/>
                        </w:rPr>
                        <w:t>项目位</w:t>
                      </w:r>
                      <w:r>
                        <w:rPr>
                          <w:rFonts w:hint="eastAsia"/>
                          <w:lang w:val="en-US" w:eastAsia="zh-CN"/>
                        </w:rPr>
                        <w:t>置</w:t>
                      </w:r>
                    </w:p>
                  </w:txbxContent>
                </v:textbox>
              </v:shape>
            </w:pict>
          </mc:Fallback>
        </mc:AlternateContent>
      </w:r>
      <w:r>
        <w:rPr>
          <w:color w:val="auto"/>
        </w:rPr>
        <w:drawing>
          <wp:anchor distT="0" distB="0" distL="114300" distR="114300" simplePos="0" relativeHeight="251662336" behindDoc="0" locked="0" layoutInCell="1" allowOverlap="1">
            <wp:simplePos x="0" y="0"/>
            <wp:positionH relativeFrom="column">
              <wp:posOffset>-133985</wp:posOffset>
            </wp:positionH>
            <wp:positionV relativeFrom="paragraph">
              <wp:posOffset>269875</wp:posOffset>
            </wp:positionV>
            <wp:extent cx="5756275" cy="2291080"/>
            <wp:effectExtent l="0" t="0" r="0" b="0"/>
            <wp:wrapSquare wrapText="bothSides"/>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4"/>
                    <a:srcRect b="14502"/>
                    <a:stretch>
                      <a:fillRect/>
                    </a:stretch>
                  </pic:blipFill>
                  <pic:spPr>
                    <a:xfrm>
                      <a:off x="0" y="0"/>
                      <a:ext cx="5756275" cy="2291080"/>
                    </a:xfrm>
                    <a:prstGeom prst="rect">
                      <a:avLst/>
                    </a:prstGeom>
                    <a:noFill/>
                    <a:ln>
                      <a:noFill/>
                    </a:ln>
                  </pic:spPr>
                </pic:pic>
              </a:graphicData>
            </a:graphic>
          </wp:anchor>
        </w:drawing>
      </w:r>
      <w:r>
        <w:rPr>
          <w:rFonts w:hint="eastAsia"/>
          <w:color w:val="auto"/>
          <w:sz w:val="28"/>
          <w:szCs w:val="28"/>
        </w:rPr>
        <w:t>袁州区位于江西省西部，属宜春市，袁河上游，东经113°54′-114°37′，北纬27°33′-28°05′。东连新余，西临萍乡，南界安福，北接万载、上高和湖南浏阳。总面积2532.36平方千米，其中城区面积17.8平方千米袁州区属低山丘陵地形。南、西、北三面群山环抱，峰峦层叠，地势较高；中部和东部广布丘陵，地势较低。袁河自西向东于区境中部流过，形成一块狭长的河谷平原。按海拔高度和相对高度，全区可划分为山区、丘陵、平原三种地貌。山区主要分布在南面和北面的区境边缘，占全区总面积的21.7%；丘陵分布在区境中部，占全区总面积的60.7%；平原主要分布在区境东部和袁河两岸，以及丘陵地貌中夹插的小块平原，占全区总面积的17.6%。</w:t>
      </w:r>
    </w:p>
    <w:p>
      <w:pPr>
        <w:numPr>
          <w:ilvl w:val="0"/>
          <w:numId w:val="0"/>
        </w:numPr>
        <w:ind w:firstLine="560" w:firstLineChars="200"/>
        <w:rPr>
          <w:rFonts w:hint="eastAsia" w:hAnsi="宋体"/>
          <w:bCs/>
          <w:color w:val="auto"/>
          <w:sz w:val="28"/>
          <w:szCs w:val="28"/>
          <w:lang w:val="en-US" w:eastAsia="zh-CN"/>
        </w:rPr>
      </w:pPr>
      <w:r>
        <w:rPr>
          <w:rFonts w:hint="eastAsia" w:ascii="Times New Roman" w:hAnsi="宋体" w:eastAsia="宋体" w:cs="Times New Roman"/>
          <w:bCs/>
          <w:color w:val="auto"/>
          <w:kern w:val="2"/>
          <w:sz w:val="28"/>
          <w:szCs w:val="28"/>
          <w:lang w:val="en-US" w:eastAsia="zh-CN" w:bidi="ar-SA"/>
        </w:rPr>
        <w:t>2、</w:t>
      </w:r>
      <w:r>
        <w:rPr>
          <w:rFonts w:hint="eastAsia" w:hAnsi="宋体"/>
          <w:bCs/>
          <w:color w:val="auto"/>
          <w:sz w:val="28"/>
          <w:szCs w:val="28"/>
          <w:lang w:val="en-US" w:eastAsia="zh-CN"/>
        </w:rPr>
        <w:t>周边环境</w:t>
      </w:r>
    </w:p>
    <w:p>
      <w:pPr>
        <w:numPr>
          <w:ilvl w:val="0"/>
          <w:numId w:val="0"/>
        </w:numPr>
        <w:ind w:firstLine="0" w:firstLineChars="0"/>
        <w:rPr>
          <w:rFonts w:hint="default" w:hAnsi="宋体" w:eastAsia="宋体"/>
          <w:bCs/>
          <w:color w:val="auto"/>
          <w:sz w:val="28"/>
          <w:szCs w:val="28"/>
          <w:lang w:val="en-US" w:eastAsia="zh-CN"/>
        </w:rPr>
      </w:pPr>
      <w:r>
        <w:rPr>
          <w:rFonts w:hint="eastAsia" w:hAnsi="宋体"/>
          <w:bCs/>
          <w:color w:val="auto"/>
          <w:sz w:val="28"/>
          <w:szCs w:val="28"/>
          <w:lang w:val="en-US" w:eastAsia="zh-CN"/>
        </w:rPr>
        <w:t xml:space="preserve">    依据现场踏勘情况和该公司提供资料，该项目在袁州医药工业园西南侧的化工集中区。</w:t>
      </w:r>
    </w:p>
    <w:p>
      <w:pPr>
        <w:autoSpaceDE w:val="0"/>
        <w:autoSpaceDN w:val="0"/>
        <w:adjustRightInd w:val="0"/>
        <w:ind w:firstLine="560" w:firstLineChars="200"/>
        <w:rPr>
          <w:rFonts w:hint="eastAsia" w:eastAsia="宋体"/>
          <w:color w:val="auto"/>
          <w:sz w:val="28"/>
          <w:szCs w:val="28"/>
          <w:lang w:eastAsia="zh-CN"/>
        </w:rPr>
      </w:pPr>
      <w:r>
        <w:rPr>
          <w:rFonts w:hint="eastAsia"/>
          <w:color w:val="auto"/>
          <w:sz w:val="28"/>
          <w:szCs w:val="28"/>
          <w:lang w:val="en-US" w:eastAsia="zh-CN"/>
        </w:rPr>
        <w:t>北侧：隔未开发山体</w:t>
      </w:r>
      <w:r>
        <w:rPr>
          <w:rFonts w:hint="eastAsia"/>
          <w:color w:val="auto"/>
          <w:sz w:val="28"/>
          <w:szCs w:val="28"/>
        </w:rPr>
        <w:t>为</w:t>
      </w:r>
      <w:r>
        <w:rPr>
          <w:rFonts w:hint="eastAsia"/>
          <w:color w:val="auto"/>
          <w:sz w:val="28"/>
          <w:szCs w:val="28"/>
          <w:lang w:val="en-US" w:eastAsia="zh-CN"/>
        </w:rPr>
        <w:t>江西丰日电源</w:t>
      </w:r>
      <w:r>
        <w:rPr>
          <w:rFonts w:hint="eastAsia"/>
          <w:color w:val="auto"/>
          <w:sz w:val="28"/>
          <w:szCs w:val="28"/>
        </w:rPr>
        <w:t>有限公司</w:t>
      </w:r>
      <w:r>
        <w:rPr>
          <w:rFonts w:hint="eastAsia"/>
          <w:color w:val="auto"/>
          <w:sz w:val="28"/>
          <w:szCs w:val="28"/>
          <w:lang w:eastAsia="zh-CN"/>
        </w:rPr>
        <w:t>（</w:t>
      </w:r>
      <w:r>
        <w:rPr>
          <w:rFonts w:hint="eastAsia"/>
          <w:color w:val="auto"/>
          <w:sz w:val="28"/>
          <w:szCs w:val="28"/>
          <w:lang w:val="en-US" w:eastAsia="zh-CN"/>
        </w:rPr>
        <w:t>工贸企业</w:t>
      </w:r>
      <w:r>
        <w:rPr>
          <w:rFonts w:hint="eastAsia"/>
          <w:color w:val="auto"/>
          <w:sz w:val="28"/>
          <w:szCs w:val="28"/>
          <w:lang w:eastAsia="zh-CN"/>
        </w:rPr>
        <w:t>）。</w:t>
      </w:r>
    </w:p>
    <w:p>
      <w:pPr>
        <w:autoSpaceDE w:val="0"/>
        <w:autoSpaceDN w:val="0"/>
        <w:adjustRightInd w:val="0"/>
        <w:ind w:firstLine="560" w:firstLineChars="200"/>
        <w:rPr>
          <w:rFonts w:hint="eastAsia"/>
          <w:color w:val="auto"/>
          <w:sz w:val="28"/>
          <w:szCs w:val="28"/>
          <w:lang w:val="en-US" w:eastAsia="zh-CN"/>
        </w:rPr>
      </w:pPr>
      <w:r>
        <w:rPr>
          <w:rFonts w:hint="eastAsia"/>
          <w:color w:val="auto"/>
          <w:sz w:val="28"/>
          <w:szCs w:val="28"/>
          <w:lang w:val="en-US" w:eastAsia="zh-CN"/>
        </w:rPr>
        <w:t>南</w:t>
      </w:r>
      <w:r>
        <w:rPr>
          <w:rFonts w:hint="eastAsia"/>
          <w:color w:val="auto"/>
          <w:sz w:val="28"/>
          <w:szCs w:val="28"/>
        </w:rPr>
        <w:t>侧</w:t>
      </w:r>
      <w:r>
        <w:rPr>
          <w:rFonts w:hint="eastAsia"/>
          <w:color w:val="auto"/>
          <w:sz w:val="28"/>
          <w:szCs w:val="28"/>
          <w:lang w:eastAsia="zh-CN"/>
        </w:rPr>
        <w:t>：</w:t>
      </w:r>
      <w:r>
        <w:rPr>
          <w:rFonts w:hint="eastAsia"/>
          <w:color w:val="auto"/>
          <w:sz w:val="28"/>
          <w:szCs w:val="28"/>
          <w:lang w:val="en-US" w:eastAsia="zh-CN"/>
        </w:rPr>
        <w:t>隔空地为湖西路、山林。</w:t>
      </w:r>
    </w:p>
    <w:p>
      <w:pPr>
        <w:autoSpaceDE w:val="0"/>
        <w:autoSpaceDN w:val="0"/>
        <w:adjustRightInd w:val="0"/>
        <w:ind w:firstLine="560" w:firstLineChars="200"/>
        <w:rPr>
          <w:rFonts w:hint="eastAsia"/>
          <w:color w:val="auto"/>
          <w:sz w:val="28"/>
          <w:szCs w:val="28"/>
          <w:lang w:eastAsia="zh-CN"/>
        </w:rPr>
      </w:pPr>
      <w:r>
        <w:rPr>
          <w:rFonts w:hint="eastAsia"/>
          <w:color w:val="auto"/>
          <w:sz w:val="28"/>
          <w:szCs w:val="28"/>
        </w:rPr>
        <w:t>西侧</w:t>
      </w:r>
      <w:r>
        <w:rPr>
          <w:rFonts w:hint="eastAsia"/>
          <w:color w:val="auto"/>
          <w:sz w:val="28"/>
          <w:szCs w:val="28"/>
          <w:lang w:eastAsia="zh-CN"/>
        </w:rPr>
        <w:t>：</w:t>
      </w:r>
      <w:r>
        <w:rPr>
          <w:rFonts w:hint="eastAsia"/>
          <w:color w:val="auto"/>
          <w:sz w:val="28"/>
          <w:szCs w:val="28"/>
          <w:lang w:val="en-US" w:eastAsia="zh-CN"/>
        </w:rPr>
        <w:t>为空地、山林</w:t>
      </w:r>
      <w:r>
        <w:rPr>
          <w:rFonts w:hint="eastAsia"/>
          <w:color w:val="auto"/>
          <w:sz w:val="28"/>
          <w:szCs w:val="28"/>
          <w:lang w:eastAsia="zh-CN"/>
        </w:rPr>
        <w:t>。</w:t>
      </w:r>
    </w:p>
    <w:p>
      <w:pPr>
        <w:autoSpaceDE w:val="0"/>
        <w:autoSpaceDN w:val="0"/>
        <w:adjustRightInd w:val="0"/>
        <w:ind w:firstLine="560" w:firstLineChars="200"/>
        <w:rPr>
          <w:rFonts w:hint="eastAsia"/>
          <w:color w:val="auto"/>
          <w:sz w:val="28"/>
          <w:szCs w:val="28"/>
        </w:rPr>
      </w:pPr>
      <w:r>
        <w:rPr>
          <w:rFonts w:hint="eastAsia"/>
          <w:color w:val="auto"/>
          <w:sz w:val="28"/>
          <w:szCs w:val="28"/>
          <w:lang w:val="en-US" w:eastAsia="zh-CN"/>
        </w:rPr>
        <w:t>东侧：隔银岭路为宜春市袁州区悦峰新材料有限公司（工贸企业，距项目用地红线约42m）。</w:t>
      </w:r>
      <w:r>
        <w:rPr>
          <w:rFonts w:hint="eastAsia"/>
          <w:color w:val="auto"/>
          <w:sz w:val="28"/>
          <w:szCs w:val="28"/>
        </w:rPr>
        <w:t>沿该</w:t>
      </w:r>
      <w:r>
        <w:rPr>
          <w:rFonts w:hint="eastAsia"/>
          <w:color w:val="auto"/>
          <w:sz w:val="28"/>
          <w:szCs w:val="28"/>
          <w:lang w:val="en-US" w:eastAsia="zh-CN"/>
        </w:rPr>
        <w:t>项目东侧，银岭路西侧</w:t>
      </w:r>
      <w:r>
        <w:rPr>
          <w:rFonts w:hint="eastAsia"/>
          <w:color w:val="auto"/>
          <w:sz w:val="28"/>
          <w:szCs w:val="28"/>
        </w:rPr>
        <w:t>布置有</w:t>
      </w:r>
      <w:r>
        <w:rPr>
          <w:rFonts w:hint="eastAsia"/>
          <w:color w:val="auto"/>
          <w:sz w:val="28"/>
          <w:szCs w:val="28"/>
          <w:lang w:val="en-US" w:eastAsia="zh-CN"/>
        </w:rPr>
        <w:t>南北向</w:t>
      </w:r>
      <w:r>
        <w:rPr>
          <w:rFonts w:hint="eastAsia"/>
          <w:color w:val="auto"/>
          <w:sz w:val="28"/>
          <w:szCs w:val="28"/>
        </w:rPr>
        <w:t>10</w:t>
      </w:r>
      <w:r>
        <w:rPr>
          <w:rFonts w:hint="eastAsia"/>
          <w:color w:val="auto"/>
          <w:sz w:val="28"/>
          <w:szCs w:val="28"/>
          <w:lang w:val="en-US" w:eastAsia="zh-CN"/>
        </w:rPr>
        <w:t>kv</w:t>
      </w:r>
      <w:r>
        <w:rPr>
          <w:rFonts w:hint="eastAsia"/>
          <w:color w:val="auto"/>
          <w:sz w:val="28"/>
          <w:szCs w:val="28"/>
        </w:rPr>
        <w:t>高压线</w:t>
      </w:r>
      <w:r>
        <w:rPr>
          <w:rFonts w:hint="eastAsia"/>
          <w:color w:val="auto"/>
          <w:sz w:val="28"/>
          <w:szCs w:val="28"/>
          <w:lang w:eastAsia="zh-CN"/>
        </w:rPr>
        <w:t>（</w:t>
      </w:r>
      <w:r>
        <w:rPr>
          <w:rFonts w:hint="eastAsia"/>
          <w:color w:val="auto"/>
          <w:sz w:val="28"/>
          <w:szCs w:val="28"/>
          <w:lang w:val="en-US" w:eastAsia="zh-CN"/>
        </w:rPr>
        <w:t>H=12m</w:t>
      </w:r>
      <w:r>
        <w:rPr>
          <w:rFonts w:hint="eastAsia"/>
          <w:color w:val="auto"/>
          <w:sz w:val="28"/>
          <w:szCs w:val="28"/>
          <w:lang w:eastAsia="zh-CN"/>
        </w:rPr>
        <w:t>）</w:t>
      </w:r>
      <w:r>
        <w:rPr>
          <w:rFonts w:hint="eastAsia"/>
          <w:color w:val="auto"/>
          <w:sz w:val="28"/>
          <w:szCs w:val="28"/>
        </w:rPr>
        <w:t>。</w:t>
      </w:r>
    </w:p>
    <w:p>
      <w:pPr>
        <w:bidi w:val="0"/>
        <w:ind w:firstLine="560" w:firstLineChars="200"/>
        <w:rPr>
          <w:rFonts w:hint="eastAsia"/>
          <w:color w:val="auto"/>
          <w:lang w:val="en-US" w:eastAsia="zh-CN"/>
        </w:rPr>
      </w:pPr>
      <w:r>
        <w:rPr>
          <w:rFonts w:hint="eastAsia"/>
          <w:color w:val="auto"/>
          <w:lang w:val="en-US" w:eastAsia="zh-CN"/>
        </w:rPr>
        <w:t>厂址外部安全防护距离内无商业中心、公园等人员密集场所及重要公共设施。项目周边1000m范围内无基本农田保护区、基本草原、畜禽遗传资源保护区、畜禽规模化养殖场（养殖小区）、渔业水域以及种子、种畜禽、水产苗种生产基地；周边1000m范围内无风景名胜区和自然保护区。项目周边1000m无军事禁区、军事管理区；项目周边1000m无法律、行政法规规定予以保护的其他区域。该项目距最近居民区郭家坊约605m，距万宜高速约1.3km，距浙赣线铁路约13km，距袁河约10km。</w:t>
      </w:r>
    </w:p>
    <w:p>
      <w:pPr>
        <w:bidi w:val="0"/>
        <w:ind w:firstLine="560" w:firstLineChars="200"/>
        <w:rPr>
          <w:rFonts w:hint="eastAsia"/>
          <w:color w:val="auto"/>
          <w:lang w:val="en-US" w:eastAsia="zh-CN"/>
        </w:rPr>
      </w:pPr>
      <w:r>
        <w:rPr>
          <w:rFonts w:hint="eastAsia"/>
          <w:color w:val="auto"/>
          <w:lang w:val="en-US" w:eastAsia="zh-CN"/>
        </w:rPr>
        <w:t>该项目周边居民情况及水域见下表：</w:t>
      </w:r>
    </w:p>
    <w:p>
      <w:pPr>
        <w:pStyle w:val="53"/>
        <w:rPr>
          <w:rFonts w:hint="eastAsia"/>
          <w:color w:val="auto"/>
          <w:lang w:val="en-US" w:eastAsia="zh-CN"/>
        </w:rPr>
      </w:pPr>
      <w:r>
        <w:rPr>
          <w:rFonts w:hint="eastAsia"/>
          <w:color w:val="auto"/>
          <w:lang w:val="en-US" w:eastAsia="zh-CN"/>
        </w:rPr>
        <w:t>表2.2-3厂区周边人员及水域分布情况一览表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535"/>
        <w:gridCol w:w="1160"/>
        <w:gridCol w:w="1160"/>
        <w:gridCol w:w="1031"/>
        <w:gridCol w:w="1291"/>
        <w:gridCol w:w="1161"/>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85" w:type="dxa"/>
            <w:vMerge w:val="restart"/>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序号</w:t>
            </w:r>
          </w:p>
        </w:tc>
        <w:tc>
          <w:tcPr>
            <w:tcW w:w="1535" w:type="dxa"/>
            <w:vMerge w:val="restart"/>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名称</w:t>
            </w:r>
          </w:p>
        </w:tc>
        <w:tc>
          <w:tcPr>
            <w:tcW w:w="2320" w:type="dxa"/>
            <w:gridSpan w:val="2"/>
            <w:vAlign w:val="center"/>
          </w:tcPr>
          <w:p>
            <w:pPr>
              <w:bidi w:val="0"/>
              <w:spacing w:line="240" w:lineRule="auto"/>
              <w:jc w:val="center"/>
              <w:rPr>
                <w:rFonts w:hint="eastAsia"/>
                <w:color w:val="auto"/>
                <w:sz w:val="21"/>
                <w:szCs w:val="21"/>
                <w:vertAlign w:val="baseline"/>
                <w:lang w:val="en-US" w:eastAsia="zh-CN"/>
              </w:rPr>
            </w:pPr>
            <w:r>
              <w:rPr>
                <w:rFonts w:hint="eastAsia"/>
                <w:color w:val="auto"/>
                <w:sz w:val="21"/>
                <w:szCs w:val="21"/>
                <w:vertAlign w:val="baseline"/>
                <w:lang w:val="en-US" w:eastAsia="zh-CN"/>
              </w:rPr>
              <w:t>坐标</w:t>
            </w:r>
          </w:p>
        </w:tc>
        <w:tc>
          <w:tcPr>
            <w:tcW w:w="1031" w:type="dxa"/>
            <w:vMerge w:val="restart"/>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方位</w:t>
            </w:r>
          </w:p>
        </w:tc>
        <w:tc>
          <w:tcPr>
            <w:tcW w:w="1291" w:type="dxa"/>
            <w:vMerge w:val="restart"/>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与项目厂界距离（m）</w:t>
            </w:r>
          </w:p>
        </w:tc>
        <w:tc>
          <w:tcPr>
            <w:tcW w:w="1161" w:type="dxa"/>
            <w:vMerge w:val="restart"/>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规模（人）</w:t>
            </w:r>
          </w:p>
        </w:tc>
        <w:tc>
          <w:tcPr>
            <w:tcW w:w="1161" w:type="dxa"/>
            <w:vMerge w:val="restart"/>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785" w:type="dxa"/>
            <w:vMerge w:val="continue"/>
            <w:vAlign w:val="center"/>
          </w:tcPr>
          <w:p>
            <w:pPr>
              <w:bidi w:val="0"/>
              <w:spacing w:line="240" w:lineRule="auto"/>
              <w:jc w:val="center"/>
              <w:rPr>
                <w:color w:val="auto"/>
              </w:rPr>
            </w:pPr>
          </w:p>
        </w:tc>
        <w:tc>
          <w:tcPr>
            <w:tcW w:w="1535" w:type="dxa"/>
            <w:vMerge w:val="continue"/>
            <w:vAlign w:val="center"/>
          </w:tcPr>
          <w:p>
            <w:pPr>
              <w:bidi w:val="0"/>
              <w:spacing w:line="240" w:lineRule="auto"/>
              <w:jc w:val="center"/>
              <w:rPr>
                <w:color w:val="auto"/>
              </w:rPr>
            </w:pPr>
          </w:p>
        </w:tc>
        <w:tc>
          <w:tcPr>
            <w:tcW w:w="1160" w:type="dxa"/>
            <w:vAlign w:val="center"/>
          </w:tcPr>
          <w:p>
            <w:pPr>
              <w:bidi w:val="0"/>
              <w:spacing w:line="240" w:lineRule="auto"/>
              <w:jc w:val="center"/>
              <w:rPr>
                <w:rFonts w:hint="eastAsia" w:eastAsia="宋体"/>
                <w:color w:val="auto"/>
                <w:lang w:val="en-US" w:eastAsia="zh-CN"/>
              </w:rPr>
            </w:pPr>
            <w:r>
              <w:rPr>
                <w:rFonts w:hint="eastAsia"/>
                <w:color w:val="auto"/>
                <w:sz w:val="21"/>
                <w:szCs w:val="21"/>
                <w:lang w:val="en-US" w:eastAsia="zh-CN"/>
              </w:rPr>
              <w:t>X</w:t>
            </w:r>
          </w:p>
        </w:tc>
        <w:tc>
          <w:tcPr>
            <w:tcW w:w="1160" w:type="dxa"/>
            <w:vAlign w:val="center"/>
          </w:tcPr>
          <w:p>
            <w:pPr>
              <w:bidi w:val="0"/>
              <w:spacing w:line="240" w:lineRule="auto"/>
              <w:jc w:val="center"/>
              <w:rPr>
                <w:rFonts w:hint="eastAsia" w:eastAsia="宋体"/>
                <w:color w:val="auto"/>
                <w:lang w:val="en-US" w:eastAsia="zh-CN"/>
              </w:rPr>
            </w:pPr>
            <w:r>
              <w:rPr>
                <w:rFonts w:hint="eastAsia"/>
                <w:color w:val="auto"/>
                <w:sz w:val="21"/>
                <w:szCs w:val="21"/>
                <w:lang w:val="en-US" w:eastAsia="zh-CN"/>
              </w:rPr>
              <w:t>Y</w:t>
            </w:r>
          </w:p>
        </w:tc>
        <w:tc>
          <w:tcPr>
            <w:tcW w:w="1031" w:type="dxa"/>
            <w:vMerge w:val="continue"/>
            <w:vAlign w:val="center"/>
          </w:tcPr>
          <w:p>
            <w:pPr>
              <w:bidi w:val="0"/>
              <w:spacing w:line="240" w:lineRule="auto"/>
              <w:jc w:val="center"/>
              <w:rPr>
                <w:color w:val="auto"/>
              </w:rPr>
            </w:pPr>
          </w:p>
        </w:tc>
        <w:tc>
          <w:tcPr>
            <w:tcW w:w="1291" w:type="dxa"/>
            <w:vMerge w:val="continue"/>
            <w:vAlign w:val="center"/>
          </w:tcPr>
          <w:p>
            <w:pPr>
              <w:bidi w:val="0"/>
              <w:spacing w:line="240" w:lineRule="auto"/>
              <w:jc w:val="center"/>
              <w:rPr>
                <w:color w:val="auto"/>
              </w:rPr>
            </w:pPr>
          </w:p>
        </w:tc>
        <w:tc>
          <w:tcPr>
            <w:tcW w:w="1161" w:type="dxa"/>
            <w:vMerge w:val="continue"/>
            <w:vAlign w:val="center"/>
          </w:tcPr>
          <w:p>
            <w:pPr>
              <w:bidi w:val="0"/>
              <w:spacing w:line="240" w:lineRule="auto"/>
              <w:jc w:val="center"/>
              <w:rPr>
                <w:color w:val="auto"/>
              </w:rPr>
            </w:pPr>
          </w:p>
        </w:tc>
        <w:tc>
          <w:tcPr>
            <w:tcW w:w="1161" w:type="dxa"/>
            <w:vMerge w:val="continue"/>
            <w:vAlign w:val="center"/>
          </w:tcPr>
          <w:p>
            <w:pPr>
              <w:bidi w:val="0"/>
              <w:spacing w:line="240" w:lineRule="auto"/>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王坑村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1180</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2644</w:t>
            </w:r>
          </w:p>
        </w:tc>
        <w:tc>
          <w:tcPr>
            <w:tcW w:w="1031" w:type="dxa"/>
            <w:vAlign w:val="center"/>
          </w:tcPr>
          <w:p>
            <w:pPr>
              <w:widowControl/>
              <w:bidi w:val="0"/>
              <w:spacing w:line="240" w:lineRule="auto"/>
              <w:jc w:val="center"/>
              <w:textAlignment w:val="center"/>
              <w:rPr>
                <w:rFonts w:hint="eastAsia" w:ascii="宋体" w:hAnsi="宋体" w:eastAsia="宋体" w:cs="宋体"/>
                <w:color w:val="auto"/>
                <w:kern w:val="2"/>
                <w:sz w:val="21"/>
                <w:szCs w:val="21"/>
                <w:u w:val="none"/>
                <w:vertAlign w:val="baseline"/>
                <w:lang w:val="en-US" w:eastAsia="zh-CN" w:bidi="ar-SA"/>
              </w:rPr>
            </w:pPr>
            <w:r>
              <w:rPr>
                <w:rFonts w:hint="eastAsia" w:ascii="宋体" w:hAnsi="宋体" w:eastAsia="宋体" w:cs="宋体"/>
                <w:i w:val="0"/>
                <w:iCs w:val="0"/>
                <w:color w:val="auto"/>
                <w:kern w:val="0"/>
                <w:sz w:val="21"/>
                <w:szCs w:val="21"/>
                <w:u w:val="none"/>
                <w:lang w:val="en-US" w:eastAsia="zh-CN" w:bidi="ar"/>
              </w:rPr>
              <w:t>北</w:t>
            </w:r>
          </w:p>
        </w:tc>
        <w:tc>
          <w:tcPr>
            <w:tcW w:w="1291" w:type="dxa"/>
            <w:vAlign w:val="center"/>
          </w:tcPr>
          <w:p>
            <w:pPr>
              <w:widowControl/>
              <w:bidi w:val="0"/>
              <w:spacing w:line="240" w:lineRule="auto"/>
              <w:jc w:val="center"/>
              <w:textAlignment w:val="center"/>
              <w:rPr>
                <w:rFonts w:hint="eastAsia" w:ascii="宋体" w:hAnsi="宋体" w:eastAsia="宋体" w:cs="宋体"/>
                <w:color w:val="auto"/>
                <w:kern w:val="2"/>
                <w:sz w:val="21"/>
                <w:szCs w:val="21"/>
                <w:u w:val="none"/>
                <w:vertAlign w:val="baseline"/>
                <w:lang w:val="en-US" w:eastAsia="zh-CN" w:bidi="ar-SA"/>
              </w:rPr>
            </w:pPr>
            <w:r>
              <w:rPr>
                <w:rFonts w:hint="eastAsia" w:ascii="宋体" w:hAnsi="宋体" w:eastAsia="宋体" w:cs="宋体"/>
                <w:i w:val="0"/>
                <w:iCs w:val="0"/>
                <w:color w:val="auto"/>
                <w:kern w:val="0"/>
                <w:sz w:val="21"/>
                <w:szCs w:val="21"/>
                <w:u w:val="none"/>
                <w:lang w:val="en-US" w:eastAsia="zh-CN" w:bidi="ar"/>
              </w:rPr>
              <w:t>2450</w:t>
            </w:r>
          </w:p>
        </w:tc>
        <w:tc>
          <w:tcPr>
            <w:tcW w:w="1161" w:type="dxa"/>
            <w:vAlign w:val="center"/>
          </w:tcPr>
          <w:p>
            <w:pPr>
              <w:widowControl/>
              <w:bidi w:val="0"/>
              <w:spacing w:line="240" w:lineRule="auto"/>
              <w:jc w:val="center"/>
              <w:textAlignment w:val="center"/>
              <w:rPr>
                <w:rFonts w:hint="eastAsia" w:ascii="宋体" w:hAnsi="宋体" w:eastAsia="宋体" w:cs="宋体"/>
                <w:color w:val="auto"/>
                <w:kern w:val="2"/>
                <w:sz w:val="21"/>
                <w:szCs w:val="21"/>
                <w:u w:val="none"/>
                <w:vertAlign w:val="baseline"/>
                <w:lang w:val="en-US" w:eastAsia="zh-CN" w:bidi="ar-SA"/>
              </w:rPr>
            </w:pPr>
            <w:r>
              <w:rPr>
                <w:rFonts w:hint="eastAsia" w:ascii="宋体" w:hAnsi="宋体" w:eastAsia="宋体" w:cs="宋体"/>
                <w:i w:val="0"/>
                <w:iCs w:val="0"/>
                <w:color w:val="auto"/>
                <w:kern w:val="0"/>
                <w:sz w:val="21"/>
                <w:szCs w:val="21"/>
                <w:u w:val="none"/>
                <w:lang w:val="en-US" w:eastAsia="zh-CN" w:bidi="ar"/>
              </w:rPr>
              <w:t>120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下门村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1214</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2183</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2387</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145</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郭家坊</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370</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1912</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605</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120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秆塘村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-762</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1954</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2000</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210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5</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长村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-2270</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1636</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西北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2640</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245</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6</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长岭背村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-1518</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666</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西北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1545</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400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7</w:t>
            </w:r>
          </w:p>
        </w:tc>
        <w:tc>
          <w:tcPr>
            <w:tcW w:w="1535"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白竹村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957</w:t>
            </w:r>
          </w:p>
        </w:tc>
        <w:tc>
          <w:tcPr>
            <w:tcW w:w="1160"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-470</w:t>
            </w:r>
          </w:p>
        </w:tc>
        <w:tc>
          <w:tcPr>
            <w:tcW w:w="103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东南</w:t>
            </w:r>
          </w:p>
        </w:tc>
        <w:tc>
          <w:tcPr>
            <w:tcW w:w="129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1000</w:t>
            </w:r>
          </w:p>
        </w:tc>
        <w:tc>
          <w:tcPr>
            <w:tcW w:w="1161" w:type="dxa"/>
            <w:vAlign w:val="center"/>
          </w:tcPr>
          <w:p>
            <w:pPr>
              <w:widowControl/>
              <w:bidi w:val="0"/>
              <w:spacing w:line="240" w:lineRule="auto"/>
              <w:jc w:val="center"/>
              <w:textAlignment w:val="center"/>
              <w:rPr>
                <w:rFonts w:hint="eastAsia" w:ascii="宋体" w:hAnsi="宋体" w:cs="宋体"/>
                <w:color w:val="auto"/>
                <w:sz w:val="21"/>
                <w:szCs w:val="21"/>
                <w:u w:val="none"/>
                <w:vertAlign w:val="baseline"/>
                <w:lang w:val="en-US" w:eastAsia="zh-CN"/>
              </w:rPr>
            </w:pPr>
            <w:r>
              <w:rPr>
                <w:rFonts w:hint="eastAsia" w:ascii="宋体" w:hAnsi="宋体" w:eastAsia="宋体" w:cs="宋体"/>
                <w:i w:val="0"/>
                <w:iCs w:val="0"/>
                <w:color w:val="auto"/>
                <w:kern w:val="0"/>
                <w:sz w:val="21"/>
                <w:szCs w:val="21"/>
                <w:u w:val="none"/>
                <w:lang w:val="en-US" w:eastAsia="zh-CN" w:bidi="ar"/>
              </w:rPr>
              <w:t>230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8</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荆岚村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-141</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1531</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1435</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330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9</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邹家坊</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-254</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-706</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621</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280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10</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梅木村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-1804</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-1167</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2007</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210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11</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桐木坑村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-1990</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-1533</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2408</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210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12</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江上村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-2011</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-1870</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2596</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220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13</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方家</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-1948</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-2503</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西南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3070</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245</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14</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焦溪村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190</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-2303</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2195</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15</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塘下村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-461</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-1438</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1375</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480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16</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下蕉溪村</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1094</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-1547</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南</w:t>
            </w:r>
          </w:p>
        </w:tc>
        <w:tc>
          <w:tcPr>
            <w:tcW w:w="129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1800</w:t>
            </w:r>
          </w:p>
        </w:tc>
        <w:tc>
          <w:tcPr>
            <w:tcW w:w="116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150</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17</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渥江</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东</w:t>
            </w:r>
          </w:p>
        </w:tc>
        <w:tc>
          <w:tcPr>
            <w:tcW w:w="1291"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4000</w:t>
            </w:r>
          </w:p>
        </w:tc>
        <w:tc>
          <w:tcPr>
            <w:tcW w:w="1161"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1161" w:type="dxa"/>
            <w:vAlign w:val="center"/>
          </w:tcPr>
          <w:p>
            <w:pPr>
              <w:bidi w:val="0"/>
              <w:spacing w:line="240" w:lineRule="auto"/>
              <w:jc w:val="center"/>
              <w:rPr>
                <w:rFonts w:hint="default"/>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18</w:t>
            </w:r>
          </w:p>
        </w:tc>
        <w:tc>
          <w:tcPr>
            <w:tcW w:w="153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袁河</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w:t>
            </w:r>
          </w:p>
        </w:tc>
        <w:tc>
          <w:tcPr>
            <w:tcW w:w="116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w:t>
            </w:r>
          </w:p>
        </w:tc>
        <w:tc>
          <w:tcPr>
            <w:tcW w:w="103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南</w:t>
            </w:r>
          </w:p>
        </w:tc>
        <w:tc>
          <w:tcPr>
            <w:tcW w:w="1291"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10000</w:t>
            </w:r>
          </w:p>
        </w:tc>
        <w:tc>
          <w:tcPr>
            <w:tcW w:w="1161"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w:t>
            </w:r>
          </w:p>
        </w:tc>
        <w:tc>
          <w:tcPr>
            <w:tcW w:w="1161" w:type="dxa"/>
            <w:vAlign w:val="center"/>
          </w:tcPr>
          <w:p>
            <w:pPr>
              <w:bidi w:val="0"/>
              <w:spacing w:line="240" w:lineRule="auto"/>
              <w:jc w:val="center"/>
              <w:rPr>
                <w:rFonts w:hint="default"/>
                <w:color w:val="auto"/>
                <w:sz w:val="21"/>
                <w:szCs w:val="21"/>
                <w:vertAlign w:val="baseline"/>
                <w:lang w:val="en-US" w:eastAsia="zh-CN"/>
              </w:rPr>
            </w:pPr>
          </w:p>
        </w:tc>
      </w:tr>
    </w:tbl>
    <w:p>
      <w:pPr>
        <w:pStyle w:val="4"/>
        <w:rPr>
          <w:rFonts w:hint="default"/>
          <w:color w:val="auto"/>
          <w:lang w:val="en-US" w:eastAsia="zh-CN"/>
        </w:rPr>
      </w:pPr>
      <w:bookmarkStart w:id="86" w:name="_Toc13012"/>
      <w:bookmarkStart w:id="87" w:name="_Toc18371"/>
      <w:bookmarkStart w:id="88" w:name="_Toc8468"/>
      <w:bookmarkStart w:id="89" w:name="_Toc15361"/>
      <w:bookmarkStart w:id="90" w:name="_Toc17354"/>
      <w:bookmarkStart w:id="91" w:name="_Toc8241"/>
      <w:r>
        <w:rPr>
          <w:rFonts w:hint="eastAsia"/>
          <w:color w:val="auto"/>
          <w:lang w:val="en-US" w:eastAsia="zh-CN"/>
        </w:rPr>
        <w:t>2.2.2自然条件</w:t>
      </w:r>
      <w:bookmarkEnd w:id="86"/>
      <w:bookmarkEnd w:id="87"/>
      <w:bookmarkEnd w:id="88"/>
      <w:bookmarkEnd w:id="89"/>
      <w:bookmarkEnd w:id="90"/>
      <w:bookmarkEnd w:id="91"/>
    </w:p>
    <w:p>
      <w:pPr>
        <w:ind w:firstLine="560" w:firstLineChars="200"/>
        <w:rPr>
          <w:rFonts w:hint="eastAsia" w:eastAsia="宋体"/>
          <w:color w:val="auto"/>
          <w:sz w:val="28"/>
          <w:szCs w:val="28"/>
          <w:lang w:eastAsia="zh-CN"/>
        </w:rPr>
      </w:pPr>
      <w:r>
        <w:rPr>
          <w:rFonts w:hint="eastAsia"/>
          <w:color w:val="auto"/>
          <w:sz w:val="28"/>
          <w:szCs w:val="28"/>
          <w:lang w:val="en-US" w:eastAsia="zh-CN"/>
        </w:rPr>
        <w:t>1</w:t>
      </w:r>
      <w:r>
        <w:rPr>
          <w:b/>
          <w:color w:val="auto"/>
          <w:sz w:val="28"/>
          <w:szCs w:val="28"/>
        </w:rPr>
        <w:t>、</w:t>
      </w:r>
      <w:r>
        <w:rPr>
          <w:rFonts w:hint="eastAsia"/>
          <w:bCs/>
          <w:color w:val="auto"/>
          <w:kern w:val="0"/>
          <w:sz w:val="28"/>
          <w:szCs w:val="28"/>
          <w:lang w:val="en-US" w:eastAsia="zh-CN"/>
        </w:rPr>
        <w:t>地形地貌</w:t>
      </w:r>
    </w:p>
    <w:p>
      <w:pPr>
        <w:ind w:firstLine="560" w:firstLineChars="200"/>
        <w:rPr>
          <w:rFonts w:hint="eastAsia"/>
          <w:color w:val="auto"/>
          <w:sz w:val="28"/>
          <w:szCs w:val="28"/>
        </w:rPr>
      </w:pPr>
      <w:r>
        <w:rPr>
          <w:rFonts w:hint="eastAsia"/>
          <w:color w:val="auto"/>
          <w:sz w:val="28"/>
          <w:szCs w:val="28"/>
        </w:rPr>
        <w:t>袁州区属低山丘陵地形。南、西、北三面群山环抱，峰峦层叠，地势较高；中部和东部广布丘陵，地势较低。袁河自西向东于区境中部流过，形成一块狭长的河谷平原。按海拔高度和相对高度，全区可划分为山区、丘陵、平原三种地貌。山区主要分布在南面和北面的区境边缘，占全区总面积的 21.7%；丘陵分布在区境中部，占全区总面积的 60.7%；平原主要分布在区境东部和袁河两岸，以及丘陵地貌中夹插的小块平原，占全区总面积的 17.6%。</w:t>
      </w:r>
    </w:p>
    <w:p>
      <w:pPr>
        <w:ind w:firstLine="560" w:firstLineChars="200"/>
        <w:rPr>
          <w:rFonts w:hint="eastAsia" w:eastAsia="宋体"/>
          <w:color w:val="auto"/>
          <w:sz w:val="28"/>
          <w:szCs w:val="28"/>
          <w:lang w:val="en-US" w:eastAsia="zh-CN"/>
        </w:rPr>
      </w:pPr>
      <w:r>
        <w:rPr>
          <w:rFonts w:hint="eastAsia"/>
          <w:color w:val="auto"/>
          <w:sz w:val="28"/>
          <w:szCs w:val="28"/>
        </w:rPr>
        <w:t>地震烈度：根据中国地震参数区划图（中国地震动峰值加速度区划图 A1）（GB18306-2001）和《建筑抗震设计规范》（GB50011-2001），袁州区抗震设防烈度为</w:t>
      </w:r>
      <w:r>
        <w:rPr>
          <w:rFonts w:hint="eastAsia"/>
          <w:color w:val="auto"/>
          <w:sz w:val="28"/>
          <w:szCs w:val="28"/>
          <w:lang w:val="en-US" w:eastAsia="zh-CN"/>
        </w:rPr>
        <w:t>6度。</w:t>
      </w:r>
    </w:p>
    <w:p>
      <w:pPr>
        <w:ind w:firstLine="560" w:firstLineChars="200"/>
        <w:rPr>
          <w:color w:val="auto"/>
          <w:sz w:val="28"/>
          <w:szCs w:val="28"/>
        </w:rPr>
      </w:pPr>
      <w:r>
        <w:rPr>
          <w:rFonts w:hint="eastAsia"/>
          <w:color w:val="auto"/>
          <w:sz w:val="28"/>
          <w:szCs w:val="28"/>
          <w:lang w:val="en-US" w:eastAsia="zh-CN"/>
        </w:rPr>
        <w:t>2</w:t>
      </w:r>
      <w:r>
        <w:rPr>
          <w:color w:val="auto"/>
          <w:sz w:val="28"/>
          <w:szCs w:val="28"/>
        </w:rPr>
        <w:t>、气象</w:t>
      </w:r>
    </w:p>
    <w:p>
      <w:pPr>
        <w:ind w:firstLine="560" w:firstLineChars="200"/>
        <w:rPr>
          <w:rFonts w:hint="eastAsia" w:eastAsia="宋体"/>
          <w:color w:val="auto"/>
          <w:sz w:val="28"/>
          <w:szCs w:val="28"/>
          <w:shd w:val="clear" w:color="auto" w:fill="auto"/>
          <w:lang w:eastAsia="zh-CN"/>
        </w:rPr>
      </w:pPr>
      <w:r>
        <w:rPr>
          <w:rFonts w:hint="eastAsia"/>
          <w:color w:val="auto"/>
          <w:sz w:val="28"/>
          <w:szCs w:val="28"/>
          <w:shd w:val="clear" w:color="auto" w:fill="auto"/>
        </w:rPr>
        <w:t>宜春市位于江西省西北部，属中亚热带季风气候区。宜春四季分明，春季湿润、夏季炎热、秋季干燥、冬季寒冷，热量丰富，降水充沛，日照充足，霜期短，气候资源丰富，有利于农作物和林木生长。但由于受季风、地形等因素的影响，旱涝、酷暑、低温、风雹等气象灾害也时有发生。</w:t>
      </w:r>
      <w:r>
        <w:rPr>
          <w:rFonts w:hint="eastAsia"/>
          <w:color w:val="auto"/>
          <w:sz w:val="28"/>
          <w:szCs w:val="28"/>
          <w:shd w:val="clear" w:color="auto" w:fill="auto"/>
        </w:rPr>
        <w:br w:type="textWrapping"/>
      </w:r>
      <w:r>
        <w:rPr>
          <w:rFonts w:hint="eastAsia"/>
          <w:color w:val="auto"/>
          <w:sz w:val="28"/>
          <w:szCs w:val="28"/>
          <w:shd w:val="clear" w:color="auto" w:fill="auto"/>
        </w:rPr>
        <w:t>    </w:t>
      </w:r>
      <w:r>
        <w:rPr>
          <w:rFonts w:hint="eastAsia"/>
          <w:color w:val="auto"/>
          <w:sz w:val="28"/>
          <w:szCs w:val="28"/>
          <w:shd w:val="clear" w:color="auto" w:fill="auto"/>
          <w:lang w:val="en-US" w:eastAsia="zh-CN"/>
        </w:rPr>
        <w:t xml:space="preserve">  </w:t>
      </w:r>
      <w:r>
        <w:rPr>
          <w:rFonts w:hint="eastAsia"/>
          <w:color w:val="auto"/>
          <w:sz w:val="28"/>
          <w:szCs w:val="28"/>
          <w:shd w:val="clear" w:color="auto" w:fill="auto"/>
        </w:rPr>
        <w:t>宜春全市年平均气温16.2℃~17.7℃，东南部较高，西北部较低；冬季最冷月1月平均气温 4.6℃</w:t>
      </w:r>
      <w:r>
        <w:rPr>
          <w:rFonts w:hint="eastAsia"/>
          <w:color w:val="auto"/>
          <w:sz w:val="28"/>
          <w:szCs w:val="28"/>
          <w:shd w:val="clear" w:color="auto" w:fill="auto"/>
          <w:lang w:val="en-US" w:eastAsia="zh-CN"/>
        </w:rPr>
        <w:t>~</w:t>
      </w:r>
      <w:r>
        <w:rPr>
          <w:rFonts w:hint="eastAsia"/>
          <w:color w:val="auto"/>
          <w:sz w:val="28"/>
          <w:szCs w:val="28"/>
          <w:shd w:val="clear" w:color="auto" w:fill="auto"/>
        </w:rPr>
        <w:t>5.3℃，南部高于北部；夏季最热月7月平均气温 27.3℃~29.6℃，东部高于西部；春秋季各县（市、区）气温差异较夏季小， 比冬季大；无霜期256</w:t>
      </w:r>
      <w:r>
        <w:rPr>
          <w:rFonts w:hint="eastAsia"/>
          <w:color w:val="auto"/>
          <w:sz w:val="28"/>
          <w:szCs w:val="28"/>
          <w:shd w:val="clear" w:color="auto" w:fill="auto"/>
          <w:lang w:val="en-US" w:eastAsia="zh-CN"/>
        </w:rPr>
        <w:t>~</w:t>
      </w:r>
      <w:r>
        <w:rPr>
          <w:rFonts w:hint="eastAsia"/>
          <w:color w:val="auto"/>
          <w:sz w:val="28"/>
          <w:szCs w:val="28"/>
          <w:shd w:val="clear" w:color="auto" w:fill="auto"/>
        </w:rPr>
        <w:t>281天，极端最高气温41.6℃，常年主导风向为东北偏东风，年平均风速1.8m/s，最大风速25m/s</w:t>
      </w:r>
      <w:r>
        <w:rPr>
          <w:rFonts w:hint="eastAsia"/>
          <w:color w:val="auto"/>
          <w:sz w:val="28"/>
          <w:szCs w:val="28"/>
          <w:shd w:val="clear" w:color="auto" w:fill="auto"/>
          <w:lang w:eastAsia="zh-CN"/>
        </w:rPr>
        <w:t>。</w:t>
      </w:r>
    </w:p>
    <w:p>
      <w:pPr>
        <w:ind w:firstLine="560" w:firstLineChars="200"/>
        <w:rPr>
          <w:rFonts w:hint="eastAsia"/>
          <w:color w:val="auto"/>
          <w:sz w:val="28"/>
        </w:rPr>
      </w:pPr>
      <w:r>
        <w:rPr>
          <w:rFonts w:hint="eastAsia"/>
          <w:color w:val="auto"/>
          <w:sz w:val="28"/>
          <w:lang w:val="en-US" w:eastAsia="zh-CN"/>
        </w:rPr>
        <w:t>3</w:t>
      </w:r>
      <w:r>
        <w:rPr>
          <w:rFonts w:hint="eastAsia"/>
          <w:color w:val="auto"/>
          <w:sz w:val="28"/>
        </w:rPr>
        <w:t>、水文</w:t>
      </w:r>
    </w:p>
    <w:p>
      <w:pPr>
        <w:ind w:firstLine="560" w:firstLineChars="200"/>
        <w:rPr>
          <w:rFonts w:hint="default" w:hAnsi="宋体"/>
          <w:bCs/>
          <w:color w:val="auto"/>
          <w:sz w:val="28"/>
          <w:szCs w:val="28"/>
          <w:lang w:val="en-US" w:eastAsia="zh-CN"/>
        </w:rPr>
      </w:pPr>
      <w:r>
        <w:rPr>
          <w:rFonts w:hint="eastAsia"/>
          <w:color w:val="auto"/>
          <w:sz w:val="28"/>
        </w:rPr>
        <w:t>该项目</w:t>
      </w:r>
      <w:r>
        <w:rPr>
          <w:rFonts w:hint="eastAsia"/>
          <w:color w:val="auto"/>
          <w:sz w:val="28"/>
          <w:lang w:val="en-US" w:eastAsia="zh-CN"/>
        </w:rPr>
        <w:t>位置距离渥江约4km，距离袁河约10km，</w:t>
      </w:r>
      <w:r>
        <w:rPr>
          <w:rFonts w:hint="eastAsia"/>
          <w:color w:val="auto"/>
          <w:sz w:val="28"/>
        </w:rPr>
        <w:t>周边</w:t>
      </w:r>
      <w:r>
        <w:rPr>
          <w:rFonts w:hint="eastAsia"/>
          <w:color w:val="auto"/>
          <w:sz w:val="28"/>
          <w:lang w:val="en-US" w:eastAsia="zh-CN"/>
        </w:rPr>
        <w:t>1000m内</w:t>
      </w:r>
      <w:r>
        <w:rPr>
          <w:rFonts w:hint="eastAsia"/>
          <w:color w:val="auto"/>
          <w:sz w:val="28"/>
        </w:rPr>
        <w:t>无河流，</w:t>
      </w:r>
      <w:r>
        <w:rPr>
          <w:rFonts w:hint="eastAsia"/>
          <w:color w:val="auto"/>
          <w:sz w:val="28"/>
          <w:lang w:val="en-US" w:eastAsia="zh-CN"/>
        </w:rPr>
        <w:t>受水灾危害概率较小</w:t>
      </w:r>
      <w:r>
        <w:rPr>
          <w:rFonts w:hint="eastAsia"/>
          <w:color w:val="auto"/>
          <w:sz w:val="28"/>
        </w:rPr>
        <w:t>。</w:t>
      </w:r>
    </w:p>
    <w:p>
      <w:pPr>
        <w:pStyle w:val="4"/>
        <w:rPr>
          <w:rFonts w:hint="eastAsia"/>
          <w:color w:val="auto"/>
        </w:rPr>
      </w:pPr>
      <w:bookmarkStart w:id="92" w:name="_Toc30944"/>
      <w:bookmarkStart w:id="93" w:name="_Toc7266"/>
      <w:bookmarkStart w:id="94" w:name="_Toc19650"/>
      <w:bookmarkStart w:id="95" w:name="_Toc12147"/>
      <w:bookmarkStart w:id="96" w:name="_Toc26137"/>
      <w:bookmarkStart w:id="97" w:name="_Toc27171"/>
      <w:r>
        <w:rPr>
          <w:rFonts w:hint="eastAsia"/>
          <w:color w:val="auto"/>
          <w:lang w:val="en-US" w:eastAsia="zh-CN"/>
        </w:rPr>
        <w:t>2.2.</w:t>
      </w:r>
      <w:bookmarkStart w:id="98" w:name="_Toc380587563"/>
      <w:bookmarkStart w:id="99" w:name="_Toc336214793"/>
      <w:r>
        <w:rPr>
          <w:rFonts w:hint="eastAsia"/>
          <w:color w:val="auto"/>
          <w:lang w:val="en-US" w:eastAsia="zh-CN"/>
        </w:rPr>
        <w:t>3</w:t>
      </w:r>
      <w:r>
        <w:rPr>
          <w:rFonts w:hint="eastAsia"/>
          <w:color w:val="auto"/>
        </w:rPr>
        <w:t>建设项目拟采用的主要技术、工艺方法（方式）和国内外同类建设项目水平对比情况</w:t>
      </w:r>
      <w:bookmarkEnd w:id="92"/>
      <w:bookmarkEnd w:id="93"/>
      <w:bookmarkEnd w:id="94"/>
      <w:bookmarkEnd w:id="95"/>
      <w:bookmarkEnd w:id="96"/>
      <w:bookmarkEnd w:id="97"/>
      <w:bookmarkEnd w:id="98"/>
      <w:bookmarkEnd w:id="99"/>
    </w:p>
    <w:p>
      <w:pPr>
        <w:ind w:firstLine="562" w:firstLineChars="200"/>
        <w:rPr>
          <w:rFonts w:hint="eastAsia" w:asciiTheme="minorEastAsia" w:hAnsiTheme="minorEastAsia" w:eastAsiaTheme="minorEastAsia" w:cstheme="minorEastAsia"/>
          <w:b/>
          <w:bCs/>
          <w:color w:val="auto"/>
          <w:lang w:val="en-US" w:eastAsia="zh-CN"/>
        </w:rPr>
      </w:pPr>
      <w:bookmarkStart w:id="100" w:name="_Toc293759052"/>
      <w:r>
        <w:rPr>
          <w:rFonts w:hint="eastAsia" w:asciiTheme="minorEastAsia" w:hAnsiTheme="minorEastAsia" w:eastAsiaTheme="minorEastAsia" w:cstheme="minorEastAsia"/>
          <w:b/>
          <w:bCs/>
          <w:color w:val="auto"/>
          <w:lang w:val="en-US" w:eastAsia="zh-CN"/>
        </w:rPr>
        <w:t>有机玻璃废料裂解法</w:t>
      </w:r>
    </w:p>
    <w:p>
      <w:pPr>
        <w:ind w:firstLine="560" w:firstLineChars="200"/>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该法是将聚甲基丙烯酸甲酯的边角料、机头料经裂解为粗甲基丙烯酸甲酯，经精馏得精甲基丙烯酸甲酯单体（纯度可达98.5%）。</w:t>
      </w:r>
    </w:p>
    <w:bookmarkEnd w:id="100"/>
    <w:p>
      <w:pPr>
        <w:ind w:firstLine="560" w:firstLineChars="200"/>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经工艺技术方案的比较和选择，</w:t>
      </w:r>
      <w:bookmarkStart w:id="101" w:name="_Toc293759053"/>
      <w:r>
        <w:rPr>
          <w:rFonts w:hint="eastAsia" w:asciiTheme="minorEastAsia" w:hAnsiTheme="minorEastAsia" w:eastAsiaTheme="minorEastAsia" w:cstheme="minorEastAsia"/>
          <w:color w:val="auto"/>
          <w:lang w:val="en-US" w:eastAsia="zh-CN"/>
        </w:rPr>
        <w:t>该项目选用有机玻璃废料裂解法生产甲醛丙烯酸甲酯单体的生产工艺。</w:t>
      </w:r>
    </w:p>
    <w:p>
      <w:pPr>
        <w:pStyle w:val="53"/>
        <w:rPr>
          <w:rFonts w:hint="default"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表2.2-4技术方案一览表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08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07" w:type="dxa"/>
            <w:vAlign w:val="center"/>
          </w:tcPr>
          <w:p>
            <w:pPr>
              <w:spacing w:line="240" w:lineRule="auto"/>
              <w:jc w:val="center"/>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产品名称</w:t>
            </w:r>
          </w:p>
        </w:tc>
        <w:tc>
          <w:tcPr>
            <w:tcW w:w="3085" w:type="dxa"/>
            <w:vAlign w:val="center"/>
          </w:tcPr>
          <w:p>
            <w:pPr>
              <w:spacing w:line="240" w:lineRule="auto"/>
              <w:jc w:val="center"/>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技术方案</w:t>
            </w:r>
          </w:p>
        </w:tc>
        <w:tc>
          <w:tcPr>
            <w:tcW w:w="3594" w:type="dxa"/>
            <w:vAlign w:val="center"/>
          </w:tcPr>
          <w:p>
            <w:pPr>
              <w:spacing w:line="240" w:lineRule="auto"/>
              <w:jc w:val="center"/>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国内应用该技术生产厂家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7" w:type="dxa"/>
            <w:vAlign w:val="center"/>
          </w:tcPr>
          <w:p>
            <w:pPr>
              <w:spacing w:line="240" w:lineRule="auto"/>
              <w:jc w:val="center"/>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甲基丙烯酸甲酯</w:t>
            </w:r>
          </w:p>
        </w:tc>
        <w:tc>
          <w:tcPr>
            <w:tcW w:w="3085" w:type="dxa"/>
            <w:vAlign w:val="center"/>
          </w:tcPr>
          <w:p>
            <w:pPr>
              <w:spacing w:line="240" w:lineRule="auto"/>
              <w:jc w:val="center"/>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有机玻璃废料裂解法</w:t>
            </w:r>
          </w:p>
        </w:tc>
        <w:tc>
          <w:tcPr>
            <w:tcW w:w="3594" w:type="dxa"/>
            <w:vAlign w:val="center"/>
          </w:tcPr>
          <w:p>
            <w:pPr>
              <w:numPr>
                <w:ilvl w:val="0"/>
                <w:numId w:val="0"/>
              </w:numPr>
              <w:spacing w:line="240" w:lineRule="auto"/>
              <w:jc w:val="left"/>
              <w:rPr>
                <w:rFonts w:hint="eastAsia"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kern w:val="2"/>
                <w:sz w:val="21"/>
                <w:szCs w:val="21"/>
                <w:vertAlign w:val="baseline"/>
                <w:lang w:val="en-US" w:eastAsia="zh-CN" w:bidi="ar-SA"/>
              </w:rPr>
              <w:t>1、</w:t>
            </w:r>
            <w:r>
              <w:rPr>
                <w:rFonts w:hint="eastAsia" w:asciiTheme="minorEastAsia" w:hAnsiTheme="minorEastAsia" w:eastAsiaTheme="minorEastAsia" w:cstheme="minorEastAsia"/>
                <w:color w:val="auto"/>
                <w:sz w:val="21"/>
                <w:szCs w:val="21"/>
                <w:vertAlign w:val="baseline"/>
                <w:lang w:val="en-US" w:eastAsia="zh-CN"/>
              </w:rPr>
              <w:t>瑞昌荣联环保科技有限公司，年产10万吨甲基丙烯酸甲酯</w:t>
            </w:r>
          </w:p>
          <w:p>
            <w:pPr>
              <w:numPr>
                <w:ilvl w:val="0"/>
                <w:numId w:val="0"/>
              </w:numPr>
              <w:spacing w:line="240" w:lineRule="auto"/>
              <w:jc w:val="both"/>
              <w:rPr>
                <w:rFonts w:hint="eastAsia" w:asciiTheme="minorEastAsia" w:hAnsiTheme="minorEastAsia" w:eastAsiaTheme="minorEastAsia" w:cstheme="minorEastAsia"/>
                <w:color w:val="auto"/>
                <w:sz w:val="21"/>
                <w:szCs w:val="21"/>
                <w:vertAlign w:val="baseline"/>
                <w:lang w:val="en-US" w:eastAsia="zh-CN"/>
              </w:rPr>
            </w:pPr>
            <w:r>
              <w:rPr>
                <w:rFonts w:hint="default" w:asciiTheme="minorEastAsia" w:hAnsiTheme="minorEastAsia" w:eastAsiaTheme="minorEastAsia" w:cstheme="minorEastAsia"/>
                <w:color w:val="auto"/>
                <w:kern w:val="2"/>
                <w:sz w:val="21"/>
                <w:szCs w:val="21"/>
                <w:vertAlign w:val="baseline"/>
                <w:lang w:val="en-US" w:eastAsia="zh-CN" w:bidi="ar-SA"/>
              </w:rPr>
              <w:t>2、</w:t>
            </w:r>
            <w:r>
              <w:rPr>
                <w:rFonts w:hint="default" w:asciiTheme="minorEastAsia" w:hAnsiTheme="minorEastAsia" w:eastAsiaTheme="minorEastAsia" w:cstheme="minorEastAsia"/>
                <w:color w:val="auto"/>
                <w:sz w:val="21"/>
                <w:szCs w:val="21"/>
                <w:vertAlign w:val="baseline"/>
                <w:lang w:val="en-US" w:eastAsia="zh-CN"/>
              </w:rPr>
              <w:t>江西省正百科技有限公司</w:t>
            </w:r>
            <w:r>
              <w:rPr>
                <w:rFonts w:hint="eastAsia" w:asciiTheme="minorEastAsia" w:hAnsiTheme="minorEastAsia" w:eastAsiaTheme="minorEastAsia" w:cstheme="minorEastAsia"/>
                <w:color w:val="auto"/>
                <w:sz w:val="21"/>
                <w:szCs w:val="21"/>
                <w:vertAlign w:val="baseline"/>
                <w:lang w:val="en-US" w:eastAsia="zh-CN"/>
              </w:rPr>
              <w:t>，年产1.1万吨甲基丙烯酸甲酯</w:t>
            </w:r>
          </w:p>
          <w:p>
            <w:pPr>
              <w:numPr>
                <w:ilvl w:val="-1"/>
                <w:numId w:val="0"/>
              </w:numPr>
              <w:spacing w:line="240" w:lineRule="auto"/>
              <w:jc w:val="both"/>
              <w:rPr>
                <w:rFonts w:hint="default" w:asciiTheme="minorEastAsia" w:hAnsiTheme="minorEastAsia" w:eastAsiaTheme="minorEastAsia" w:cstheme="minorEastAsia"/>
                <w:color w:val="auto"/>
                <w:sz w:val="21"/>
                <w:szCs w:val="21"/>
                <w:vertAlign w:val="baseline"/>
                <w:lang w:val="en-US" w:eastAsia="zh-CN"/>
              </w:rPr>
            </w:pPr>
            <w:r>
              <w:rPr>
                <w:rFonts w:hint="eastAsia" w:asciiTheme="minorEastAsia" w:hAnsiTheme="minorEastAsia" w:eastAsiaTheme="minorEastAsia" w:cstheme="minorEastAsia"/>
                <w:color w:val="auto"/>
                <w:sz w:val="21"/>
                <w:szCs w:val="21"/>
                <w:vertAlign w:val="baseline"/>
                <w:lang w:val="en-US" w:eastAsia="zh-CN"/>
              </w:rPr>
              <w:t>3、鄱阳县三清环保节能有限公司，年产2000吨甲基丙烯酸甲酯</w:t>
            </w:r>
          </w:p>
        </w:tc>
      </w:tr>
      <w:bookmarkEnd w:id="101"/>
    </w:tbl>
    <w:p>
      <w:pPr>
        <w:pStyle w:val="3"/>
        <w:rPr>
          <w:rFonts w:hint="default"/>
          <w:b/>
          <w:bCs/>
          <w:color w:val="auto"/>
          <w:lang w:val="en-US" w:eastAsia="zh-CN"/>
        </w:rPr>
      </w:pPr>
      <w:bookmarkStart w:id="102" w:name="_Toc29715"/>
      <w:bookmarkStart w:id="103" w:name="_Toc22418"/>
      <w:bookmarkStart w:id="104" w:name="_Toc22734"/>
      <w:bookmarkStart w:id="105" w:name="_Toc9200"/>
      <w:bookmarkStart w:id="106" w:name="_Toc28081"/>
      <w:bookmarkStart w:id="107" w:name="_Toc16032"/>
      <w:r>
        <w:rPr>
          <w:rFonts w:hint="eastAsia"/>
          <w:b/>
          <w:bCs/>
          <w:color w:val="auto"/>
          <w:lang w:val="en-US" w:eastAsia="zh-CN"/>
        </w:rPr>
        <w:t>2.3建设项目工艺技术</w:t>
      </w:r>
      <w:bookmarkEnd w:id="102"/>
      <w:bookmarkEnd w:id="103"/>
      <w:bookmarkEnd w:id="104"/>
      <w:bookmarkEnd w:id="105"/>
      <w:bookmarkEnd w:id="106"/>
      <w:bookmarkEnd w:id="107"/>
    </w:p>
    <w:p>
      <w:pPr>
        <w:pStyle w:val="4"/>
        <w:rPr>
          <w:rFonts w:hint="default"/>
          <w:b/>
          <w:bCs/>
          <w:color w:val="auto"/>
          <w:lang w:val="en-US" w:eastAsia="zh-CN"/>
        </w:rPr>
      </w:pPr>
      <w:bookmarkStart w:id="108" w:name="_Toc32251"/>
      <w:bookmarkStart w:id="109" w:name="_Toc8386"/>
      <w:bookmarkStart w:id="110" w:name="_Toc26667"/>
      <w:bookmarkStart w:id="111" w:name="_Toc16876"/>
      <w:bookmarkStart w:id="112" w:name="_Toc9840"/>
      <w:bookmarkStart w:id="113" w:name="_Toc991"/>
      <w:r>
        <w:rPr>
          <w:rFonts w:hint="default" w:ascii="Times New Roman" w:hAnsi="Times New Roman" w:cs="Times New Roman"/>
          <w:b/>
          <w:bCs/>
          <w:color w:val="auto"/>
          <w:lang w:val="en-US" w:eastAsia="zh-CN"/>
        </w:rPr>
        <w:t>2.3.1</w:t>
      </w:r>
      <w:r>
        <w:rPr>
          <w:rFonts w:hint="eastAsia" w:ascii="Times New Roman" w:hAnsi="Times New Roman" w:cs="Times New Roman"/>
          <w:b/>
          <w:bCs/>
          <w:color w:val="auto"/>
          <w:lang w:val="en-US" w:eastAsia="zh-CN"/>
        </w:rPr>
        <w:t>建设</w:t>
      </w:r>
      <w:r>
        <w:rPr>
          <w:rFonts w:hint="eastAsia"/>
          <w:b/>
          <w:bCs/>
          <w:color w:val="auto"/>
          <w:lang w:val="en-US" w:eastAsia="zh-CN"/>
        </w:rPr>
        <w:t>项目工艺技术方案来源</w:t>
      </w:r>
      <w:bookmarkEnd w:id="108"/>
      <w:bookmarkEnd w:id="109"/>
      <w:bookmarkEnd w:id="110"/>
      <w:bookmarkEnd w:id="111"/>
      <w:bookmarkEnd w:id="112"/>
      <w:bookmarkEnd w:id="113"/>
    </w:p>
    <w:p>
      <w:pPr>
        <w:bidi w:val="0"/>
        <w:ind w:firstLine="560" w:firstLineChars="200"/>
        <w:rPr>
          <w:rFonts w:hint="eastAsia"/>
          <w:color w:val="auto"/>
          <w:lang w:val="en-US" w:eastAsia="zh-CN"/>
        </w:rPr>
      </w:pPr>
      <w:r>
        <w:rPr>
          <w:rFonts w:hint="eastAsia"/>
          <w:color w:val="auto"/>
          <w:lang w:val="en-US" w:eastAsia="zh-CN"/>
        </w:rPr>
        <w:t>有机玻璃废料裂解法的工艺技术在国内均有成熟应用的先例，其技术方案是安全、可靠的</w:t>
      </w:r>
      <w:r>
        <w:rPr>
          <w:rFonts w:hint="eastAsia" w:asciiTheme="minorEastAsia" w:hAnsiTheme="minorEastAsia" w:eastAsiaTheme="minorEastAsia" w:cstheme="minorEastAsia"/>
          <w:b w:val="0"/>
          <w:bCs w:val="0"/>
          <w:color w:val="auto"/>
          <w:lang w:val="en-US" w:eastAsia="zh-CN"/>
        </w:rPr>
        <w:t>，</w:t>
      </w:r>
      <w:r>
        <w:rPr>
          <w:rFonts w:hint="eastAsia"/>
          <w:color w:val="auto"/>
          <w:lang w:val="en-US" w:eastAsia="zh-CN"/>
        </w:rPr>
        <w:t>本项目工艺技术来源于企业参考国内现有工艺技术进行的自主研发。</w:t>
      </w:r>
    </w:p>
    <w:p>
      <w:pPr>
        <w:autoSpaceDE w:val="0"/>
        <w:bidi w:val="0"/>
        <w:ind w:leftChars="0" w:firstLine="560" w:firstLineChars="200"/>
        <w:rPr>
          <w:rFonts w:hint="default"/>
          <w:color w:val="auto"/>
          <w:lang w:val="en-US" w:eastAsia="zh-CN"/>
        </w:rPr>
      </w:pPr>
      <w:r>
        <w:rPr>
          <w:rFonts w:hint="eastAsia"/>
          <w:color w:val="auto"/>
          <w:lang w:val="en-US" w:eastAsia="zh-CN"/>
        </w:rPr>
        <w:t>2023年10月16日，由江西和元安全科学技术有限公司出具《江西旺达新材料有限公司甲基丙烯酸甲酯项目裂解反应化学反应安全风险研究与评估报告》（见附件）。根据报告可知，该反应为间歇反应，实际加料速度下，</w:t>
      </w:r>
      <w:r>
        <w:rPr>
          <w:rFonts w:hint="default"/>
          <w:color w:val="auto"/>
          <w:lang w:val="en-US" w:eastAsia="zh-CN"/>
        </w:rPr>
        <w:t>Tp≤MTSR&lt;TD24&lt;MTT（400℃~500℃≤500℃&lt;TD24&lt;1000℃）。该工艺危险度等级为2级，潜在分解风险。</w:t>
      </w:r>
    </w:p>
    <w:p>
      <w:pPr>
        <w:bidi w:val="0"/>
        <w:ind w:firstLine="560" w:firstLineChars="200"/>
        <w:rPr>
          <w:rFonts w:hint="default"/>
          <w:color w:val="auto"/>
          <w:lang w:val="en-US" w:eastAsia="zh-CN"/>
        </w:rPr>
      </w:pPr>
      <w:r>
        <w:rPr>
          <w:rFonts w:hint="eastAsia"/>
          <w:color w:val="auto"/>
          <w:lang w:val="en-US" w:eastAsia="zh-CN"/>
        </w:rPr>
        <w:t>2023年12月，由江西和兴元隆工程咨询有限公司编制的《国内首次使用化工工艺安全可靠性论证报告——年产20000吨甲基丙烯酸甲酯》（见附件），并通过专家评审（编号：赣应急学会工艺论证[2023]004号）。根据报告可知，该项目使用的化工工艺满足安全可靠性要求。</w:t>
      </w:r>
    </w:p>
    <w:p>
      <w:pPr>
        <w:pStyle w:val="4"/>
        <w:rPr>
          <w:color w:val="auto"/>
        </w:rPr>
      </w:pPr>
      <w:bookmarkStart w:id="114" w:name="_Toc14063"/>
      <w:bookmarkStart w:id="115" w:name="_Toc24711"/>
      <w:bookmarkStart w:id="116" w:name="_Toc31838"/>
      <w:bookmarkStart w:id="117" w:name="_Toc31469"/>
      <w:bookmarkStart w:id="118" w:name="_Toc26611"/>
      <w:bookmarkStart w:id="119" w:name="_Toc1572"/>
      <w:r>
        <w:rPr>
          <w:rFonts w:hint="default" w:ascii="Times New Roman" w:hAnsi="Times New Roman" w:cs="Times New Roman"/>
          <w:color w:val="auto"/>
          <w:lang w:val="en-US" w:eastAsia="zh-CN"/>
        </w:rPr>
        <w:t>2.3.2</w:t>
      </w:r>
      <w:r>
        <w:rPr>
          <w:rFonts w:hint="eastAsia" w:ascii="Times New Roman" w:hAnsi="Times New Roman" w:cs="Times New Roman"/>
          <w:color w:val="auto"/>
          <w:lang w:val="en-US" w:eastAsia="zh-CN"/>
        </w:rPr>
        <w:t>建设</w:t>
      </w:r>
      <w:r>
        <w:rPr>
          <w:rFonts w:hint="eastAsia"/>
          <w:color w:val="auto"/>
          <w:lang w:val="en-US" w:eastAsia="zh-CN"/>
        </w:rPr>
        <w:t>项目</w:t>
      </w:r>
      <w:r>
        <w:rPr>
          <w:rFonts w:hint="eastAsia"/>
          <w:color w:val="auto"/>
        </w:rPr>
        <w:t>工艺流程描述</w:t>
      </w:r>
      <w:bookmarkEnd w:id="114"/>
      <w:bookmarkEnd w:id="115"/>
      <w:bookmarkEnd w:id="116"/>
      <w:bookmarkEnd w:id="117"/>
      <w:bookmarkEnd w:id="118"/>
      <w:bookmarkEnd w:id="119"/>
    </w:p>
    <w:p>
      <w:pPr>
        <w:numPr>
          <w:ilvl w:val="0"/>
          <w:numId w:val="0"/>
        </w:numPr>
        <w:ind w:firstLine="562" w:firstLineChars="200"/>
        <w:rPr>
          <w:rFonts w:hint="eastAsia"/>
          <w:b/>
          <w:bCs w:val="0"/>
          <w:color w:val="auto"/>
          <w:sz w:val="28"/>
          <w:szCs w:val="28"/>
        </w:rPr>
      </w:pPr>
      <w:r>
        <w:rPr>
          <w:rFonts w:hint="eastAsia"/>
          <w:b/>
          <w:bCs w:val="0"/>
          <w:color w:val="auto"/>
          <w:sz w:val="28"/>
          <w:szCs w:val="28"/>
          <w:lang w:eastAsia="zh-CN"/>
        </w:rPr>
        <w:t>（</w:t>
      </w:r>
      <w:r>
        <w:rPr>
          <w:rFonts w:hint="eastAsia"/>
          <w:b/>
          <w:bCs w:val="0"/>
          <w:color w:val="auto"/>
          <w:sz w:val="28"/>
          <w:szCs w:val="28"/>
          <w:lang w:val="en-US" w:eastAsia="zh-CN"/>
        </w:rPr>
        <w:t>1</w:t>
      </w:r>
      <w:r>
        <w:rPr>
          <w:rFonts w:hint="eastAsia"/>
          <w:b/>
          <w:bCs w:val="0"/>
          <w:color w:val="auto"/>
          <w:sz w:val="28"/>
          <w:szCs w:val="28"/>
          <w:lang w:eastAsia="zh-CN"/>
        </w:rPr>
        <w:t>）</w:t>
      </w:r>
      <w:r>
        <w:rPr>
          <w:rFonts w:hint="eastAsia"/>
          <w:b/>
          <w:bCs w:val="0"/>
          <w:color w:val="auto"/>
          <w:sz w:val="28"/>
          <w:szCs w:val="28"/>
        </w:rPr>
        <w:t>人工分拣</w:t>
      </w:r>
    </w:p>
    <w:p>
      <w:pPr>
        <w:pStyle w:val="36"/>
        <w:ind w:firstLine="560" w:firstLineChars="200"/>
        <w:rPr>
          <w:rFonts w:hint="eastAsia"/>
          <w:color w:val="auto"/>
          <w:sz w:val="28"/>
          <w:szCs w:val="28"/>
        </w:rPr>
      </w:pPr>
      <w:r>
        <w:rPr>
          <w:rFonts w:hint="eastAsia"/>
          <w:color w:val="auto"/>
          <w:sz w:val="28"/>
          <w:szCs w:val="28"/>
        </w:rPr>
        <w:t>人工挑选出有机玻璃边角料、余料中常有的杂质如：PC、PE等塑料杂质，并将其外卖给园区内的废塑料再生处理企业（如果掺入至裂解炉中，会影响单体的颜色和色度，严重影响质量，所以需严格把控质量关）。</w:t>
      </w:r>
    </w:p>
    <w:p>
      <w:pPr>
        <w:numPr>
          <w:ilvl w:val="0"/>
          <w:numId w:val="0"/>
        </w:numPr>
        <w:ind w:leftChars="200"/>
        <w:rPr>
          <w:rFonts w:hint="eastAsia"/>
          <w:b/>
          <w:bCs/>
          <w:color w:val="auto"/>
          <w:sz w:val="28"/>
          <w:szCs w:val="28"/>
        </w:rPr>
      </w:pPr>
      <w:r>
        <w:rPr>
          <w:rFonts w:hint="eastAsia"/>
          <w:b/>
          <w:bCs/>
          <w:color w:val="auto"/>
          <w:lang w:eastAsia="zh-CN"/>
        </w:rPr>
        <w:t>（</w:t>
      </w:r>
      <w:r>
        <w:rPr>
          <w:rFonts w:hint="eastAsia"/>
          <w:b/>
          <w:bCs/>
          <w:color w:val="auto"/>
          <w:lang w:val="en-US" w:eastAsia="zh-CN"/>
        </w:rPr>
        <w:t>2</w:t>
      </w:r>
      <w:r>
        <w:rPr>
          <w:rFonts w:hint="eastAsia"/>
          <w:b/>
          <w:bCs/>
          <w:color w:val="auto"/>
          <w:lang w:eastAsia="zh-CN"/>
        </w:rPr>
        <w:t>）</w:t>
      </w:r>
      <w:r>
        <w:rPr>
          <w:rFonts w:hint="eastAsia"/>
          <w:b/>
          <w:bCs/>
          <w:color w:val="auto"/>
        </w:rPr>
        <w:t>粉碎</w:t>
      </w:r>
    </w:p>
    <w:p>
      <w:pPr>
        <w:numPr>
          <w:ilvl w:val="0"/>
          <w:numId w:val="0"/>
        </w:numPr>
        <w:ind w:left="0" w:leftChars="0" w:firstLine="560" w:firstLineChars="200"/>
        <w:rPr>
          <w:rFonts w:hint="eastAsia"/>
          <w:bCs/>
          <w:color w:val="auto"/>
          <w:sz w:val="28"/>
          <w:szCs w:val="28"/>
        </w:rPr>
      </w:pPr>
      <w:r>
        <w:rPr>
          <w:rFonts w:hint="eastAsia"/>
          <w:bCs/>
          <w:color w:val="auto"/>
          <w:sz w:val="28"/>
          <w:szCs w:val="28"/>
        </w:rPr>
        <w:t>将</w:t>
      </w:r>
      <w:r>
        <w:rPr>
          <w:rFonts w:hint="eastAsia"/>
          <w:bCs/>
          <w:color w:val="auto"/>
          <w:sz w:val="28"/>
          <w:szCs w:val="28"/>
          <w:lang w:val="en-US" w:eastAsia="zh-CN"/>
        </w:rPr>
        <w:t>分拣后的</w:t>
      </w:r>
      <w:r>
        <w:rPr>
          <w:rFonts w:hint="eastAsia"/>
          <w:bCs/>
          <w:color w:val="auto"/>
          <w:sz w:val="28"/>
          <w:szCs w:val="28"/>
        </w:rPr>
        <w:t>有机玻璃废料置于粉碎机（选用反击式破碎机）中进行粉碎至小片状（约2~</w:t>
      </w:r>
      <w:r>
        <w:rPr>
          <w:rFonts w:hint="eastAsia"/>
          <w:bCs/>
          <w:color w:val="auto"/>
          <w:sz w:val="28"/>
          <w:szCs w:val="28"/>
          <w:lang w:val="en-US" w:eastAsia="zh-CN"/>
        </w:rPr>
        <w:t>3</w:t>
      </w:r>
      <w:r>
        <w:rPr>
          <w:rFonts w:hint="eastAsia"/>
          <w:bCs/>
          <w:color w:val="auto"/>
          <w:sz w:val="28"/>
          <w:szCs w:val="28"/>
        </w:rPr>
        <w:t>cm）备用</w:t>
      </w:r>
      <w:r>
        <w:rPr>
          <w:rFonts w:hint="eastAsia"/>
          <w:bCs/>
          <w:color w:val="auto"/>
          <w:sz w:val="28"/>
          <w:szCs w:val="28"/>
          <w:lang w:eastAsia="zh-CN"/>
        </w:rPr>
        <w:t>，</w:t>
      </w:r>
      <w:r>
        <w:rPr>
          <w:rFonts w:hint="eastAsia"/>
          <w:bCs/>
          <w:color w:val="auto"/>
          <w:sz w:val="28"/>
          <w:szCs w:val="28"/>
          <w:lang w:val="en-US" w:eastAsia="zh-CN"/>
        </w:rPr>
        <w:t>再由厂内自用叉车运至裂解车间进行生产</w:t>
      </w:r>
      <w:r>
        <w:rPr>
          <w:rFonts w:hint="eastAsia"/>
          <w:bCs/>
          <w:color w:val="auto"/>
          <w:sz w:val="28"/>
          <w:szCs w:val="28"/>
        </w:rPr>
        <w:t>。</w:t>
      </w:r>
      <w:r>
        <w:rPr>
          <w:rFonts w:hint="eastAsia"/>
          <w:bCs/>
          <w:color w:val="auto"/>
          <w:sz w:val="28"/>
          <w:szCs w:val="28"/>
          <w:lang w:val="en-US" w:eastAsia="zh-CN"/>
        </w:rPr>
        <w:t>粉碎机为密闭设备，</w:t>
      </w:r>
      <w:r>
        <w:rPr>
          <w:rFonts w:hint="eastAsia"/>
          <w:bCs/>
          <w:color w:val="auto"/>
          <w:sz w:val="28"/>
          <w:szCs w:val="28"/>
        </w:rPr>
        <w:t>废有机玻璃在破碎过程会产生少量的粉尘，项目拟通过在各粉碎机上方设置1个集气效率为 90%的集气罩，以将含尘废气收集至1套除尘效率为99%的布袋除尘器处理后，经1条</w:t>
      </w:r>
      <w:r>
        <w:rPr>
          <w:rFonts w:hint="eastAsia"/>
          <w:bCs/>
          <w:color w:val="auto"/>
          <w:sz w:val="28"/>
          <w:szCs w:val="28"/>
          <w:lang w:val="en-US" w:eastAsia="zh-CN"/>
        </w:rPr>
        <w:t>15</w:t>
      </w:r>
      <w:r>
        <w:rPr>
          <w:rFonts w:hint="eastAsia"/>
          <w:bCs/>
          <w:color w:val="auto"/>
          <w:sz w:val="28"/>
          <w:szCs w:val="28"/>
        </w:rPr>
        <w:t>m 高排气筒</w:t>
      </w:r>
      <w:r>
        <w:rPr>
          <w:rFonts w:hint="eastAsia"/>
          <w:bCs/>
          <w:color w:val="auto"/>
          <w:sz w:val="28"/>
          <w:szCs w:val="28"/>
          <w:lang w:eastAsia="zh-CN"/>
        </w:rPr>
        <w:t>（</w:t>
      </w:r>
      <w:r>
        <w:rPr>
          <w:rFonts w:hint="eastAsia"/>
          <w:bCs/>
          <w:color w:val="auto"/>
          <w:sz w:val="28"/>
          <w:szCs w:val="28"/>
          <w:lang w:val="en-US" w:eastAsia="zh-CN"/>
        </w:rPr>
        <w:t>DA001</w:t>
      </w:r>
      <w:r>
        <w:rPr>
          <w:rFonts w:hint="eastAsia"/>
          <w:bCs/>
          <w:color w:val="auto"/>
          <w:sz w:val="28"/>
          <w:szCs w:val="28"/>
          <w:lang w:eastAsia="zh-CN"/>
        </w:rPr>
        <w:t>）</w:t>
      </w:r>
      <w:r>
        <w:rPr>
          <w:rFonts w:hint="eastAsia"/>
          <w:bCs/>
          <w:color w:val="auto"/>
          <w:sz w:val="28"/>
          <w:szCs w:val="28"/>
        </w:rPr>
        <w:t>排放。</w:t>
      </w:r>
    </w:p>
    <w:p>
      <w:pPr>
        <w:ind w:firstLine="562" w:firstLineChars="200"/>
        <w:rPr>
          <w:rFonts w:hint="eastAsia"/>
          <w:b/>
          <w:bCs w:val="0"/>
          <w:color w:val="auto"/>
          <w:sz w:val="28"/>
          <w:szCs w:val="28"/>
        </w:rPr>
      </w:pPr>
      <w:r>
        <w:rPr>
          <w:rFonts w:hint="eastAsia"/>
          <w:b/>
          <w:bCs w:val="0"/>
          <w:color w:val="auto"/>
          <w:sz w:val="28"/>
          <w:szCs w:val="28"/>
          <w:lang w:val="en-US" w:eastAsia="zh-CN"/>
        </w:rPr>
        <w:t>（3）热</w:t>
      </w:r>
      <w:r>
        <w:rPr>
          <w:rFonts w:hint="eastAsia"/>
          <w:b/>
          <w:bCs w:val="0"/>
          <w:color w:val="auto"/>
          <w:sz w:val="28"/>
          <w:szCs w:val="28"/>
        </w:rPr>
        <w:t>解和冷凝</w:t>
      </w:r>
    </w:p>
    <w:p>
      <w:pPr>
        <w:ind w:firstLine="700" w:firstLineChars="250"/>
        <w:rPr>
          <w:rFonts w:hint="eastAsia"/>
          <w:color w:val="auto"/>
        </w:rPr>
      </w:pPr>
      <w:r>
        <w:rPr>
          <w:rFonts w:hint="eastAsia" w:ascii="宋体" w:hAnsi="宋体" w:cs="宋体"/>
          <w:color w:val="auto"/>
        </w:rPr>
        <w:t>用电动葫</w:t>
      </w:r>
      <w:r>
        <w:rPr>
          <w:rFonts w:hint="eastAsia" w:ascii="宋体" w:hAnsi="宋体" w:cs="宋体"/>
          <w:color w:val="auto"/>
          <w:szCs w:val="24"/>
        </w:rPr>
        <w:t>芦将</w:t>
      </w:r>
      <w:r>
        <w:rPr>
          <w:rFonts w:hint="eastAsia" w:ascii="宋体" w:hAnsi="宋体" w:cs="宋体"/>
          <w:color w:val="auto"/>
          <w:szCs w:val="24"/>
          <w:lang w:val="en-US" w:eastAsia="zh-CN"/>
        </w:rPr>
        <w:t>粉碎后的有机玻璃</w:t>
      </w:r>
      <w:r>
        <w:rPr>
          <w:rFonts w:hint="eastAsia" w:ascii="宋体" w:hAnsi="宋体" w:cs="宋体"/>
          <w:color w:val="auto"/>
          <w:szCs w:val="24"/>
        </w:rPr>
        <w:t>固体颗粒</w:t>
      </w:r>
      <w:r>
        <w:rPr>
          <w:rFonts w:hint="eastAsia" w:ascii="宋体" w:hAnsi="宋体" w:cs="宋体"/>
          <w:color w:val="auto"/>
          <w:szCs w:val="24"/>
          <w:lang w:eastAsia="zh-CN"/>
        </w:rPr>
        <w:t>通过</w:t>
      </w:r>
      <w:r>
        <w:rPr>
          <w:rFonts w:hint="eastAsia" w:ascii="宋体" w:hAnsi="宋体" w:cs="宋体"/>
          <w:color w:val="auto"/>
          <w:szCs w:val="24"/>
        </w:rPr>
        <w:t>漏斗</w:t>
      </w:r>
      <w:r>
        <w:rPr>
          <w:rFonts w:hint="eastAsia" w:ascii="宋体" w:hAnsi="宋体" w:cs="宋体"/>
          <w:color w:val="auto"/>
          <w:szCs w:val="24"/>
          <w:lang w:eastAsia="zh-CN"/>
        </w:rPr>
        <w:t>投</w:t>
      </w:r>
      <w:r>
        <w:rPr>
          <w:rFonts w:hint="eastAsia" w:ascii="宋体" w:hAnsi="宋体" w:cs="宋体"/>
          <w:color w:val="auto"/>
        </w:rPr>
        <w:t>入裂解炉内腔，</w:t>
      </w:r>
      <w:r>
        <w:rPr>
          <w:rFonts w:hint="eastAsia" w:ascii="宋体" w:hAnsi="宋体" w:cs="宋体"/>
          <w:color w:val="auto"/>
          <w:lang w:eastAsia="zh-CN"/>
        </w:rPr>
        <w:t>通过裂解炉炉底</w:t>
      </w:r>
      <w:r>
        <w:rPr>
          <w:rFonts w:hint="eastAsia" w:ascii="宋体" w:hAnsi="宋体" w:cs="宋体"/>
          <w:color w:val="auto"/>
          <w:lang w:val="en-US" w:eastAsia="zh-CN"/>
        </w:rPr>
        <w:t>的电阻丝</w:t>
      </w:r>
      <w:r>
        <w:rPr>
          <w:rFonts w:hint="eastAsia" w:ascii="宋体" w:hAnsi="宋体" w:cs="宋体"/>
          <w:color w:val="auto"/>
          <w:lang w:eastAsia="zh-CN"/>
        </w:rPr>
        <w:t>加热炉内</w:t>
      </w:r>
      <w:r>
        <w:rPr>
          <w:rFonts w:hint="eastAsia" w:ascii="宋体" w:hAnsi="宋体" w:cs="宋体"/>
          <w:color w:val="auto"/>
          <w:lang w:val="en-US" w:eastAsia="zh-CN"/>
        </w:rPr>
        <w:t>有机玻璃</w:t>
      </w:r>
      <w:r>
        <w:rPr>
          <w:rFonts w:hint="eastAsia" w:ascii="宋体" w:hAnsi="宋体" w:cs="宋体"/>
          <w:color w:val="auto"/>
          <w:lang w:eastAsia="zh-CN"/>
        </w:rPr>
        <w:t>，使</w:t>
      </w:r>
      <w:r>
        <w:rPr>
          <w:rFonts w:hint="eastAsia" w:ascii="宋体" w:hAnsi="宋体" w:cs="宋体"/>
          <w:color w:val="auto"/>
          <w:lang w:val="en-US" w:eastAsia="zh-CN"/>
        </w:rPr>
        <w:t>有机玻璃</w:t>
      </w:r>
      <w:r>
        <w:rPr>
          <w:rFonts w:hint="eastAsia" w:ascii="宋体" w:hAnsi="宋体" w:cs="宋体"/>
          <w:color w:val="auto"/>
          <w:lang w:eastAsia="zh-CN"/>
        </w:rPr>
        <w:t>从固态转化为气态进入冷凝系统。起先满</w:t>
      </w:r>
      <w:r>
        <w:rPr>
          <w:rFonts w:hint="eastAsia" w:ascii="宋体" w:hAnsi="宋体" w:cs="宋体"/>
          <w:color w:val="auto"/>
          <w:lang w:val="en-US" w:eastAsia="zh-CN"/>
        </w:rPr>
        <w:t>功率</w:t>
      </w:r>
      <w:r>
        <w:rPr>
          <w:rFonts w:hint="eastAsia" w:ascii="宋体" w:hAnsi="宋体" w:cs="宋体"/>
          <w:color w:val="auto"/>
          <w:lang w:eastAsia="zh-CN"/>
        </w:rPr>
        <w:t>加热，待炉内温度升至</w:t>
      </w:r>
      <w:r>
        <w:rPr>
          <w:rFonts w:hint="eastAsia" w:ascii="宋体" w:hAnsi="宋体" w:cs="宋体"/>
          <w:color w:val="auto"/>
          <w:lang w:val="en-US" w:eastAsia="zh-CN"/>
        </w:rPr>
        <w:t>400</w:t>
      </w:r>
      <w:r>
        <w:rPr>
          <w:rFonts w:ascii="宋体" w:hAnsi="宋体"/>
          <w:color w:val="auto"/>
          <w:szCs w:val="24"/>
        </w:rPr>
        <w:t>～</w:t>
      </w:r>
      <w:r>
        <w:rPr>
          <w:rFonts w:hint="eastAsia" w:ascii="宋体" w:hAnsi="宋体" w:cs="宋体"/>
          <w:color w:val="auto"/>
          <w:lang w:val="en-US" w:eastAsia="zh-CN"/>
        </w:rPr>
        <w:t>500</w:t>
      </w:r>
      <w:r>
        <w:rPr>
          <w:rFonts w:hint="eastAsia" w:ascii="宋体" w:hAnsi="宋体" w:eastAsia="宋体" w:cs="宋体"/>
          <w:color w:val="auto"/>
          <w:lang w:val="en-US" w:eastAsia="zh-CN"/>
        </w:rPr>
        <w:t>℃</w:t>
      </w:r>
      <w:r>
        <w:rPr>
          <w:rFonts w:hint="eastAsia" w:ascii="宋体" w:hAnsi="宋体" w:cs="宋体"/>
          <w:color w:val="auto"/>
          <w:lang w:val="en-US" w:eastAsia="zh-CN"/>
        </w:rPr>
        <w:t>（炉体材质采用不锈钢）后，进入温控程序，使炉内温度保持不变，</w:t>
      </w:r>
      <w:r>
        <w:rPr>
          <w:rFonts w:hint="eastAsia" w:ascii="宋体" w:hAnsi="宋体" w:cs="宋体"/>
          <w:color w:val="auto"/>
          <w:lang w:eastAsia="zh-CN"/>
        </w:rPr>
        <w:t>炉壁和炉盖由</w:t>
      </w:r>
      <w:r>
        <w:rPr>
          <w:rFonts w:hint="eastAsia" w:ascii="宋体" w:hAnsi="宋体" w:cs="宋体"/>
          <w:color w:val="auto"/>
          <w:lang w:val="en-US" w:eastAsia="zh-CN"/>
        </w:rPr>
        <w:t>优质耐火砖和</w:t>
      </w:r>
      <w:r>
        <w:rPr>
          <w:rFonts w:hint="eastAsia" w:ascii="宋体" w:hAnsi="宋体" w:cs="宋体"/>
          <w:color w:val="auto"/>
          <w:lang w:eastAsia="zh-CN"/>
        </w:rPr>
        <w:t>耐高温保温模块</w:t>
      </w:r>
      <w:r>
        <w:rPr>
          <w:rFonts w:ascii="宋体" w:hAnsi="宋体"/>
          <w:color w:val="auto"/>
          <w:szCs w:val="24"/>
        </w:rPr>
        <w:t>（耐温1000</w:t>
      </w:r>
      <w:r>
        <w:rPr>
          <w:rFonts w:hint="eastAsia" w:ascii="宋体" w:hAnsi="宋体" w:cs="宋体"/>
          <w:color w:val="auto"/>
          <w:szCs w:val="24"/>
        </w:rPr>
        <w:t>℃</w:t>
      </w:r>
      <w:r>
        <w:rPr>
          <w:rFonts w:hint="eastAsia" w:ascii="宋体" w:hAnsi="宋体" w:cs="宋体"/>
          <w:color w:val="auto"/>
          <w:szCs w:val="24"/>
          <w:lang w:eastAsia="zh-CN"/>
        </w:rPr>
        <w:t>以上</w:t>
      </w:r>
      <w:r>
        <w:rPr>
          <w:rFonts w:ascii="宋体" w:hAnsi="宋体"/>
          <w:color w:val="auto"/>
          <w:szCs w:val="24"/>
        </w:rPr>
        <w:t>）包裹</w:t>
      </w:r>
      <w:r>
        <w:rPr>
          <w:rFonts w:hint="eastAsia" w:ascii="宋体" w:hAnsi="宋体" w:cs="宋体"/>
          <w:color w:val="auto"/>
          <w:lang w:eastAsia="zh-CN"/>
        </w:rPr>
        <w:t>，可有效节约能源的损耗。整个过程约</w:t>
      </w:r>
      <w:r>
        <w:rPr>
          <w:rFonts w:hint="eastAsia" w:ascii="宋体" w:hAnsi="宋体" w:cs="宋体"/>
          <w:color w:val="auto"/>
          <w:lang w:val="en-US" w:eastAsia="zh-CN"/>
        </w:rPr>
        <w:t>10个小时左右。</w:t>
      </w:r>
      <w:r>
        <w:rPr>
          <w:rFonts w:hint="eastAsia"/>
          <w:color w:val="auto"/>
        </w:rPr>
        <w:t>每批次裂解完后打开裂解炉</w:t>
      </w:r>
      <w:r>
        <w:rPr>
          <w:rFonts w:hint="eastAsia"/>
          <w:color w:val="auto"/>
          <w:lang w:val="en-US" w:eastAsia="zh-CN"/>
        </w:rPr>
        <w:t>进料口</w:t>
      </w:r>
      <w:r>
        <w:rPr>
          <w:rFonts w:hint="eastAsia"/>
          <w:color w:val="auto"/>
        </w:rPr>
        <w:t>进行投料，投料结束后，立即</w:t>
      </w:r>
      <w:r>
        <w:rPr>
          <w:rFonts w:hint="eastAsia"/>
          <w:color w:val="auto"/>
          <w:lang w:val="en-US" w:eastAsia="zh-CN"/>
        </w:rPr>
        <w:t>关闭进料口</w:t>
      </w:r>
      <w:r>
        <w:rPr>
          <w:rFonts w:hint="eastAsia"/>
          <w:color w:val="auto"/>
        </w:rPr>
        <w:t>。</w:t>
      </w:r>
    </w:p>
    <w:p>
      <w:pPr>
        <w:ind w:firstLine="700" w:firstLineChars="250"/>
        <w:rPr>
          <w:rFonts w:hint="eastAsia"/>
          <w:color w:val="auto"/>
        </w:rPr>
      </w:pPr>
      <w:r>
        <w:rPr>
          <w:rFonts w:hint="eastAsia"/>
          <w:color w:val="auto"/>
          <w:lang w:val="en-US" w:eastAsia="zh-CN"/>
        </w:rPr>
        <w:t>反应在300℃以上开始，稳定反应温度在400~500℃，常压，1000kg原料从开始反应计算约10小时结束，产物均以气体产出，反应结束后</w:t>
      </w:r>
      <w:r>
        <w:rPr>
          <w:rFonts w:hint="eastAsia"/>
          <w:color w:val="auto"/>
        </w:rPr>
        <w:t>裂解炉残渣的主要成分是硬脂酸、邻苯二甲酸二丁酯。熔化裂解产生的裂解残渣定期清理，约每月清理1次，委托具有危险</w:t>
      </w:r>
      <w:r>
        <w:rPr>
          <w:rFonts w:hint="eastAsia"/>
          <w:color w:val="auto"/>
          <w:lang w:val="en-US" w:eastAsia="zh-CN"/>
        </w:rPr>
        <w:t>固废</w:t>
      </w:r>
      <w:r>
        <w:rPr>
          <w:rFonts w:hint="eastAsia"/>
          <w:color w:val="auto"/>
        </w:rPr>
        <w:t>处置</w:t>
      </w:r>
      <w:r>
        <w:rPr>
          <w:rFonts w:hint="eastAsia"/>
          <w:color w:val="auto"/>
          <w:lang w:val="en-US" w:eastAsia="zh-CN"/>
        </w:rPr>
        <w:t>资质</w:t>
      </w:r>
      <w:r>
        <w:rPr>
          <w:rFonts w:hint="eastAsia"/>
          <w:color w:val="auto"/>
        </w:rPr>
        <w:t>的单位进行处理。</w:t>
      </w:r>
    </w:p>
    <w:p>
      <w:pPr>
        <w:ind w:firstLine="560" w:firstLineChars="200"/>
        <w:rPr>
          <w:rFonts w:hint="eastAsia"/>
          <w:color w:val="auto"/>
        </w:rPr>
      </w:pPr>
      <w:r>
        <w:rPr>
          <w:rFonts w:hint="eastAsia"/>
          <w:color w:val="auto"/>
          <w:lang w:val="en-US" w:eastAsia="zh-CN"/>
        </w:rPr>
        <w:t>打开真空泵，启动冷凝器和回流阀，</w:t>
      </w:r>
      <w:r>
        <w:rPr>
          <w:rFonts w:hint="eastAsia"/>
          <w:color w:val="auto"/>
        </w:rPr>
        <w:t>裂解炉裂解形成的挥发性气体从裂解炉顶部的出气口分</w:t>
      </w:r>
      <w:r>
        <w:rPr>
          <w:rFonts w:hint="eastAsia"/>
          <w:color w:val="auto"/>
          <w:lang w:val="en-US" w:eastAsia="zh-CN"/>
        </w:rPr>
        <w:t>别</w:t>
      </w:r>
      <w:r>
        <w:rPr>
          <w:rFonts w:hint="eastAsia"/>
          <w:color w:val="auto"/>
        </w:rPr>
        <w:t>依次经过安装在裂解炉上面的冷凝器</w:t>
      </w:r>
      <w:r>
        <w:rPr>
          <w:rFonts w:hint="eastAsia"/>
          <w:color w:val="auto"/>
          <w:lang w:eastAsia="zh-CN"/>
        </w:rPr>
        <w:t>（</w:t>
      </w:r>
      <w:r>
        <w:rPr>
          <w:rFonts w:hint="eastAsia"/>
          <w:color w:val="auto"/>
          <w:lang w:val="en-US" w:eastAsia="zh-CN"/>
        </w:rPr>
        <w:t>循环水供水温度为室温，冷媒为水</w:t>
      </w:r>
      <w:r>
        <w:rPr>
          <w:rFonts w:hint="eastAsia"/>
          <w:color w:val="auto"/>
          <w:lang w:eastAsia="zh-CN"/>
        </w:rPr>
        <w:t>）</w:t>
      </w:r>
      <w:r>
        <w:rPr>
          <w:rFonts w:hint="eastAsia"/>
          <w:color w:val="auto"/>
        </w:rPr>
        <w:t>和</w:t>
      </w:r>
      <w:r>
        <w:rPr>
          <w:rFonts w:hint="eastAsia"/>
          <w:color w:val="auto"/>
          <w:highlight w:val="none"/>
          <w:lang w:val="en-US" w:eastAsia="zh-CN"/>
        </w:rPr>
        <w:t>深冷</w:t>
      </w:r>
      <w:r>
        <w:rPr>
          <w:rFonts w:hint="eastAsia"/>
          <w:color w:val="auto"/>
          <w:highlight w:val="none"/>
          <w:lang w:eastAsia="zh-CN"/>
        </w:rPr>
        <w:t>（</w:t>
      </w:r>
      <w:r>
        <w:rPr>
          <w:rFonts w:hint="eastAsia"/>
          <w:color w:val="auto"/>
          <w:highlight w:val="none"/>
          <w:lang w:val="en-US" w:eastAsia="zh-CN"/>
        </w:rPr>
        <w:t>5</w:t>
      </w:r>
      <w:r>
        <w:rPr>
          <w:rFonts w:hint="default" w:ascii="Times New Roman" w:hAnsi="Times New Roman" w:cs="Times New Roman"/>
          <w:color w:val="auto"/>
          <w:highlight w:val="none"/>
          <w:lang w:val="en-US" w:eastAsia="zh-CN"/>
        </w:rPr>
        <w:t>℃</w:t>
      </w:r>
      <w:r>
        <w:rPr>
          <w:rFonts w:hint="eastAsia"/>
          <w:color w:val="auto"/>
          <w:highlight w:val="none"/>
          <w:lang w:val="en-US" w:eastAsia="zh-CN"/>
        </w:rPr>
        <w:t>，冷媒为R407C</w:t>
      </w:r>
      <w:r>
        <w:rPr>
          <w:rFonts w:hint="eastAsia"/>
          <w:color w:val="auto"/>
          <w:highlight w:val="none"/>
          <w:lang w:eastAsia="zh-CN"/>
        </w:rPr>
        <w:t>）</w:t>
      </w:r>
      <w:r>
        <w:rPr>
          <w:rFonts w:hint="eastAsia"/>
          <w:color w:val="auto"/>
          <w:lang w:val="en-US" w:eastAsia="zh-CN"/>
        </w:rPr>
        <w:t>回收器使之液化</w:t>
      </w:r>
      <w:r>
        <w:rPr>
          <w:rFonts w:hint="eastAsia"/>
          <w:color w:val="auto"/>
        </w:rPr>
        <w:t>，冷凝成黄色液体（粗单体</w:t>
      </w:r>
      <w:r>
        <w:rPr>
          <w:rFonts w:hint="eastAsia"/>
          <w:color w:val="auto"/>
          <w:lang w:eastAsia="zh-CN"/>
        </w:rPr>
        <w:t>，</w:t>
      </w:r>
      <w:r>
        <w:rPr>
          <w:rFonts w:hint="eastAsia"/>
          <w:color w:val="auto"/>
          <w:lang w:val="en-US" w:eastAsia="zh-CN"/>
        </w:rPr>
        <w:t>温度为40~45℃</w:t>
      </w:r>
      <w:r>
        <w:rPr>
          <w:rFonts w:hint="eastAsia"/>
          <w:color w:val="auto"/>
        </w:rPr>
        <w:t>），</w:t>
      </w:r>
      <w:r>
        <w:rPr>
          <w:rFonts w:hint="eastAsia"/>
          <w:color w:val="auto"/>
          <w:lang w:val="en-US" w:eastAsia="zh-CN"/>
        </w:rPr>
        <w:t>经过物料输送泵把液化后低纯度亚克力毛单体输送到厂房外接收罐内</w:t>
      </w:r>
      <w:r>
        <w:rPr>
          <w:rFonts w:hint="eastAsia"/>
          <w:color w:val="auto"/>
        </w:rPr>
        <w:t>，再集中收集到粗单体储罐中。未凝气体经气液分离器进行气液分离后，</w:t>
      </w:r>
      <w:r>
        <w:rPr>
          <w:rFonts w:hint="eastAsia"/>
          <w:color w:val="auto"/>
          <w:highlight w:val="none"/>
        </w:rPr>
        <w:t>引至</w:t>
      </w:r>
      <w:r>
        <w:rPr>
          <w:rFonts w:hint="eastAsia"/>
          <w:color w:val="auto"/>
          <w:highlight w:val="none"/>
          <w:lang w:val="en-US" w:eastAsia="zh-CN"/>
        </w:rPr>
        <w:t>TO炉焚烧处理</w:t>
      </w:r>
      <w:r>
        <w:rPr>
          <w:rFonts w:hint="eastAsia"/>
          <w:color w:val="auto"/>
          <w:highlight w:val="none"/>
        </w:rPr>
        <w:t>后</w:t>
      </w:r>
      <w:r>
        <w:rPr>
          <w:rFonts w:hint="eastAsia"/>
          <w:color w:val="auto"/>
          <w:highlight w:val="none"/>
          <w:lang w:val="en-US" w:eastAsia="zh-CN"/>
        </w:rPr>
        <w:t>通过</w:t>
      </w:r>
      <w:r>
        <w:rPr>
          <w:rFonts w:hint="eastAsia"/>
          <w:bCs/>
          <w:color w:val="auto"/>
          <w:sz w:val="28"/>
          <w:szCs w:val="28"/>
          <w:highlight w:val="none"/>
        </w:rPr>
        <w:t>1条</w:t>
      </w:r>
      <w:r>
        <w:rPr>
          <w:rFonts w:hint="eastAsia"/>
          <w:bCs/>
          <w:color w:val="auto"/>
          <w:sz w:val="28"/>
          <w:szCs w:val="28"/>
          <w:highlight w:val="none"/>
          <w:lang w:val="en-US" w:eastAsia="zh-CN"/>
        </w:rPr>
        <w:t>15</w:t>
      </w:r>
      <w:r>
        <w:rPr>
          <w:rFonts w:hint="eastAsia"/>
          <w:bCs/>
          <w:color w:val="auto"/>
          <w:sz w:val="28"/>
          <w:szCs w:val="28"/>
          <w:highlight w:val="none"/>
        </w:rPr>
        <w:t>m 高排气筒</w:t>
      </w:r>
      <w:r>
        <w:rPr>
          <w:rFonts w:hint="eastAsia"/>
          <w:bCs/>
          <w:color w:val="auto"/>
          <w:sz w:val="28"/>
          <w:szCs w:val="28"/>
          <w:highlight w:val="none"/>
          <w:lang w:eastAsia="zh-CN"/>
        </w:rPr>
        <w:t>（</w:t>
      </w:r>
      <w:r>
        <w:rPr>
          <w:rFonts w:hint="eastAsia"/>
          <w:bCs/>
          <w:color w:val="auto"/>
          <w:sz w:val="28"/>
          <w:szCs w:val="28"/>
          <w:highlight w:val="none"/>
          <w:lang w:val="en-US" w:eastAsia="zh-CN"/>
        </w:rPr>
        <w:t>DA002</w:t>
      </w:r>
      <w:r>
        <w:rPr>
          <w:rFonts w:hint="eastAsia"/>
          <w:bCs/>
          <w:color w:val="auto"/>
          <w:sz w:val="28"/>
          <w:szCs w:val="28"/>
          <w:highlight w:val="none"/>
          <w:lang w:eastAsia="zh-CN"/>
        </w:rPr>
        <w:t>）</w:t>
      </w:r>
      <w:r>
        <w:rPr>
          <w:rFonts w:hint="eastAsia"/>
          <w:bCs/>
          <w:color w:val="auto"/>
          <w:sz w:val="28"/>
          <w:szCs w:val="28"/>
          <w:highlight w:val="none"/>
        </w:rPr>
        <w:t>排放</w:t>
      </w:r>
      <w:r>
        <w:rPr>
          <w:rFonts w:hint="eastAsia"/>
          <w:color w:val="auto"/>
          <w:highlight w:val="none"/>
        </w:rPr>
        <w:t>。</w:t>
      </w:r>
      <w:r>
        <w:rPr>
          <w:rFonts w:hint="eastAsia"/>
          <w:color w:val="auto"/>
        </w:rPr>
        <w:t>裂解炉未凝气的主要成分是甲基丙烯酸甲酯、丙烯酸甲酯、甲基丙烯酸、甲醇、其他有机废气。</w:t>
      </w:r>
    </w:p>
    <w:p>
      <w:pPr>
        <w:ind w:firstLine="560" w:firstLineChars="200"/>
        <w:rPr>
          <w:rFonts w:hint="eastAsia"/>
          <w:color w:val="auto"/>
        </w:rPr>
      </w:pPr>
      <w:r>
        <w:rPr>
          <w:rFonts w:hint="eastAsia"/>
          <w:color w:val="auto"/>
        </w:rPr>
        <w:t>厂房内</w:t>
      </w:r>
      <w:r>
        <w:rPr>
          <w:rFonts w:hint="eastAsia"/>
          <w:color w:val="auto"/>
          <w:lang w:val="en-US" w:eastAsia="zh-CN"/>
        </w:rPr>
        <w:t>共</w:t>
      </w:r>
      <w:r>
        <w:rPr>
          <w:rFonts w:hint="eastAsia"/>
          <w:color w:val="auto"/>
        </w:rPr>
        <w:t>设置60个裂解炉，60个裂解炉在厂房里呈东西对称布置，每边布置30个裂解炉，</w:t>
      </w:r>
      <w:r>
        <w:rPr>
          <w:rFonts w:hint="eastAsia"/>
          <w:color w:val="auto"/>
          <w:lang w:val="en-US" w:eastAsia="zh-CN"/>
        </w:rPr>
        <w:t>并各配一套单独冷却装置</w:t>
      </w:r>
      <w:r>
        <w:rPr>
          <w:rFonts w:hint="eastAsia"/>
          <w:color w:val="auto"/>
        </w:rPr>
        <w:t>。</w:t>
      </w:r>
    </w:p>
    <w:p>
      <w:pPr>
        <w:ind w:firstLine="560" w:firstLineChars="200"/>
        <w:rPr>
          <w:bCs/>
          <w:color w:val="auto"/>
          <w:sz w:val="28"/>
          <w:szCs w:val="28"/>
        </w:rPr>
      </w:pPr>
      <w:r>
        <w:rPr>
          <w:rFonts w:hint="eastAsia"/>
          <w:bCs/>
          <w:color w:val="auto"/>
          <w:sz w:val="28"/>
          <w:szCs w:val="28"/>
        </w:rPr>
        <w:t>投料量：</w:t>
      </w:r>
      <w:r>
        <w:rPr>
          <w:rFonts w:hint="eastAsia"/>
          <w:bCs/>
          <w:color w:val="auto"/>
          <w:sz w:val="28"/>
          <w:szCs w:val="28"/>
          <w:highlight w:val="none"/>
          <w:lang w:val="en-US" w:eastAsia="zh-CN"/>
        </w:rPr>
        <w:t>1000</w:t>
      </w:r>
      <w:r>
        <w:rPr>
          <w:rFonts w:hint="eastAsia"/>
          <w:bCs/>
          <w:color w:val="auto"/>
          <w:sz w:val="28"/>
          <w:szCs w:val="28"/>
        </w:rPr>
        <w:t>kg/炉，裂解时间：10</w:t>
      </w:r>
      <w:r>
        <w:rPr>
          <w:rFonts w:hint="eastAsia"/>
          <w:bCs/>
          <w:color w:val="auto"/>
          <w:sz w:val="28"/>
          <w:szCs w:val="28"/>
          <w:lang w:val="en-US" w:eastAsia="zh-CN"/>
        </w:rPr>
        <w:t>~12</w:t>
      </w:r>
      <w:r>
        <w:rPr>
          <w:rFonts w:hint="eastAsia"/>
          <w:bCs/>
          <w:color w:val="auto"/>
          <w:sz w:val="28"/>
          <w:szCs w:val="28"/>
        </w:rPr>
        <w:t>h/炉，裂解温度：</w:t>
      </w:r>
      <w:r>
        <w:rPr>
          <w:rFonts w:hint="eastAsia"/>
          <w:bCs/>
          <w:color w:val="auto"/>
          <w:sz w:val="28"/>
          <w:szCs w:val="28"/>
          <w:lang w:val="en-US" w:eastAsia="zh-CN"/>
        </w:rPr>
        <w:t>400</w:t>
      </w:r>
      <w:r>
        <w:rPr>
          <w:rFonts w:hint="eastAsia"/>
          <w:bCs/>
          <w:color w:val="auto"/>
          <w:sz w:val="28"/>
          <w:szCs w:val="28"/>
        </w:rPr>
        <w:t>～</w:t>
      </w:r>
      <w:r>
        <w:rPr>
          <w:rFonts w:hint="eastAsia"/>
          <w:bCs/>
          <w:color w:val="auto"/>
          <w:sz w:val="28"/>
          <w:szCs w:val="28"/>
          <w:lang w:val="en-US" w:eastAsia="zh-CN"/>
        </w:rPr>
        <w:t>5</w:t>
      </w:r>
      <w:r>
        <w:rPr>
          <w:rFonts w:hint="eastAsia"/>
          <w:bCs/>
          <w:color w:val="auto"/>
          <w:sz w:val="28"/>
          <w:szCs w:val="28"/>
        </w:rPr>
        <w:t>00</w:t>
      </w:r>
      <w:r>
        <w:rPr>
          <w:rFonts w:hint="default" w:ascii="Times New Roman" w:hAnsi="Times New Roman" w:cs="Times New Roman"/>
          <w:bCs/>
          <w:color w:val="auto"/>
          <w:sz w:val="28"/>
          <w:szCs w:val="28"/>
        </w:rPr>
        <w:t>℃</w:t>
      </w:r>
      <w:r>
        <w:rPr>
          <w:rFonts w:hint="eastAsia"/>
          <w:bCs/>
          <w:color w:val="auto"/>
          <w:sz w:val="28"/>
          <w:szCs w:val="28"/>
        </w:rPr>
        <w:t>，裂解压力：微正压，加热方式：电</w:t>
      </w:r>
      <w:r>
        <w:rPr>
          <w:rFonts w:hint="eastAsia"/>
          <w:bCs/>
          <w:color w:val="auto"/>
          <w:sz w:val="28"/>
          <w:szCs w:val="28"/>
          <w:lang w:val="en-US" w:eastAsia="zh-CN"/>
        </w:rPr>
        <w:t>阻</w:t>
      </w:r>
      <w:r>
        <w:rPr>
          <w:rFonts w:hint="eastAsia"/>
          <w:bCs/>
          <w:color w:val="auto"/>
          <w:sz w:val="28"/>
          <w:szCs w:val="28"/>
        </w:rPr>
        <w:t>加热，冷凝器冷却方式：循环冷却水冷却</w:t>
      </w:r>
      <w:r>
        <w:rPr>
          <w:rFonts w:hint="eastAsia"/>
          <w:bCs/>
          <w:color w:val="auto"/>
          <w:sz w:val="28"/>
          <w:szCs w:val="28"/>
          <w:lang w:eastAsia="zh-CN"/>
        </w:rPr>
        <w:t>（</w:t>
      </w:r>
      <w:r>
        <w:rPr>
          <w:rFonts w:hint="eastAsia"/>
          <w:bCs/>
          <w:color w:val="auto"/>
          <w:sz w:val="28"/>
          <w:szCs w:val="28"/>
          <w:lang w:val="en-US" w:eastAsia="zh-CN"/>
        </w:rPr>
        <w:t>供水温度：室温，出水温度：42℃，冷媒为水</w:t>
      </w:r>
      <w:r>
        <w:rPr>
          <w:rFonts w:hint="eastAsia"/>
          <w:bCs/>
          <w:color w:val="auto"/>
          <w:sz w:val="28"/>
          <w:szCs w:val="28"/>
          <w:lang w:eastAsia="zh-CN"/>
        </w:rPr>
        <w:t>）</w:t>
      </w:r>
      <w:r>
        <w:rPr>
          <w:rFonts w:hint="eastAsia"/>
          <w:bCs/>
          <w:color w:val="auto"/>
          <w:sz w:val="28"/>
          <w:szCs w:val="28"/>
        </w:rPr>
        <w:t>。</w:t>
      </w:r>
    </w:p>
    <w:p>
      <w:pPr>
        <w:ind w:firstLine="562" w:firstLineChars="200"/>
        <w:rPr>
          <w:rFonts w:hint="default" w:eastAsia="宋体"/>
          <w:b/>
          <w:bCs w:val="0"/>
          <w:color w:val="auto"/>
          <w:sz w:val="28"/>
          <w:szCs w:val="28"/>
          <w:lang w:val="en-US" w:eastAsia="zh-CN"/>
        </w:rPr>
      </w:pPr>
      <w:r>
        <w:rPr>
          <w:rFonts w:hint="eastAsia"/>
          <w:b/>
          <w:bCs w:val="0"/>
          <w:color w:val="auto"/>
          <w:sz w:val="28"/>
          <w:szCs w:val="28"/>
          <w:lang w:val="en-US" w:eastAsia="zh-CN"/>
        </w:rPr>
        <w:t>（4）</w:t>
      </w:r>
      <w:r>
        <w:rPr>
          <w:rFonts w:hint="eastAsia"/>
          <w:b/>
          <w:bCs w:val="0"/>
          <w:color w:val="auto"/>
          <w:sz w:val="28"/>
          <w:szCs w:val="28"/>
        </w:rPr>
        <w:t>精馏</w:t>
      </w:r>
      <w:r>
        <w:rPr>
          <w:rFonts w:hint="eastAsia"/>
          <w:b/>
          <w:bCs w:val="0"/>
          <w:color w:val="auto"/>
          <w:sz w:val="28"/>
          <w:szCs w:val="28"/>
          <w:lang w:val="en-US" w:eastAsia="zh-CN"/>
        </w:rPr>
        <w:t>和冷凝</w:t>
      </w:r>
    </w:p>
    <w:p>
      <w:pPr>
        <w:ind w:firstLine="560" w:firstLineChars="200"/>
        <w:rPr>
          <w:rFonts w:hint="eastAsia"/>
          <w:color w:val="auto"/>
        </w:rPr>
      </w:pPr>
      <w:r>
        <w:rPr>
          <w:rFonts w:hint="eastAsia"/>
          <w:color w:val="auto"/>
        </w:rPr>
        <w:t>通过泵将粗单体</w:t>
      </w:r>
      <w:r>
        <w:rPr>
          <w:rFonts w:hint="eastAsia"/>
          <w:color w:val="auto"/>
          <w:lang w:val="en-US" w:eastAsia="zh-CN"/>
        </w:rPr>
        <w:t>输送</w:t>
      </w:r>
      <w:r>
        <w:rPr>
          <w:rFonts w:hint="eastAsia"/>
          <w:color w:val="auto"/>
        </w:rPr>
        <w:t>入蒸馏釜中，保持蒸馏系统负压，通过蒸汽管道对蒸馏釜中粗单体加热，蒸出的气体采用真空泵从蒸馏釜底部抽至塔节，经塔节冷凝器冷凝后，冷凝液进入到分离器中，进行后续的分离、收集，未冷凝气体经</w:t>
      </w:r>
      <w:r>
        <w:rPr>
          <w:rFonts w:hint="eastAsia"/>
          <w:color w:val="auto"/>
          <w:lang w:val="en-US" w:eastAsia="zh-CN"/>
        </w:rPr>
        <w:t>冷水机</w:t>
      </w:r>
      <w:r>
        <w:rPr>
          <w:rFonts w:hint="eastAsia"/>
          <w:color w:val="auto"/>
        </w:rPr>
        <w:t>真空冷凝器进一步冷凝后，冷凝液与塔节冷凝器冷凝下来的液体一同进入到分离器中，进一步冷凝未冷凝的气体。未凝气体最后引至“碱液喷淋塔+光催化深度净化机组+碱液喷淋塔”处理后外排，精馏塔釜残液由负压送至残液罐内</w:t>
      </w:r>
      <w:r>
        <w:rPr>
          <w:rFonts w:hint="eastAsia"/>
          <w:color w:val="auto"/>
          <w:lang w:val="en-US" w:eastAsia="zh-CN"/>
        </w:rPr>
        <w:t>，</w:t>
      </w:r>
      <w:r>
        <w:rPr>
          <w:rFonts w:hint="eastAsia"/>
          <w:color w:val="auto"/>
        </w:rPr>
        <w:t>交由有资质的单位处置。精馏残液的主要</w:t>
      </w:r>
      <w:r>
        <w:rPr>
          <w:rFonts w:hint="eastAsia"/>
          <w:color w:val="auto"/>
          <w:lang w:val="en-US" w:eastAsia="zh-CN"/>
        </w:rPr>
        <w:t>成份为：</w:t>
      </w:r>
      <w:r>
        <w:rPr>
          <w:rFonts w:hint="eastAsia"/>
          <w:color w:val="auto"/>
        </w:rPr>
        <w:t>聚甲基丙烯酸甲酯、2-甲基5亚甲基</w:t>
      </w:r>
      <w:r>
        <w:rPr>
          <w:rFonts w:hint="eastAsia"/>
          <w:color w:val="auto"/>
          <w:lang w:val="en-US" w:eastAsia="zh-CN"/>
        </w:rPr>
        <w:t>己</w:t>
      </w:r>
      <w:r>
        <w:rPr>
          <w:rFonts w:hint="eastAsia"/>
          <w:color w:val="auto"/>
        </w:rPr>
        <w:t>二酸二甲酯、环已烯（烷）二甲酸二甲酯类、环戊烯（烷）二甲酸二甲酯类。精馏塔未凝气的主要成分是甲基丙烯酸甲酯、丙烯酸甲酯、甲基丙烯酸、甲醇、其他有机废气。</w:t>
      </w:r>
    </w:p>
    <w:p>
      <w:pPr>
        <w:ind w:firstLine="560" w:firstLineChars="200"/>
        <w:rPr>
          <w:rFonts w:hint="eastAsia"/>
          <w:color w:val="auto"/>
        </w:rPr>
      </w:pPr>
      <w:r>
        <w:rPr>
          <w:rFonts w:hint="eastAsia"/>
          <w:color w:val="auto"/>
        </w:rPr>
        <w:t>在负压条件下，蒸馏釜内温度60~ 80</w:t>
      </w:r>
      <w:r>
        <w:rPr>
          <w:rFonts w:hint="default" w:ascii="Times New Roman" w:hAnsi="Times New Roman" w:cs="Times New Roman"/>
          <w:color w:val="auto"/>
        </w:rPr>
        <w:t>℃</w:t>
      </w:r>
      <w:r>
        <w:rPr>
          <w:rFonts w:hint="eastAsia"/>
          <w:color w:val="auto"/>
        </w:rPr>
        <w:t>，对应的真空度为400Pa~900Pa，分别蒸出前馏分（主要成分甲醇、丙烯酸甲酯MA）及精单体（主要成分甲基丙烯酸甲酯MMA），</w:t>
      </w:r>
      <w:r>
        <w:rPr>
          <w:rFonts w:hint="eastAsia"/>
          <w:color w:val="auto"/>
          <w:lang w:val="en-US" w:eastAsia="zh-CN"/>
        </w:rPr>
        <w:t>甲基丙烯酸甲酯单体蒸馏工作温度不高于其沸点。</w:t>
      </w:r>
      <w:r>
        <w:rPr>
          <w:rFonts w:hint="eastAsia"/>
          <w:color w:val="auto"/>
        </w:rPr>
        <w:t>先蒸出前馏分，通过塔顶冷凝器和真空冷凝器液化，经冷凝进入分离器分离后，用轻组分罐接收，与最后的残液一起储存，前馏分蒸出后，继续进行精馏，蒸出的气体经冷凝后流入分离器中，进行成分测定。若测量得轻组分过高，单体纯度较低，则将冷凝液回流至塔节内，再次进行组分交互反应，同时阶段性的将分离器中的冷凝液排出，即将中间组分输送到中间组分罐，中间组分罐中的冷凝液继续进行循环精馏，直至经检测冷凝液中精单体纯度合格后，打开出料阀门，将部分精单体输送到精单体罐中，同时控制回流量与出料量比例，保证出料纯度不降低，当精馏到一定程度后，测得冷凝液中重组分占比明显上升，不能保证单体纯度时，应及时关闭出料阀门，将重组分与剩余的甲酯液作为釜底残液一同进入到</w:t>
      </w:r>
      <w:r>
        <w:rPr>
          <w:rFonts w:hint="eastAsia"/>
          <w:color w:val="auto"/>
          <w:lang w:val="en-US" w:eastAsia="zh-CN"/>
        </w:rPr>
        <w:t>残</w:t>
      </w:r>
      <w:r>
        <w:rPr>
          <w:rFonts w:hint="eastAsia"/>
          <w:color w:val="auto"/>
        </w:rPr>
        <w:t>液罐中。</w:t>
      </w:r>
    </w:p>
    <w:p>
      <w:pPr>
        <w:ind w:firstLine="560" w:firstLineChars="200"/>
        <w:rPr>
          <w:rFonts w:hint="eastAsia" w:eastAsia="宋体"/>
          <w:color w:val="auto"/>
          <w:lang w:eastAsia="zh-CN"/>
        </w:rPr>
      </w:pPr>
      <w:r>
        <w:rPr>
          <w:rFonts w:hint="eastAsia"/>
          <w:color w:val="auto"/>
          <w:lang w:val="en-US" w:eastAsia="zh-CN"/>
        </w:rPr>
        <w:t>每座</w:t>
      </w:r>
      <w:r>
        <w:rPr>
          <w:rFonts w:hint="eastAsia"/>
          <w:color w:val="auto"/>
        </w:rPr>
        <w:t>精馏塔一次精馏粗单体的量为</w:t>
      </w:r>
      <w:r>
        <w:rPr>
          <w:rFonts w:hint="eastAsia"/>
          <w:color w:val="auto"/>
          <w:lang w:val="en-US" w:eastAsia="zh-CN"/>
        </w:rPr>
        <w:t>15</w:t>
      </w:r>
      <w:r>
        <w:rPr>
          <w:rFonts w:hint="eastAsia"/>
          <w:color w:val="auto"/>
        </w:rPr>
        <w:t>t，一次粗单体精馏冷凝整个过程耗时约</w:t>
      </w:r>
      <w:r>
        <w:rPr>
          <w:rFonts w:hint="eastAsia"/>
          <w:color w:val="auto"/>
          <w:lang w:val="en-US" w:eastAsia="zh-CN"/>
        </w:rPr>
        <w:t>10</w:t>
      </w:r>
      <w:r>
        <w:rPr>
          <w:rFonts w:hint="eastAsia"/>
          <w:color w:val="auto"/>
        </w:rPr>
        <w:t>个小时，一年共精馏</w:t>
      </w:r>
      <w:r>
        <w:rPr>
          <w:rFonts w:hint="eastAsia"/>
          <w:color w:val="auto"/>
          <w:lang w:val="en-US" w:eastAsia="zh-CN"/>
        </w:rPr>
        <w:t>约360</w:t>
      </w:r>
      <w:r>
        <w:rPr>
          <w:rFonts w:hint="eastAsia"/>
          <w:color w:val="auto"/>
        </w:rPr>
        <w:t>批次</w:t>
      </w:r>
      <w:r>
        <w:rPr>
          <w:rFonts w:hint="eastAsia"/>
          <w:color w:val="auto"/>
          <w:lang w:eastAsia="zh-CN"/>
        </w:rPr>
        <w:t>。</w:t>
      </w:r>
    </w:p>
    <w:p>
      <w:pPr>
        <w:ind w:firstLine="562" w:firstLineChars="200"/>
        <w:rPr>
          <w:rFonts w:hint="eastAsia"/>
          <w:b/>
          <w:bCs/>
          <w:color w:val="auto"/>
        </w:rPr>
      </w:pPr>
      <w:r>
        <w:rPr>
          <w:rFonts w:hint="eastAsia"/>
          <w:b/>
          <w:bCs/>
          <w:color w:val="auto"/>
          <w:lang w:eastAsia="zh-CN"/>
        </w:rPr>
        <w:t>（</w:t>
      </w:r>
      <w:r>
        <w:rPr>
          <w:rFonts w:hint="eastAsia"/>
          <w:b/>
          <w:bCs/>
          <w:color w:val="auto"/>
          <w:lang w:val="en-US" w:eastAsia="zh-CN"/>
        </w:rPr>
        <w:t>5</w:t>
      </w:r>
      <w:r>
        <w:rPr>
          <w:rFonts w:hint="eastAsia"/>
          <w:b/>
          <w:bCs/>
          <w:color w:val="auto"/>
          <w:lang w:eastAsia="zh-CN"/>
        </w:rPr>
        <w:t>）</w:t>
      </w:r>
      <w:r>
        <w:rPr>
          <w:rFonts w:hint="eastAsia"/>
          <w:b/>
          <w:bCs/>
          <w:color w:val="auto"/>
        </w:rPr>
        <w:t>成品贮存</w:t>
      </w:r>
    </w:p>
    <w:p>
      <w:pPr>
        <w:ind w:firstLine="560" w:firstLineChars="200"/>
        <w:rPr>
          <w:rFonts w:hint="default" w:eastAsia="宋体"/>
          <w:color w:val="auto"/>
          <w:lang w:val="en-US" w:eastAsia="zh-CN"/>
        </w:rPr>
      </w:pPr>
      <w:r>
        <w:rPr>
          <w:rFonts w:hint="eastAsia"/>
          <w:color w:val="auto"/>
        </w:rPr>
        <w:t>将精馏提纯后的单体甲基丙烯酸甲酯用泵打入</w:t>
      </w:r>
      <w:r>
        <w:rPr>
          <w:rFonts w:hint="eastAsia"/>
          <w:color w:val="auto"/>
          <w:lang w:val="en-US" w:eastAsia="zh-CN"/>
        </w:rPr>
        <w:t>甲基丙烯酸甲酯精体</w:t>
      </w:r>
      <w:r>
        <w:rPr>
          <w:rFonts w:hint="eastAsia"/>
          <w:color w:val="auto"/>
        </w:rPr>
        <w:t>罐，</w:t>
      </w:r>
      <w:r>
        <w:rPr>
          <w:rFonts w:hint="eastAsia"/>
          <w:color w:val="auto"/>
          <w:lang w:val="en-US" w:eastAsia="zh-CN"/>
        </w:rPr>
        <w:t>甲基丙烯酸甲酯久存会发生聚合，因此需要添加阻聚剂，在储罐输送泵与甲基丙烯酸甲酯精单体罐之间设置阻聚剂加料斗，按比列添加阻聚剂（粉状），成品</w:t>
      </w:r>
      <w:r>
        <w:rPr>
          <w:rFonts w:hint="eastAsia"/>
          <w:color w:val="auto"/>
        </w:rPr>
        <w:t>由有危险化学品运输资质的</w:t>
      </w:r>
      <w:r>
        <w:rPr>
          <w:rFonts w:hint="eastAsia"/>
          <w:color w:val="auto"/>
          <w:lang w:val="en-US" w:eastAsia="zh-CN"/>
        </w:rPr>
        <w:t>槽（罐）车辆</w:t>
      </w:r>
      <w:r>
        <w:rPr>
          <w:rFonts w:hint="eastAsia"/>
          <w:color w:val="auto"/>
        </w:rPr>
        <w:t>运输出厂。</w:t>
      </w:r>
    </w:p>
    <w:p>
      <w:pPr>
        <w:pStyle w:val="4"/>
        <w:rPr>
          <w:rFonts w:hint="eastAsia"/>
          <w:color w:val="auto"/>
        </w:rPr>
      </w:pPr>
      <w:bookmarkStart w:id="120" w:name="_Toc17874"/>
      <w:bookmarkStart w:id="121" w:name="_Toc10111"/>
      <w:bookmarkStart w:id="122" w:name="_Toc19590"/>
      <w:bookmarkStart w:id="123" w:name="_Toc12519"/>
      <w:bookmarkStart w:id="124" w:name="_Toc29829"/>
      <w:bookmarkStart w:id="125" w:name="_Toc23047"/>
      <w:r>
        <w:rPr>
          <w:rFonts w:hint="default" w:ascii="Times New Roman" w:hAnsi="Times New Roman" w:cs="Times New Roman"/>
          <w:color w:val="auto"/>
          <w:lang w:val="en-US" w:eastAsia="zh-CN"/>
        </w:rPr>
        <w:t>2.3.3</w:t>
      </w:r>
      <w:r>
        <w:rPr>
          <w:rFonts w:hint="eastAsia"/>
          <w:color w:val="auto"/>
        </w:rPr>
        <w:t>化学反应方程式</w:t>
      </w:r>
      <w:bookmarkEnd w:id="120"/>
      <w:bookmarkEnd w:id="121"/>
      <w:bookmarkEnd w:id="122"/>
      <w:bookmarkEnd w:id="123"/>
      <w:bookmarkEnd w:id="124"/>
      <w:bookmarkEnd w:id="125"/>
    </w:p>
    <w:p>
      <w:pPr>
        <w:ind w:firstLine="420" w:firstLineChars="0"/>
        <w:rPr>
          <w:rFonts w:hint="eastAsia"/>
          <w:color w:val="auto"/>
        </w:rPr>
      </w:pPr>
      <w:r>
        <w:rPr>
          <w:rFonts w:hint="eastAsia"/>
          <w:color w:val="auto"/>
        </w:rPr>
        <w:t>废旧有机玻璃裂解生成甲基丙烯酸甲酯的反应方程式为：</w:t>
      </w:r>
    </w:p>
    <w:p>
      <w:pPr>
        <w:ind w:firstLine="560" w:firstLineChars="200"/>
        <w:rPr>
          <w:rFonts w:hint="eastAsia"/>
          <w:color w:val="auto"/>
        </w:rPr>
      </w:pPr>
      <w:r>
        <w:rPr>
          <w:rFonts w:hint="eastAsia"/>
          <w:color w:val="auto"/>
        </w:rPr>
        <w:t>1）主反应（聚甲基丙烯酸甲酯转化率 9</w:t>
      </w:r>
      <w:r>
        <w:rPr>
          <w:rFonts w:hint="eastAsia"/>
          <w:color w:val="auto"/>
          <w:lang w:val="en-US" w:eastAsia="zh-CN"/>
        </w:rPr>
        <w:t>8</w:t>
      </w:r>
      <w:r>
        <w:rPr>
          <w:rFonts w:hint="eastAsia"/>
          <w:color w:val="auto"/>
        </w:rPr>
        <w:t>%）</w:t>
      </w:r>
    </w:p>
    <w:p>
      <w:pPr>
        <w:spacing w:line="240" w:lineRule="auto"/>
        <w:ind w:firstLine="560" w:firstLineChars="200"/>
        <w:rPr>
          <w:rFonts w:hint="eastAsia" w:eastAsia="宋体"/>
          <w:color w:val="auto"/>
          <w:lang w:eastAsia="zh-CN"/>
        </w:rPr>
      </w:pPr>
      <w:r>
        <w:rPr>
          <w:rFonts w:hint="eastAsia" w:eastAsia="宋体"/>
          <w:color w:val="auto"/>
          <w:lang w:eastAsia="zh-CN"/>
        </w:rPr>
        <w:drawing>
          <wp:inline distT="0" distB="0" distL="114300" distR="114300">
            <wp:extent cx="5448300" cy="2181225"/>
            <wp:effectExtent l="0" t="0" r="0" b="9525"/>
            <wp:docPr id="23" name="图片 2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2"/>
                    <pic:cNvPicPr>
                      <a:picLocks noChangeAspect="1"/>
                    </pic:cNvPicPr>
                  </pic:nvPicPr>
                  <pic:blipFill>
                    <a:blip r:embed="rId15"/>
                    <a:stretch>
                      <a:fillRect/>
                    </a:stretch>
                  </pic:blipFill>
                  <pic:spPr>
                    <a:xfrm>
                      <a:off x="0" y="0"/>
                      <a:ext cx="5448300" cy="2181225"/>
                    </a:xfrm>
                    <a:prstGeom prst="rect">
                      <a:avLst/>
                    </a:prstGeom>
                  </pic:spPr>
                </pic:pic>
              </a:graphicData>
            </a:graphic>
          </wp:inline>
        </w:drawing>
      </w:r>
    </w:p>
    <w:p>
      <w:pPr>
        <w:pStyle w:val="36"/>
        <w:numPr>
          <w:ilvl w:val="0"/>
          <w:numId w:val="0"/>
        </w:numPr>
        <w:ind w:firstLine="360" w:firstLineChars="200"/>
        <w:rPr>
          <w:rFonts w:hint="eastAsia"/>
          <w:color w:val="auto"/>
          <w:sz w:val="28"/>
          <w:szCs w:val="28"/>
        </w:rPr>
      </w:pPr>
      <w:r>
        <w:rPr>
          <w:color w:val="auto"/>
        </w:rPr>
        <w:drawing>
          <wp:anchor distT="0" distB="0" distL="114300" distR="114300" simplePos="0" relativeHeight="251661312" behindDoc="0" locked="0" layoutInCell="1" allowOverlap="1">
            <wp:simplePos x="0" y="0"/>
            <wp:positionH relativeFrom="column">
              <wp:posOffset>-153670</wp:posOffset>
            </wp:positionH>
            <wp:positionV relativeFrom="paragraph">
              <wp:posOffset>610870</wp:posOffset>
            </wp:positionV>
            <wp:extent cx="6092190" cy="1538605"/>
            <wp:effectExtent l="0" t="0" r="3810" b="4445"/>
            <wp:wrapSquare wrapText="bothSides"/>
            <wp:docPr id="24" name="图片 2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未标题-1"/>
                    <pic:cNvPicPr>
                      <a:picLocks noChangeAspect="1"/>
                    </pic:cNvPicPr>
                  </pic:nvPicPr>
                  <pic:blipFill>
                    <a:blip r:embed="rId16"/>
                    <a:srcRect l="6292" t="11853" r="11745" b="15753"/>
                    <a:stretch>
                      <a:fillRect/>
                    </a:stretch>
                  </pic:blipFill>
                  <pic:spPr>
                    <a:xfrm>
                      <a:off x="0" y="0"/>
                      <a:ext cx="6092190" cy="1538605"/>
                    </a:xfrm>
                    <a:prstGeom prst="rect">
                      <a:avLst/>
                    </a:prstGeom>
                  </pic:spPr>
                </pic:pic>
              </a:graphicData>
            </a:graphic>
          </wp:anchor>
        </w:drawing>
      </w:r>
      <w:r>
        <w:rPr>
          <w:rFonts w:hint="eastAsia" w:ascii="Times New Roman" w:hAnsi="Times New Roman" w:eastAsia="宋体" w:cs="Times New Roman"/>
          <w:color w:val="auto"/>
          <w:kern w:val="2"/>
          <w:sz w:val="28"/>
          <w:szCs w:val="28"/>
          <w:lang w:val="en-US" w:eastAsia="zh-CN" w:bidi="ar-SA"/>
        </w:rPr>
        <w:t>2）</w:t>
      </w:r>
      <w:r>
        <w:rPr>
          <w:rFonts w:hint="eastAsia"/>
          <w:color w:val="auto"/>
          <w:sz w:val="28"/>
          <w:szCs w:val="28"/>
        </w:rPr>
        <w:t xml:space="preserve">副反应（甲基丙烯酸甲酯计，转化率 </w:t>
      </w:r>
      <w:r>
        <w:rPr>
          <w:rFonts w:hint="eastAsia"/>
          <w:color w:val="auto"/>
          <w:sz w:val="28"/>
          <w:szCs w:val="28"/>
          <w:lang w:val="en-US" w:eastAsia="zh-CN"/>
        </w:rPr>
        <w:t>2</w:t>
      </w:r>
      <w:r>
        <w:rPr>
          <w:rFonts w:hint="eastAsia"/>
          <w:color w:val="auto"/>
          <w:sz w:val="28"/>
          <w:szCs w:val="28"/>
        </w:rPr>
        <w:t>%）</w:t>
      </w:r>
    </w:p>
    <w:p>
      <w:pPr>
        <w:pStyle w:val="4"/>
        <w:rPr>
          <w:color w:val="auto"/>
        </w:rPr>
      </w:pPr>
      <w:bookmarkStart w:id="126" w:name="_Toc23009"/>
      <w:bookmarkStart w:id="127" w:name="_Toc22287"/>
      <w:bookmarkStart w:id="128" w:name="_Toc32454"/>
      <w:bookmarkStart w:id="129" w:name="_Toc29984"/>
      <w:bookmarkStart w:id="130" w:name="_Toc5255"/>
      <w:bookmarkStart w:id="131" w:name="_Toc4398"/>
      <w:r>
        <w:rPr>
          <w:rFonts w:hint="default" w:ascii="Times New Roman" w:hAnsi="Times New Roman" w:cs="Times New Roman"/>
          <w:color w:val="auto"/>
          <w:lang w:val="en-US" w:eastAsia="zh-CN"/>
        </w:rPr>
        <w:t>2.3.4</w:t>
      </w:r>
      <w:r>
        <w:rPr>
          <w:rFonts w:hint="eastAsia"/>
          <w:color w:val="auto"/>
        </w:rPr>
        <w:t>工艺流程简图</w:t>
      </w:r>
      <w:bookmarkEnd w:id="126"/>
      <w:bookmarkEnd w:id="127"/>
      <w:bookmarkEnd w:id="128"/>
      <w:bookmarkEnd w:id="129"/>
      <w:bookmarkEnd w:id="130"/>
      <w:bookmarkEnd w:id="131"/>
    </w:p>
    <w:p>
      <w:pPr>
        <w:spacing w:line="240" w:lineRule="auto"/>
        <w:ind w:firstLine="560" w:firstLineChars="200"/>
        <w:rPr>
          <w:rFonts w:hint="eastAsia" w:eastAsia="宋体"/>
          <w:color w:val="auto"/>
          <w:sz w:val="28"/>
          <w:szCs w:val="28"/>
          <w:lang w:eastAsia="zh-CN"/>
        </w:rPr>
      </w:pPr>
      <w:r>
        <w:rPr>
          <w:rFonts w:hint="eastAsia" w:eastAsia="宋体"/>
          <w:color w:val="auto"/>
          <w:sz w:val="28"/>
          <w:szCs w:val="28"/>
          <w:lang w:eastAsia="zh-CN"/>
        </w:rPr>
        <w:drawing>
          <wp:inline distT="0" distB="0" distL="114300" distR="114300">
            <wp:extent cx="4057650" cy="3086100"/>
            <wp:effectExtent l="0" t="0" r="0" b="0"/>
            <wp:docPr id="25" name="图片 25"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4"/>
                    <pic:cNvPicPr>
                      <a:picLocks noChangeAspect="1"/>
                    </pic:cNvPicPr>
                  </pic:nvPicPr>
                  <pic:blipFill>
                    <a:blip r:embed="rId17"/>
                    <a:stretch>
                      <a:fillRect/>
                    </a:stretch>
                  </pic:blipFill>
                  <pic:spPr>
                    <a:xfrm>
                      <a:off x="0" y="0"/>
                      <a:ext cx="4057650" cy="3086100"/>
                    </a:xfrm>
                    <a:prstGeom prst="rect">
                      <a:avLst/>
                    </a:prstGeom>
                  </pic:spPr>
                </pic:pic>
              </a:graphicData>
            </a:graphic>
          </wp:inline>
        </w:drawing>
      </w:r>
    </w:p>
    <w:p>
      <w:pPr>
        <w:pStyle w:val="15"/>
        <w:rPr>
          <w:rFonts w:hint="eastAsia"/>
          <w:color w:val="auto"/>
          <w:sz w:val="28"/>
          <w:szCs w:val="28"/>
          <w:lang w:val="en-US" w:eastAsia="zh-CN"/>
        </w:rPr>
      </w:pPr>
      <w:r>
        <w:rPr>
          <w:rFonts w:hint="eastAsia"/>
          <w:color w:val="auto"/>
          <w:sz w:val="28"/>
          <w:szCs w:val="28"/>
          <w:lang w:val="en-US" w:eastAsia="zh-CN"/>
        </w:rPr>
        <w:t>图2.3-1甲基丙烯酸甲酯生产工艺流程简图</w:t>
      </w:r>
    </w:p>
    <w:p>
      <w:pPr>
        <w:ind w:firstLine="560" w:firstLineChars="200"/>
        <w:rPr>
          <w:rFonts w:hint="default"/>
          <w:color w:val="auto"/>
          <w:sz w:val="28"/>
          <w:szCs w:val="28"/>
          <w:lang w:val="en-US" w:eastAsia="zh-CN"/>
        </w:rPr>
      </w:pPr>
      <w:r>
        <w:rPr>
          <w:rFonts w:hint="eastAsia"/>
          <w:color w:val="auto"/>
          <w:sz w:val="28"/>
          <w:szCs w:val="28"/>
          <w:lang w:val="en-US" w:eastAsia="zh-CN"/>
        </w:rPr>
        <w:t>甲基丙烯酸甲酯物料平衡见下表：</w:t>
      </w:r>
    </w:p>
    <w:p>
      <w:pPr>
        <w:pStyle w:val="53"/>
        <w:bidi w:val="0"/>
        <w:rPr>
          <w:rFonts w:hint="eastAsia"/>
          <w:color w:val="auto"/>
        </w:rPr>
      </w:pPr>
      <w:r>
        <w:rPr>
          <w:color w:val="auto"/>
        </w:rPr>
        <w:t>表2.</w:t>
      </w:r>
      <w:r>
        <w:rPr>
          <w:rFonts w:hint="eastAsia"/>
          <w:color w:val="auto"/>
          <w:lang w:val="en-US" w:eastAsia="zh-CN"/>
        </w:rPr>
        <w:t>3</w:t>
      </w:r>
      <w:r>
        <w:rPr>
          <w:color w:val="auto"/>
        </w:rPr>
        <w:t>-</w:t>
      </w:r>
      <w:r>
        <w:rPr>
          <w:rFonts w:hint="eastAsia"/>
          <w:color w:val="auto"/>
          <w:lang w:val="en-US" w:eastAsia="zh-CN"/>
        </w:rPr>
        <w:t>1</w:t>
      </w:r>
      <w:r>
        <w:rPr>
          <w:rFonts w:hint="eastAsia"/>
          <w:color w:val="auto"/>
        </w:rPr>
        <w:t xml:space="preserve"> </w:t>
      </w:r>
      <w:r>
        <w:rPr>
          <w:rFonts w:hint="eastAsia"/>
          <w:color w:val="auto"/>
          <w:lang w:val="en-US" w:eastAsia="zh-CN"/>
        </w:rPr>
        <w:t>项目生产工艺</w:t>
      </w:r>
      <w:r>
        <w:rPr>
          <w:rFonts w:hint="eastAsia"/>
          <w:color w:val="auto"/>
        </w:rPr>
        <w:t>物料平衡表（单位：</w:t>
      </w:r>
      <w:r>
        <w:rPr>
          <w:rFonts w:hint="eastAsia"/>
          <w:color w:val="auto"/>
          <w:lang w:val="en-US" w:eastAsia="zh-CN"/>
        </w:rPr>
        <w:t>t</w:t>
      </w:r>
      <w:r>
        <w:rPr>
          <w:rFonts w:hint="eastAsia"/>
          <w:color w:val="auto"/>
        </w:rPr>
        <w:t>/</w:t>
      </w:r>
      <w:r>
        <w:rPr>
          <w:rFonts w:hint="eastAsia"/>
          <w:color w:val="auto"/>
          <w:lang w:val="en-US" w:eastAsia="zh-CN"/>
        </w:rPr>
        <w:t>a</w:t>
      </w:r>
      <w:r>
        <w:rPr>
          <w:rFonts w:hint="eastAsia"/>
          <w:color w:val="auto"/>
        </w:rPr>
        <w:t>）</w:t>
      </w:r>
    </w:p>
    <w:tbl>
      <w:tblPr>
        <w:tblStyle w:val="42"/>
        <w:tblW w:w="918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783"/>
        <w:gridCol w:w="1175"/>
        <w:gridCol w:w="692"/>
        <w:gridCol w:w="1850"/>
        <w:gridCol w:w="1083"/>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80" w:type="dxa"/>
            <w:gridSpan w:val="3"/>
            <w:noWrap w:val="0"/>
            <w:vAlign w:val="center"/>
          </w:tcPr>
          <w:p>
            <w:pPr>
              <w:widowControl/>
              <w:spacing w:line="240" w:lineRule="auto"/>
              <w:jc w:val="center"/>
              <w:rPr>
                <w:rFonts w:hint="eastAsia" w:eastAsia="宋体"/>
                <w:color w:val="auto"/>
                <w:kern w:val="0"/>
                <w:sz w:val="21"/>
                <w:szCs w:val="21"/>
                <w:lang w:eastAsia="zh-CN"/>
              </w:rPr>
            </w:pPr>
            <w:r>
              <w:rPr>
                <w:rFonts w:hint="eastAsia"/>
                <w:color w:val="auto"/>
                <w:kern w:val="0"/>
                <w:sz w:val="21"/>
                <w:szCs w:val="21"/>
              </w:rPr>
              <w:t>投     入</w:t>
            </w:r>
          </w:p>
        </w:tc>
        <w:tc>
          <w:tcPr>
            <w:tcW w:w="5603" w:type="dxa"/>
            <w:gridSpan w:val="4"/>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产      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140" w:leftChars="-50" w:right="-140" w:rightChars="-50"/>
              <w:jc w:val="center"/>
              <w:textAlignment w:val="auto"/>
              <w:rPr>
                <w:rFonts w:hint="eastAsia"/>
                <w:color w:val="auto"/>
                <w:kern w:val="0"/>
                <w:sz w:val="21"/>
                <w:szCs w:val="21"/>
              </w:rPr>
            </w:pPr>
            <w:r>
              <w:rPr>
                <w:rFonts w:hint="eastAsia"/>
                <w:color w:val="auto"/>
                <w:kern w:val="0"/>
                <w:sz w:val="21"/>
                <w:szCs w:val="21"/>
              </w:rPr>
              <w:t>序号</w:t>
            </w:r>
          </w:p>
        </w:tc>
        <w:tc>
          <w:tcPr>
            <w:tcW w:w="1783"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物料名称</w:t>
            </w:r>
          </w:p>
        </w:tc>
        <w:tc>
          <w:tcPr>
            <w:tcW w:w="1175"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数量</w:t>
            </w:r>
          </w:p>
        </w:tc>
        <w:tc>
          <w:tcPr>
            <w:tcW w:w="692"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序号</w:t>
            </w:r>
          </w:p>
        </w:tc>
        <w:tc>
          <w:tcPr>
            <w:tcW w:w="1850"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物料名称</w:t>
            </w:r>
          </w:p>
        </w:tc>
        <w:tc>
          <w:tcPr>
            <w:tcW w:w="1083"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数量</w:t>
            </w:r>
          </w:p>
        </w:tc>
        <w:tc>
          <w:tcPr>
            <w:tcW w:w="1978"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1</w:t>
            </w:r>
          </w:p>
        </w:tc>
        <w:tc>
          <w:tcPr>
            <w:tcW w:w="1783" w:type="dxa"/>
            <w:noWrap w:val="0"/>
            <w:vAlign w:val="center"/>
          </w:tcPr>
          <w:p>
            <w:pPr>
              <w:widowControl/>
              <w:spacing w:line="240" w:lineRule="auto"/>
              <w:jc w:val="center"/>
              <w:rPr>
                <w:color w:val="auto"/>
                <w:kern w:val="0"/>
                <w:sz w:val="21"/>
                <w:szCs w:val="21"/>
              </w:rPr>
            </w:pPr>
            <w:r>
              <w:rPr>
                <w:rFonts w:hint="eastAsia"/>
                <w:color w:val="auto"/>
                <w:kern w:val="0"/>
                <w:sz w:val="21"/>
                <w:szCs w:val="21"/>
              </w:rPr>
              <w:t>废有机玻璃</w:t>
            </w:r>
          </w:p>
        </w:tc>
        <w:tc>
          <w:tcPr>
            <w:tcW w:w="1175"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22195.21</w:t>
            </w:r>
          </w:p>
        </w:tc>
        <w:tc>
          <w:tcPr>
            <w:tcW w:w="692"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1</w:t>
            </w:r>
          </w:p>
        </w:tc>
        <w:tc>
          <w:tcPr>
            <w:tcW w:w="1850"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甲基丙烯酸</w:t>
            </w:r>
            <w:r>
              <w:rPr>
                <w:color w:val="auto"/>
                <w:kern w:val="0"/>
                <w:sz w:val="21"/>
                <w:szCs w:val="21"/>
              </w:rPr>
              <w:t>甲酯</w:t>
            </w:r>
          </w:p>
        </w:tc>
        <w:tc>
          <w:tcPr>
            <w:tcW w:w="1083"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20000</w:t>
            </w:r>
          </w:p>
        </w:tc>
        <w:tc>
          <w:tcPr>
            <w:tcW w:w="1978"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外卖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top"/>
          </w:tcPr>
          <w:p>
            <w:pPr>
              <w:widowControl/>
              <w:spacing w:line="240" w:lineRule="auto"/>
              <w:jc w:val="center"/>
              <w:rPr>
                <w:rFonts w:hint="eastAsia" w:eastAsia="宋体"/>
                <w:color w:val="auto"/>
                <w:kern w:val="0"/>
                <w:sz w:val="21"/>
                <w:szCs w:val="21"/>
                <w:lang w:val="en-US" w:eastAsia="zh-CN"/>
              </w:rPr>
            </w:pPr>
            <w:r>
              <w:rPr>
                <w:rFonts w:hint="eastAsia"/>
                <w:color w:val="auto"/>
                <w:kern w:val="0"/>
                <w:sz w:val="21"/>
                <w:szCs w:val="21"/>
                <w:lang w:val="en-US" w:eastAsia="zh-CN"/>
              </w:rPr>
              <w:t>2</w:t>
            </w:r>
          </w:p>
        </w:tc>
        <w:tc>
          <w:tcPr>
            <w:tcW w:w="1783" w:type="dxa"/>
            <w:noWrap w:val="0"/>
            <w:vAlign w:val="center"/>
          </w:tcPr>
          <w:p>
            <w:pPr>
              <w:widowControl/>
              <w:spacing w:line="240" w:lineRule="auto"/>
              <w:jc w:val="center"/>
              <w:rPr>
                <w:rFonts w:hint="eastAsia" w:eastAsia="宋体"/>
                <w:color w:val="auto"/>
                <w:kern w:val="0"/>
                <w:sz w:val="21"/>
                <w:szCs w:val="21"/>
                <w:lang w:val="en-US" w:eastAsia="zh-CN"/>
              </w:rPr>
            </w:pPr>
            <w:r>
              <w:rPr>
                <w:rFonts w:hint="eastAsia"/>
                <w:color w:val="auto"/>
                <w:kern w:val="0"/>
                <w:sz w:val="21"/>
                <w:szCs w:val="21"/>
                <w:highlight w:val="none"/>
                <w:lang w:val="en-US" w:eastAsia="zh-CN"/>
              </w:rPr>
              <w:t>对苯二酚</w:t>
            </w:r>
          </w:p>
        </w:tc>
        <w:tc>
          <w:tcPr>
            <w:tcW w:w="1175" w:type="dxa"/>
            <w:noWrap w:val="0"/>
            <w:vAlign w:val="center"/>
          </w:tcPr>
          <w:p>
            <w:pPr>
              <w:widowControl/>
              <w:spacing w:line="240" w:lineRule="auto"/>
              <w:jc w:val="center"/>
              <w:rPr>
                <w:rFonts w:hint="eastAsia" w:eastAsia="宋体"/>
                <w:color w:val="auto"/>
                <w:kern w:val="0"/>
                <w:sz w:val="21"/>
                <w:szCs w:val="21"/>
                <w:lang w:val="en-US" w:eastAsia="zh-CN"/>
              </w:rPr>
            </w:pPr>
            <w:r>
              <w:rPr>
                <w:rFonts w:hint="eastAsia"/>
                <w:color w:val="auto"/>
                <w:kern w:val="0"/>
                <w:sz w:val="21"/>
                <w:szCs w:val="21"/>
                <w:lang w:val="en-US" w:eastAsia="zh-CN"/>
              </w:rPr>
              <w:t>2</w:t>
            </w:r>
          </w:p>
        </w:tc>
        <w:tc>
          <w:tcPr>
            <w:tcW w:w="692"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2</w:t>
            </w:r>
          </w:p>
        </w:tc>
        <w:tc>
          <w:tcPr>
            <w:tcW w:w="1850"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lang w:val="en-US" w:eastAsia="zh-CN"/>
              </w:rPr>
              <w:t>破碎废气</w:t>
            </w:r>
          </w:p>
        </w:tc>
        <w:tc>
          <w:tcPr>
            <w:tcW w:w="1083"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8.24</w:t>
            </w:r>
          </w:p>
        </w:tc>
        <w:tc>
          <w:tcPr>
            <w:tcW w:w="1978"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通入尾气</w:t>
            </w:r>
            <w:r>
              <w:rPr>
                <w:color w:val="auto"/>
                <w:kern w:val="0"/>
                <w:sz w:val="21"/>
                <w:szCs w:val="21"/>
              </w:rPr>
              <w:t>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rPr>
              <w:t>3</w:t>
            </w:r>
          </w:p>
        </w:tc>
        <w:tc>
          <w:tcPr>
            <w:tcW w:w="1850"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rPr>
              <w:t>裂解</w:t>
            </w:r>
            <w:r>
              <w:rPr>
                <w:rFonts w:hint="eastAsia"/>
                <w:color w:val="auto"/>
                <w:kern w:val="0"/>
                <w:sz w:val="21"/>
                <w:szCs w:val="21"/>
                <w:lang w:val="en-US" w:eastAsia="zh-CN"/>
              </w:rPr>
              <w:t>车间无组织废气</w:t>
            </w:r>
          </w:p>
        </w:tc>
        <w:tc>
          <w:tcPr>
            <w:tcW w:w="1083"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0.051</w:t>
            </w:r>
          </w:p>
        </w:tc>
        <w:tc>
          <w:tcPr>
            <w:tcW w:w="1978" w:type="dxa"/>
            <w:noWrap w:val="0"/>
            <w:vAlign w:val="center"/>
          </w:tcPr>
          <w:p>
            <w:pPr>
              <w:widowControl/>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rPr>
              <w:t>通入尾气</w:t>
            </w:r>
            <w:r>
              <w:rPr>
                <w:color w:val="auto"/>
                <w:kern w:val="0"/>
                <w:sz w:val="21"/>
                <w:szCs w:val="21"/>
              </w:rPr>
              <w:t>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4</w:t>
            </w:r>
          </w:p>
        </w:tc>
        <w:tc>
          <w:tcPr>
            <w:tcW w:w="1850"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裂解未凝气</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51.12</w:t>
            </w:r>
          </w:p>
        </w:tc>
        <w:tc>
          <w:tcPr>
            <w:tcW w:w="1978"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二次冷凝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 w:val="21"/>
                <w:szCs w:val="21"/>
                <w:lang w:val="en-US" w:eastAsia="zh-CN"/>
              </w:rPr>
              <w:t>5</w:t>
            </w:r>
          </w:p>
        </w:tc>
        <w:tc>
          <w:tcPr>
            <w:tcW w:w="1850"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精馏未凝气</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9.70</w:t>
            </w:r>
          </w:p>
        </w:tc>
        <w:tc>
          <w:tcPr>
            <w:tcW w:w="1978" w:type="dxa"/>
            <w:noWrap w:val="0"/>
            <w:vAlign w:val="center"/>
          </w:tcPr>
          <w:p>
            <w:pPr>
              <w:widowControl/>
              <w:spacing w:line="240" w:lineRule="auto"/>
              <w:jc w:val="center"/>
              <w:rPr>
                <w:rFonts w:hint="eastAsia"/>
                <w:color w:val="auto"/>
                <w:kern w:val="0"/>
                <w:sz w:val="21"/>
                <w:szCs w:val="21"/>
              </w:rPr>
            </w:pPr>
            <w:r>
              <w:rPr>
                <w:rFonts w:hint="eastAsia"/>
                <w:color w:val="auto"/>
                <w:kern w:val="0"/>
                <w:sz w:val="21"/>
                <w:szCs w:val="21"/>
                <w:lang w:val="en-US" w:eastAsia="zh-CN"/>
              </w:rPr>
              <w:t>二次冷凝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eastAsia" w:eastAsia="宋体"/>
                <w:color w:val="auto"/>
                <w:kern w:val="0"/>
                <w:sz w:val="21"/>
                <w:szCs w:val="21"/>
                <w:lang w:val="en-US" w:eastAsia="zh-CN"/>
              </w:rPr>
            </w:pPr>
            <w:r>
              <w:rPr>
                <w:rFonts w:hint="eastAsia"/>
                <w:color w:val="auto"/>
                <w:kern w:val="0"/>
                <w:sz w:val="21"/>
                <w:szCs w:val="21"/>
                <w:lang w:val="en-US" w:eastAsia="zh-CN"/>
              </w:rPr>
              <w:t>6</w:t>
            </w:r>
          </w:p>
        </w:tc>
        <w:tc>
          <w:tcPr>
            <w:tcW w:w="1850"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大小呼吸废气</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3.34</w:t>
            </w:r>
          </w:p>
        </w:tc>
        <w:tc>
          <w:tcPr>
            <w:tcW w:w="1978"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rPr>
              <w:t>通入尾气</w:t>
            </w:r>
            <w:r>
              <w:rPr>
                <w:color w:val="auto"/>
                <w:kern w:val="0"/>
                <w:sz w:val="21"/>
                <w:szCs w:val="21"/>
              </w:rPr>
              <w:t>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rFonts w:hint="eastAsia"/>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eastAsia" w:eastAsia="宋体"/>
                <w:color w:val="auto"/>
                <w:kern w:val="0"/>
                <w:sz w:val="21"/>
                <w:szCs w:val="21"/>
                <w:lang w:eastAsia="zh-CN"/>
              </w:rPr>
            </w:pPr>
            <w:r>
              <w:rPr>
                <w:rFonts w:hint="eastAsia"/>
                <w:color w:val="auto"/>
                <w:kern w:val="0"/>
                <w:sz w:val="21"/>
                <w:szCs w:val="21"/>
                <w:lang w:val="en-US" w:eastAsia="zh-CN"/>
              </w:rPr>
              <w:t>7</w:t>
            </w:r>
          </w:p>
        </w:tc>
        <w:tc>
          <w:tcPr>
            <w:tcW w:w="1850"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分拣杂质</w:t>
            </w:r>
          </w:p>
        </w:tc>
        <w:tc>
          <w:tcPr>
            <w:tcW w:w="1083"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221.95</w:t>
            </w:r>
          </w:p>
        </w:tc>
        <w:tc>
          <w:tcPr>
            <w:tcW w:w="1978"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交资质部门处理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rFonts w:hint="eastAsia"/>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8</w:t>
            </w:r>
          </w:p>
        </w:tc>
        <w:tc>
          <w:tcPr>
            <w:tcW w:w="1850"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裂解残渣</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109.83</w:t>
            </w:r>
          </w:p>
        </w:tc>
        <w:tc>
          <w:tcPr>
            <w:tcW w:w="1978"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交资质部门处理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rFonts w:hint="eastAsia"/>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9</w:t>
            </w:r>
          </w:p>
        </w:tc>
        <w:tc>
          <w:tcPr>
            <w:tcW w:w="1850"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精馏残液</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1790.99</w:t>
            </w:r>
          </w:p>
        </w:tc>
        <w:tc>
          <w:tcPr>
            <w:tcW w:w="1978" w:type="dxa"/>
            <w:noWrap w:val="0"/>
            <w:vAlign w:val="center"/>
          </w:tcPr>
          <w:p>
            <w:pPr>
              <w:widowControl/>
              <w:spacing w:line="240" w:lineRule="auto"/>
              <w:jc w:val="center"/>
              <w:rPr>
                <w:rFonts w:hint="default"/>
                <w:color w:val="auto"/>
                <w:kern w:val="0"/>
                <w:sz w:val="21"/>
                <w:szCs w:val="21"/>
                <w:lang w:val="en-US"/>
              </w:rPr>
            </w:pPr>
            <w:r>
              <w:rPr>
                <w:rFonts w:hint="eastAsia"/>
                <w:color w:val="auto"/>
                <w:kern w:val="0"/>
                <w:sz w:val="21"/>
                <w:szCs w:val="21"/>
                <w:highlight w:val="none"/>
                <w:lang w:val="en-US" w:eastAsia="zh-CN"/>
              </w:rPr>
              <w:t>作为燃料油自用，余量外售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top"/>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rFonts w:hint="eastAsia"/>
                <w:color w:val="auto"/>
                <w:kern w:val="0"/>
                <w:sz w:val="21"/>
                <w:szCs w:val="21"/>
              </w:rPr>
            </w:pPr>
          </w:p>
        </w:tc>
        <w:tc>
          <w:tcPr>
            <w:tcW w:w="1175" w:type="dxa"/>
            <w:noWrap w:val="0"/>
            <w:vAlign w:val="center"/>
          </w:tcPr>
          <w:p>
            <w:pPr>
              <w:widowControl/>
              <w:spacing w:line="240" w:lineRule="auto"/>
              <w:jc w:val="center"/>
              <w:rPr>
                <w:rFonts w:hint="eastAsia"/>
                <w:color w:val="auto"/>
                <w:kern w:val="0"/>
                <w:sz w:val="21"/>
                <w:szCs w:val="21"/>
              </w:rPr>
            </w:pPr>
          </w:p>
        </w:tc>
        <w:tc>
          <w:tcPr>
            <w:tcW w:w="692"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10</w:t>
            </w:r>
          </w:p>
        </w:tc>
        <w:tc>
          <w:tcPr>
            <w:tcW w:w="1850"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highlight w:val="none"/>
                <w:lang w:val="en-US" w:eastAsia="zh-CN"/>
              </w:rPr>
              <w:t>对苯二酚</w:t>
            </w:r>
          </w:p>
        </w:tc>
        <w:tc>
          <w:tcPr>
            <w:tcW w:w="1083"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2</w:t>
            </w:r>
          </w:p>
        </w:tc>
        <w:tc>
          <w:tcPr>
            <w:tcW w:w="1978" w:type="dxa"/>
            <w:noWrap w:val="0"/>
            <w:vAlign w:val="center"/>
          </w:tcPr>
          <w:p>
            <w:pPr>
              <w:widowControl/>
              <w:spacing w:line="240" w:lineRule="auto"/>
              <w:jc w:val="center"/>
              <w:rPr>
                <w:rFonts w:hint="default"/>
                <w:color w:val="auto"/>
                <w:kern w:val="0"/>
                <w:sz w:val="21"/>
                <w:szCs w:val="21"/>
                <w:lang w:val="en-US" w:eastAsia="zh-CN"/>
              </w:rPr>
            </w:pPr>
            <w:r>
              <w:rPr>
                <w:rFonts w:hint="eastAsia"/>
                <w:color w:val="auto"/>
                <w:kern w:val="0"/>
                <w:sz w:val="21"/>
                <w:szCs w:val="21"/>
                <w:lang w:val="en-US" w:eastAsia="zh-CN"/>
              </w:rPr>
              <w:t>添加至成品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2" w:type="dxa"/>
            <w:noWrap w:val="0"/>
            <w:vAlign w:val="center"/>
          </w:tcPr>
          <w:p>
            <w:pPr>
              <w:widowControl/>
              <w:spacing w:line="240" w:lineRule="auto"/>
              <w:jc w:val="center"/>
              <w:rPr>
                <w:rFonts w:hint="eastAsia"/>
                <w:color w:val="auto"/>
                <w:kern w:val="0"/>
                <w:sz w:val="21"/>
                <w:szCs w:val="21"/>
              </w:rPr>
            </w:pPr>
          </w:p>
        </w:tc>
        <w:tc>
          <w:tcPr>
            <w:tcW w:w="1783" w:type="dxa"/>
            <w:noWrap w:val="0"/>
            <w:vAlign w:val="center"/>
          </w:tcPr>
          <w:p>
            <w:pPr>
              <w:widowControl/>
              <w:spacing w:line="240" w:lineRule="auto"/>
              <w:jc w:val="center"/>
              <w:rPr>
                <w:rFonts w:hint="eastAsia" w:eastAsia="宋体"/>
                <w:color w:val="auto"/>
                <w:kern w:val="0"/>
                <w:sz w:val="21"/>
                <w:szCs w:val="21"/>
                <w:lang w:eastAsia="zh-CN"/>
              </w:rPr>
            </w:pPr>
            <w:r>
              <w:rPr>
                <w:rFonts w:hint="eastAsia"/>
                <w:color w:val="auto"/>
                <w:kern w:val="0"/>
                <w:sz w:val="21"/>
                <w:szCs w:val="21"/>
                <w:lang w:val="en-US" w:eastAsia="zh-CN"/>
              </w:rPr>
              <w:t>合计</w:t>
            </w:r>
          </w:p>
        </w:tc>
        <w:tc>
          <w:tcPr>
            <w:tcW w:w="1175"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22197.21</w:t>
            </w:r>
          </w:p>
        </w:tc>
        <w:tc>
          <w:tcPr>
            <w:tcW w:w="692" w:type="dxa"/>
            <w:noWrap w:val="0"/>
            <w:vAlign w:val="center"/>
          </w:tcPr>
          <w:p>
            <w:pPr>
              <w:widowControl/>
              <w:spacing w:line="240" w:lineRule="auto"/>
              <w:jc w:val="center"/>
              <w:rPr>
                <w:rFonts w:hint="eastAsia"/>
                <w:color w:val="auto"/>
                <w:kern w:val="0"/>
                <w:sz w:val="21"/>
                <w:szCs w:val="21"/>
              </w:rPr>
            </w:pPr>
          </w:p>
        </w:tc>
        <w:tc>
          <w:tcPr>
            <w:tcW w:w="1850" w:type="dxa"/>
            <w:noWrap w:val="0"/>
            <w:vAlign w:val="center"/>
          </w:tcPr>
          <w:p>
            <w:pPr>
              <w:widowControl/>
              <w:spacing w:line="240" w:lineRule="auto"/>
              <w:jc w:val="center"/>
              <w:rPr>
                <w:rFonts w:hint="eastAsia"/>
                <w:color w:val="auto"/>
                <w:kern w:val="0"/>
                <w:sz w:val="21"/>
                <w:szCs w:val="21"/>
              </w:rPr>
            </w:pPr>
          </w:p>
        </w:tc>
        <w:tc>
          <w:tcPr>
            <w:tcW w:w="1083" w:type="dxa"/>
            <w:noWrap w:val="0"/>
            <w:vAlign w:val="center"/>
          </w:tcPr>
          <w:p>
            <w:pPr>
              <w:widowControl/>
              <w:spacing w:line="240" w:lineRule="auto"/>
              <w:jc w:val="center"/>
              <w:rPr>
                <w:rFonts w:hint="default" w:eastAsia="宋体"/>
                <w:color w:val="auto"/>
                <w:kern w:val="0"/>
                <w:sz w:val="21"/>
                <w:szCs w:val="21"/>
                <w:lang w:val="en-US" w:eastAsia="zh-CN"/>
              </w:rPr>
            </w:pPr>
            <w:r>
              <w:rPr>
                <w:rFonts w:hint="eastAsia"/>
                <w:color w:val="auto"/>
                <w:kern w:val="0"/>
                <w:sz w:val="21"/>
                <w:szCs w:val="21"/>
                <w:lang w:val="en-US" w:eastAsia="zh-CN"/>
              </w:rPr>
              <w:t>22197.21</w:t>
            </w:r>
          </w:p>
        </w:tc>
        <w:tc>
          <w:tcPr>
            <w:tcW w:w="1978" w:type="dxa"/>
            <w:noWrap w:val="0"/>
            <w:vAlign w:val="center"/>
          </w:tcPr>
          <w:p>
            <w:pPr>
              <w:widowControl/>
              <w:spacing w:line="240" w:lineRule="auto"/>
              <w:jc w:val="center"/>
              <w:rPr>
                <w:rFonts w:hint="eastAsia"/>
                <w:color w:val="auto"/>
                <w:kern w:val="0"/>
                <w:sz w:val="21"/>
                <w:szCs w:val="21"/>
              </w:rPr>
            </w:pPr>
          </w:p>
        </w:tc>
      </w:tr>
    </w:tbl>
    <w:p>
      <w:pPr>
        <w:bidi w:val="0"/>
        <w:ind w:firstLine="420" w:firstLineChars="200"/>
        <w:rPr>
          <w:rFonts w:hint="eastAsia"/>
          <w:color w:val="auto"/>
          <w:sz w:val="21"/>
          <w:szCs w:val="21"/>
          <w:highlight w:val="yellow"/>
        </w:rPr>
      </w:pPr>
      <w:r>
        <w:rPr>
          <w:rFonts w:hint="eastAsia"/>
          <w:color w:val="auto"/>
          <w:sz w:val="21"/>
          <w:szCs w:val="21"/>
          <w:highlight w:val="none"/>
        </w:rPr>
        <w:t>注:精馏塔未凝气的主要成分是甲基丙烯酸甲</w:t>
      </w:r>
      <w:r>
        <w:rPr>
          <w:rFonts w:hint="eastAsia"/>
          <w:color w:val="auto"/>
          <w:sz w:val="21"/>
          <w:szCs w:val="21"/>
          <w:highlight w:val="none"/>
          <w:lang w:val="en-US" w:eastAsia="zh-CN"/>
        </w:rPr>
        <w:t>酯</w:t>
      </w:r>
      <w:r>
        <w:rPr>
          <w:rFonts w:hint="eastAsia"/>
          <w:color w:val="auto"/>
          <w:sz w:val="21"/>
          <w:szCs w:val="21"/>
          <w:highlight w:val="none"/>
        </w:rPr>
        <w:t>、丙烯酸甲</w:t>
      </w:r>
      <w:r>
        <w:rPr>
          <w:rFonts w:hint="eastAsia"/>
          <w:color w:val="auto"/>
          <w:sz w:val="21"/>
          <w:szCs w:val="21"/>
          <w:highlight w:val="none"/>
          <w:lang w:val="en-US" w:eastAsia="zh-CN"/>
        </w:rPr>
        <w:t>酯</w:t>
      </w:r>
      <w:r>
        <w:rPr>
          <w:rFonts w:hint="eastAsia"/>
          <w:color w:val="auto"/>
          <w:sz w:val="21"/>
          <w:szCs w:val="21"/>
          <w:highlight w:val="none"/>
        </w:rPr>
        <w:t>、甲基丙烯酸、甲醇、其他有机废气</w:t>
      </w:r>
      <w:r>
        <w:rPr>
          <w:rFonts w:hint="eastAsia"/>
          <w:color w:val="auto"/>
          <w:sz w:val="21"/>
          <w:szCs w:val="21"/>
          <w:highlight w:val="none"/>
          <w:lang w:eastAsia="zh-CN"/>
        </w:rPr>
        <w:t>。</w:t>
      </w:r>
      <w:r>
        <w:rPr>
          <w:rFonts w:hint="eastAsia"/>
          <w:color w:val="auto"/>
          <w:sz w:val="21"/>
          <w:szCs w:val="21"/>
          <w:highlight w:val="none"/>
        </w:rPr>
        <w:t>精馏残液的主要</w:t>
      </w:r>
      <w:r>
        <w:rPr>
          <w:rFonts w:hint="eastAsia"/>
          <w:color w:val="auto"/>
          <w:sz w:val="21"/>
          <w:szCs w:val="21"/>
          <w:highlight w:val="none"/>
          <w:lang w:val="en-US" w:eastAsia="zh-CN"/>
        </w:rPr>
        <w:t>成分是</w:t>
      </w:r>
      <w:r>
        <w:rPr>
          <w:rFonts w:hint="eastAsia"/>
          <w:color w:val="auto"/>
          <w:sz w:val="21"/>
          <w:szCs w:val="21"/>
          <w:highlight w:val="none"/>
        </w:rPr>
        <w:t>聚甲基丙烯酸甲</w:t>
      </w:r>
      <w:r>
        <w:rPr>
          <w:rFonts w:hint="eastAsia"/>
          <w:color w:val="auto"/>
          <w:sz w:val="21"/>
          <w:szCs w:val="21"/>
          <w:highlight w:val="none"/>
          <w:lang w:val="en-US" w:eastAsia="zh-CN"/>
        </w:rPr>
        <w:t>酯</w:t>
      </w:r>
      <w:r>
        <w:rPr>
          <w:rFonts w:hint="eastAsia"/>
          <w:color w:val="auto"/>
          <w:sz w:val="21"/>
          <w:szCs w:val="21"/>
          <w:highlight w:val="none"/>
        </w:rPr>
        <w:t>、2-甲基5亚甲基</w:t>
      </w:r>
      <w:r>
        <w:rPr>
          <w:rFonts w:hint="eastAsia"/>
          <w:color w:val="auto"/>
          <w:sz w:val="21"/>
          <w:szCs w:val="21"/>
          <w:highlight w:val="none"/>
          <w:lang w:val="en-US" w:eastAsia="zh-CN"/>
        </w:rPr>
        <w:t>己</w:t>
      </w:r>
      <w:r>
        <w:rPr>
          <w:rFonts w:hint="eastAsia"/>
          <w:color w:val="auto"/>
          <w:sz w:val="21"/>
          <w:szCs w:val="21"/>
          <w:highlight w:val="none"/>
        </w:rPr>
        <w:t>二酸二甲酯、环已烯（烷）二甲酸二甲酯类、环戊烯（烷）二甲酸二甲酯类。</w:t>
      </w:r>
      <w:r>
        <w:rPr>
          <w:rFonts w:hint="eastAsia"/>
          <w:color w:val="auto"/>
          <w:sz w:val="21"/>
          <w:szCs w:val="21"/>
          <w:highlight w:val="none"/>
          <w:lang w:val="en-US" w:eastAsia="zh-CN"/>
        </w:rPr>
        <w:t>由输送泵</w:t>
      </w:r>
      <w:r>
        <w:rPr>
          <w:rFonts w:hint="eastAsia"/>
          <w:color w:val="auto"/>
          <w:sz w:val="21"/>
          <w:szCs w:val="21"/>
          <w:highlight w:val="none"/>
        </w:rPr>
        <w:t>送至</w:t>
      </w:r>
      <w:r>
        <w:rPr>
          <w:rFonts w:hint="eastAsia"/>
          <w:color w:val="auto"/>
          <w:sz w:val="21"/>
          <w:szCs w:val="21"/>
          <w:highlight w:val="none"/>
          <w:lang w:val="en-US" w:eastAsia="zh-CN"/>
        </w:rPr>
        <w:t>精馏</w:t>
      </w:r>
      <w:r>
        <w:rPr>
          <w:rFonts w:hint="eastAsia"/>
          <w:color w:val="auto"/>
          <w:sz w:val="21"/>
          <w:szCs w:val="21"/>
          <w:highlight w:val="none"/>
        </w:rPr>
        <w:t>残液罐内，未凝气体最后引至</w:t>
      </w:r>
      <w:r>
        <w:rPr>
          <w:rFonts w:hint="eastAsia"/>
          <w:color w:val="auto"/>
          <w:sz w:val="21"/>
          <w:szCs w:val="21"/>
          <w:highlight w:val="none"/>
          <w:lang w:val="en-US" w:eastAsia="zh-CN"/>
        </w:rPr>
        <w:t>TO炉焚烧</w:t>
      </w:r>
      <w:r>
        <w:rPr>
          <w:rFonts w:hint="eastAsia"/>
          <w:color w:val="auto"/>
          <w:sz w:val="21"/>
          <w:szCs w:val="21"/>
          <w:highlight w:val="none"/>
        </w:rPr>
        <w:t>处理后外排。</w:t>
      </w:r>
    </w:p>
    <w:p>
      <w:pPr>
        <w:pStyle w:val="4"/>
        <w:rPr>
          <w:rFonts w:hint="eastAsia"/>
          <w:color w:val="auto"/>
          <w:sz w:val="28"/>
          <w:szCs w:val="28"/>
          <w:lang w:val="en-US" w:eastAsia="zh-CN"/>
        </w:rPr>
      </w:pPr>
      <w:bookmarkStart w:id="132" w:name="_Toc20088"/>
      <w:bookmarkStart w:id="133" w:name="_Toc23971"/>
      <w:bookmarkStart w:id="134" w:name="_Toc8027"/>
      <w:bookmarkStart w:id="135" w:name="_Toc4161"/>
      <w:bookmarkStart w:id="136" w:name="_Toc32527"/>
      <w:bookmarkStart w:id="137" w:name="_Toc10275"/>
      <w:r>
        <w:rPr>
          <w:rFonts w:hint="default" w:ascii="Times New Roman" w:hAnsi="Times New Roman" w:cs="Times New Roman"/>
          <w:color w:val="auto"/>
          <w:sz w:val="28"/>
          <w:szCs w:val="28"/>
          <w:lang w:val="en-US" w:eastAsia="zh-CN"/>
        </w:rPr>
        <w:t>2.3.5</w:t>
      </w:r>
      <w:r>
        <w:rPr>
          <w:rFonts w:hint="eastAsia"/>
          <w:color w:val="auto"/>
          <w:sz w:val="28"/>
          <w:szCs w:val="28"/>
          <w:lang w:val="en-US" w:eastAsia="zh-CN"/>
        </w:rPr>
        <w:t>仪表及自动控制系统</w:t>
      </w:r>
      <w:bookmarkEnd w:id="132"/>
      <w:bookmarkEnd w:id="133"/>
      <w:bookmarkEnd w:id="134"/>
      <w:bookmarkEnd w:id="135"/>
      <w:bookmarkEnd w:id="136"/>
      <w:bookmarkEnd w:id="137"/>
    </w:p>
    <w:p>
      <w:pPr>
        <w:ind w:firstLine="562" w:firstLineChars="200"/>
        <w:rPr>
          <w:rFonts w:hint="default"/>
          <w:b/>
          <w:bCs/>
          <w:color w:val="auto"/>
          <w:lang w:val="en-US" w:eastAsia="zh-CN"/>
        </w:rPr>
      </w:pPr>
      <w:r>
        <w:rPr>
          <w:rFonts w:hint="default"/>
          <w:b/>
          <w:bCs/>
          <w:color w:val="auto"/>
          <w:lang w:val="en-US" w:eastAsia="zh-CN"/>
        </w:rPr>
        <w:t>1.自动控制水平及方案</w:t>
      </w:r>
    </w:p>
    <w:p>
      <w:pPr>
        <w:ind w:firstLine="560" w:firstLineChars="200"/>
        <w:rPr>
          <w:rFonts w:hint="default"/>
          <w:color w:val="auto"/>
          <w:highlight w:val="none"/>
          <w:lang w:val="en-US" w:eastAsia="zh-CN"/>
        </w:rPr>
      </w:pPr>
      <w:r>
        <w:rPr>
          <w:rFonts w:hint="default"/>
          <w:color w:val="auto"/>
          <w:lang w:val="en-US" w:eastAsia="zh-CN"/>
        </w:rPr>
        <w:t>该项目涉及的工艺装置较多，工艺流程较成熟，生产过程涉及</w:t>
      </w:r>
      <w:r>
        <w:rPr>
          <w:rFonts w:hint="default"/>
          <w:color w:val="auto"/>
          <w:highlight w:val="none"/>
          <w:lang w:val="en-US" w:eastAsia="zh-CN"/>
        </w:rPr>
        <w:t>到易燃、</w:t>
      </w:r>
    </w:p>
    <w:p>
      <w:pPr>
        <w:rPr>
          <w:rFonts w:hint="default"/>
          <w:color w:val="auto"/>
          <w:lang w:val="en-US" w:eastAsia="zh-CN"/>
        </w:rPr>
      </w:pPr>
      <w:r>
        <w:rPr>
          <w:rFonts w:hint="default"/>
          <w:color w:val="auto"/>
          <w:highlight w:val="none"/>
          <w:lang w:val="en-US" w:eastAsia="zh-CN"/>
        </w:rPr>
        <w:t>易爆等介质</w:t>
      </w:r>
      <w:r>
        <w:rPr>
          <w:rFonts w:hint="default"/>
          <w:color w:val="auto"/>
          <w:lang w:val="en-US" w:eastAsia="zh-CN"/>
        </w:rPr>
        <w:t>以及一旦泄漏会对人体构成危害的物质，为保证装置的安全、平稳、长周期、满负荷和高质量运行，要求该项目选用的自控设备技术先进、安全可靠、操作方便和经济合理，满足装置操作和运行的要求。</w:t>
      </w:r>
    </w:p>
    <w:p>
      <w:pPr>
        <w:spacing w:line="360" w:lineRule="auto"/>
        <w:ind w:firstLine="560" w:firstLineChars="200"/>
        <w:rPr>
          <w:color w:val="auto"/>
          <w:sz w:val="28"/>
          <w:szCs w:val="28"/>
          <w:highlight w:val="none"/>
        </w:rPr>
      </w:pPr>
      <w:r>
        <w:rPr>
          <w:color w:val="auto"/>
          <w:sz w:val="28"/>
          <w:szCs w:val="28"/>
          <w:highlight w:val="none"/>
        </w:rPr>
        <w:t>1）控制方式</w:t>
      </w:r>
    </w:p>
    <w:p>
      <w:pPr>
        <w:spacing w:line="360" w:lineRule="auto"/>
        <w:ind w:firstLine="560" w:firstLineChars="200"/>
        <w:rPr>
          <w:bCs/>
          <w:color w:val="auto"/>
          <w:sz w:val="28"/>
          <w:highlight w:val="none"/>
        </w:rPr>
      </w:pPr>
      <w:r>
        <w:rPr>
          <w:bCs/>
          <w:color w:val="auto"/>
          <w:sz w:val="28"/>
          <w:highlight w:val="none"/>
        </w:rPr>
        <w:t>该项目控制方案遵循“技术先进、经济合理、运行可靠、操作方便”的原则，根据工艺装置的生产规模、流程特点、工艺操作要求，并参考国内同类型装置的自动化水平，对主要生产装置实施全厂集中监视、控制和管理，对辅助单元实施岗位集中监视、控制。</w:t>
      </w:r>
    </w:p>
    <w:p>
      <w:pPr>
        <w:spacing w:line="360" w:lineRule="auto"/>
        <w:ind w:firstLine="560" w:firstLineChars="200"/>
        <w:rPr>
          <w:bCs/>
          <w:color w:val="auto"/>
          <w:sz w:val="28"/>
          <w:highlight w:val="none"/>
        </w:rPr>
      </w:pPr>
      <w:r>
        <w:rPr>
          <w:bCs/>
          <w:color w:val="auto"/>
          <w:sz w:val="28"/>
          <w:highlight w:val="none"/>
        </w:rPr>
        <w:t>该项目</w:t>
      </w:r>
      <w:r>
        <w:rPr>
          <w:rFonts w:hint="eastAsia"/>
          <w:bCs/>
          <w:color w:val="auto"/>
          <w:sz w:val="28"/>
          <w:highlight w:val="none"/>
          <w:lang w:val="en-US" w:eastAsia="zh-CN"/>
        </w:rPr>
        <w:t>新建307</w:t>
      </w:r>
      <w:r>
        <w:rPr>
          <w:bCs/>
          <w:color w:val="auto"/>
          <w:sz w:val="28"/>
          <w:highlight w:val="none"/>
        </w:rPr>
        <w:t>中心控制室，采用分散型控制系统（DCS）、独立的安全仪表系统（SIS）和气体检测系统对主要工艺装置的运行和其他全厂生产过程进行集中监控和管理。正常的生产操作控制、监视、气体检测报警在DCS中实现，紧急停车和安全联锁则由独立的安全仪表系统（SIS）完成。紧急停车和安全联锁状态由DCS监视，以确保装置高效、连续、可靠地运行，并确保设备和人身的安全。</w:t>
      </w:r>
    </w:p>
    <w:p>
      <w:pPr>
        <w:spacing w:line="360" w:lineRule="auto"/>
        <w:ind w:firstLine="560" w:firstLineChars="200"/>
        <w:rPr>
          <w:bCs/>
          <w:color w:val="auto"/>
          <w:sz w:val="28"/>
          <w:highlight w:val="none"/>
        </w:rPr>
      </w:pPr>
      <w:r>
        <w:rPr>
          <w:bCs/>
          <w:color w:val="auto"/>
          <w:sz w:val="28"/>
          <w:highlight w:val="none"/>
        </w:rPr>
        <w:t>工艺装置的主要动设备的运行状态引入中央控制室的 DCS 进行监控。</w:t>
      </w:r>
    </w:p>
    <w:p>
      <w:pPr>
        <w:spacing w:line="360" w:lineRule="auto"/>
        <w:ind w:firstLine="560" w:firstLineChars="200"/>
        <w:rPr>
          <w:bCs/>
          <w:color w:val="auto"/>
          <w:sz w:val="28"/>
          <w:highlight w:val="none"/>
        </w:rPr>
      </w:pPr>
      <w:r>
        <w:rPr>
          <w:bCs/>
          <w:color w:val="auto"/>
          <w:sz w:val="28"/>
          <w:highlight w:val="none"/>
        </w:rPr>
        <w:t>监控要求不频繁的非关键过程变量，采用就地显示和控制：要求在开车过程中监视或仅需现场观察的过程变量，采用就地显示。必须现场操作的设备，采用就近安装的仪表盘或控制箱对其进行监控。</w:t>
      </w:r>
    </w:p>
    <w:p>
      <w:pPr>
        <w:spacing w:line="360" w:lineRule="auto"/>
        <w:ind w:firstLine="560" w:firstLineChars="200"/>
        <w:rPr>
          <w:bCs/>
          <w:color w:val="auto"/>
          <w:sz w:val="28"/>
          <w:highlight w:val="none"/>
        </w:rPr>
      </w:pPr>
      <w:r>
        <w:rPr>
          <w:bCs/>
          <w:color w:val="auto"/>
          <w:sz w:val="28"/>
          <w:highlight w:val="none"/>
        </w:rPr>
        <w:t>设置必要的能源消耗、原料、中间产品和最终产品的计量仪表，其精度符合本行业有关规定的要求。</w:t>
      </w:r>
    </w:p>
    <w:p>
      <w:pPr>
        <w:spacing w:line="360" w:lineRule="auto"/>
        <w:ind w:firstLine="560" w:firstLineChars="200"/>
        <w:rPr>
          <w:bCs/>
          <w:color w:val="auto"/>
          <w:sz w:val="28"/>
          <w:highlight w:val="none"/>
        </w:rPr>
      </w:pPr>
      <w:r>
        <w:rPr>
          <w:bCs/>
          <w:color w:val="auto"/>
          <w:sz w:val="28"/>
          <w:highlight w:val="none"/>
        </w:rPr>
        <w:t>2）控制方案</w:t>
      </w:r>
    </w:p>
    <w:p>
      <w:pPr>
        <w:spacing w:line="360" w:lineRule="auto"/>
        <w:ind w:firstLine="560" w:firstLineChars="200"/>
        <w:rPr>
          <w:bCs/>
          <w:color w:val="auto"/>
          <w:sz w:val="28"/>
          <w:highlight w:val="none"/>
        </w:rPr>
      </w:pPr>
      <w:r>
        <w:rPr>
          <w:bCs/>
          <w:color w:val="auto"/>
          <w:sz w:val="28"/>
          <w:highlight w:val="none"/>
        </w:rPr>
        <w:t>根据工艺特点，按照安全可靠的原则，自动控制方案优先采用成熟的方案，对于比较简单的控制采用常规的P</w:t>
      </w:r>
      <w:r>
        <w:rPr>
          <w:rFonts w:hint="eastAsia"/>
          <w:bCs/>
          <w:color w:val="auto"/>
          <w:sz w:val="28"/>
          <w:highlight w:val="none"/>
          <w:lang w:val="en-US" w:eastAsia="zh-CN"/>
        </w:rPr>
        <w:t>.</w:t>
      </w:r>
      <w:r>
        <w:rPr>
          <w:bCs/>
          <w:color w:val="auto"/>
          <w:sz w:val="28"/>
          <w:highlight w:val="none"/>
        </w:rPr>
        <w:t>I</w:t>
      </w:r>
      <w:r>
        <w:rPr>
          <w:rFonts w:hint="eastAsia"/>
          <w:bCs/>
          <w:color w:val="auto"/>
          <w:sz w:val="28"/>
          <w:highlight w:val="none"/>
          <w:lang w:val="en-US" w:eastAsia="zh-CN"/>
        </w:rPr>
        <w:t>.</w:t>
      </w:r>
      <w:r>
        <w:rPr>
          <w:bCs/>
          <w:color w:val="auto"/>
          <w:sz w:val="28"/>
          <w:highlight w:val="none"/>
        </w:rPr>
        <w:t>D单回路控制，对于过程控制连续性强和较为复杂的回路，采用串级、比值、分程等复杂控制，必要时可采用先进控制。</w:t>
      </w:r>
    </w:p>
    <w:p>
      <w:pPr>
        <w:numPr>
          <w:ilvl w:val="0"/>
          <w:numId w:val="2"/>
        </w:numPr>
        <w:spacing w:line="360" w:lineRule="auto"/>
        <w:ind w:firstLine="560" w:firstLineChars="200"/>
        <w:rPr>
          <w:bCs/>
          <w:color w:val="auto"/>
          <w:sz w:val="28"/>
          <w:highlight w:val="none"/>
        </w:rPr>
      </w:pPr>
      <w:r>
        <w:rPr>
          <w:bCs/>
          <w:color w:val="auto"/>
          <w:sz w:val="28"/>
          <w:highlight w:val="none"/>
        </w:rPr>
        <w:t>复杂控制</w:t>
      </w:r>
    </w:p>
    <w:p>
      <w:pPr>
        <w:spacing w:line="360" w:lineRule="auto"/>
        <w:ind w:firstLine="560" w:firstLineChars="200"/>
        <w:rPr>
          <w:bCs/>
          <w:color w:val="auto"/>
          <w:sz w:val="28"/>
          <w:highlight w:val="none"/>
        </w:rPr>
      </w:pPr>
      <w:r>
        <w:rPr>
          <w:rFonts w:hint="eastAsia"/>
          <w:bCs/>
          <w:color w:val="auto"/>
          <w:sz w:val="28"/>
          <w:highlight w:val="none"/>
        </w:rPr>
        <w:t>该项目设计</w:t>
      </w:r>
      <w:r>
        <w:rPr>
          <w:bCs/>
          <w:color w:val="auto"/>
          <w:sz w:val="28"/>
          <w:highlight w:val="none"/>
        </w:rPr>
        <w:t>方案采用的控制方案以 P.I.D单参数控制为主，辅之以少量串级、 比值、分程等复杂控制和逻辑控制。</w:t>
      </w:r>
    </w:p>
    <w:p>
      <w:pPr>
        <w:spacing w:line="360" w:lineRule="auto"/>
        <w:ind w:firstLine="560" w:firstLineChars="200"/>
        <w:rPr>
          <w:bCs/>
          <w:color w:val="auto"/>
          <w:sz w:val="28"/>
          <w:highlight w:val="none"/>
        </w:rPr>
      </w:pPr>
      <w:r>
        <w:rPr>
          <w:bCs/>
          <w:color w:val="auto"/>
          <w:sz w:val="28"/>
          <w:highlight w:val="none"/>
        </w:rPr>
        <w:t>b） 紧急停车和安全联锁</w:t>
      </w:r>
    </w:p>
    <w:p>
      <w:pPr>
        <w:spacing w:line="360" w:lineRule="auto"/>
        <w:ind w:firstLine="560" w:firstLineChars="200"/>
        <w:rPr>
          <w:bCs/>
          <w:color w:val="auto"/>
          <w:sz w:val="28"/>
          <w:highlight w:val="none"/>
        </w:rPr>
      </w:pPr>
      <w:r>
        <w:rPr>
          <w:rFonts w:hint="eastAsia"/>
          <w:bCs/>
          <w:color w:val="auto"/>
          <w:sz w:val="28"/>
          <w:highlight w:val="none"/>
          <w:lang w:val="en-US" w:eastAsia="zh-CN"/>
        </w:rPr>
        <w:t>该项目</w:t>
      </w:r>
      <w:r>
        <w:rPr>
          <w:bCs/>
          <w:color w:val="auto"/>
          <w:sz w:val="28"/>
          <w:highlight w:val="none"/>
        </w:rPr>
        <w:t>紧急停车和安全联锁系统的设计按照一旦装置发生故障，该系统将起到安全保护作用的原则进行。在系统故障或电源故障情况下，该系统将使关键设备或生产装置处于安全状态下。</w:t>
      </w:r>
    </w:p>
    <w:p>
      <w:pPr>
        <w:spacing w:line="360" w:lineRule="auto"/>
        <w:ind w:firstLine="560" w:firstLineChars="200"/>
        <w:rPr>
          <w:bCs/>
          <w:color w:val="auto"/>
          <w:sz w:val="28"/>
          <w:highlight w:val="none"/>
        </w:rPr>
      </w:pPr>
      <w:r>
        <w:rPr>
          <w:bCs/>
          <w:color w:val="auto"/>
          <w:sz w:val="28"/>
          <w:highlight w:val="none"/>
        </w:rPr>
        <w:t>装置的紧急停车和安全联锁系统由独立设置的安全仪表系统（SIS）实现，装置工艺联锁由SIS的逻辑功能完成，机组安全联锁保护系统由随机提供的机组安全保护系统实现。为了方便操作和对突发事件的处理，在位于中央控制室的辅助操作台上</w:t>
      </w:r>
      <w:r>
        <w:rPr>
          <w:rFonts w:hint="eastAsia"/>
          <w:bCs/>
          <w:color w:val="auto"/>
          <w:sz w:val="28"/>
          <w:highlight w:val="none"/>
        </w:rPr>
        <w:t>拟</w:t>
      </w:r>
      <w:r>
        <w:rPr>
          <w:bCs/>
          <w:color w:val="auto"/>
          <w:sz w:val="28"/>
          <w:highlight w:val="none"/>
        </w:rPr>
        <w:t>设置重要信号的联锁报警以及联锁复位按钮和紧急停车按钮等辅助设施。</w:t>
      </w:r>
    </w:p>
    <w:p>
      <w:pPr>
        <w:spacing w:line="360" w:lineRule="auto"/>
        <w:ind w:firstLine="560" w:firstLineChars="200"/>
        <w:rPr>
          <w:bCs/>
          <w:color w:val="auto"/>
          <w:sz w:val="28"/>
          <w:highlight w:val="none"/>
        </w:rPr>
      </w:pPr>
      <w:r>
        <w:rPr>
          <w:bCs/>
          <w:color w:val="auto"/>
          <w:sz w:val="28"/>
          <w:highlight w:val="none"/>
        </w:rPr>
        <w:t>根据《首批重点监管的危险化工工艺目录及控制要求》（安监总管三[2009]116号）以及《国家安全监管总局关于公布第二批重点监管危险化工工艺目录和调整首批重点监管危险化工工艺中部分典型工艺的通知》（安监总管三）[2013]3号），该项目中涉及</w:t>
      </w:r>
      <w:r>
        <w:rPr>
          <w:rFonts w:hint="eastAsia"/>
          <w:bCs/>
          <w:color w:val="auto"/>
          <w:sz w:val="28"/>
          <w:highlight w:val="none"/>
          <w:lang w:val="en-US" w:eastAsia="zh-CN"/>
        </w:rPr>
        <w:t>裂解</w:t>
      </w:r>
      <w:r>
        <w:rPr>
          <w:rFonts w:hint="eastAsia"/>
          <w:bCs/>
          <w:color w:val="auto"/>
          <w:sz w:val="28"/>
          <w:highlight w:val="none"/>
        </w:rPr>
        <w:t>工艺</w:t>
      </w:r>
      <w:r>
        <w:rPr>
          <w:rFonts w:hint="eastAsia"/>
          <w:bCs/>
          <w:color w:val="auto"/>
          <w:sz w:val="28"/>
          <w:highlight w:val="none"/>
          <w:lang w:eastAsia="zh-CN"/>
        </w:rPr>
        <w:t>、</w:t>
      </w:r>
      <w:r>
        <w:rPr>
          <w:rFonts w:hint="eastAsia"/>
          <w:bCs/>
          <w:color w:val="auto"/>
          <w:sz w:val="28"/>
          <w:highlight w:val="none"/>
          <w:lang w:val="en-US" w:eastAsia="zh-CN"/>
        </w:rPr>
        <w:t>精馏工艺，其中裂解工艺</w:t>
      </w:r>
      <w:r>
        <w:rPr>
          <w:bCs/>
          <w:color w:val="auto"/>
          <w:sz w:val="28"/>
          <w:highlight w:val="none"/>
        </w:rPr>
        <w:t>属</w:t>
      </w:r>
      <w:r>
        <w:rPr>
          <w:rFonts w:hint="eastAsia"/>
          <w:bCs/>
          <w:color w:val="auto"/>
          <w:sz w:val="28"/>
          <w:highlight w:val="none"/>
          <w:lang w:val="en-US" w:eastAsia="zh-CN"/>
        </w:rPr>
        <w:t>于</w:t>
      </w:r>
      <w:r>
        <w:rPr>
          <w:bCs/>
          <w:color w:val="auto"/>
          <w:sz w:val="28"/>
          <w:highlight w:val="none"/>
        </w:rPr>
        <w:t>重点监管的危险化工工艺，</w:t>
      </w:r>
      <w:r>
        <w:rPr>
          <w:rFonts w:hint="eastAsia"/>
          <w:bCs/>
          <w:color w:val="auto"/>
          <w:sz w:val="28"/>
          <w:highlight w:val="none"/>
          <w:lang w:val="en-US" w:eastAsia="zh-CN"/>
        </w:rPr>
        <w:t>精馏工艺不属于重点监管的危险化工工艺，但生产过程涉及到易燃易爆化学品，</w:t>
      </w:r>
      <w:r>
        <w:rPr>
          <w:bCs/>
          <w:color w:val="auto"/>
          <w:sz w:val="28"/>
          <w:highlight w:val="none"/>
        </w:rPr>
        <w:t>生产中对以下参数进行重点监管：</w:t>
      </w:r>
    </w:p>
    <w:p>
      <w:pPr>
        <w:spacing w:line="360" w:lineRule="auto"/>
        <w:ind w:firstLine="560" w:firstLineChars="200"/>
        <w:rPr>
          <w:bCs/>
          <w:color w:val="auto"/>
          <w:sz w:val="28"/>
          <w:highlight w:val="none"/>
        </w:rPr>
      </w:pPr>
      <w:r>
        <w:rPr>
          <w:bCs/>
          <w:color w:val="auto"/>
          <w:sz w:val="28"/>
          <w:highlight w:val="none"/>
        </w:rPr>
        <w:t>——裂解</w:t>
      </w:r>
      <w:r>
        <w:rPr>
          <w:rFonts w:hint="eastAsia"/>
          <w:bCs/>
          <w:color w:val="auto"/>
          <w:sz w:val="28"/>
          <w:highlight w:val="none"/>
          <w:lang w:val="en-US" w:eastAsia="zh-CN"/>
        </w:rPr>
        <w:t>炉</w:t>
      </w:r>
      <w:r>
        <w:rPr>
          <w:bCs/>
          <w:color w:val="auto"/>
          <w:sz w:val="28"/>
          <w:highlight w:val="none"/>
        </w:rPr>
        <w:t>温度、压力；</w:t>
      </w:r>
    </w:p>
    <w:p>
      <w:pPr>
        <w:spacing w:line="360" w:lineRule="auto"/>
        <w:ind w:firstLine="560" w:firstLineChars="200"/>
        <w:rPr>
          <w:bCs/>
          <w:color w:val="auto"/>
          <w:sz w:val="28"/>
          <w:highlight w:val="none"/>
        </w:rPr>
      </w:pPr>
      <w:r>
        <w:rPr>
          <w:bCs/>
          <w:color w:val="auto"/>
          <w:sz w:val="28"/>
          <w:highlight w:val="none"/>
        </w:rPr>
        <w:t>——</w:t>
      </w:r>
      <w:r>
        <w:rPr>
          <w:rFonts w:hint="eastAsia"/>
          <w:bCs/>
          <w:color w:val="auto"/>
          <w:sz w:val="28"/>
          <w:highlight w:val="none"/>
          <w:lang w:val="en-US" w:eastAsia="zh-CN"/>
        </w:rPr>
        <w:t>蒸馏釜温度、压力</w:t>
      </w:r>
      <w:r>
        <w:rPr>
          <w:bCs/>
          <w:color w:val="auto"/>
          <w:sz w:val="28"/>
          <w:highlight w:val="none"/>
        </w:rPr>
        <w:t>；</w:t>
      </w:r>
    </w:p>
    <w:p>
      <w:pPr>
        <w:bidi w:val="0"/>
        <w:ind w:firstLine="560" w:firstLineChars="200"/>
        <w:rPr>
          <w:color w:val="auto"/>
          <w:highlight w:val="none"/>
        </w:rPr>
      </w:pPr>
      <w:r>
        <w:rPr>
          <w:color w:val="auto"/>
          <w:highlight w:val="none"/>
        </w:rPr>
        <w:t>——</w:t>
      </w:r>
      <w:r>
        <w:rPr>
          <w:rFonts w:hint="eastAsia"/>
          <w:color w:val="auto"/>
          <w:highlight w:val="none"/>
          <w:lang w:val="en-US" w:eastAsia="zh-CN"/>
        </w:rPr>
        <w:t>甲基丙烯酸甲酯储罐温度、液位远传记录报警</w:t>
      </w:r>
      <w:r>
        <w:rPr>
          <w:color w:val="auto"/>
          <w:highlight w:val="none"/>
        </w:rPr>
        <w:t>；</w:t>
      </w:r>
    </w:p>
    <w:p>
      <w:pPr>
        <w:spacing w:line="360" w:lineRule="auto"/>
        <w:ind w:firstLine="560" w:firstLineChars="200"/>
        <w:rPr>
          <w:bCs/>
          <w:color w:val="auto"/>
          <w:sz w:val="28"/>
          <w:highlight w:val="none"/>
        </w:rPr>
      </w:pPr>
      <w:r>
        <w:rPr>
          <w:bCs/>
          <w:color w:val="auto"/>
          <w:sz w:val="28"/>
          <w:highlight w:val="none"/>
        </w:rPr>
        <w:t>根据生产工艺安全控制的基本要求，设置独立设置的安全仪表系统（SIS）实现以下工艺的控制：</w:t>
      </w:r>
    </w:p>
    <w:p>
      <w:pPr>
        <w:spacing w:line="360" w:lineRule="auto"/>
        <w:ind w:firstLine="560" w:firstLineChars="200"/>
        <w:rPr>
          <w:bCs/>
          <w:color w:val="auto"/>
          <w:sz w:val="28"/>
          <w:highlight w:val="none"/>
        </w:rPr>
      </w:pPr>
      <w:r>
        <w:rPr>
          <w:bCs/>
          <w:color w:val="auto"/>
          <w:sz w:val="28"/>
          <w:highlight w:val="none"/>
        </w:rPr>
        <w:t>——</w:t>
      </w:r>
      <w:r>
        <w:rPr>
          <w:rFonts w:hint="eastAsia"/>
          <w:bCs/>
          <w:color w:val="auto"/>
          <w:sz w:val="28"/>
          <w:highlight w:val="none"/>
          <w:lang w:val="en-US" w:eastAsia="zh-CN"/>
        </w:rPr>
        <w:t>裂解炉、蒸馏釜</w:t>
      </w:r>
      <w:r>
        <w:rPr>
          <w:bCs/>
          <w:color w:val="auto"/>
          <w:sz w:val="28"/>
          <w:highlight w:val="none"/>
        </w:rPr>
        <w:t>温度的报警和联锁；</w:t>
      </w:r>
    </w:p>
    <w:p>
      <w:pPr>
        <w:spacing w:line="360" w:lineRule="auto"/>
        <w:ind w:firstLine="560" w:firstLineChars="200"/>
        <w:rPr>
          <w:bCs/>
          <w:color w:val="auto"/>
          <w:sz w:val="28"/>
          <w:highlight w:val="none"/>
        </w:rPr>
      </w:pPr>
      <w:r>
        <w:rPr>
          <w:bCs/>
          <w:color w:val="auto"/>
          <w:sz w:val="28"/>
          <w:highlight w:val="none"/>
        </w:rPr>
        <w:t>——</w:t>
      </w:r>
      <w:r>
        <w:rPr>
          <w:rFonts w:hint="eastAsia"/>
          <w:bCs/>
          <w:color w:val="auto"/>
          <w:sz w:val="28"/>
          <w:highlight w:val="none"/>
          <w:lang w:val="en-US" w:eastAsia="zh-CN"/>
        </w:rPr>
        <w:t>裂解炉、蒸馏釜</w:t>
      </w:r>
      <w:r>
        <w:rPr>
          <w:bCs/>
          <w:color w:val="auto"/>
          <w:sz w:val="28"/>
          <w:highlight w:val="none"/>
        </w:rPr>
        <w:t>压力的报警和联锁；</w:t>
      </w:r>
    </w:p>
    <w:p>
      <w:pPr>
        <w:spacing w:line="360" w:lineRule="auto"/>
        <w:ind w:firstLine="560" w:firstLineChars="200"/>
        <w:rPr>
          <w:bCs/>
          <w:color w:val="auto"/>
          <w:sz w:val="28"/>
          <w:highlight w:val="none"/>
        </w:rPr>
      </w:pPr>
      <w:r>
        <w:rPr>
          <w:bCs/>
          <w:color w:val="auto"/>
          <w:sz w:val="28"/>
          <w:highlight w:val="none"/>
        </w:rPr>
        <w:t>——紧急停车系统；</w:t>
      </w:r>
    </w:p>
    <w:p>
      <w:pPr>
        <w:spacing w:line="360" w:lineRule="auto"/>
        <w:ind w:firstLine="560" w:firstLineChars="200"/>
        <w:rPr>
          <w:bCs/>
          <w:color w:val="auto"/>
          <w:sz w:val="28"/>
          <w:highlight w:val="none"/>
        </w:rPr>
      </w:pPr>
      <w:r>
        <w:rPr>
          <w:bCs/>
          <w:color w:val="auto"/>
          <w:sz w:val="28"/>
          <w:highlight w:val="none"/>
        </w:rPr>
        <w:t>——可燃气体检测报警装置等。</w:t>
      </w:r>
    </w:p>
    <w:p>
      <w:pPr>
        <w:ind w:firstLine="562" w:firstLineChars="200"/>
        <w:rPr>
          <w:rFonts w:hint="default"/>
          <w:b/>
          <w:bCs/>
          <w:color w:val="auto"/>
          <w:lang w:val="en-US" w:eastAsia="zh-CN"/>
        </w:rPr>
      </w:pPr>
      <w:r>
        <w:rPr>
          <w:rFonts w:hint="eastAsia"/>
          <w:b/>
          <w:bCs/>
          <w:color w:val="auto"/>
          <w:lang w:val="en-US" w:eastAsia="zh-CN"/>
        </w:rPr>
        <w:t>2</w:t>
      </w:r>
      <w:r>
        <w:rPr>
          <w:rFonts w:hint="default"/>
          <w:b/>
          <w:bCs/>
          <w:color w:val="auto"/>
          <w:lang w:val="en-US" w:eastAsia="zh-CN"/>
        </w:rPr>
        <w:t>.控制室和机柜室的设置</w:t>
      </w:r>
    </w:p>
    <w:p>
      <w:pPr>
        <w:ind w:firstLine="560" w:firstLineChars="200"/>
        <w:rPr>
          <w:rFonts w:hint="default"/>
          <w:color w:val="auto"/>
          <w:lang w:val="en-US" w:eastAsia="zh-CN"/>
        </w:rPr>
      </w:pPr>
      <w:r>
        <w:rPr>
          <w:rFonts w:hint="default"/>
          <w:color w:val="auto"/>
          <w:lang w:val="en-US" w:eastAsia="zh-CN"/>
        </w:rPr>
        <w:t>该项目新建</w:t>
      </w:r>
      <w:r>
        <w:rPr>
          <w:rFonts w:hint="eastAsia"/>
          <w:color w:val="auto"/>
          <w:lang w:val="en-US" w:eastAsia="zh-CN"/>
        </w:rPr>
        <w:t>307</w:t>
      </w:r>
      <w:r>
        <w:rPr>
          <w:rFonts w:hint="default"/>
          <w:color w:val="auto"/>
          <w:lang w:val="en-US" w:eastAsia="zh-CN"/>
        </w:rPr>
        <w:t>中心控制室。自控控制系统信号拟远传至拟建的中央控制室；中控室机柜间用于安装厂区的所有控制系统，如</w:t>
      </w:r>
      <w:r>
        <w:rPr>
          <w:rFonts w:hint="eastAsia"/>
          <w:color w:val="auto"/>
          <w:lang w:val="en-US" w:eastAsia="zh-CN"/>
        </w:rPr>
        <w:t>SIS、</w:t>
      </w:r>
      <w:r>
        <w:rPr>
          <w:rFonts w:hint="default"/>
          <w:color w:val="auto"/>
          <w:lang w:val="en-US" w:eastAsia="zh-CN"/>
        </w:rPr>
        <w:t>DCS、GDS等的控制站、I/O机柜、接线端子柜、通讯设备机柜和安全栅柜、继电器柜等辅助机柜。所有自动控制功能均在中控室操作站实现。</w:t>
      </w:r>
    </w:p>
    <w:p>
      <w:pPr>
        <w:ind w:firstLine="560" w:firstLineChars="200"/>
        <w:rPr>
          <w:rFonts w:hint="default"/>
          <w:color w:val="auto"/>
          <w:lang w:val="en-US" w:eastAsia="zh-CN"/>
        </w:rPr>
      </w:pPr>
      <w:r>
        <w:rPr>
          <w:rFonts w:hint="default"/>
          <w:color w:val="auto"/>
          <w:lang w:val="en-US" w:eastAsia="zh-CN"/>
        </w:rPr>
        <w:t>中控室地面采用防静电活动地板，活动地板下方基础地面采用水磨石地面，基础地面高于室外地面300mm以上。室温宜为：冬季20±2℃，夏季26±2℃，温度变化率小于5℃/h；相对湿度宜为：40%~60%，湿度变化率小于6%/h。机柜室宜采用人工照明，距地面0.8米工作面上的照度为200lx~300lx。机柜室设置事故应急照明，照度为50lx。</w:t>
      </w:r>
    </w:p>
    <w:p>
      <w:pPr>
        <w:ind w:firstLine="560" w:firstLineChars="200"/>
        <w:rPr>
          <w:rFonts w:hint="default"/>
          <w:color w:val="auto"/>
          <w:lang w:val="en-US" w:eastAsia="zh-CN"/>
        </w:rPr>
      </w:pPr>
      <w:r>
        <w:rPr>
          <w:rFonts w:hint="default"/>
          <w:color w:val="auto"/>
          <w:lang w:val="en-US" w:eastAsia="zh-CN"/>
        </w:rPr>
        <w:t>中控室外墙拟设置为抗爆墙，控制室通向室外的门拟设置为抗爆门。</w:t>
      </w:r>
    </w:p>
    <w:p>
      <w:pPr>
        <w:ind w:firstLine="562" w:firstLineChars="200"/>
        <w:rPr>
          <w:rFonts w:hint="default"/>
          <w:b/>
          <w:bCs/>
          <w:color w:val="auto"/>
          <w:lang w:val="en-US" w:eastAsia="zh-CN"/>
        </w:rPr>
      </w:pPr>
      <w:r>
        <w:rPr>
          <w:rFonts w:hint="default"/>
          <w:b/>
          <w:bCs/>
          <w:color w:val="auto"/>
          <w:lang w:val="en-US" w:eastAsia="zh-CN"/>
        </w:rPr>
        <w:t>4.仪表选型</w:t>
      </w:r>
    </w:p>
    <w:p>
      <w:pPr>
        <w:ind w:firstLine="560" w:firstLineChars="200"/>
        <w:rPr>
          <w:rFonts w:hint="default"/>
          <w:color w:val="auto"/>
          <w:lang w:val="en-US" w:eastAsia="zh-CN"/>
        </w:rPr>
      </w:pPr>
      <w:r>
        <w:rPr>
          <w:rFonts w:hint="default"/>
          <w:color w:val="auto"/>
          <w:lang w:val="en-US" w:eastAsia="zh-CN"/>
        </w:rPr>
        <w:t>1）仪表选型原则</w:t>
      </w:r>
    </w:p>
    <w:p>
      <w:pPr>
        <w:ind w:firstLine="560" w:firstLineChars="200"/>
        <w:rPr>
          <w:rFonts w:hint="default"/>
          <w:color w:val="auto"/>
          <w:lang w:val="en-US" w:eastAsia="zh-CN"/>
        </w:rPr>
      </w:pPr>
      <w:r>
        <w:rPr>
          <w:rFonts w:hint="default"/>
          <w:color w:val="auto"/>
          <w:lang w:val="en-US" w:eastAsia="zh-CN"/>
        </w:rPr>
        <w:t>大部份仪表选用先进可靠、性能优良的国内合资生产的电子型仪表；重要及关键控制系统采用进口仪表；爆炸危险区内的仪表选型应选用有相应等级的防爆产品。所有现场仪表选用全天候的，具有相应的防护、耐气候及大气腐蚀能力，最低相当于 IP65的要求。</w:t>
      </w:r>
    </w:p>
    <w:p>
      <w:pPr>
        <w:ind w:firstLine="560" w:firstLineChars="200"/>
        <w:rPr>
          <w:rFonts w:hint="default"/>
          <w:color w:val="auto"/>
          <w:lang w:val="en-US" w:eastAsia="zh-CN"/>
        </w:rPr>
      </w:pPr>
      <w:r>
        <w:rPr>
          <w:rFonts w:hint="default"/>
          <w:color w:val="auto"/>
          <w:lang w:val="en-US" w:eastAsia="zh-CN"/>
        </w:rPr>
        <w:t>除就地控制、指示或特殊仪表外，现场变送器采用智能型仪表。控制阀及开关阀一般采用气动执行机构。</w:t>
      </w:r>
    </w:p>
    <w:p>
      <w:pPr>
        <w:ind w:firstLine="560" w:firstLineChars="200"/>
        <w:rPr>
          <w:rFonts w:hint="default"/>
          <w:color w:val="auto"/>
          <w:lang w:val="en-US" w:eastAsia="zh-CN"/>
        </w:rPr>
      </w:pPr>
      <w:r>
        <w:rPr>
          <w:rFonts w:hint="default"/>
          <w:color w:val="auto"/>
          <w:lang w:val="en-US" w:eastAsia="zh-CN"/>
        </w:rPr>
        <w:t>阀门的位置信号开关原则上采用</w:t>
      </w:r>
      <w:r>
        <w:rPr>
          <w:rFonts w:hint="eastAsia"/>
          <w:color w:val="auto"/>
          <w:highlight w:val="none"/>
          <w:lang w:val="en-US" w:eastAsia="zh-CN"/>
        </w:rPr>
        <w:t>限位</w:t>
      </w:r>
      <w:r>
        <w:rPr>
          <w:rFonts w:hint="default"/>
          <w:color w:val="auto"/>
          <w:lang w:val="en-US" w:eastAsia="zh-CN"/>
        </w:rPr>
        <w:t>开关。</w:t>
      </w:r>
    </w:p>
    <w:p>
      <w:pPr>
        <w:ind w:firstLine="560" w:firstLineChars="200"/>
        <w:rPr>
          <w:rFonts w:hint="default"/>
          <w:color w:val="auto"/>
          <w:lang w:val="en-US" w:eastAsia="zh-CN"/>
        </w:rPr>
      </w:pPr>
      <w:r>
        <w:rPr>
          <w:rFonts w:hint="default"/>
          <w:color w:val="auto"/>
          <w:lang w:val="en-US" w:eastAsia="zh-CN"/>
        </w:rPr>
        <w:t>电磁阀正常要求为24VDC供电。</w:t>
      </w:r>
    </w:p>
    <w:p>
      <w:pPr>
        <w:ind w:firstLine="560" w:firstLineChars="200"/>
        <w:rPr>
          <w:rFonts w:hint="default"/>
          <w:color w:val="auto"/>
          <w:lang w:val="en-US" w:eastAsia="zh-CN"/>
        </w:rPr>
      </w:pPr>
      <w:r>
        <w:rPr>
          <w:rFonts w:hint="default"/>
          <w:color w:val="auto"/>
          <w:lang w:val="en-US" w:eastAsia="zh-CN"/>
        </w:rPr>
        <w:t>（1）仪表信号</w:t>
      </w:r>
    </w:p>
    <w:p>
      <w:pPr>
        <w:ind w:firstLine="560" w:firstLineChars="200"/>
        <w:rPr>
          <w:rFonts w:hint="default"/>
          <w:color w:val="auto"/>
          <w:lang w:val="en-US" w:eastAsia="zh-CN"/>
        </w:rPr>
      </w:pPr>
      <w:r>
        <w:rPr>
          <w:rFonts w:hint="default"/>
          <w:color w:val="auto"/>
          <w:lang w:val="en-US" w:eastAsia="zh-CN"/>
        </w:rPr>
        <w:t>除温度检测元件(热电阻或热电偶)和特殊测量仪表外，所有进出控制室的变送器包括压力、差压、流量、液位等采用标准4~20mA DC信号，支持HART协议。</w:t>
      </w:r>
    </w:p>
    <w:p>
      <w:pPr>
        <w:ind w:firstLine="560" w:firstLineChars="200"/>
        <w:rPr>
          <w:rFonts w:hint="default"/>
          <w:color w:val="auto"/>
          <w:lang w:val="en-US" w:eastAsia="zh-CN"/>
        </w:rPr>
      </w:pPr>
      <w:r>
        <w:rPr>
          <w:rFonts w:hint="default"/>
          <w:color w:val="auto"/>
          <w:lang w:val="en-US" w:eastAsia="zh-CN"/>
        </w:rPr>
        <w:t>调节阀、气动信号一般采用20~100kPa的标准气动信号，当需要更高压力时，根据实际情况确定。</w:t>
      </w:r>
    </w:p>
    <w:p>
      <w:pPr>
        <w:ind w:firstLine="560" w:firstLineChars="200"/>
        <w:rPr>
          <w:rFonts w:hint="default"/>
          <w:color w:val="auto"/>
          <w:lang w:val="en-US" w:eastAsia="zh-CN"/>
        </w:rPr>
      </w:pPr>
      <w:r>
        <w:rPr>
          <w:rFonts w:hint="default"/>
          <w:color w:val="auto"/>
          <w:lang w:val="en-US" w:eastAsia="zh-CN"/>
        </w:rPr>
        <w:t>（2）报警及联锁</w:t>
      </w:r>
    </w:p>
    <w:p>
      <w:pPr>
        <w:ind w:firstLine="560" w:firstLineChars="200"/>
        <w:rPr>
          <w:rFonts w:hint="default"/>
          <w:color w:val="auto"/>
          <w:lang w:val="en-US" w:eastAsia="zh-CN"/>
        </w:rPr>
      </w:pPr>
      <w:r>
        <w:rPr>
          <w:rFonts w:hint="default"/>
          <w:color w:val="auto"/>
          <w:lang w:val="en-US" w:eastAsia="zh-CN"/>
        </w:rPr>
        <w:t>工艺操作报警、远程设备的状态、阀位开关指示及系统安全联锁由DCS来实现。</w:t>
      </w:r>
    </w:p>
    <w:p>
      <w:pPr>
        <w:ind w:firstLine="560" w:firstLineChars="200"/>
        <w:rPr>
          <w:rFonts w:hint="default"/>
          <w:color w:val="auto"/>
          <w:lang w:val="en-US" w:eastAsia="zh-CN"/>
        </w:rPr>
      </w:pPr>
      <w:r>
        <w:rPr>
          <w:rFonts w:hint="default"/>
          <w:color w:val="auto"/>
          <w:lang w:val="en-US" w:eastAsia="zh-CN"/>
        </w:rPr>
        <w:t>所有逻辑输入输出均为故障安全型。</w:t>
      </w:r>
    </w:p>
    <w:p>
      <w:pPr>
        <w:ind w:firstLine="560" w:firstLineChars="200"/>
        <w:rPr>
          <w:rFonts w:hint="default"/>
          <w:color w:val="auto"/>
          <w:lang w:val="en-US" w:eastAsia="zh-CN"/>
        </w:rPr>
      </w:pPr>
      <w:r>
        <w:rPr>
          <w:rFonts w:hint="default"/>
          <w:color w:val="auto"/>
          <w:lang w:val="en-US" w:eastAsia="zh-CN"/>
        </w:rPr>
        <w:t>所有现场安装的仪表是全天候型，并且满足现场使用环境和气候条件，室外仪表一般防护等级IP65，当个别仪表达不到 IP65时，可降至IP55。</w:t>
      </w:r>
    </w:p>
    <w:p>
      <w:pPr>
        <w:numPr>
          <w:ilvl w:val="0"/>
          <w:numId w:val="0"/>
        </w:numPr>
        <w:ind w:firstLine="560" w:firstLineChars="200"/>
        <w:rPr>
          <w:rFonts w:hint="default"/>
          <w:color w:val="auto"/>
          <w:highlight w:val="none"/>
          <w:lang w:val="en-US" w:eastAsia="zh-CN"/>
        </w:rPr>
      </w:pPr>
      <w:r>
        <w:rPr>
          <w:rFonts w:hint="default" w:ascii="Times New Roman" w:hAnsi="Times New Roman" w:eastAsia="宋体" w:cs="Times New Roman"/>
          <w:color w:val="auto"/>
          <w:kern w:val="2"/>
          <w:sz w:val="28"/>
          <w:szCs w:val="24"/>
          <w:lang w:val="en-US" w:eastAsia="zh-CN" w:bidi="ar-SA"/>
        </w:rPr>
        <w:t>2）</w:t>
      </w:r>
      <w:r>
        <w:rPr>
          <w:rFonts w:hint="default"/>
          <w:color w:val="auto"/>
          <w:highlight w:val="none"/>
          <w:lang w:val="en-US" w:eastAsia="zh-CN"/>
        </w:rPr>
        <w:t>现场仪表选型</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在满足工艺要求的前提下，以先进、可靠、经济和使用方便为原则，尽可能选用系列化、标准化的仪表，以提高仪表互换性。在仪表材质的选用上，与工艺介质接触部分的仪表材质不低于仪表所在工艺设备或管道的材质。同时尽可能集中选用一个厂家或地区的产品，以利以后的采购和维护。</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所有与工艺介质接触的仪表材质，均能满足工艺介质的要求，并且不低于仪表所在管道或设备的材质。</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（1）温度仪表</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就地温度检测选用双金属温度计。集中温度检测一般选用一体化温度变送器。</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外套管采用法兰式，尺寸为 1-1/2"，套管材质根据场合不同采用不锈钢304或316L或高温钢。</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（2）压力仪表</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就地压力检测一般选用</w:t>
      </w:r>
      <w:r>
        <w:rPr>
          <w:rFonts w:hint="eastAsia"/>
          <w:color w:val="auto"/>
          <w:highlight w:val="none"/>
          <w:lang w:val="en-US" w:eastAsia="zh-CN"/>
        </w:rPr>
        <w:t>弹簧管</w:t>
      </w:r>
      <w:r>
        <w:rPr>
          <w:rFonts w:hint="default"/>
          <w:color w:val="auto"/>
          <w:highlight w:val="none"/>
          <w:lang w:val="en-US" w:eastAsia="zh-CN"/>
        </w:rPr>
        <w:t>压力表。</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集中压力点选用智能压力变送器，变送器采用两线制，24VDC供电。变送器支持HART协议。精度为± 0.1%。过程连接尺寸为1/2"NPT或2"隔膜法兰。</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（3）流量仪表</w:t>
      </w:r>
    </w:p>
    <w:p>
      <w:pPr>
        <w:numPr>
          <w:ilvl w:val="-1"/>
          <w:numId w:val="0"/>
        </w:numPr>
        <w:ind w:firstLine="560" w:firstLineChars="200"/>
        <w:rPr>
          <w:rFonts w:hint="eastAsia"/>
          <w:color w:val="auto"/>
          <w:highlight w:val="none"/>
          <w:lang w:val="en-US" w:eastAsia="zh-CN"/>
        </w:rPr>
      </w:pPr>
      <w:r>
        <w:rPr>
          <w:rFonts w:hint="default"/>
          <w:color w:val="auto"/>
          <w:highlight w:val="none"/>
          <w:lang w:val="en-US" w:eastAsia="zh-CN"/>
        </w:rPr>
        <w:t>流量测量一般采用孔板流量计、涡街流量计和转子流量计</w:t>
      </w:r>
      <w:r>
        <w:rPr>
          <w:rFonts w:hint="eastAsia"/>
          <w:color w:val="auto"/>
          <w:highlight w:val="none"/>
          <w:lang w:val="en-US" w:eastAsia="zh-CN"/>
        </w:rPr>
        <w:t>。</w:t>
      </w:r>
    </w:p>
    <w:p>
      <w:pPr>
        <w:numPr>
          <w:ilvl w:val="0"/>
          <w:numId w:val="3"/>
        </w:numPr>
        <w:ind w:firstLine="560" w:firstLineChars="200"/>
        <w:rPr>
          <w:rFonts w:hint="eastAsia"/>
          <w:color w:val="auto"/>
          <w:highlight w:val="none"/>
          <w:lang w:val="en-US" w:eastAsia="zh-CN"/>
        </w:rPr>
      </w:pPr>
      <w:r>
        <w:rPr>
          <w:rFonts w:hint="eastAsia"/>
          <w:color w:val="auto"/>
          <w:highlight w:val="none"/>
          <w:lang w:val="en-US" w:eastAsia="zh-CN"/>
        </w:rPr>
        <w:t>物位仪表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就地液位计一般采用磁翻板液位计。</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需要集中远传的液位一般采用单法兰差压变送器或双法兰差压变送器。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对地下槽或水池一般采用浮子液位计或导波雷达液位计。</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液位开关一般选用音叉液位开关。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（5）阀门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调节阀采用隔爆型电动调节阀、气动执行机构，配电/气阀门定位器和空气过滤减压阀。阀芯材质根据介质选用304或316L开关阀采用球阀，并配置气缸执行机构、电磁阀及限位开关等附件。电磁阀采用24V DC。</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自力式调节阀只适用于等调节要求不严格的就地调节的场合，分别选用自力式压力调节阀、自力式温度调节阀和自力式液位调节阀。</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（7）成套仪表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随机器设备成套的仪表也应符合本规定的要求，并应与主装置的仪表水平相一致。</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3）动力供应</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（1）仪表供电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中央控制室使用冗余的UPS电源，电源输入规格为单相 220V AC 50Hz。</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蓄电池后备时间为30分钟，由 UPS 对仪表设备和 DCS 等控制系统供电。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供电方案根据用电设备不同设置如下：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系统设备（如控制柜、操作台等）由配电柜直接供给；</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集中安装的单台220V AC仪表的供电经配电柜、交流配电器后供给；</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24V DC供电采用双交流供电全冗余容错直流供电系统，35mm轨道安装，24V DC输出接至母排联成24V DC网；</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现场仪表的供电原则上采用220V AC交流供电；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所以用电设备的供电，均应由各配电柜经由专用断路器供给，中央控制室和现场控制室的配电柜分别设置；</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（2）仪表供气</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当正常生产或故障状态时，由 306公用工程间空压装置压缩空气储罐供气，满足各装置单元区域内的气动仪表30分钟用气量。气源总管由管道专业单独敷设至装置内，装置内的仪表气源管由仪表专业敷设至各用气点。</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仪表气源进装置应符合如下要求：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正常操作压力：0.5~0.7MPa（G）（进入界区处）。</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露点温度：≤-40℃，操作压力：0.5~0.7MPa</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含尘：粒径＜3μｍ，含尘量＜1 mg/m</w:t>
      </w:r>
      <w:r>
        <w:rPr>
          <w:rFonts w:hint="eastAsia"/>
          <w:color w:val="auto"/>
          <w:highlight w:val="none"/>
          <w:vertAlign w:val="superscript"/>
          <w:lang w:val="en-US" w:eastAsia="zh-CN"/>
        </w:rPr>
        <w:t>3</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含油：＜8ppm(W)</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仪表供气在有些场合可采用气源分配器。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4）仪表安装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（1）仪表接地与防雷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仪表控制系统侧设有仪表信号工作接地、仪表保护接地和本安接地三个汇流条，仪表系统各类接地汇接到仪表总接地板，实现等电位连接，然后再与电气的接地网络相连接。</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现场接线箱、单体仪表全部单独接地。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现场仪表电缆桥架、仪表设备、仪表接线箱和仪表密封接头的仪表安全接地在现场通过框架直接与电气接地网连接；仪表的信号接地在仪表控制系统侧接至仪表信号接地汇流条上。</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DCS 系统现场仪表与其相关系统控制点，装置与罐区顶部现场仪表与其相关系统控制点，都实施仪表系统防雷工程，方法如下：等电位连接与接地；信号电缆的屏蔽与接地；仪表设备的屏蔽与接地；合理布线；设置电涌防护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其他系统及其相关现场仪表也应该按上述方法实施仪表系统防雷工程，但可不设置电涌防护器。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UPS电源的进出都设置电涌防护器。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（2）仪表电缆及敷设</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主装置进/出中控室和现场控制室的信号电缆尽量选用单芯阻燃电缆接至各现场仪表。成套仪表可以采用多芯电缆。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成套设备接线箱统一选用24端子，接线箱按信号类型进行编号。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仪表信号采用对绞、分屏总屏、聚氯乙烯绝缘聚氯乙烯护套仪表电缆，多芯电缆接线时应留出10~15%的备用芯数。热电偶信号采用绞合屏蔽型补偿导线/电缆。电源采用铜芯聚氯乙烯绝缘聚氯乙烯护套屏蔽软电缆。接地线及仪表盘内配线采用铜芯聚氯乙烯绝缘电线。</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仪表电缆桥架选用槽式，热镀锌材料，桥架内电缆的填充率不得超过40%。</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电源电缆和信号电缆应单独敷设桥架或加装隔板。</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单根电缆穿管采用3/4镀锌焊接钢管，穿线管连接采用防虫、防爆、防水、防尘穿线盒；穿线管与防爆挠性管连接处设三通穿线盒以便排雨水。</w:t>
      </w:r>
    </w:p>
    <w:p>
      <w:pPr>
        <w:pStyle w:val="3"/>
        <w:pageBreakBefore w:val="0"/>
        <w:widowControl w:val="0"/>
        <w:kinsoku/>
        <w:wordWrap/>
        <w:overflowPunct/>
        <w:topLinePunct w:val="0"/>
        <w:autoSpaceDE/>
        <w:autoSpaceDN/>
        <w:bidi w:val="0"/>
        <w:adjustRightInd/>
        <w:snapToGrid/>
        <w:spacing w:before="0" w:beforeLines="0" w:after="0" w:afterLines="0" w:line="600" w:lineRule="exact"/>
        <w:textAlignment w:val="auto"/>
        <w:rPr>
          <w:rFonts w:hint="eastAsia" w:eastAsia="宋体"/>
          <w:color w:val="auto"/>
          <w:lang w:eastAsia="zh-CN"/>
        </w:rPr>
      </w:pPr>
      <w:bookmarkStart w:id="138" w:name="_Toc30800"/>
      <w:bookmarkStart w:id="139" w:name="_Toc19227"/>
      <w:bookmarkStart w:id="140" w:name="_Toc572"/>
      <w:bookmarkStart w:id="141" w:name="_Toc24461"/>
      <w:bookmarkStart w:id="142" w:name="_Toc31093"/>
      <w:bookmarkStart w:id="143" w:name="_Toc17762"/>
      <w:r>
        <w:rPr>
          <w:color w:val="auto"/>
        </w:rPr>
        <w:t>2.</w:t>
      </w:r>
      <w:r>
        <w:rPr>
          <w:rFonts w:hint="eastAsia"/>
          <w:color w:val="auto"/>
          <w:lang w:val="en-US" w:eastAsia="zh-CN"/>
        </w:rPr>
        <w:t>4建设项目选用的</w:t>
      </w:r>
      <w:r>
        <w:rPr>
          <w:color w:val="auto"/>
        </w:rPr>
        <w:t>主要设备</w:t>
      </w:r>
      <w:r>
        <w:rPr>
          <w:rFonts w:hint="eastAsia"/>
          <w:color w:val="auto"/>
          <w:lang w:val="en-US" w:eastAsia="zh-CN"/>
        </w:rPr>
        <w:t>设施</w:t>
      </w:r>
      <w:bookmarkEnd w:id="138"/>
      <w:bookmarkEnd w:id="139"/>
      <w:bookmarkEnd w:id="140"/>
      <w:bookmarkEnd w:id="141"/>
      <w:bookmarkEnd w:id="142"/>
      <w:bookmarkEnd w:id="143"/>
    </w:p>
    <w:p>
      <w:pPr>
        <w:ind w:firstLine="570"/>
        <w:rPr>
          <w:rFonts w:hint="default"/>
          <w:color w:val="auto"/>
          <w:sz w:val="28"/>
          <w:lang w:val="en-US" w:eastAsia="zh-CN"/>
        </w:rPr>
      </w:pPr>
      <w:r>
        <w:rPr>
          <w:rFonts w:hint="eastAsia"/>
          <w:color w:val="auto"/>
          <w:sz w:val="28"/>
          <w:lang w:val="en-US" w:eastAsia="zh-CN"/>
        </w:rPr>
        <w:t>1、主要设备</w:t>
      </w:r>
    </w:p>
    <w:p>
      <w:pPr>
        <w:ind w:firstLine="570"/>
        <w:rPr>
          <w:rFonts w:hint="eastAsia"/>
          <w:color w:val="auto"/>
          <w:sz w:val="28"/>
        </w:rPr>
      </w:pPr>
      <w:r>
        <w:rPr>
          <w:rFonts w:hint="eastAsia"/>
          <w:color w:val="auto"/>
          <w:sz w:val="28"/>
          <w:lang w:val="en-US" w:eastAsia="zh-CN"/>
        </w:rPr>
        <w:t>根据既定生产工艺路线，拟设置的主要</w:t>
      </w:r>
      <w:r>
        <w:rPr>
          <w:rFonts w:hint="eastAsia"/>
          <w:color w:val="auto"/>
          <w:sz w:val="28"/>
        </w:rPr>
        <w:t>设备见表2.</w:t>
      </w:r>
      <w:r>
        <w:rPr>
          <w:rFonts w:hint="eastAsia"/>
          <w:color w:val="auto"/>
          <w:sz w:val="28"/>
          <w:lang w:val="en-US" w:eastAsia="zh-CN"/>
        </w:rPr>
        <w:t>4</w:t>
      </w:r>
      <w:r>
        <w:rPr>
          <w:rFonts w:hint="eastAsia"/>
          <w:color w:val="auto"/>
          <w:sz w:val="28"/>
        </w:rPr>
        <w:t>-1</w:t>
      </w:r>
      <w:r>
        <w:rPr>
          <w:rFonts w:hint="eastAsia"/>
          <w:color w:val="auto"/>
          <w:sz w:val="28"/>
          <w:lang w:eastAsia="zh-CN"/>
        </w:rPr>
        <w:t>、</w:t>
      </w:r>
      <w:r>
        <w:rPr>
          <w:rFonts w:hint="eastAsia"/>
          <w:color w:val="auto"/>
          <w:sz w:val="28"/>
          <w:lang w:val="en-US" w:eastAsia="zh-CN"/>
        </w:rPr>
        <w:t>特种设备见表2.4-2</w:t>
      </w:r>
      <w:r>
        <w:rPr>
          <w:rFonts w:hint="eastAsia"/>
          <w:color w:val="auto"/>
          <w:sz w:val="28"/>
        </w:rPr>
        <w:t>。</w:t>
      </w:r>
    </w:p>
    <w:p>
      <w:pPr>
        <w:pStyle w:val="53"/>
        <w:bidi w:val="0"/>
        <w:rPr>
          <w:rFonts w:hint="eastAsia"/>
          <w:color w:val="auto"/>
        </w:rPr>
      </w:pPr>
      <w:r>
        <w:rPr>
          <w:rFonts w:hint="eastAsia"/>
          <w:color w:val="auto"/>
        </w:rPr>
        <w:t>表2.</w:t>
      </w:r>
      <w:r>
        <w:rPr>
          <w:rFonts w:hint="eastAsia"/>
          <w:color w:val="auto"/>
          <w:lang w:val="en-US" w:eastAsia="zh-CN"/>
        </w:rPr>
        <w:t>4</w:t>
      </w:r>
      <w:r>
        <w:rPr>
          <w:rFonts w:hint="eastAsia"/>
          <w:color w:val="auto"/>
        </w:rPr>
        <w:t>-1主要设备一览表</w:t>
      </w:r>
    </w:p>
    <w:tbl>
      <w:tblPr>
        <w:tblStyle w:val="42"/>
        <w:tblW w:w="4962" w:type="pct"/>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1386"/>
        <w:gridCol w:w="3715"/>
        <w:gridCol w:w="1022"/>
        <w:gridCol w:w="578"/>
        <w:gridCol w:w="607"/>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序号</w:t>
            </w:r>
          </w:p>
        </w:tc>
        <w:tc>
          <w:tcPr>
            <w:tcW w:w="743"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设备名称</w:t>
            </w:r>
          </w:p>
        </w:tc>
        <w:tc>
          <w:tcPr>
            <w:tcW w:w="1991"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规格型号</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材质</w:t>
            </w:r>
          </w:p>
        </w:tc>
        <w:tc>
          <w:tcPr>
            <w:tcW w:w="310"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单位</w:t>
            </w:r>
          </w:p>
        </w:tc>
        <w:tc>
          <w:tcPr>
            <w:tcW w:w="32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数量</w:t>
            </w:r>
          </w:p>
        </w:tc>
        <w:tc>
          <w:tcPr>
            <w:tcW w:w="813"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一、裂解区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1</w:t>
            </w:r>
          </w:p>
        </w:tc>
        <w:tc>
          <w:tcPr>
            <w:tcW w:w="743" w:type="pct"/>
            <w:noWrap w:val="0"/>
            <w:vAlign w:val="center"/>
          </w:tcPr>
          <w:p>
            <w:pPr>
              <w:spacing w:line="240" w:lineRule="auto"/>
              <w:ind w:firstLine="0" w:firstLineChars="0"/>
              <w:jc w:val="center"/>
              <w:rPr>
                <w:rFonts w:hint="eastAsia" w:hAnsi="宋体"/>
                <w:color w:val="auto"/>
                <w:sz w:val="21"/>
                <w:szCs w:val="21"/>
              </w:rPr>
            </w:pPr>
            <w:r>
              <w:rPr>
                <w:rFonts w:hint="eastAsia" w:cs="Times New Roman"/>
                <w:color w:val="auto"/>
                <w:sz w:val="21"/>
                <w:szCs w:val="21"/>
                <w:lang w:val="en-US" w:eastAsia="zh-CN"/>
              </w:rPr>
              <w:t>电阻</w:t>
            </w:r>
            <w:r>
              <w:rPr>
                <w:rFonts w:cs="Times New Roman" w:eastAsiaTheme="minorEastAsia"/>
                <w:color w:val="auto"/>
                <w:sz w:val="21"/>
                <w:szCs w:val="21"/>
              </w:rPr>
              <w:t>裂解炉</w:t>
            </w:r>
          </w:p>
        </w:tc>
        <w:tc>
          <w:tcPr>
            <w:tcW w:w="1991" w:type="pct"/>
            <w:noWrap w:val="0"/>
            <w:vAlign w:val="center"/>
          </w:tcPr>
          <w:p>
            <w:pPr>
              <w:textAlignment w:val="center"/>
              <w:rPr>
                <w:rFonts w:hAnsi="宋体"/>
                <w:color w:val="auto"/>
                <w:sz w:val="21"/>
                <w:szCs w:val="21"/>
              </w:rPr>
            </w:pPr>
            <w:r>
              <w:rPr>
                <w:rStyle w:val="652"/>
                <w:rFonts w:hint="eastAsia"/>
                <w:color w:val="auto"/>
                <w:sz w:val="21"/>
                <w:szCs w:val="21"/>
                <w:highlight w:val="none"/>
                <w:lang w:val="en-US" w:eastAsia="zh-CN" w:bidi="ar"/>
              </w:rPr>
              <w:t>尺寸：6m</w:t>
            </w:r>
            <w:r>
              <w:rPr>
                <w:rStyle w:val="652"/>
                <w:rFonts w:hint="eastAsia"/>
                <w:color w:val="auto"/>
                <w:sz w:val="21"/>
                <w:szCs w:val="21"/>
                <w:highlight w:val="none"/>
                <w:vertAlign w:val="superscript"/>
                <w:lang w:val="en-US" w:eastAsia="zh-CN" w:bidi="ar"/>
              </w:rPr>
              <w:t>3</w:t>
            </w:r>
            <w:r>
              <w:rPr>
                <w:rStyle w:val="652"/>
                <w:rFonts w:hint="eastAsia"/>
                <w:color w:val="auto"/>
                <w:sz w:val="21"/>
                <w:szCs w:val="21"/>
                <w:highlight w:val="none"/>
                <w:lang w:val="en-US" w:eastAsia="zh-CN" w:bidi="ar"/>
              </w:rPr>
              <w:t>，</w:t>
            </w:r>
            <w:r>
              <w:rPr>
                <w:rStyle w:val="652"/>
                <w:color w:val="auto"/>
                <w:sz w:val="21"/>
                <w:szCs w:val="21"/>
                <w:lang w:val="en-US" w:eastAsia="zh-CN" w:bidi="ar"/>
              </w:rPr>
              <w:t>设计温度：</w:t>
            </w:r>
            <w:r>
              <w:rPr>
                <w:rStyle w:val="652"/>
                <w:rFonts w:hint="eastAsia"/>
                <w:color w:val="auto"/>
                <w:sz w:val="21"/>
                <w:szCs w:val="21"/>
                <w:lang w:val="en-US" w:eastAsia="zh-CN" w:bidi="ar"/>
              </w:rPr>
              <w:t>60</w:t>
            </w:r>
            <w:r>
              <w:rPr>
                <w:rStyle w:val="652"/>
                <w:color w:val="auto"/>
                <w:sz w:val="21"/>
                <w:szCs w:val="21"/>
                <w:lang w:val="en-US" w:eastAsia="zh-CN" w:bidi="ar"/>
              </w:rPr>
              <w:t>0℃，设计压力：常压，PY=50KW</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S300/A3</w:t>
            </w:r>
          </w:p>
        </w:tc>
        <w:tc>
          <w:tcPr>
            <w:tcW w:w="310" w:type="pct"/>
            <w:noWrap w:val="0"/>
            <w:vAlign w:val="center"/>
          </w:tcPr>
          <w:p>
            <w:pPr>
              <w:widowControl/>
              <w:spacing w:line="240" w:lineRule="auto"/>
              <w:ind w:left="-140" w:leftChars="-50" w:right="-140" w:rightChars="-50"/>
              <w:jc w:val="center"/>
              <w:rPr>
                <w:rFonts w:hAnsi="宋体"/>
                <w:color w:val="auto"/>
                <w:sz w:val="21"/>
                <w:szCs w:val="21"/>
              </w:rPr>
            </w:pPr>
            <w:r>
              <w:rPr>
                <w:rFonts w:hint="eastAsia" w:hAnsi="宋体"/>
                <w:color w:val="auto"/>
                <w:sz w:val="21"/>
                <w:szCs w:val="21"/>
              </w:rPr>
              <w:t>台</w:t>
            </w:r>
          </w:p>
        </w:tc>
        <w:tc>
          <w:tcPr>
            <w:tcW w:w="325" w:type="pct"/>
            <w:noWrap w:val="0"/>
            <w:vAlign w:val="center"/>
          </w:tcPr>
          <w:p>
            <w:pPr>
              <w:keepNext w:val="0"/>
              <w:keepLines w:val="0"/>
              <w:widowControl/>
              <w:suppressLineNumbers w:val="0"/>
              <w:spacing w:line="240" w:lineRule="auto"/>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i w:val="0"/>
                <w:iCs w:val="0"/>
                <w:color w:val="auto"/>
                <w:kern w:val="0"/>
                <w:sz w:val="21"/>
                <w:szCs w:val="21"/>
                <w:u w:val="none"/>
                <w:lang w:val="en-US" w:eastAsia="zh-CN" w:bidi="ar"/>
              </w:rPr>
              <w:t>60</w:t>
            </w:r>
          </w:p>
        </w:tc>
        <w:tc>
          <w:tcPr>
            <w:tcW w:w="813" w:type="pct"/>
            <w:noWrap w:val="0"/>
            <w:vAlign w:val="center"/>
          </w:tcPr>
          <w:p>
            <w:pPr>
              <w:widowControl/>
              <w:spacing w:line="240" w:lineRule="auto"/>
              <w:ind w:left="-140" w:leftChars="-50" w:right="-140" w:rightChars="-50"/>
              <w:jc w:val="center"/>
              <w:rPr>
                <w:rFonts w:hint="default" w:cs="Times New Roman" w:eastAsiaTheme="minorEastAsia"/>
                <w:color w:val="auto"/>
                <w:kern w:val="0"/>
                <w:sz w:val="21"/>
                <w:szCs w:val="21"/>
                <w:lang w:val="en-US" w:eastAsia="zh-CN"/>
              </w:rPr>
            </w:pPr>
            <w:r>
              <w:rPr>
                <w:rFonts w:cs="Times New Roman" w:eastAsiaTheme="minorEastAsia"/>
                <w:color w:val="auto"/>
                <w:kern w:val="0"/>
                <w:sz w:val="21"/>
                <w:szCs w:val="21"/>
              </w:rPr>
              <w:t>裂解汽化</w:t>
            </w:r>
            <w:r>
              <w:rPr>
                <w:rFonts w:hint="eastAsia" w:cs="Times New Roman" w:eastAsiaTheme="minorEastAsia"/>
                <w:color w:val="auto"/>
                <w:kern w:val="0"/>
                <w:sz w:val="21"/>
                <w:szCs w:val="21"/>
                <w:lang w:val="en-US" w:eastAsia="zh-CN"/>
              </w:rPr>
              <w:t>MMA</w:t>
            </w:r>
          </w:p>
          <w:p>
            <w:pPr>
              <w:widowControl/>
              <w:spacing w:line="240" w:lineRule="auto"/>
              <w:ind w:left="-140" w:leftChars="-50" w:right="-140" w:rightChars="-50"/>
              <w:jc w:val="center"/>
              <w:rPr>
                <w:rFonts w:hAnsi="宋体"/>
                <w:color w:val="auto"/>
                <w:sz w:val="21"/>
                <w:szCs w:val="21"/>
              </w:rPr>
            </w:pPr>
            <w:r>
              <w:rPr>
                <w:rFonts w:cs="Times New Roman" w:eastAsiaTheme="minorEastAsia"/>
                <w:color w:val="auto"/>
                <w:kern w:val="0"/>
                <w:sz w:val="21"/>
                <w:szCs w:val="21"/>
              </w:rPr>
              <w:t>固体颗粒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2</w:t>
            </w:r>
          </w:p>
        </w:tc>
        <w:tc>
          <w:tcPr>
            <w:tcW w:w="743" w:type="pct"/>
            <w:noWrap w:val="0"/>
            <w:vAlign w:val="center"/>
          </w:tcPr>
          <w:p>
            <w:pPr>
              <w:spacing w:line="240" w:lineRule="auto"/>
              <w:ind w:firstLine="0" w:firstLineChars="0"/>
              <w:jc w:val="center"/>
              <w:rPr>
                <w:rFonts w:hAnsi="宋体"/>
                <w:color w:val="auto"/>
                <w:sz w:val="21"/>
                <w:szCs w:val="21"/>
              </w:rPr>
            </w:pPr>
            <w:r>
              <w:rPr>
                <w:rFonts w:hint="eastAsia" w:cs="Times New Roman" w:eastAsiaTheme="minorEastAsia"/>
                <w:color w:val="auto"/>
                <w:sz w:val="21"/>
                <w:szCs w:val="21"/>
                <w:lang w:eastAsia="zh-CN"/>
              </w:rPr>
              <w:t>单管</w:t>
            </w:r>
            <w:r>
              <w:rPr>
                <w:rFonts w:cs="Times New Roman" w:eastAsiaTheme="minorEastAsia"/>
                <w:color w:val="auto"/>
                <w:sz w:val="21"/>
                <w:szCs w:val="21"/>
              </w:rPr>
              <w:t>冷凝器</w:t>
            </w:r>
          </w:p>
        </w:tc>
        <w:tc>
          <w:tcPr>
            <w:tcW w:w="1991" w:type="pct"/>
            <w:noWrap w:val="0"/>
            <w:vAlign w:val="center"/>
          </w:tcPr>
          <w:p>
            <w:pPr>
              <w:pStyle w:val="653"/>
              <w:spacing w:line="240" w:lineRule="auto"/>
              <w:rPr>
                <w:rFonts w:hAnsi="宋体"/>
                <w:color w:val="auto"/>
                <w:sz w:val="21"/>
                <w:szCs w:val="21"/>
              </w:rPr>
            </w:pPr>
            <w:r>
              <w:rPr>
                <w:rFonts w:eastAsiaTheme="minorEastAsia"/>
                <w:color w:val="auto"/>
                <w:sz w:val="21"/>
                <w:szCs w:val="21"/>
              </w:rPr>
              <w:t>换热面积F=</w:t>
            </w:r>
            <w:r>
              <w:rPr>
                <w:rFonts w:hint="eastAsia" w:eastAsiaTheme="minorEastAsia"/>
                <w:color w:val="auto"/>
                <w:sz w:val="21"/>
                <w:szCs w:val="21"/>
                <w:lang w:val="en-US" w:eastAsia="zh-CN"/>
              </w:rPr>
              <w:t>1</w:t>
            </w:r>
            <w:r>
              <w:rPr>
                <w:rFonts w:eastAsiaTheme="minorEastAsia"/>
                <w:color w:val="auto"/>
                <w:sz w:val="21"/>
                <w:szCs w:val="21"/>
              </w:rPr>
              <w:t>m</w:t>
            </w:r>
            <w:r>
              <w:rPr>
                <w:rFonts w:eastAsiaTheme="minorEastAsia"/>
                <w:color w:val="auto"/>
                <w:sz w:val="21"/>
                <w:szCs w:val="21"/>
                <w:vertAlign w:val="superscript"/>
              </w:rPr>
              <w:t>2</w:t>
            </w:r>
            <w:r>
              <w:rPr>
                <w:rFonts w:eastAsiaTheme="minorEastAsia"/>
                <w:color w:val="auto"/>
                <w:sz w:val="21"/>
                <w:szCs w:val="21"/>
              </w:rPr>
              <w:t>，Ø</w:t>
            </w:r>
            <w:r>
              <w:rPr>
                <w:rFonts w:hint="eastAsia" w:eastAsiaTheme="minorEastAsia"/>
                <w:color w:val="auto"/>
                <w:sz w:val="21"/>
                <w:szCs w:val="21"/>
                <w:lang w:val="en-US" w:eastAsia="zh-CN"/>
              </w:rPr>
              <w:t>219</w:t>
            </w:r>
            <w:r>
              <w:rPr>
                <w:rFonts w:eastAsiaTheme="minorEastAsia"/>
                <w:color w:val="auto"/>
                <w:sz w:val="21"/>
                <w:szCs w:val="21"/>
              </w:rPr>
              <w:t>x3000</w:t>
            </w:r>
          </w:p>
        </w:tc>
        <w:tc>
          <w:tcPr>
            <w:tcW w:w="548" w:type="pct"/>
            <w:noWrap w:val="0"/>
            <w:vAlign w:val="center"/>
          </w:tcPr>
          <w:p>
            <w:pPr>
              <w:keepNext w:val="0"/>
              <w:keepLines w:val="0"/>
              <w:widowControl/>
              <w:suppressLineNumbers w:val="0"/>
              <w:spacing w:line="240" w:lineRule="auto"/>
              <w:jc w:val="center"/>
              <w:textAlignment w:val="center"/>
              <w:rPr>
                <w:rFonts w:hAnsi="宋体"/>
                <w:color w:val="auto"/>
                <w:sz w:val="21"/>
                <w:szCs w:val="21"/>
              </w:rPr>
            </w:pPr>
            <w:r>
              <w:rPr>
                <w:rFonts w:hint="eastAsia" w:eastAsiaTheme="minorEastAsia"/>
                <w:color w:val="auto"/>
                <w:sz w:val="21"/>
                <w:szCs w:val="21"/>
                <w:lang w:eastAsia="zh-CN"/>
              </w:rPr>
              <w:t>碳钢</w:t>
            </w:r>
          </w:p>
        </w:tc>
        <w:tc>
          <w:tcPr>
            <w:tcW w:w="310"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台</w:t>
            </w:r>
          </w:p>
        </w:tc>
        <w:tc>
          <w:tcPr>
            <w:tcW w:w="325" w:type="pct"/>
            <w:noWrap w:val="0"/>
            <w:vAlign w:val="center"/>
          </w:tcPr>
          <w:p>
            <w:pPr>
              <w:keepNext w:val="0"/>
              <w:keepLines w:val="0"/>
              <w:widowControl/>
              <w:suppressLineNumbers w:val="0"/>
              <w:spacing w:line="240" w:lineRule="auto"/>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i w:val="0"/>
                <w:iCs w:val="0"/>
                <w:color w:val="auto"/>
                <w:kern w:val="0"/>
                <w:sz w:val="21"/>
                <w:szCs w:val="21"/>
                <w:u w:val="none"/>
                <w:lang w:val="en-US" w:eastAsia="zh-CN" w:bidi="ar"/>
              </w:rPr>
              <w:t>60</w:t>
            </w:r>
          </w:p>
        </w:tc>
        <w:tc>
          <w:tcPr>
            <w:tcW w:w="813"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循环水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3</w:t>
            </w:r>
          </w:p>
        </w:tc>
        <w:tc>
          <w:tcPr>
            <w:tcW w:w="743" w:type="pct"/>
            <w:noWrap w:val="0"/>
            <w:vAlign w:val="center"/>
          </w:tcPr>
          <w:p>
            <w:pPr>
              <w:spacing w:line="240" w:lineRule="auto"/>
              <w:ind w:firstLine="0" w:firstLineChars="0"/>
              <w:jc w:val="center"/>
              <w:rPr>
                <w:rFonts w:hint="eastAsia" w:hAnsi="宋体"/>
                <w:color w:val="auto"/>
                <w:sz w:val="21"/>
                <w:szCs w:val="21"/>
              </w:rPr>
            </w:pPr>
            <w:r>
              <w:rPr>
                <w:rFonts w:hint="eastAsia" w:cs="Times New Roman" w:eastAsiaTheme="minorEastAsia"/>
                <w:color w:val="auto"/>
                <w:sz w:val="21"/>
                <w:szCs w:val="21"/>
                <w:lang w:eastAsia="zh-CN"/>
              </w:rPr>
              <w:t>盘管冷凝器</w:t>
            </w:r>
          </w:p>
        </w:tc>
        <w:tc>
          <w:tcPr>
            <w:tcW w:w="1991" w:type="pct"/>
            <w:noWrap w:val="0"/>
            <w:vAlign w:val="center"/>
          </w:tcPr>
          <w:p>
            <w:pPr>
              <w:pStyle w:val="653"/>
              <w:spacing w:line="240" w:lineRule="auto"/>
              <w:rPr>
                <w:rFonts w:hAnsi="宋体"/>
                <w:color w:val="auto"/>
                <w:sz w:val="21"/>
                <w:szCs w:val="21"/>
              </w:rPr>
            </w:pPr>
            <w:r>
              <w:rPr>
                <w:rFonts w:hint="eastAsia" w:eastAsiaTheme="minorEastAsia"/>
                <w:color w:val="auto"/>
                <w:sz w:val="21"/>
                <w:szCs w:val="21"/>
                <w:lang w:eastAsia="zh-CN"/>
              </w:rPr>
              <w:t>换热面积</w:t>
            </w:r>
            <w:r>
              <w:rPr>
                <w:rFonts w:hint="eastAsia" w:eastAsiaTheme="minorEastAsia"/>
                <w:color w:val="auto"/>
                <w:sz w:val="21"/>
                <w:szCs w:val="21"/>
                <w:lang w:val="en-US" w:eastAsia="zh-CN"/>
              </w:rPr>
              <w:t>F=3m</w:t>
            </w:r>
            <w:r>
              <w:rPr>
                <w:rFonts w:hint="eastAsia" w:eastAsiaTheme="minorEastAsia"/>
                <w:color w:val="auto"/>
                <w:sz w:val="21"/>
                <w:szCs w:val="21"/>
                <w:vertAlign w:val="superscript"/>
                <w:lang w:val="en-US" w:eastAsia="zh-CN"/>
              </w:rPr>
              <w:t>2</w:t>
            </w:r>
            <w:r>
              <w:rPr>
                <w:rFonts w:hint="eastAsia" w:eastAsiaTheme="minorEastAsia"/>
                <w:color w:val="auto"/>
                <w:sz w:val="21"/>
                <w:szCs w:val="21"/>
                <w:lang w:val="en-US" w:eastAsia="zh-CN"/>
              </w:rPr>
              <w:t>，</w:t>
            </w:r>
            <w:r>
              <w:rPr>
                <w:rFonts w:eastAsiaTheme="minorEastAsia"/>
                <w:color w:val="auto"/>
                <w:sz w:val="21"/>
                <w:szCs w:val="21"/>
              </w:rPr>
              <w:t>Ø</w:t>
            </w:r>
            <w:r>
              <w:rPr>
                <w:rFonts w:hint="eastAsia" w:eastAsiaTheme="minorEastAsia"/>
                <w:color w:val="auto"/>
                <w:sz w:val="21"/>
                <w:szCs w:val="21"/>
                <w:lang w:val="en-US" w:eastAsia="zh-CN"/>
              </w:rPr>
              <w:t>32x30000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eastAsiaTheme="minorEastAsia"/>
                <w:color w:val="auto"/>
                <w:sz w:val="21"/>
                <w:szCs w:val="21"/>
                <w:lang w:eastAsia="zh-CN"/>
              </w:rPr>
              <w:t>碳钢</w:t>
            </w:r>
          </w:p>
        </w:tc>
        <w:tc>
          <w:tcPr>
            <w:tcW w:w="310" w:type="pct"/>
            <w:noWrap w:val="0"/>
            <w:vAlign w:val="center"/>
          </w:tcPr>
          <w:p>
            <w:pPr>
              <w:widowControl/>
              <w:spacing w:line="240" w:lineRule="auto"/>
              <w:ind w:left="-140" w:leftChars="-50" w:right="-140" w:rightChars="-50"/>
              <w:jc w:val="center"/>
              <w:rPr>
                <w:rFonts w:hAnsi="宋体"/>
                <w:color w:val="auto"/>
                <w:sz w:val="21"/>
                <w:szCs w:val="21"/>
              </w:rPr>
            </w:pPr>
            <w:r>
              <w:rPr>
                <w:rFonts w:hint="eastAsia" w:hAnsi="宋体"/>
                <w:color w:val="auto"/>
                <w:sz w:val="21"/>
                <w:szCs w:val="21"/>
              </w:rPr>
              <w:t>台</w:t>
            </w:r>
          </w:p>
        </w:tc>
        <w:tc>
          <w:tcPr>
            <w:tcW w:w="325" w:type="pct"/>
            <w:noWrap w:val="0"/>
            <w:vAlign w:val="center"/>
          </w:tcPr>
          <w:p>
            <w:pPr>
              <w:keepNext w:val="0"/>
              <w:keepLines w:val="0"/>
              <w:widowControl/>
              <w:suppressLineNumbers w:val="0"/>
              <w:spacing w:line="240" w:lineRule="auto"/>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i w:val="0"/>
                <w:iCs w:val="0"/>
                <w:color w:val="auto"/>
                <w:kern w:val="0"/>
                <w:sz w:val="21"/>
                <w:szCs w:val="21"/>
                <w:u w:val="none"/>
                <w:lang w:val="en-US" w:eastAsia="zh-CN" w:bidi="ar"/>
              </w:rPr>
              <w:t>60</w:t>
            </w:r>
          </w:p>
        </w:tc>
        <w:tc>
          <w:tcPr>
            <w:tcW w:w="81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Ansi="宋体"/>
                <w:color w:val="auto"/>
                <w:sz w:val="21"/>
                <w:szCs w:val="21"/>
              </w:rPr>
            </w:pPr>
            <w:r>
              <w:rPr>
                <w:rFonts w:hint="eastAsia" w:cs="Times New Roman" w:eastAsiaTheme="minorEastAsia"/>
                <w:color w:val="auto"/>
                <w:sz w:val="21"/>
                <w:szCs w:val="21"/>
                <w:lang w:val="en-US" w:eastAsia="zh-CN"/>
              </w:rPr>
              <w:t>低温水，</w:t>
            </w:r>
            <w:r>
              <w:rPr>
                <w:rFonts w:hint="eastAsia" w:cs="Times New Roman" w:eastAsiaTheme="minorEastAsia"/>
                <w:color w:val="auto"/>
                <w:sz w:val="21"/>
                <w:szCs w:val="21"/>
              </w:rPr>
              <w:t>冷凝</w:t>
            </w:r>
            <w:r>
              <w:rPr>
                <w:rFonts w:hint="eastAsia" w:cs="Times New Roman" w:eastAsiaTheme="minorEastAsia"/>
                <w:color w:val="auto"/>
                <w:sz w:val="21"/>
                <w:szCs w:val="21"/>
                <w:lang w:val="en-US" w:eastAsia="zh-CN"/>
              </w:rPr>
              <w:t>MMA</w:t>
            </w:r>
            <w:r>
              <w:rPr>
                <w:rFonts w:cs="Times New Roman" w:eastAsiaTheme="minorEastAsia"/>
                <w:color w:val="auto"/>
                <w:sz w:val="21"/>
                <w:szCs w:val="21"/>
              </w:rPr>
              <w:t>蒸汽</w:t>
            </w:r>
            <w:r>
              <w:rPr>
                <w:rFonts w:hint="eastAsia" w:cs="Times New Roman" w:eastAsiaTheme="minorEastAsia"/>
                <w:color w:val="auto"/>
                <w:sz w:val="21"/>
                <w:szCs w:val="21"/>
                <w:lang w:eastAsia="zh-CN"/>
              </w:rPr>
              <w:t>，冷却毛单体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noWrap w:val="0"/>
            <w:vAlign w:val="center"/>
          </w:tcPr>
          <w:p>
            <w:pPr>
              <w:widowControl/>
              <w:spacing w:line="240" w:lineRule="auto"/>
              <w:ind w:left="-140" w:leftChars="-50" w:right="-140" w:rightChars="-50"/>
              <w:jc w:val="center"/>
              <w:rPr>
                <w:rFonts w:hAnsi="宋体"/>
                <w:color w:val="auto"/>
                <w:sz w:val="21"/>
                <w:szCs w:val="21"/>
              </w:rPr>
            </w:pPr>
            <w:r>
              <w:rPr>
                <w:rFonts w:hint="eastAsia" w:ascii="宋体" w:hAnsi="宋体" w:eastAsia="宋体" w:cs="宋体"/>
                <w:i w:val="0"/>
                <w:iCs w:val="0"/>
                <w:color w:val="auto"/>
                <w:kern w:val="0"/>
                <w:sz w:val="21"/>
                <w:szCs w:val="21"/>
                <w:u w:val="none"/>
                <w:lang w:val="en-US" w:eastAsia="zh-CN" w:bidi="ar"/>
              </w:rPr>
              <w:t>二、精馏区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1</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蒸馏釜</w:t>
            </w:r>
          </w:p>
        </w:tc>
        <w:tc>
          <w:tcPr>
            <w:tcW w:w="1991" w:type="pct"/>
            <w:noWrap w:val="0"/>
            <w:vAlign w:val="center"/>
          </w:tcPr>
          <w:p>
            <w:pPr>
              <w:spacing w:line="240" w:lineRule="auto"/>
              <w:ind w:firstLine="0" w:firstLineChars="0"/>
              <w:jc w:val="center"/>
              <w:rPr>
                <w:rFonts w:cs="Times New Roman"/>
                <w:color w:val="auto"/>
                <w:sz w:val="21"/>
                <w:szCs w:val="21"/>
              </w:rPr>
            </w:pPr>
            <w:r>
              <w:rPr>
                <w:rFonts w:cs="Times New Roman"/>
                <w:color w:val="auto"/>
                <w:sz w:val="21"/>
                <w:szCs w:val="21"/>
              </w:rPr>
              <w:t>V=1</w:t>
            </w:r>
            <w:r>
              <w:rPr>
                <w:rFonts w:hint="eastAsia" w:cs="Times New Roman"/>
                <w:color w:val="auto"/>
                <w:sz w:val="21"/>
                <w:szCs w:val="21"/>
                <w:lang w:val="en-US" w:eastAsia="zh-CN"/>
              </w:rPr>
              <w:t>8</w:t>
            </w:r>
            <w:r>
              <w:rPr>
                <w:rFonts w:cs="Times New Roman"/>
                <w:color w:val="auto"/>
                <w:sz w:val="21"/>
                <w:szCs w:val="21"/>
              </w:rPr>
              <w:t>m</w:t>
            </w:r>
            <w:r>
              <w:rPr>
                <w:rFonts w:cs="Times New Roman"/>
                <w:color w:val="auto"/>
                <w:sz w:val="21"/>
                <w:szCs w:val="21"/>
                <w:vertAlign w:val="superscript"/>
              </w:rPr>
              <w:t>3</w:t>
            </w:r>
            <w:r>
              <w:rPr>
                <w:rFonts w:cs="Times New Roman"/>
                <w:color w:val="auto"/>
                <w:sz w:val="21"/>
                <w:szCs w:val="21"/>
              </w:rPr>
              <w:t>，</w:t>
            </w:r>
          </w:p>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加热面积F=</w:t>
            </w:r>
            <w:r>
              <w:rPr>
                <w:rFonts w:hint="eastAsia" w:cs="Times New Roman"/>
                <w:color w:val="auto"/>
                <w:sz w:val="21"/>
                <w:szCs w:val="21"/>
                <w:lang w:val="en-US" w:eastAsia="zh-CN"/>
              </w:rPr>
              <w:t>5</w:t>
            </w:r>
            <w:r>
              <w:rPr>
                <w:rFonts w:cs="Times New Roman"/>
                <w:color w:val="auto"/>
                <w:sz w:val="21"/>
                <w:szCs w:val="21"/>
              </w:rPr>
              <w:t>0m</w:t>
            </w:r>
            <w:r>
              <w:rPr>
                <w:rFonts w:cs="Times New Roman"/>
                <w:color w:val="auto"/>
                <w:sz w:val="21"/>
                <w:szCs w:val="21"/>
                <w:vertAlign w:val="superscript"/>
              </w:rPr>
              <w:t>2</w:t>
            </w:r>
            <w:r>
              <w:rPr>
                <w:rFonts w:cs="Times New Roman"/>
                <w:color w:val="auto"/>
                <w:sz w:val="21"/>
                <w:szCs w:val="21"/>
              </w:rPr>
              <w:t>，卧式，Ø2</w:t>
            </w:r>
            <w:r>
              <w:rPr>
                <w:rFonts w:hint="eastAsia" w:cs="Times New Roman"/>
                <w:color w:val="auto"/>
                <w:sz w:val="21"/>
                <w:szCs w:val="21"/>
                <w:lang w:val="en-US" w:eastAsia="zh-CN"/>
              </w:rPr>
              <w:t>2</w:t>
            </w:r>
            <w:r>
              <w:rPr>
                <w:rFonts w:cs="Times New Roman"/>
                <w:color w:val="auto"/>
                <w:sz w:val="21"/>
                <w:szCs w:val="21"/>
              </w:rPr>
              <w:t>00x4500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60~80℃，负压，夹套0~0.6MPa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2</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精馏塔节</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Ø</w:t>
            </w:r>
            <w:r>
              <w:rPr>
                <w:rFonts w:hint="eastAsia" w:cs="Times New Roman"/>
                <w:color w:val="auto"/>
                <w:sz w:val="21"/>
                <w:szCs w:val="21"/>
                <w:lang w:val="en-US" w:eastAsia="zh-CN"/>
              </w:rPr>
              <w:t>9</w:t>
            </w:r>
            <w:r>
              <w:rPr>
                <w:rFonts w:cs="Times New Roman"/>
                <w:color w:val="auto"/>
                <w:sz w:val="21"/>
                <w:szCs w:val="21"/>
              </w:rPr>
              <w:t>00x3000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val="en-US" w:eastAsia="zh-CN"/>
              </w:rPr>
            </w:pPr>
            <w:r>
              <w:rPr>
                <w:rFonts w:hAnsi="宋体"/>
                <w:color w:val="auto"/>
                <w:sz w:val="21"/>
                <w:szCs w:val="21"/>
              </w:rPr>
              <w:t>1</w:t>
            </w:r>
            <w:r>
              <w:rPr>
                <w:rFonts w:hint="eastAsia" w:hAnsi="宋体"/>
                <w:color w:val="auto"/>
                <w:sz w:val="21"/>
                <w:szCs w:val="21"/>
                <w:lang w:val="en-US" w:eastAsia="zh-CN"/>
              </w:rPr>
              <w:t>6</w:t>
            </w:r>
          </w:p>
        </w:tc>
        <w:tc>
          <w:tcPr>
            <w:tcW w:w="813" w:type="pct"/>
            <w:noWrap w:val="0"/>
            <w:vAlign w:val="center"/>
          </w:tcPr>
          <w:p>
            <w:pPr>
              <w:widowControl/>
              <w:spacing w:line="240" w:lineRule="auto"/>
              <w:ind w:left="-140" w:leftChars="-50" w:right="-140" w:rightChars="-50"/>
              <w:jc w:val="center"/>
              <w:rPr>
                <w:rFonts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3</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主冷凝器</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换热面积F=1</w:t>
            </w:r>
            <w:r>
              <w:rPr>
                <w:rFonts w:hint="eastAsia" w:cs="Times New Roman"/>
                <w:color w:val="auto"/>
                <w:sz w:val="21"/>
                <w:szCs w:val="21"/>
                <w:lang w:val="en-US" w:eastAsia="zh-CN"/>
              </w:rPr>
              <w:t>40</w:t>
            </w:r>
            <w:r>
              <w:rPr>
                <w:rFonts w:cs="Times New Roman"/>
                <w:color w:val="auto"/>
                <w:sz w:val="21"/>
                <w:szCs w:val="21"/>
              </w:rPr>
              <w:t>m</w:t>
            </w:r>
            <w:r>
              <w:rPr>
                <w:rFonts w:cs="Times New Roman"/>
                <w:color w:val="auto"/>
                <w:sz w:val="21"/>
                <w:szCs w:val="21"/>
                <w:vertAlign w:val="superscript"/>
              </w:rPr>
              <w:t>2</w:t>
            </w:r>
            <w:r>
              <w:rPr>
                <w:rFonts w:cs="Times New Roman"/>
                <w:color w:val="auto"/>
                <w:sz w:val="21"/>
                <w:szCs w:val="21"/>
              </w:rPr>
              <w:t>，Ø800x4500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4</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真空冷凝器</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换热面积F=</w:t>
            </w:r>
            <w:r>
              <w:rPr>
                <w:rFonts w:hint="eastAsia" w:cs="Times New Roman"/>
                <w:color w:val="auto"/>
                <w:sz w:val="21"/>
                <w:szCs w:val="21"/>
                <w:lang w:val="en-US" w:eastAsia="zh-CN"/>
              </w:rPr>
              <w:t>35</w:t>
            </w:r>
            <w:r>
              <w:rPr>
                <w:rFonts w:cs="Times New Roman"/>
                <w:color w:val="auto"/>
                <w:sz w:val="21"/>
                <w:szCs w:val="21"/>
              </w:rPr>
              <w:t>m</w:t>
            </w:r>
            <w:r>
              <w:rPr>
                <w:rFonts w:cs="Times New Roman"/>
                <w:color w:val="auto"/>
                <w:sz w:val="21"/>
                <w:szCs w:val="21"/>
                <w:vertAlign w:val="superscript"/>
              </w:rPr>
              <w:t>2</w:t>
            </w:r>
            <w:r>
              <w:rPr>
                <w:rFonts w:cs="Times New Roman"/>
                <w:color w:val="auto"/>
                <w:sz w:val="21"/>
                <w:szCs w:val="21"/>
              </w:rPr>
              <w:t>，Ø</w:t>
            </w:r>
            <w:r>
              <w:rPr>
                <w:rFonts w:hint="eastAsia" w:cs="Times New Roman"/>
                <w:color w:val="auto"/>
                <w:sz w:val="21"/>
                <w:szCs w:val="21"/>
                <w:lang w:val="en-US" w:eastAsia="zh-CN"/>
              </w:rPr>
              <w:t>50</w:t>
            </w:r>
            <w:r>
              <w:rPr>
                <w:rFonts w:cs="Times New Roman"/>
                <w:color w:val="auto"/>
                <w:sz w:val="21"/>
                <w:szCs w:val="21"/>
              </w:rPr>
              <w:t>0x3000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5</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二级</w:t>
            </w:r>
            <w:r>
              <w:rPr>
                <w:rFonts w:cs="Times New Roman"/>
                <w:color w:val="auto"/>
                <w:sz w:val="21"/>
                <w:szCs w:val="21"/>
              </w:rPr>
              <w:t>冷</w:t>
            </w:r>
            <w:r>
              <w:rPr>
                <w:rFonts w:hint="eastAsia" w:cs="Times New Roman"/>
                <w:color w:val="auto"/>
                <w:sz w:val="21"/>
                <w:szCs w:val="21"/>
                <w:lang w:val="en-US" w:eastAsia="zh-CN"/>
              </w:rPr>
              <w:t>却</w:t>
            </w:r>
            <w:r>
              <w:rPr>
                <w:rFonts w:cs="Times New Roman"/>
                <w:color w:val="auto"/>
                <w:sz w:val="21"/>
                <w:szCs w:val="21"/>
              </w:rPr>
              <w:t>器</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换热面积F=15m</w:t>
            </w:r>
            <w:r>
              <w:rPr>
                <w:rFonts w:cs="Times New Roman"/>
                <w:color w:val="auto"/>
                <w:sz w:val="21"/>
                <w:szCs w:val="21"/>
                <w:vertAlign w:val="superscript"/>
              </w:rPr>
              <w:t>2</w:t>
            </w:r>
            <w:r>
              <w:rPr>
                <w:rFonts w:cs="Times New Roman"/>
                <w:color w:val="auto"/>
                <w:sz w:val="21"/>
                <w:szCs w:val="21"/>
              </w:rPr>
              <w:t>，Ø700x610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6</w:t>
            </w:r>
          </w:p>
        </w:tc>
        <w:tc>
          <w:tcPr>
            <w:tcW w:w="743" w:type="pct"/>
            <w:noWrap w:val="0"/>
            <w:vAlign w:val="center"/>
          </w:tcPr>
          <w:p>
            <w:pPr>
              <w:spacing w:line="240" w:lineRule="auto"/>
              <w:ind w:firstLine="0" w:firstLineChars="0"/>
              <w:jc w:val="center"/>
              <w:rPr>
                <w:rFonts w:hint="eastAsia" w:cs="Times New Roman" w:asciiTheme="minorHAnsi" w:hAnsiTheme="minorHAnsi" w:eastAsiaTheme="minorEastAsia"/>
                <w:color w:val="auto"/>
                <w:kern w:val="0"/>
                <w:sz w:val="21"/>
                <w:szCs w:val="21"/>
                <w:lang w:val="en-US" w:eastAsia="zh-CN" w:bidi="ar-SA"/>
              </w:rPr>
            </w:pPr>
            <w:r>
              <w:rPr>
                <w:rFonts w:cs="Times New Roman"/>
                <w:color w:val="auto"/>
                <w:sz w:val="21"/>
                <w:szCs w:val="21"/>
              </w:rPr>
              <w:t>单体冷</w:t>
            </w:r>
            <w:r>
              <w:rPr>
                <w:rFonts w:hint="eastAsia" w:cs="Times New Roman"/>
                <w:color w:val="auto"/>
                <w:sz w:val="21"/>
                <w:szCs w:val="21"/>
                <w:lang w:val="en-US" w:eastAsia="zh-CN"/>
              </w:rPr>
              <w:t>却</w:t>
            </w:r>
            <w:r>
              <w:rPr>
                <w:rFonts w:cs="Times New Roman"/>
                <w:color w:val="auto"/>
                <w:sz w:val="21"/>
                <w:szCs w:val="21"/>
              </w:rPr>
              <w:t>器</w:t>
            </w:r>
          </w:p>
        </w:tc>
        <w:tc>
          <w:tcPr>
            <w:tcW w:w="1991" w:type="pct"/>
            <w:noWrap w:val="0"/>
            <w:vAlign w:val="center"/>
          </w:tcPr>
          <w:p>
            <w:pPr>
              <w:spacing w:line="240" w:lineRule="auto"/>
              <w:ind w:firstLine="0" w:firstLineChars="0"/>
              <w:jc w:val="center"/>
              <w:rPr>
                <w:rFonts w:hint="eastAsia" w:cs="Times New Roman" w:asciiTheme="minorHAnsi" w:hAnsiTheme="minorHAnsi" w:eastAsiaTheme="minorEastAsia"/>
                <w:color w:val="auto"/>
                <w:kern w:val="0"/>
                <w:sz w:val="21"/>
                <w:szCs w:val="21"/>
                <w:lang w:val="en-US" w:eastAsia="zh-CN" w:bidi="ar-SA"/>
              </w:rPr>
            </w:pPr>
            <w:r>
              <w:rPr>
                <w:rFonts w:cs="Times New Roman"/>
                <w:color w:val="auto"/>
                <w:sz w:val="21"/>
                <w:szCs w:val="21"/>
              </w:rPr>
              <w:t>换热面积F=15m</w:t>
            </w:r>
            <w:r>
              <w:rPr>
                <w:rFonts w:cs="Times New Roman"/>
                <w:color w:val="auto"/>
                <w:sz w:val="21"/>
                <w:szCs w:val="21"/>
                <w:vertAlign w:val="superscript"/>
              </w:rPr>
              <w:t>2</w:t>
            </w:r>
            <w:r>
              <w:rPr>
                <w:rFonts w:cs="Times New Roman"/>
                <w:color w:val="auto"/>
                <w:sz w:val="21"/>
                <w:szCs w:val="21"/>
              </w:rPr>
              <w:t>，Ø700x610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7</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分离器</w:t>
            </w:r>
          </w:p>
        </w:tc>
        <w:tc>
          <w:tcPr>
            <w:tcW w:w="1991" w:type="pct"/>
            <w:noWrap w:val="0"/>
            <w:vAlign w:val="center"/>
          </w:tcPr>
          <w:p>
            <w:pPr>
              <w:spacing w:line="240" w:lineRule="auto"/>
              <w:ind w:firstLine="0" w:firstLineChars="0"/>
              <w:jc w:val="center"/>
              <w:rPr>
                <w:rFonts w:cs="Times New Roman"/>
                <w:color w:val="auto"/>
                <w:sz w:val="21"/>
                <w:szCs w:val="21"/>
              </w:rPr>
            </w:pPr>
            <w:r>
              <w:rPr>
                <w:rFonts w:cs="Times New Roman"/>
                <w:color w:val="auto"/>
                <w:sz w:val="21"/>
                <w:szCs w:val="21"/>
              </w:rPr>
              <w:t>不锈钢，V=70L，</w:t>
            </w:r>
          </w:p>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Ø</w:t>
            </w:r>
            <w:r>
              <w:rPr>
                <w:rFonts w:hint="eastAsia" w:cs="Times New Roman"/>
                <w:color w:val="auto"/>
                <w:sz w:val="21"/>
                <w:szCs w:val="21"/>
                <w:lang w:val="en-US" w:eastAsia="zh-CN"/>
              </w:rPr>
              <w:t>377</w:t>
            </w:r>
            <w:r>
              <w:rPr>
                <w:rFonts w:cs="Times New Roman"/>
                <w:color w:val="auto"/>
                <w:sz w:val="21"/>
                <w:szCs w:val="21"/>
              </w:rPr>
              <w:t>x500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8</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rPr>
              <w:t>中间</w:t>
            </w:r>
            <w:r>
              <w:rPr>
                <w:rFonts w:cs="Times New Roman"/>
                <w:color w:val="auto"/>
                <w:sz w:val="21"/>
                <w:szCs w:val="21"/>
              </w:rPr>
              <w:t>组分</w:t>
            </w:r>
            <w:r>
              <w:rPr>
                <w:rFonts w:hint="eastAsia" w:cs="Times New Roman"/>
                <w:color w:val="auto"/>
                <w:sz w:val="21"/>
                <w:szCs w:val="21"/>
                <w:lang w:val="en-US" w:eastAsia="zh-CN"/>
              </w:rPr>
              <w:t>接收</w:t>
            </w:r>
            <w:r>
              <w:rPr>
                <w:rFonts w:cs="Times New Roman"/>
                <w:color w:val="auto"/>
                <w:sz w:val="21"/>
                <w:szCs w:val="21"/>
              </w:rPr>
              <w:t>罐</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V=</w:t>
            </w:r>
            <w:r>
              <w:rPr>
                <w:rFonts w:hint="eastAsia" w:cs="Times New Roman"/>
                <w:color w:val="auto"/>
                <w:sz w:val="21"/>
                <w:szCs w:val="21"/>
                <w:lang w:val="en-US" w:eastAsia="zh-CN"/>
              </w:rPr>
              <w:t>3</w:t>
            </w:r>
            <w:r>
              <w:rPr>
                <w:rFonts w:cs="Times New Roman"/>
                <w:color w:val="auto"/>
                <w:sz w:val="21"/>
                <w:szCs w:val="21"/>
              </w:rPr>
              <w:t>m</w:t>
            </w:r>
            <w:r>
              <w:rPr>
                <w:rFonts w:cs="Times New Roman"/>
                <w:color w:val="auto"/>
                <w:sz w:val="21"/>
                <w:szCs w:val="21"/>
                <w:vertAlign w:val="superscript"/>
              </w:rPr>
              <w:t>3</w:t>
            </w:r>
            <w:r>
              <w:rPr>
                <w:rFonts w:cs="Times New Roman"/>
                <w:color w:val="auto"/>
                <w:sz w:val="21"/>
                <w:szCs w:val="21"/>
              </w:rPr>
              <w:t>，卧式，卧式，Ø1</w:t>
            </w:r>
            <w:r>
              <w:rPr>
                <w:rFonts w:hint="eastAsia" w:cs="Times New Roman"/>
                <w:color w:val="auto"/>
                <w:sz w:val="21"/>
                <w:szCs w:val="21"/>
                <w:lang w:val="en-US" w:eastAsia="zh-CN"/>
              </w:rPr>
              <w:t>4</w:t>
            </w:r>
            <w:r>
              <w:rPr>
                <w:rFonts w:cs="Times New Roman"/>
                <w:color w:val="auto"/>
                <w:sz w:val="21"/>
                <w:szCs w:val="21"/>
              </w:rPr>
              <w:t>00</w:t>
            </w:r>
            <w:r>
              <w:rPr>
                <w:rFonts w:hint="eastAsia"/>
                <w:color w:val="auto"/>
                <w:sz w:val="21"/>
                <w:szCs w:val="21"/>
              </w:rPr>
              <w:t>×</w:t>
            </w:r>
            <w:r>
              <w:rPr>
                <w:rFonts w:cs="Times New Roman"/>
                <w:color w:val="auto"/>
                <w:sz w:val="21"/>
                <w:szCs w:val="21"/>
              </w:rPr>
              <w:t>1500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个</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9</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rPr>
              <w:t>前馏分</w:t>
            </w:r>
            <w:r>
              <w:rPr>
                <w:rFonts w:cs="Times New Roman"/>
                <w:color w:val="auto"/>
                <w:sz w:val="21"/>
                <w:szCs w:val="21"/>
              </w:rPr>
              <w:t>罐</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V=</w:t>
            </w:r>
            <w:r>
              <w:rPr>
                <w:rFonts w:hint="eastAsia" w:cs="Times New Roman"/>
                <w:color w:val="auto"/>
                <w:sz w:val="21"/>
                <w:szCs w:val="21"/>
                <w:lang w:val="en-US" w:eastAsia="zh-CN"/>
              </w:rPr>
              <w:t>3</w:t>
            </w:r>
            <w:r>
              <w:rPr>
                <w:rFonts w:cs="Times New Roman"/>
                <w:color w:val="auto"/>
                <w:sz w:val="21"/>
                <w:szCs w:val="21"/>
              </w:rPr>
              <w:t>m</w:t>
            </w:r>
            <w:r>
              <w:rPr>
                <w:rFonts w:cs="Times New Roman"/>
                <w:color w:val="auto"/>
                <w:sz w:val="21"/>
                <w:szCs w:val="21"/>
                <w:vertAlign w:val="superscript"/>
              </w:rPr>
              <w:t>3</w:t>
            </w:r>
            <w:r>
              <w:rPr>
                <w:rFonts w:cs="Times New Roman"/>
                <w:color w:val="auto"/>
                <w:sz w:val="21"/>
                <w:szCs w:val="21"/>
              </w:rPr>
              <w:t>，卧式，Ø1</w:t>
            </w:r>
            <w:r>
              <w:rPr>
                <w:rFonts w:hint="eastAsia" w:cs="Times New Roman"/>
                <w:color w:val="auto"/>
                <w:sz w:val="21"/>
                <w:szCs w:val="21"/>
                <w:lang w:val="en-US" w:eastAsia="zh-CN"/>
              </w:rPr>
              <w:t>4</w:t>
            </w:r>
            <w:r>
              <w:rPr>
                <w:rFonts w:cs="Times New Roman"/>
                <w:color w:val="auto"/>
                <w:sz w:val="21"/>
                <w:szCs w:val="21"/>
              </w:rPr>
              <w:t>00</w:t>
            </w:r>
            <w:r>
              <w:rPr>
                <w:rFonts w:hint="eastAsia"/>
                <w:color w:val="auto"/>
                <w:sz w:val="21"/>
                <w:szCs w:val="21"/>
              </w:rPr>
              <w:t>×</w:t>
            </w:r>
            <w:r>
              <w:rPr>
                <w:rFonts w:cs="Times New Roman"/>
                <w:color w:val="auto"/>
                <w:sz w:val="21"/>
                <w:szCs w:val="21"/>
              </w:rPr>
              <w:t>1500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A3</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个</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10</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rPr>
              <w:t>釜底液</w:t>
            </w:r>
            <w:r>
              <w:rPr>
                <w:rFonts w:cs="Times New Roman"/>
                <w:color w:val="auto"/>
                <w:sz w:val="21"/>
                <w:szCs w:val="21"/>
              </w:rPr>
              <w:t>罐</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V=</w:t>
            </w:r>
            <w:r>
              <w:rPr>
                <w:rFonts w:hint="eastAsia" w:cs="Times New Roman"/>
                <w:color w:val="auto"/>
                <w:sz w:val="21"/>
                <w:szCs w:val="21"/>
                <w:lang w:val="en-US" w:eastAsia="zh-CN"/>
              </w:rPr>
              <w:t>3</w:t>
            </w:r>
            <w:r>
              <w:rPr>
                <w:rFonts w:cs="Times New Roman"/>
                <w:color w:val="auto"/>
                <w:sz w:val="21"/>
                <w:szCs w:val="21"/>
              </w:rPr>
              <w:t>m</w:t>
            </w:r>
            <w:r>
              <w:rPr>
                <w:rFonts w:cs="Times New Roman"/>
                <w:color w:val="auto"/>
                <w:sz w:val="21"/>
                <w:szCs w:val="21"/>
                <w:vertAlign w:val="superscript"/>
              </w:rPr>
              <w:t>3</w:t>
            </w:r>
            <w:r>
              <w:rPr>
                <w:rFonts w:cs="Times New Roman"/>
                <w:color w:val="auto"/>
                <w:sz w:val="21"/>
                <w:szCs w:val="21"/>
              </w:rPr>
              <w:t>，卧式，Ø1</w:t>
            </w:r>
            <w:r>
              <w:rPr>
                <w:rFonts w:hint="eastAsia" w:cs="Times New Roman"/>
                <w:color w:val="auto"/>
                <w:sz w:val="21"/>
                <w:szCs w:val="21"/>
                <w:lang w:val="en-US" w:eastAsia="zh-CN"/>
              </w:rPr>
              <w:t>4</w:t>
            </w:r>
            <w:r>
              <w:rPr>
                <w:rFonts w:cs="Times New Roman"/>
                <w:color w:val="auto"/>
                <w:sz w:val="21"/>
                <w:szCs w:val="21"/>
              </w:rPr>
              <w:t>00</w:t>
            </w:r>
            <w:r>
              <w:rPr>
                <w:rFonts w:hint="eastAsia"/>
                <w:color w:val="auto"/>
                <w:sz w:val="21"/>
                <w:szCs w:val="21"/>
              </w:rPr>
              <w:t>×</w:t>
            </w:r>
            <w:r>
              <w:rPr>
                <w:rFonts w:cs="Times New Roman"/>
                <w:color w:val="auto"/>
                <w:sz w:val="21"/>
                <w:szCs w:val="21"/>
              </w:rPr>
              <w:t>1500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A3</w:t>
            </w: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个</w:t>
            </w:r>
          </w:p>
        </w:tc>
        <w:tc>
          <w:tcPr>
            <w:tcW w:w="325" w:type="pct"/>
            <w:noWrap w:val="0"/>
            <w:vAlign w:val="center"/>
          </w:tcPr>
          <w:p>
            <w:pPr>
              <w:widowControl/>
              <w:spacing w:line="240" w:lineRule="auto"/>
              <w:ind w:left="-140" w:leftChars="-50" w:right="-140" w:rightChars="-50"/>
              <w:jc w:val="center"/>
              <w:rPr>
                <w:rFonts w:hint="eastAsia" w:hAnsi="宋体"/>
                <w:color w:val="auto"/>
                <w:sz w:val="21"/>
                <w:szCs w:val="21"/>
              </w:rPr>
            </w:pPr>
            <w:r>
              <w:rPr>
                <w:rFonts w:hint="eastAsia" w:hAnsi="宋体"/>
                <w:color w:val="auto"/>
                <w:sz w:val="21"/>
                <w:szCs w:val="21"/>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卧式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11</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rPr>
              <w:t>精单体</w:t>
            </w:r>
            <w:r>
              <w:rPr>
                <w:rFonts w:cs="Times New Roman"/>
                <w:color w:val="auto"/>
                <w:sz w:val="21"/>
                <w:szCs w:val="21"/>
              </w:rPr>
              <w:t>罐</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V=1</w:t>
            </w:r>
            <w:r>
              <w:rPr>
                <w:rFonts w:hint="eastAsia" w:cs="Times New Roman"/>
                <w:color w:val="auto"/>
                <w:sz w:val="21"/>
                <w:szCs w:val="21"/>
                <w:lang w:val="en-US" w:eastAsia="zh-CN"/>
              </w:rPr>
              <w:t>6</w:t>
            </w:r>
            <w:r>
              <w:rPr>
                <w:rFonts w:cs="Times New Roman"/>
                <w:color w:val="auto"/>
                <w:sz w:val="21"/>
                <w:szCs w:val="21"/>
              </w:rPr>
              <w:t>m</w:t>
            </w:r>
            <w:r>
              <w:rPr>
                <w:rFonts w:cs="Times New Roman"/>
                <w:color w:val="auto"/>
                <w:sz w:val="21"/>
                <w:szCs w:val="21"/>
                <w:vertAlign w:val="superscript"/>
              </w:rPr>
              <w:t>3</w:t>
            </w:r>
            <w:r>
              <w:rPr>
                <w:rFonts w:cs="Times New Roman"/>
                <w:color w:val="auto"/>
                <w:sz w:val="21"/>
                <w:szCs w:val="21"/>
              </w:rPr>
              <w:t>，卧式，Ø2</w:t>
            </w:r>
            <w:r>
              <w:rPr>
                <w:rFonts w:hint="eastAsia" w:cs="Times New Roman"/>
                <w:color w:val="auto"/>
                <w:sz w:val="21"/>
                <w:szCs w:val="21"/>
                <w:lang w:val="en-US" w:eastAsia="zh-CN"/>
              </w:rPr>
              <w:t>2</w:t>
            </w:r>
            <w:r>
              <w:rPr>
                <w:rFonts w:cs="Times New Roman"/>
                <w:color w:val="auto"/>
                <w:sz w:val="21"/>
                <w:szCs w:val="21"/>
              </w:rPr>
              <w:t>00</w:t>
            </w:r>
            <w:r>
              <w:rPr>
                <w:rFonts w:hint="eastAsia"/>
                <w:color w:val="auto"/>
                <w:sz w:val="21"/>
                <w:szCs w:val="21"/>
              </w:rPr>
              <w:t>×</w:t>
            </w:r>
            <w:r>
              <w:rPr>
                <w:rFonts w:hint="eastAsia" w:cs="Times New Roman"/>
                <w:color w:val="auto"/>
                <w:sz w:val="21"/>
                <w:szCs w:val="21"/>
                <w:lang w:val="en-US" w:eastAsia="zh-CN"/>
              </w:rPr>
              <w:t>45</w:t>
            </w:r>
            <w:r>
              <w:rPr>
                <w:rFonts w:cs="Times New Roman"/>
                <w:color w:val="auto"/>
                <w:sz w:val="21"/>
                <w:szCs w:val="21"/>
              </w:rPr>
              <w:t>00</w:t>
            </w:r>
          </w:p>
        </w:tc>
        <w:tc>
          <w:tcPr>
            <w:tcW w:w="548"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r>
              <w:rPr>
                <w:rFonts w:hint="eastAsia" w:ascii="宋体" w:hAnsi="宋体" w:eastAsia="宋体" w:cs="宋体"/>
                <w:i w:val="0"/>
                <w:iCs w:val="0"/>
                <w:color w:val="auto"/>
                <w:kern w:val="0"/>
                <w:sz w:val="21"/>
                <w:szCs w:val="21"/>
                <w:u w:val="none"/>
                <w:lang w:val="en-US" w:eastAsia="zh-CN" w:bidi="ar"/>
              </w:rPr>
              <w:t>S304</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个</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4</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r>
              <w:rPr>
                <w:rFonts w:hint="eastAsia" w:hAnsi="宋体"/>
                <w:color w:val="auto"/>
                <w:sz w:val="21"/>
                <w:szCs w:val="21"/>
              </w:rPr>
              <w:t>卧式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12</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真空缓冲罐</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0"/>
                <w:sz w:val="21"/>
                <w:szCs w:val="21"/>
                <w:lang w:val="en-US" w:eastAsia="zh-CN" w:bidi="ar-SA"/>
              </w:rPr>
            </w:pPr>
            <w:r>
              <w:rPr>
                <w:rFonts w:cs="Times New Roman"/>
                <w:color w:val="auto"/>
                <w:sz w:val="21"/>
                <w:szCs w:val="21"/>
              </w:rPr>
              <w:t>V=1m</w:t>
            </w:r>
            <w:r>
              <w:rPr>
                <w:rFonts w:cs="Times New Roman"/>
                <w:color w:val="auto"/>
                <w:sz w:val="21"/>
                <w:szCs w:val="21"/>
                <w:vertAlign w:val="superscript"/>
              </w:rPr>
              <w:t>3</w:t>
            </w:r>
            <w:r>
              <w:rPr>
                <w:rFonts w:cs="Times New Roman"/>
                <w:color w:val="auto"/>
                <w:sz w:val="21"/>
                <w:szCs w:val="21"/>
              </w:rPr>
              <w:t>，Ø1000</w:t>
            </w:r>
            <w:r>
              <w:rPr>
                <w:rFonts w:hint="eastAsia"/>
                <w:color w:val="auto"/>
                <w:sz w:val="21"/>
                <w:szCs w:val="21"/>
              </w:rPr>
              <w:t>×</w:t>
            </w:r>
            <w:r>
              <w:rPr>
                <w:rFonts w:cs="Times New Roman"/>
                <w:color w:val="auto"/>
                <w:sz w:val="21"/>
                <w:szCs w:val="21"/>
              </w:rPr>
              <w:t>1000</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cs="Times New Roman"/>
                <w:color w:val="auto"/>
                <w:sz w:val="21"/>
                <w:szCs w:val="21"/>
              </w:rPr>
              <w:t>碳钢</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个</w:t>
            </w:r>
          </w:p>
        </w:tc>
        <w:tc>
          <w:tcPr>
            <w:tcW w:w="325"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8</w:t>
            </w:r>
          </w:p>
        </w:tc>
        <w:tc>
          <w:tcPr>
            <w:tcW w:w="813" w:type="pct"/>
            <w:noWrap w:val="0"/>
            <w:vAlign w:val="center"/>
          </w:tcPr>
          <w:p>
            <w:pPr>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13</w:t>
            </w:r>
          </w:p>
        </w:tc>
        <w:tc>
          <w:tcPr>
            <w:tcW w:w="743"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真空排气罐</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0"/>
                <w:sz w:val="21"/>
                <w:szCs w:val="21"/>
                <w:lang w:val="en-US" w:eastAsia="zh-CN" w:bidi="ar-SA"/>
              </w:rPr>
            </w:pPr>
            <w:r>
              <w:rPr>
                <w:rFonts w:cs="Times New Roman"/>
                <w:color w:val="auto"/>
                <w:sz w:val="21"/>
                <w:szCs w:val="21"/>
              </w:rPr>
              <w:t>V=880L，Ø800</w:t>
            </w:r>
            <w:r>
              <w:rPr>
                <w:rFonts w:hint="eastAsia"/>
                <w:color w:val="auto"/>
                <w:sz w:val="21"/>
                <w:szCs w:val="21"/>
              </w:rPr>
              <w:t>×</w:t>
            </w:r>
            <w:r>
              <w:rPr>
                <w:rFonts w:cs="Times New Roman"/>
                <w:color w:val="auto"/>
                <w:sz w:val="21"/>
                <w:szCs w:val="21"/>
              </w:rPr>
              <w:t>1500</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cs="Times New Roman"/>
                <w:color w:val="auto"/>
                <w:sz w:val="21"/>
                <w:szCs w:val="21"/>
              </w:rPr>
              <w:t>碳钢</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个</w:t>
            </w:r>
          </w:p>
        </w:tc>
        <w:tc>
          <w:tcPr>
            <w:tcW w:w="32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8</w:t>
            </w:r>
          </w:p>
        </w:tc>
        <w:tc>
          <w:tcPr>
            <w:tcW w:w="813" w:type="pct"/>
            <w:noWrap w:val="0"/>
            <w:vAlign w:val="center"/>
          </w:tcPr>
          <w:p>
            <w:pPr>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三、储罐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1</w:t>
            </w:r>
          </w:p>
        </w:tc>
        <w:tc>
          <w:tcPr>
            <w:tcW w:w="743" w:type="pct"/>
            <w:noWrap w:val="0"/>
            <w:vAlign w:val="center"/>
          </w:tcPr>
          <w:p>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粗体</w:t>
            </w:r>
            <w:r>
              <w:rPr>
                <w:rFonts w:hint="eastAsia"/>
                <w:color w:val="auto"/>
                <w:sz w:val="21"/>
                <w:szCs w:val="21"/>
                <w:lang w:val="en-US" w:eastAsia="zh-CN"/>
              </w:rPr>
              <w:t>储罐</w:t>
            </w:r>
          </w:p>
        </w:tc>
        <w:tc>
          <w:tcPr>
            <w:tcW w:w="1991"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s="Times New Roman"/>
                <w:color w:val="auto"/>
                <w:sz w:val="21"/>
                <w:szCs w:val="21"/>
                <w:highlight w:val="none"/>
                <w:lang w:val="en-US" w:eastAsia="zh-CN"/>
              </w:rPr>
              <w:t>8</w:t>
            </w:r>
            <w:r>
              <w:rPr>
                <w:rFonts w:cs="Times New Roman"/>
                <w:color w:val="auto"/>
                <w:sz w:val="21"/>
                <w:szCs w:val="21"/>
                <w:highlight w:val="none"/>
              </w:rPr>
              <w:t>0</w:t>
            </w:r>
            <w:r>
              <w:rPr>
                <w:rFonts w:hint="eastAsia"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立式储罐</w:t>
            </w:r>
          </w:p>
        </w:tc>
        <w:tc>
          <w:tcPr>
            <w:tcW w:w="548" w:type="pct"/>
            <w:noWrap w:val="0"/>
            <w:vAlign w:val="center"/>
          </w:tcPr>
          <w:p>
            <w:pPr>
              <w:spacing w:line="240" w:lineRule="auto"/>
              <w:ind w:left="-140" w:leftChars="-50" w:right="-140" w:rightChars="-50"/>
              <w:jc w:val="center"/>
              <w:rPr>
                <w:rFonts w:hint="eastAsia" w:hAnsi="宋体"/>
                <w:color w:val="auto"/>
                <w:sz w:val="21"/>
                <w:szCs w:val="21"/>
              </w:rPr>
            </w:pP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个</w:t>
            </w:r>
          </w:p>
        </w:tc>
        <w:tc>
          <w:tcPr>
            <w:tcW w:w="32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3</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hAnsi="宋体"/>
                <w:color w:val="auto"/>
                <w:sz w:val="21"/>
                <w:szCs w:val="21"/>
              </w:rPr>
            </w:pPr>
            <w:r>
              <w:rPr>
                <w:rFonts w:hint="eastAsia" w:cs="Times New Roman"/>
                <w:color w:val="auto"/>
                <w:sz w:val="21"/>
                <w:szCs w:val="21"/>
              </w:rPr>
              <w:t>储存粗单体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2</w:t>
            </w:r>
          </w:p>
        </w:tc>
        <w:tc>
          <w:tcPr>
            <w:tcW w:w="743" w:type="pct"/>
            <w:noWrap w:val="0"/>
            <w:vAlign w:val="center"/>
          </w:tcPr>
          <w:p>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精体</w:t>
            </w:r>
            <w:r>
              <w:rPr>
                <w:rFonts w:hint="eastAsia"/>
                <w:color w:val="auto"/>
                <w:sz w:val="21"/>
                <w:szCs w:val="21"/>
              </w:rPr>
              <w:t>储罐</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2"/>
                <w:sz w:val="21"/>
                <w:szCs w:val="21"/>
                <w:highlight w:val="yellow"/>
                <w:lang w:val="en-US" w:eastAsia="zh-CN" w:bidi="ar-SA"/>
              </w:rPr>
            </w:pPr>
            <w:r>
              <w:rPr>
                <w:rFonts w:hint="eastAsia" w:cs="Times New Roman"/>
                <w:color w:val="auto"/>
                <w:sz w:val="21"/>
                <w:szCs w:val="21"/>
                <w:highlight w:val="none"/>
                <w:lang w:val="en-US" w:eastAsia="zh-CN"/>
              </w:rPr>
              <w:t>80m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立式储罐</w:t>
            </w:r>
          </w:p>
        </w:tc>
        <w:tc>
          <w:tcPr>
            <w:tcW w:w="548" w:type="pct"/>
            <w:noWrap w:val="0"/>
            <w:vAlign w:val="center"/>
          </w:tcPr>
          <w:p>
            <w:pPr>
              <w:spacing w:line="240" w:lineRule="auto"/>
              <w:ind w:left="-140" w:leftChars="-50" w:right="-140" w:rightChars="-50"/>
              <w:jc w:val="center"/>
              <w:rPr>
                <w:rFonts w:hint="eastAsia" w:hAnsi="宋体"/>
                <w:color w:val="auto"/>
                <w:sz w:val="21"/>
                <w:szCs w:val="21"/>
              </w:rPr>
            </w:pP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个</w:t>
            </w:r>
          </w:p>
        </w:tc>
        <w:tc>
          <w:tcPr>
            <w:tcW w:w="32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2</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hAnsi="宋体"/>
                <w:color w:val="auto"/>
                <w:sz w:val="21"/>
                <w:szCs w:val="21"/>
              </w:rPr>
            </w:pPr>
            <w:r>
              <w:rPr>
                <w:rFonts w:hint="eastAsia" w:cs="Times New Roman"/>
                <w:color w:val="auto"/>
                <w:sz w:val="21"/>
                <w:szCs w:val="21"/>
              </w:rPr>
              <w:t>储存产品单体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3</w:t>
            </w:r>
          </w:p>
        </w:tc>
        <w:tc>
          <w:tcPr>
            <w:tcW w:w="743" w:type="pct"/>
            <w:noWrap w:val="0"/>
            <w:vAlign w:val="center"/>
          </w:tcPr>
          <w:p>
            <w:pPr>
              <w:spacing w:line="240" w:lineRule="auto"/>
              <w:ind w:firstLine="0" w:firstLineChars="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残液储罐</w:t>
            </w:r>
          </w:p>
        </w:tc>
        <w:tc>
          <w:tcPr>
            <w:tcW w:w="1991" w:type="pct"/>
            <w:noWrap w:val="0"/>
            <w:vAlign w:val="center"/>
          </w:tcPr>
          <w:p>
            <w:pPr>
              <w:spacing w:line="240" w:lineRule="auto"/>
              <w:ind w:firstLine="0" w:firstLineChars="0"/>
              <w:jc w:val="center"/>
              <w:rPr>
                <w:rFonts w:ascii="Times New Roman" w:hAnsi="Times New Roman" w:eastAsia="宋体" w:cs="Times New Roman"/>
                <w:color w:val="auto"/>
                <w:kern w:val="2"/>
                <w:sz w:val="21"/>
                <w:szCs w:val="21"/>
                <w:highlight w:val="yellow"/>
                <w:lang w:val="en-US" w:eastAsia="zh-CN" w:bidi="ar-SA"/>
              </w:rPr>
            </w:pPr>
            <w:r>
              <w:rPr>
                <w:rFonts w:hint="eastAsia" w:cs="Times New Roman"/>
                <w:color w:val="auto"/>
                <w:sz w:val="21"/>
                <w:szCs w:val="21"/>
                <w:highlight w:val="none"/>
                <w:lang w:val="en-US" w:eastAsia="zh-CN"/>
              </w:rPr>
              <w:t>8</w:t>
            </w:r>
            <w:r>
              <w:rPr>
                <w:rFonts w:cs="Times New Roman"/>
                <w:color w:val="auto"/>
                <w:sz w:val="21"/>
                <w:szCs w:val="21"/>
                <w:highlight w:val="none"/>
              </w:rPr>
              <w:t>0</w:t>
            </w:r>
            <w:r>
              <w:rPr>
                <w:rFonts w:hint="eastAsia"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立式储罐</w:t>
            </w:r>
          </w:p>
        </w:tc>
        <w:tc>
          <w:tcPr>
            <w:tcW w:w="548" w:type="pct"/>
            <w:noWrap w:val="0"/>
            <w:vAlign w:val="center"/>
          </w:tcPr>
          <w:p>
            <w:pPr>
              <w:spacing w:line="240" w:lineRule="auto"/>
              <w:ind w:left="-140" w:leftChars="-50" w:right="-140" w:rightChars="-50"/>
              <w:jc w:val="center"/>
              <w:rPr>
                <w:rFonts w:hint="eastAsia" w:hAnsi="宋体"/>
                <w:color w:val="auto"/>
                <w:sz w:val="21"/>
                <w:szCs w:val="21"/>
              </w:rPr>
            </w:pPr>
          </w:p>
        </w:tc>
        <w:tc>
          <w:tcPr>
            <w:tcW w:w="310"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个</w:t>
            </w:r>
          </w:p>
        </w:tc>
        <w:tc>
          <w:tcPr>
            <w:tcW w:w="325"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hAnsi="宋体"/>
                <w:color w:val="auto"/>
                <w:sz w:val="21"/>
                <w:szCs w:val="21"/>
              </w:rPr>
            </w:pPr>
            <w:r>
              <w:rPr>
                <w:rFonts w:hint="eastAsia" w:cs="Times New Roman"/>
                <w:color w:val="auto"/>
                <w:sz w:val="21"/>
                <w:szCs w:val="21"/>
              </w:rPr>
              <w:t>储存精馏残液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四、其它设备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1</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粉碎机</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PF-1315 型反击式破碎机</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1</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2</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输送泵</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5</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3</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真空捕捉器</w:t>
            </w:r>
          </w:p>
        </w:tc>
        <w:tc>
          <w:tcPr>
            <w:tcW w:w="1991" w:type="pct"/>
            <w:noWrap w:val="0"/>
            <w:vAlign w:val="center"/>
          </w:tcPr>
          <w:p>
            <w:pPr>
              <w:spacing w:line="240" w:lineRule="auto"/>
              <w:ind w:firstLine="0" w:firstLineChars="0"/>
              <w:jc w:val="center"/>
              <w:rPr>
                <w:rFonts w:hint="eastAsia"/>
                <w:color w:val="auto"/>
                <w:sz w:val="21"/>
                <w:szCs w:val="21"/>
              </w:rPr>
            </w:pPr>
            <w:r>
              <w:rPr>
                <w:rFonts w:hint="eastAsia"/>
                <w:color w:val="auto"/>
                <w:sz w:val="21"/>
                <w:szCs w:val="21"/>
              </w:rPr>
              <w:t>缓冲罐Φ600×600，</w:t>
            </w:r>
          </w:p>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捕捉器Φ325×1200</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套</w:t>
            </w:r>
          </w:p>
        </w:tc>
        <w:tc>
          <w:tcPr>
            <w:tcW w:w="325"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2</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4</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真空泵</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c>
          <w:tcPr>
            <w:tcW w:w="548"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8</w:t>
            </w:r>
          </w:p>
        </w:tc>
        <w:tc>
          <w:tcPr>
            <w:tcW w:w="8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firstLine="0" w:firstLineChars="0"/>
              <w:jc w:val="center"/>
              <w:textAlignment w:val="auto"/>
              <w:rPr>
                <w:rFonts w:hint="eastAsia"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5</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吸收塔</w:t>
            </w:r>
          </w:p>
        </w:tc>
        <w:tc>
          <w:tcPr>
            <w:tcW w:w="1991" w:type="pct"/>
            <w:noWrap w:val="0"/>
            <w:vAlign w:val="center"/>
          </w:tcPr>
          <w:p>
            <w:pPr>
              <w:spacing w:line="240" w:lineRule="auto"/>
              <w:ind w:firstLine="0" w:firstLineChars="0"/>
              <w:jc w:val="center"/>
              <w:rPr>
                <w:rFonts w:hint="eastAsia"/>
                <w:color w:val="auto"/>
                <w:sz w:val="21"/>
                <w:szCs w:val="21"/>
              </w:rPr>
            </w:pPr>
            <w:r>
              <w:rPr>
                <w:rFonts w:hint="eastAsia"/>
                <w:color w:val="auto"/>
                <w:sz w:val="21"/>
                <w:szCs w:val="21"/>
              </w:rPr>
              <w:t>循环糟中Φ1000×1200,</w:t>
            </w:r>
          </w:p>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吸收塔Φ400×4000</w:t>
            </w:r>
          </w:p>
        </w:tc>
        <w:tc>
          <w:tcPr>
            <w:tcW w:w="548"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座</w:t>
            </w:r>
          </w:p>
        </w:tc>
        <w:tc>
          <w:tcPr>
            <w:tcW w:w="325"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2</w:t>
            </w:r>
          </w:p>
        </w:tc>
        <w:tc>
          <w:tcPr>
            <w:tcW w:w="813" w:type="pct"/>
            <w:noWrap w:val="0"/>
            <w:vAlign w:val="center"/>
          </w:tcPr>
          <w:p>
            <w:pPr>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6</w:t>
            </w:r>
          </w:p>
        </w:tc>
        <w:tc>
          <w:tcPr>
            <w:tcW w:w="743"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吸收循环泵</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p>
        </w:tc>
        <w:tc>
          <w:tcPr>
            <w:tcW w:w="548" w:type="pct"/>
            <w:noWrap w:val="0"/>
            <w:vAlign w:val="center"/>
          </w:tcPr>
          <w:p>
            <w:pPr>
              <w:widowControl/>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钢质</w:t>
            </w:r>
          </w:p>
        </w:tc>
        <w:tc>
          <w:tcPr>
            <w:tcW w:w="310" w:type="pct"/>
            <w:noWrap w:val="0"/>
            <w:vAlign w:val="center"/>
          </w:tcPr>
          <w:p>
            <w:pPr>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台</w:t>
            </w:r>
          </w:p>
        </w:tc>
        <w:tc>
          <w:tcPr>
            <w:tcW w:w="325" w:type="pct"/>
            <w:noWrap w:val="0"/>
            <w:vAlign w:val="center"/>
          </w:tcPr>
          <w:p>
            <w:pPr>
              <w:widowControl/>
              <w:spacing w:line="240" w:lineRule="auto"/>
              <w:ind w:left="-140" w:leftChars="-50" w:right="-140" w:rightChars="-50"/>
              <w:jc w:val="center"/>
              <w:rPr>
                <w:rFonts w:hint="eastAsia" w:hAnsi="宋体" w:eastAsia="宋体"/>
                <w:color w:val="auto"/>
                <w:sz w:val="21"/>
                <w:szCs w:val="21"/>
                <w:lang w:eastAsia="zh-CN"/>
              </w:rPr>
            </w:pPr>
            <w:r>
              <w:rPr>
                <w:rFonts w:hint="eastAsia" w:hAnsi="宋体"/>
                <w:color w:val="auto"/>
                <w:sz w:val="21"/>
                <w:szCs w:val="21"/>
                <w:lang w:val="en-US" w:eastAsia="zh-CN"/>
              </w:rPr>
              <w:t>2</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7</w:t>
            </w:r>
          </w:p>
        </w:tc>
        <w:tc>
          <w:tcPr>
            <w:tcW w:w="74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吸收风机</w:t>
            </w:r>
          </w:p>
        </w:tc>
        <w:tc>
          <w:tcPr>
            <w:tcW w:w="1991"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XGB-7,Q=210m3/h,H=20KPa</w:t>
            </w:r>
          </w:p>
        </w:tc>
        <w:tc>
          <w:tcPr>
            <w:tcW w:w="548" w:type="pct"/>
            <w:noWrap w:val="0"/>
            <w:vAlign w:val="center"/>
          </w:tcPr>
          <w:p>
            <w:pPr>
              <w:widowControl/>
              <w:spacing w:line="240" w:lineRule="auto"/>
              <w:ind w:left="-140" w:leftChars="-50" w:right="-140" w:rightChars="-50"/>
              <w:jc w:val="center"/>
              <w:rPr>
                <w:rFonts w:hint="eastAsia" w:hAnsi="宋体"/>
                <w:color w:val="auto"/>
                <w:sz w:val="21"/>
                <w:szCs w:val="21"/>
              </w:rPr>
            </w:pPr>
          </w:p>
        </w:tc>
        <w:tc>
          <w:tcPr>
            <w:tcW w:w="310"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noWrap w:val="0"/>
            <w:vAlign w:val="center"/>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1</w:t>
            </w:r>
          </w:p>
        </w:tc>
        <w:tc>
          <w:tcPr>
            <w:tcW w:w="813" w:type="pct"/>
            <w:noWrap w:val="0"/>
            <w:vAlign w:val="center"/>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8</w:t>
            </w:r>
          </w:p>
        </w:tc>
        <w:tc>
          <w:tcPr>
            <w:tcW w:w="743"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柴油发电机</w:t>
            </w:r>
          </w:p>
        </w:tc>
        <w:tc>
          <w:tcPr>
            <w:tcW w:w="1991" w:type="pct"/>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200k</w:t>
            </w:r>
            <w:r>
              <w:rPr>
                <w:rFonts w:hint="eastAsia"/>
                <w:color w:val="auto"/>
                <w:sz w:val="21"/>
                <w:szCs w:val="21"/>
                <w:lang w:val="en-US" w:eastAsia="zh-CN"/>
              </w:rPr>
              <w:t>w</w:t>
            </w:r>
          </w:p>
        </w:tc>
        <w:tc>
          <w:tcPr>
            <w:tcW w:w="548" w:type="pct"/>
          </w:tcPr>
          <w:p>
            <w:pPr>
              <w:widowControl/>
              <w:spacing w:line="240" w:lineRule="auto"/>
              <w:ind w:left="-140" w:leftChars="-50" w:right="-140" w:rightChars="-50"/>
              <w:jc w:val="center"/>
              <w:rPr>
                <w:rFonts w:hint="eastAsia" w:hAnsi="宋体"/>
                <w:color w:val="auto"/>
                <w:sz w:val="21"/>
                <w:szCs w:val="21"/>
              </w:rPr>
            </w:pPr>
          </w:p>
        </w:tc>
        <w:tc>
          <w:tcPr>
            <w:tcW w:w="310" w:type="pct"/>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1</w:t>
            </w:r>
          </w:p>
        </w:tc>
        <w:tc>
          <w:tcPr>
            <w:tcW w:w="813" w:type="pct"/>
          </w:tcPr>
          <w:p>
            <w:pPr>
              <w:widowControl/>
              <w:spacing w:line="240" w:lineRule="auto"/>
              <w:ind w:left="-140" w:leftChars="-50" w:right="-140" w:rightChars="-50"/>
              <w:jc w:val="center"/>
              <w:rPr>
                <w:rFonts w:hint="eastAsia"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9</w:t>
            </w:r>
          </w:p>
        </w:tc>
        <w:tc>
          <w:tcPr>
            <w:tcW w:w="743"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冷水机</w:t>
            </w:r>
          </w:p>
        </w:tc>
        <w:tc>
          <w:tcPr>
            <w:tcW w:w="1991"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Q=14.03m³/h</w:t>
            </w:r>
            <w:r>
              <w:rPr>
                <w:rFonts w:hint="eastAsia" w:cs="Times New Roman"/>
                <w:color w:val="auto"/>
                <w:kern w:val="2"/>
                <w:sz w:val="21"/>
                <w:szCs w:val="21"/>
                <w:lang w:val="en-US" w:eastAsia="zh-CN" w:bidi="ar-SA"/>
              </w:rPr>
              <w:t>，P=22.5kw</w:t>
            </w:r>
          </w:p>
        </w:tc>
        <w:tc>
          <w:tcPr>
            <w:tcW w:w="548" w:type="pct"/>
          </w:tcPr>
          <w:p>
            <w:pPr>
              <w:widowControl/>
              <w:spacing w:line="240" w:lineRule="auto"/>
              <w:ind w:left="-140" w:leftChars="-50" w:right="-140" w:rightChars="-50"/>
              <w:jc w:val="center"/>
              <w:rPr>
                <w:rFonts w:hint="eastAsia" w:hAnsi="宋体"/>
                <w:color w:val="auto"/>
                <w:sz w:val="21"/>
                <w:szCs w:val="21"/>
              </w:rPr>
            </w:pPr>
          </w:p>
        </w:tc>
        <w:tc>
          <w:tcPr>
            <w:tcW w:w="310" w:type="pct"/>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4</w:t>
            </w:r>
          </w:p>
        </w:tc>
        <w:tc>
          <w:tcPr>
            <w:tcW w:w="813" w:type="pct"/>
          </w:tcPr>
          <w:p>
            <w:pPr>
              <w:widowControl/>
              <w:spacing w:line="240" w:lineRule="auto"/>
              <w:ind w:left="-140" w:leftChars="-50" w:right="-140" w:rightChars="-50"/>
              <w:jc w:val="center"/>
              <w:rPr>
                <w:rFonts w:hint="eastAsia" w:hAnsi="宋体"/>
                <w:color w:val="auto"/>
                <w:sz w:val="21"/>
                <w:szCs w:val="21"/>
              </w:rPr>
            </w:pPr>
            <w:r>
              <w:rPr>
                <w:rFonts w:hint="eastAsia" w:hAnsi="宋体"/>
                <w:color w:val="auto"/>
                <w:sz w:val="21"/>
                <w:szCs w:val="21"/>
                <w:lang w:val="en-US" w:eastAsia="zh-CN"/>
              </w:rPr>
              <w:t>2用2备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10</w:t>
            </w:r>
          </w:p>
        </w:tc>
        <w:tc>
          <w:tcPr>
            <w:tcW w:w="743" w:type="pct"/>
            <w:vAlign w:val="center"/>
          </w:tcPr>
          <w:p>
            <w:pPr>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空气压缩机</w:t>
            </w:r>
          </w:p>
        </w:tc>
        <w:tc>
          <w:tcPr>
            <w:tcW w:w="1991"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 3.6m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/min</w:t>
            </w:r>
          </w:p>
        </w:tc>
        <w:tc>
          <w:tcPr>
            <w:tcW w:w="548" w:type="pct"/>
          </w:tcPr>
          <w:p>
            <w:pPr>
              <w:widowControl/>
              <w:spacing w:line="240" w:lineRule="auto"/>
              <w:ind w:left="-140" w:leftChars="-50" w:right="-140" w:rightChars="-50"/>
              <w:jc w:val="center"/>
              <w:rPr>
                <w:rFonts w:hint="eastAsia" w:hAnsi="宋体"/>
                <w:color w:val="auto"/>
                <w:sz w:val="21"/>
                <w:szCs w:val="21"/>
              </w:rPr>
            </w:pPr>
          </w:p>
        </w:tc>
        <w:tc>
          <w:tcPr>
            <w:tcW w:w="310" w:type="pct"/>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25" w:type="pct"/>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2</w:t>
            </w:r>
          </w:p>
        </w:tc>
        <w:tc>
          <w:tcPr>
            <w:tcW w:w="813" w:type="pct"/>
          </w:tcPr>
          <w:p>
            <w:pPr>
              <w:widowControl/>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tcPr>
          <w:p>
            <w:pPr>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11</w:t>
            </w:r>
          </w:p>
        </w:tc>
        <w:tc>
          <w:tcPr>
            <w:tcW w:w="743" w:type="pct"/>
            <w:vAlign w:val="center"/>
          </w:tcPr>
          <w:p>
            <w:pPr>
              <w:spacing w:line="240" w:lineRule="auto"/>
              <w:ind w:firstLine="0" w:firstLineChars="0"/>
              <w:jc w:val="center"/>
              <w:rPr>
                <w:rFonts w:hint="default"/>
                <w:color w:val="auto"/>
                <w:sz w:val="21"/>
                <w:szCs w:val="21"/>
                <w:highlight w:val="yellow"/>
                <w:lang w:val="en-US" w:eastAsia="zh-CN"/>
              </w:rPr>
            </w:pPr>
            <w:r>
              <w:rPr>
                <w:rFonts w:hint="eastAsia"/>
                <w:color w:val="auto"/>
                <w:sz w:val="21"/>
                <w:szCs w:val="21"/>
                <w:highlight w:val="none"/>
                <w:lang w:val="en-US" w:eastAsia="zh-CN"/>
              </w:rPr>
              <w:t>制氮机</w:t>
            </w:r>
          </w:p>
        </w:tc>
        <w:tc>
          <w:tcPr>
            <w:tcW w:w="1991" w:type="pct"/>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yellow"/>
                <w:lang w:val="en-US" w:eastAsia="zh-CN" w:bidi="ar-SA"/>
              </w:rPr>
            </w:pPr>
            <w:r>
              <w:rPr>
                <w:rFonts w:hint="eastAsia" w:cs="Times New Roman"/>
                <w:color w:val="auto"/>
                <w:kern w:val="2"/>
                <w:sz w:val="21"/>
                <w:szCs w:val="21"/>
                <w:highlight w:val="none"/>
                <w:lang w:val="en-US" w:eastAsia="zh-CN" w:bidi="ar-SA"/>
              </w:rPr>
              <w:t>1N</w:t>
            </w:r>
            <w:r>
              <w:rPr>
                <w:rFonts w:hint="default" w:ascii="Times New Roman" w:hAnsi="Times New Roman" w:eastAsia="宋体" w:cs="Times New Roman"/>
                <w:color w:val="auto"/>
                <w:kern w:val="2"/>
                <w:sz w:val="21"/>
                <w:szCs w:val="21"/>
                <w:highlight w:val="none"/>
                <w:lang w:val="en-US" w:eastAsia="zh-CN" w:bidi="ar-SA"/>
              </w:rPr>
              <w:t>m</w:t>
            </w:r>
            <w:r>
              <w:rPr>
                <w:rFonts w:hint="default" w:ascii="Times New Roman" w:hAnsi="Times New Roman" w:eastAsia="宋体" w:cs="Times New Roman"/>
                <w:color w:val="auto"/>
                <w:kern w:val="2"/>
                <w:sz w:val="21"/>
                <w:szCs w:val="21"/>
                <w:highlight w:val="none"/>
                <w:vertAlign w:val="superscript"/>
                <w:lang w:val="en-US" w:eastAsia="zh-CN" w:bidi="ar-SA"/>
              </w:rPr>
              <w:t>3</w:t>
            </w:r>
            <w:r>
              <w:rPr>
                <w:rFonts w:hint="default" w:ascii="Times New Roman" w:hAnsi="Times New Roman" w:eastAsia="宋体" w:cs="Times New Roman"/>
                <w:color w:val="auto"/>
                <w:kern w:val="2"/>
                <w:sz w:val="21"/>
                <w:szCs w:val="21"/>
                <w:highlight w:val="none"/>
                <w:lang w:val="en-US" w:eastAsia="zh-CN" w:bidi="ar-SA"/>
              </w:rPr>
              <w:t>/min</w:t>
            </w:r>
          </w:p>
        </w:tc>
        <w:tc>
          <w:tcPr>
            <w:tcW w:w="548" w:type="pct"/>
          </w:tcPr>
          <w:p>
            <w:pPr>
              <w:widowControl/>
              <w:spacing w:line="240" w:lineRule="auto"/>
              <w:ind w:left="-140" w:leftChars="-50" w:right="-140" w:rightChars="-50"/>
              <w:jc w:val="center"/>
              <w:rPr>
                <w:rFonts w:hint="eastAsia" w:hAnsi="宋体"/>
                <w:color w:val="auto"/>
                <w:sz w:val="21"/>
                <w:szCs w:val="21"/>
                <w:highlight w:val="yellow"/>
              </w:rPr>
            </w:pPr>
          </w:p>
        </w:tc>
        <w:tc>
          <w:tcPr>
            <w:tcW w:w="310" w:type="pct"/>
          </w:tcPr>
          <w:p>
            <w:pPr>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台</w:t>
            </w:r>
          </w:p>
        </w:tc>
        <w:tc>
          <w:tcPr>
            <w:tcW w:w="325" w:type="pct"/>
          </w:tcPr>
          <w:p>
            <w:pPr>
              <w:widowControl/>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2</w:t>
            </w:r>
          </w:p>
        </w:tc>
        <w:tc>
          <w:tcPr>
            <w:tcW w:w="813" w:type="pct"/>
          </w:tcPr>
          <w:p>
            <w:pPr>
              <w:widowControl/>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tcPr>
          <w:p>
            <w:pPr>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12</w:t>
            </w:r>
          </w:p>
        </w:tc>
        <w:tc>
          <w:tcPr>
            <w:tcW w:w="743" w:type="pct"/>
            <w:vAlign w:val="center"/>
          </w:tcPr>
          <w:p>
            <w:pPr>
              <w:spacing w:line="240" w:lineRule="auto"/>
              <w:ind w:firstLine="0" w:firstLineChars="0"/>
              <w:jc w:val="center"/>
              <w:rPr>
                <w:rFonts w:hint="default"/>
                <w:color w:val="auto"/>
                <w:sz w:val="21"/>
                <w:szCs w:val="21"/>
                <w:highlight w:val="yellow"/>
                <w:lang w:val="en-US" w:eastAsia="zh-CN"/>
              </w:rPr>
            </w:pPr>
            <w:r>
              <w:rPr>
                <w:rFonts w:hint="eastAsia"/>
                <w:color w:val="auto"/>
                <w:sz w:val="21"/>
                <w:szCs w:val="21"/>
                <w:highlight w:val="none"/>
                <w:lang w:val="en-US" w:eastAsia="zh-CN"/>
              </w:rPr>
              <w:t>TO炉</w:t>
            </w:r>
          </w:p>
        </w:tc>
        <w:tc>
          <w:tcPr>
            <w:tcW w:w="1991" w:type="pct"/>
            <w:vAlign w:val="center"/>
          </w:tcPr>
          <w:p>
            <w:pPr>
              <w:spacing w:line="240" w:lineRule="auto"/>
              <w:ind w:firstLine="0" w:firstLineChars="0"/>
              <w:jc w:val="center"/>
              <w:rPr>
                <w:rFonts w:hint="eastAsia" w:cs="Times New Roman"/>
                <w:color w:val="auto"/>
                <w:kern w:val="2"/>
                <w:sz w:val="21"/>
                <w:szCs w:val="21"/>
                <w:highlight w:val="yellow"/>
                <w:lang w:val="en-US" w:eastAsia="zh-CN" w:bidi="ar-SA"/>
              </w:rPr>
            </w:pPr>
          </w:p>
        </w:tc>
        <w:tc>
          <w:tcPr>
            <w:tcW w:w="548" w:type="pct"/>
          </w:tcPr>
          <w:p>
            <w:pPr>
              <w:widowControl/>
              <w:spacing w:line="240" w:lineRule="auto"/>
              <w:ind w:left="-140" w:leftChars="-50" w:right="-140" w:rightChars="-50"/>
              <w:jc w:val="center"/>
              <w:rPr>
                <w:rFonts w:hint="eastAsia" w:hAnsi="宋体"/>
                <w:color w:val="auto"/>
                <w:sz w:val="21"/>
                <w:szCs w:val="21"/>
                <w:highlight w:val="yellow"/>
              </w:rPr>
            </w:pPr>
          </w:p>
        </w:tc>
        <w:tc>
          <w:tcPr>
            <w:tcW w:w="310" w:type="pct"/>
          </w:tcPr>
          <w:p>
            <w:pPr>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套</w:t>
            </w:r>
          </w:p>
        </w:tc>
        <w:tc>
          <w:tcPr>
            <w:tcW w:w="325" w:type="pct"/>
          </w:tcPr>
          <w:p>
            <w:pPr>
              <w:widowControl/>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1</w:t>
            </w:r>
          </w:p>
        </w:tc>
        <w:tc>
          <w:tcPr>
            <w:tcW w:w="813" w:type="pct"/>
          </w:tcPr>
          <w:p>
            <w:pPr>
              <w:widowControl/>
              <w:spacing w:line="240" w:lineRule="auto"/>
              <w:ind w:left="-140" w:leftChars="-50" w:right="-140" w:rightChars="-50"/>
              <w:jc w:val="center"/>
              <w:rPr>
                <w:rFonts w:hint="eastAsia" w:hAnsi="宋体"/>
                <w:color w:val="auto"/>
                <w:sz w:val="21"/>
                <w:szCs w:val="21"/>
                <w:highlight w:val="yellow"/>
                <w:lang w:val="en-US" w:eastAsia="zh-CN"/>
              </w:rPr>
            </w:pPr>
          </w:p>
        </w:tc>
      </w:tr>
    </w:tbl>
    <w:p>
      <w:pPr>
        <w:autoSpaceDE w:val="0"/>
        <w:autoSpaceDN w:val="0"/>
        <w:adjustRightInd w:val="0"/>
        <w:ind w:firstLine="630"/>
        <w:rPr>
          <w:rFonts w:hint="eastAsia"/>
          <w:color w:val="auto"/>
          <w:sz w:val="28"/>
          <w:szCs w:val="28"/>
        </w:rPr>
      </w:pPr>
      <w:r>
        <w:rPr>
          <w:rFonts w:hint="eastAsia"/>
          <w:color w:val="auto"/>
          <w:sz w:val="28"/>
          <w:szCs w:val="28"/>
        </w:rPr>
        <w:t>该项目涉及的成套设备自带控制系统及部分</w:t>
      </w:r>
      <w:r>
        <w:rPr>
          <w:rFonts w:hint="eastAsia"/>
          <w:color w:val="auto"/>
          <w:sz w:val="28"/>
          <w:szCs w:val="28"/>
          <w:lang w:val="en-US" w:eastAsia="zh-CN"/>
        </w:rPr>
        <w:t>自</w:t>
      </w:r>
      <w:r>
        <w:rPr>
          <w:rFonts w:hint="eastAsia"/>
          <w:color w:val="auto"/>
          <w:sz w:val="28"/>
          <w:szCs w:val="28"/>
        </w:rPr>
        <w:t>带紧急停车系统。</w:t>
      </w:r>
    </w:p>
    <w:p>
      <w:pPr>
        <w:autoSpaceDE w:val="0"/>
        <w:autoSpaceDN w:val="0"/>
        <w:adjustRightInd w:val="0"/>
        <w:ind w:firstLine="630"/>
        <w:rPr>
          <w:rFonts w:hint="default"/>
          <w:color w:val="auto"/>
          <w:highlight w:val="yellow"/>
          <w:lang w:val="en-US" w:eastAsia="zh-CN"/>
        </w:rPr>
      </w:pPr>
      <w:r>
        <w:rPr>
          <w:rFonts w:hint="eastAsia"/>
          <w:color w:val="auto"/>
          <w:sz w:val="28"/>
          <w:szCs w:val="28"/>
          <w:highlight w:val="none"/>
          <w:lang w:val="en-US" w:eastAsia="zh-CN"/>
        </w:rPr>
        <w:t>裂解炉拟设置安全协防装置爆破片，超压自动泄放。</w:t>
      </w:r>
      <w:r>
        <w:rPr>
          <w:rFonts w:hint="eastAsia"/>
          <w:color w:val="auto"/>
          <w:highlight w:val="none"/>
          <w:lang w:val="en-US" w:eastAsia="zh-CN"/>
        </w:rPr>
        <w:t>蒸馏釜设置爆破片，超压自动泄压。</w:t>
      </w:r>
    </w:p>
    <w:p>
      <w:pPr>
        <w:autoSpaceDE w:val="0"/>
        <w:autoSpaceDN w:val="0"/>
        <w:adjustRightInd w:val="0"/>
        <w:ind w:firstLine="630"/>
        <w:rPr>
          <w:rFonts w:hint="default" w:eastAsia="宋体"/>
          <w:color w:val="auto"/>
          <w:sz w:val="28"/>
          <w:szCs w:val="28"/>
          <w:lang w:val="en-US" w:eastAsia="zh-CN"/>
        </w:rPr>
      </w:pPr>
      <w:r>
        <w:rPr>
          <w:rFonts w:hint="eastAsia"/>
          <w:color w:val="auto"/>
          <w:sz w:val="28"/>
          <w:szCs w:val="28"/>
          <w:lang w:val="en-US" w:eastAsia="zh-CN"/>
        </w:rPr>
        <w:t>2、特种设备</w:t>
      </w:r>
    </w:p>
    <w:p>
      <w:pPr>
        <w:autoSpaceDE w:val="0"/>
        <w:autoSpaceDN w:val="0"/>
        <w:adjustRightInd w:val="0"/>
        <w:ind w:firstLine="630"/>
        <w:rPr>
          <w:rFonts w:hint="eastAsia"/>
          <w:color w:val="auto"/>
          <w:sz w:val="28"/>
          <w:szCs w:val="28"/>
        </w:rPr>
      </w:pPr>
      <w:r>
        <w:rPr>
          <w:rFonts w:hint="eastAsia"/>
          <w:color w:val="auto"/>
          <w:sz w:val="28"/>
          <w:szCs w:val="28"/>
        </w:rPr>
        <w:t>依据同类企业资料分析，该项目涉及的特种设备包括压力容器、压力管道、起重机械等，但该项目起重机械等特种设备未提供相关资料，本报告不予以列出。部分设备因使用蒸汽，夹套带压，故作为压力容器列出。</w:t>
      </w:r>
    </w:p>
    <w:p>
      <w:pPr>
        <w:pStyle w:val="53"/>
        <w:bidi w:val="0"/>
        <w:rPr>
          <w:rFonts w:hint="eastAsia"/>
          <w:color w:val="auto"/>
        </w:rPr>
      </w:pPr>
      <w:r>
        <w:rPr>
          <w:rFonts w:hint="eastAsia"/>
          <w:color w:val="auto"/>
        </w:rPr>
        <w:t>表2.</w:t>
      </w:r>
      <w:r>
        <w:rPr>
          <w:rFonts w:hint="eastAsia"/>
          <w:color w:val="auto"/>
          <w:lang w:val="en-US" w:eastAsia="zh-CN"/>
        </w:rPr>
        <w:t>4</w:t>
      </w:r>
      <w:r>
        <w:rPr>
          <w:rFonts w:hint="eastAsia"/>
          <w:color w:val="auto"/>
        </w:rPr>
        <w:t>-</w:t>
      </w:r>
      <w:r>
        <w:rPr>
          <w:rFonts w:hint="eastAsia"/>
          <w:color w:val="auto"/>
          <w:lang w:val="en-US" w:eastAsia="zh-CN"/>
        </w:rPr>
        <w:t>2特种</w:t>
      </w:r>
      <w:r>
        <w:rPr>
          <w:rFonts w:hint="eastAsia"/>
          <w:color w:val="auto"/>
        </w:rPr>
        <w:t>设备一览表</w:t>
      </w:r>
    </w:p>
    <w:tbl>
      <w:tblPr>
        <w:tblStyle w:val="42"/>
        <w:tblW w:w="4970" w:type="pct"/>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389"/>
        <w:gridCol w:w="2958"/>
        <w:gridCol w:w="1560"/>
        <w:gridCol w:w="675"/>
        <w:gridCol w:w="645"/>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序号</w:t>
            </w:r>
          </w:p>
        </w:tc>
        <w:tc>
          <w:tcPr>
            <w:tcW w:w="743"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设备名称</w:t>
            </w:r>
          </w:p>
        </w:tc>
        <w:tc>
          <w:tcPr>
            <w:tcW w:w="1582"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规格型号</w:t>
            </w:r>
          </w:p>
        </w:tc>
        <w:tc>
          <w:tcPr>
            <w:tcW w:w="834"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材质</w:t>
            </w:r>
          </w:p>
        </w:tc>
        <w:tc>
          <w:tcPr>
            <w:tcW w:w="361"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单位</w:t>
            </w:r>
          </w:p>
        </w:tc>
        <w:tc>
          <w:tcPr>
            <w:tcW w:w="345"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数量</w:t>
            </w:r>
          </w:p>
        </w:tc>
        <w:tc>
          <w:tcPr>
            <w:tcW w:w="871" w:type="pct"/>
            <w:noWrap w:val="0"/>
            <w:vAlign w:val="center"/>
          </w:tcPr>
          <w:p>
            <w:pPr>
              <w:spacing w:line="240" w:lineRule="auto"/>
              <w:ind w:left="-140" w:leftChars="-50" w:right="-140" w:rightChars="-50"/>
              <w:jc w:val="center"/>
              <w:rPr>
                <w:rFonts w:hAnsi="宋体"/>
                <w:color w:val="auto"/>
                <w:sz w:val="21"/>
                <w:szCs w:val="21"/>
              </w:rPr>
            </w:pPr>
            <w:r>
              <w:rPr>
                <w:rFonts w:hint="eastAsia"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int="eastAsia" w:hAnsi="宋体"/>
                <w:color w:val="auto"/>
                <w:sz w:val="21"/>
                <w:szCs w:val="21"/>
              </w:rPr>
            </w:pPr>
            <w:r>
              <w:rPr>
                <w:rFonts w:hint="eastAsia" w:hAnsi="宋体"/>
                <w:color w:val="auto"/>
                <w:sz w:val="21"/>
                <w:szCs w:val="21"/>
              </w:rPr>
              <w:t>1</w:t>
            </w:r>
          </w:p>
        </w:tc>
        <w:tc>
          <w:tcPr>
            <w:tcW w:w="743"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蒸馏釜</w:t>
            </w:r>
          </w:p>
        </w:tc>
        <w:tc>
          <w:tcPr>
            <w:tcW w:w="1582" w:type="pct"/>
            <w:noWrap w:val="0"/>
            <w:vAlign w:val="center"/>
          </w:tcPr>
          <w:p>
            <w:pPr>
              <w:spacing w:line="240" w:lineRule="auto"/>
              <w:ind w:left="-140" w:leftChars="-50" w:right="-140" w:rightChars="-50"/>
              <w:jc w:val="center"/>
              <w:rPr>
                <w:rFonts w:hint="default" w:hAnsi="宋体" w:eastAsia="宋体"/>
                <w:color w:val="auto"/>
                <w:sz w:val="21"/>
                <w:szCs w:val="21"/>
                <w:lang w:val="en-US" w:eastAsia="zh-CN"/>
              </w:rPr>
            </w:pPr>
            <w:r>
              <w:rPr>
                <w:rFonts w:hint="eastAsia" w:hAnsi="宋体"/>
                <w:color w:val="auto"/>
                <w:sz w:val="21"/>
                <w:szCs w:val="21"/>
                <w:lang w:val="en-US" w:eastAsia="zh-CN"/>
              </w:rPr>
              <w:t>18m</w:t>
            </w:r>
            <w:r>
              <w:rPr>
                <w:rFonts w:hint="eastAsia" w:hAnsi="宋体"/>
                <w:color w:val="auto"/>
                <w:sz w:val="21"/>
                <w:szCs w:val="21"/>
                <w:vertAlign w:val="superscript"/>
                <w:lang w:val="en-US" w:eastAsia="zh-CN"/>
              </w:rPr>
              <w:t>3</w:t>
            </w:r>
          </w:p>
        </w:tc>
        <w:tc>
          <w:tcPr>
            <w:tcW w:w="834"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不锈钢</w:t>
            </w:r>
          </w:p>
        </w:tc>
        <w:tc>
          <w:tcPr>
            <w:tcW w:w="361"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台</w:t>
            </w:r>
          </w:p>
        </w:tc>
        <w:tc>
          <w:tcPr>
            <w:tcW w:w="345" w:type="pct"/>
            <w:noWrap w:val="0"/>
            <w:vAlign w:val="center"/>
          </w:tcPr>
          <w:p>
            <w:pPr>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4</w:t>
            </w:r>
          </w:p>
        </w:tc>
        <w:tc>
          <w:tcPr>
            <w:tcW w:w="871" w:type="pct"/>
            <w:noWrap w:val="0"/>
            <w:vAlign w:val="center"/>
          </w:tcPr>
          <w:p>
            <w:pPr>
              <w:spacing w:line="240" w:lineRule="auto"/>
              <w:ind w:left="0" w:leftChars="0" w:right="0" w:rightChars="0"/>
              <w:jc w:val="center"/>
              <w:rPr>
                <w:rFonts w:hint="eastAsia" w:hAnsi="宋体"/>
                <w:color w:val="auto"/>
                <w:sz w:val="21"/>
                <w:szCs w:val="21"/>
              </w:rPr>
            </w:pPr>
            <w:r>
              <w:rPr>
                <w:rFonts w:hint="eastAsia" w:hAnsi="宋体"/>
                <w:color w:val="auto"/>
                <w:sz w:val="21"/>
                <w:szCs w:val="21"/>
                <w:lang w:val="en-US" w:eastAsia="zh-CN"/>
              </w:rPr>
              <w:t>60~80℃，负压，夹套0~0.6MPa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int="eastAsia" w:ascii="Times New Roman" w:hAnsi="宋体" w:eastAsia="宋体" w:cs="Times New Roman"/>
                <w:color w:val="auto"/>
                <w:kern w:val="2"/>
                <w:sz w:val="21"/>
                <w:szCs w:val="21"/>
                <w:lang w:val="en-US" w:eastAsia="zh-CN" w:bidi="ar-SA"/>
              </w:rPr>
            </w:pPr>
            <w:r>
              <w:rPr>
                <w:rFonts w:hint="eastAsia" w:hAnsi="宋体"/>
                <w:color w:val="auto"/>
                <w:sz w:val="21"/>
                <w:szCs w:val="21"/>
                <w:lang w:val="en-US" w:eastAsia="zh-CN"/>
              </w:rPr>
              <w:t>2</w:t>
            </w:r>
          </w:p>
        </w:tc>
        <w:tc>
          <w:tcPr>
            <w:tcW w:w="743" w:type="pct"/>
            <w:noWrap w:val="0"/>
            <w:vAlign w:val="center"/>
          </w:tcPr>
          <w:p>
            <w:pPr>
              <w:spacing w:line="240" w:lineRule="auto"/>
              <w:ind w:firstLine="0" w:firstLineChars="0"/>
              <w:jc w:val="center"/>
              <w:rPr>
                <w:rFonts w:hint="eastAsia" w:hAnsi="宋体"/>
                <w:color w:val="auto"/>
                <w:sz w:val="21"/>
                <w:szCs w:val="21"/>
              </w:rPr>
            </w:pPr>
            <w:r>
              <w:rPr>
                <w:rFonts w:hint="eastAsia" w:cs="Times New Roman"/>
                <w:color w:val="auto"/>
                <w:sz w:val="21"/>
                <w:szCs w:val="21"/>
                <w:lang w:val="en-US" w:eastAsia="zh-CN"/>
              </w:rPr>
              <w:t>叉车</w:t>
            </w:r>
          </w:p>
        </w:tc>
        <w:tc>
          <w:tcPr>
            <w:tcW w:w="1582" w:type="pct"/>
            <w:noWrap w:val="0"/>
            <w:vAlign w:val="center"/>
          </w:tcPr>
          <w:p>
            <w:pPr>
              <w:pStyle w:val="653"/>
              <w:spacing w:line="240" w:lineRule="auto"/>
              <w:rPr>
                <w:rFonts w:hint="default" w:hAnsi="宋体"/>
                <w:color w:val="auto"/>
                <w:sz w:val="21"/>
                <w:szCs w:val="21"/>
                <w:lang w:val="en-US"/>
              </w:rPr>
            </w:pPr>
            <w:r>
              <w:rPr>
                <w:rStyle w:val="652"/>
                <w:rFonts w:hint="eastAsia"/>
                <w:color w:val="auto"/>
                <w:sz w:val="21"/>
                <w:szCs w:val="21"/>
                <w:lang w:val="en-US" w:eastAsia="zh-CN" w:bidi="ar"/>
              </w:rPr>
              <w:t>3t</w:t>
            </w:r>
          </w:p>
        </w:tc>
        <w:tc>
          <w:tcPr>
            <w:tcW w:w="834" w:type="pct"/>
            <w:noWrap w:val="0"/>
            <w:vAlign w:val="center"/>
          </w:tcPr>
          <w:p>
            <w:pPr>
              <w:keepNext w:val="0"/>
              <w:keepLines w:val="0"/>
              <w:widowControl/>
              <w:suppressLineNumbers w:val="0"/>
              <w:spacing w:line="240" w:lineRule="auto"/>
              <w:jc w:val="center"/>
              <w:textAlignment w:val="center"/>
              <w:rPr>
                <w:rFonts w:hint="eastAsia" w:hAnsi="宋体"/>
                <w:color w:val="auto"/>
                <w:sz w:val="21"/>
                <w:szCs w:val="21"/>
              </w:rPr>
            </w:pPr>
          </w:p>
        </w:tc>
        <w:tc>
          <w:tcPr>
            <w:tcW w:w="361" w:type="pct"/>
            <w:noWrap w:val="0"/>
            <w:vAlign w:val="center"/>
          </w:tcPr>
          <w:p>
            <w:pPr>
              <w:widowControl/>
              <w:spacing w:line="240" w:lineRule="auto"/>
              <w:ind w:left="-140" w:leftChars="-50" w:right="-140" w:rightChars="-50"/>
              <w:jc w:val="center"/>
              <w:rPr>
                <w:rFonts w:hAnsi="宋体"/>
                <w:color w:val="auto"/>
                <w:sz w:val="21"/>
                <w:szCs w:val="21"/>
              </w:rPr>
            </w:pPr>
            <w:r>
              <w:rPr>
                <w:rFonts w:hint="eastAsia" w:hAnsi="宋体"/>
                <w:color w:val="auto"/>
                <w:sz w:val="21"/>
                <w:szCs w:val="21"/>
              </w:rPr>
              <w:t>台</w:t>
            </w:r>
          </w:p>
        </w:tc>
        <w:tc>
          <w:tcPr>
            <w:tcW w:w="345" w:type="pct"/>
            <w:noWrap w:val="0"/>
            <w:vAlign w:val="center"/>
          </w:tcPr>
          <w:p>
            <w:pPr>
              <w:keepNext w:val="0"/>
              <w:keepLines w:val="0"/>
              <w:widowControl/>
              <w:suppressLineNumbers w:val="0"/>
              <w:spacing w:line="240" w:lineRule="auto"/>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i w:val="0"/>
                <w:iCs w:val="0"/>
                <w:color w:val="auto"/>
                <w:kern w:val="0"/>
                <w:sz w:val="21"/>
                <w:szCs w:val="21"/>
                <w:u w:val="none"/>
                <w:lang w:val="en-US" w:eastAsia="zh-CN" w:bidi="ar"/>
              </w:rPr>
              <w:t>2</w:t>
            </w:r>
          </w:p>
        </w:tc>
        <w:tc>
          <w:tcPr>
            <w:tcW w:w="871" w:type="pct"/>
            <w:noWrap w:val="0"/>
            <w:vAlign w:val="center"/>
          </w:tcPr>
          <w:p>
            <w:pPr>
              <w:widowControl/>
              <w:spacing w:line="240" w:lineRule="auto"/>
              <w:ind w:left="-140" w:leftChars="-50" w:right="-140" w:rightChars="-50"/>
              <w:jc w:val="center"/>
              <w:rPr>
                <w:rFonts w:hint="eastAsia" w:hAnsi="宋体" w:eastAsia="宋体"/>
                <w:color w:val="auto"/>
                <w:sz w:val="21"/>
                <w:szCs w:val="21"/>
                <w:lang w:val="en-US" w:eastAsia="zh-CN"/>
              </w:rPr>
            </w:pPr>
            <w:r>
              <w:rPr>
                <w:rFonts w:hint="eastAsia" w:hAnsi="宋体"/>
                <w:color w:val="auto"/>
                <w:sz w:val="21"/>
                <w:szCs w:val="21"/>
                <w:lang w:val="en-US" w:eastAsia="zh-CN"/>
              </w:rPr>
              <w:t>自用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3</w:t>
            </w:r>
          </w:p>
        </w:tc>
        <w:tc>
          <w:tcPr>
            <w:tcW w:w="743" w:type="pct"/>
            <w:noWrap w:val="0"/>
            <w:vAlign w:val="center"/>
          </w:tcPr>
          <w:p>
            <w:pPr>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蒸汽管道</w:t>
            </w:r>
          </w:p>
        </w:tc>
        <w:tc>
          <w:tcPr>
            <w:tcW w:w="1582" w:type="pct"/>
            <w:noWrap w:val="0"/>
            <w:vAlign w:val="center"/>
          </w:tcPr>
          <w:p>
            <w:pPr>
              <w:pStyle w:val="653"/>
              <w:spacing w:line="240" w:lineRule="auto"/>
              <w:rPr>
                <w:rStyle w:val="652"/>
                <w:rFonts w:hint="default"/>
                <w:color w:val="auto"/>
                <w:sz w:val="21"/>
                <w:szCs w:val="21"/>
                <w:lang w:val="en-US" w:eastAsia="zh-CN" w:bidi="ar"/>
              </w:rPr>
            </w:pPr>
            <w:r>
              <w:rPr>
                <w:rStyle w:val="652"/>
                <w:rFonts w:hint="eastAsia"/>
                <w:color w:val="auto"/>
                <w:sz w:val="21"/>
                <w:szCs w:val="21"/>
                <w:lang w:val="en-US" w:eastAsia="zh-CN" w:bidi="ar"/>
              </w:rPr>
              <w:t>≥DN50，≥0.1MPa</w:t>
            </w:r>
          </w:p>
        </w:tc>
        <w:tc>
          <w:tcPr>
            <w:tcW w:w="834" w:type="pct"/>
            <w:noWrap w:val="0"/>
            <w:vAlign w:val="center"/>
          </w:tcPr>
          <w:p>
            <w:pPr>
              <w:keepNext w:val="0"/>
              <w:keepLines w:val="0"/>
              <w:widowControl/>
              <w:suppressLineNumbers w:val="0"/>
              <w:spacing w:line="240" w:lineRule="auto"/>
              <w:jc w:val="center"/>
              <w:textAlignment w:val="center"/>
              <w:rPr>
                <w:rFonts w:hint="eastAsia" w:hAnsi="宋体" w:eastAsia="宋体"/>
                <w:color w:val="auto"/>
                <w:sz w:val="21"/>
                <w:szCs w:val="21"/>
                <w:lang w:val="en-US" w:eastAsia="zh-CN"/>
              </w:rPr>
            </w:pPr>
            <w:r>
              <w:rPr>
                <w:rFonts w:hint="eastAsia" w:hAnsi="宋体"/>
                <w:color w:val="auto"/>
                <w:sz w:val="21"/>
                <w:szCs w:val="21"/>
                <w:lang w:val="en-US" w:eastAsia="zh-CN"/>
              </w:rPr>
              <w:t>钢质</w:t>
            </w:r>
          </w:p>
        </w:tc>
        <w:tc>
          <w:tcPr>
            <w:tcW w:w="361" w:type="pct"/>
            <w:noWrap w:val="0"/>
            <w:vAlign w:val="center"/>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米</w:t>
            </w:r>
          </w:p>
        </w:tc>
        <w:tc>
          <w:tcPr>
            <w:tcW w:w="345" w:type="pct"/>
            <w:noWrap w:val="0"/>
            <w:vAlign w:val="center"/>
          </w:tcPr>
          <w:p>
            <w:pPr>
              <w:keepNext w:val="0"/>
              <w:keepLines w:val="0"/>
              <w:widowControl/>
              <w:suppressLineNumbers w:val="0"/>
              <w:spacing w:line="240" w:lineRule="auto"/>
              <w:jc w:val="center"/>
              <w:textAlignment w:val="center"/>
              <w:rPr>
                <w:rFonts w:hint="default" w:ascii="宋体" w:hAnsi="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若干</w:t>
            </w:r>
          </w:p>
        </w:tc>
        <w:tc>
          <w:tcPr>
            <w:tcW w:w="871" w:type="pct"/>
            <w:noWrap w:val="0"/>
            <w:vAlign w:val="center"/>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蒸汽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4</w:t>
            </w:r>
          </w:p>
        </w:tc>
        <w:tc>
          <w:tcPr>
            <w:tcW w:w="743" w:type="pct"/>
            <w:noWrap w:val="0"/>
            <w:vAlign w:val="center"/>
          </w:tcPr>
          <w:p>
            <w:pPr>
              <w:spacing w:line="240" w:lineRule="auto"/>
              <w:ind w:firstLine="0" w:firstLineChars="0"/>
              <w:jc w:val="center"/>
              <w:rPr>
                <w:rFonts w:hint="default" w:cs="Times New Roman"/>
                <w:color w:val="auto"/>
                <w:sz w:val="21"/>
                <w:szCs w:val="21"/>
                <w:lang w:val="en-US" w:eastAsia="zh-CN"/>
              </w:rPr>
            </w:pPr>
            <w:r>
              <w:rPr>
                <w:rFonts w:hint="eastAsia" w:cs="Times New Roman"/>
                <w:color w:val="auto"/>
                <w:sz w:val="21"/>
                <w:szCs w:val="21"/>
                <w:lang w:val="en-US" w:eastAsia="zh-CN"/>
              </w:rPr>
              <w:t>空气储罐</w:t>
            </w:r>
          </w:p>
        </w:tc>
        <w:tc>
          <w:tcPr>
            <w:tcW w:w="1582" w:type="pct"/>
            <w:noWrap w:val="0"/>
            <w:vAlign w:val="center"/>
          </w:tcPr>
          <w:p>
            <w:pPr>
              <w:pStyle w:val="653"/>
              <w:spacing w:line="240" w:lineRule="auto"/>
              <w:rPr>
                <w:rStyle w:val="652"/>
                <w:rFonts w:hint="default"/>
                <w:color w:val="auto"/>
                <w:sz w:val="21"/>
                <w:szCs w:val="21"/>
                <w:lang w:val="en-US" w:eastAsia="zh-CN" w:bidi="ar"/>
              </w:rPr>
            </w:pPr>
            <w:r>
              <w:rPr>
                <w:rStyle w:val="652"/>
                <w:rFonts w:hint="eastAsia"/>
                <w:color w:val="auto"/>
                <w:sz w:val="21"/>
                <w:szCs w:val="21"/>
                <w:lang w:val="en-US" w:eastAsia="zh-CN" w:bidi="ar"/>
              </w:rPr>
              <w:t>3</w:t>
            </w:r>
            <w:r>
              <w:rPr>
                <w:rFonts w:hint="eastAsia" w:ascii="Times New Roman" w:hAnsi="Times New Roman" w:eastAsia="宋体" w:cs="Times New Roman"/>
                <w:color w:val="auto"/>
                <w:kern w:val="2"/>
                <w:sz w:val="21"/>
                <w:szCs w:val="21"/>
                <w:lang w:val="en-US" w:eastAsia="zh-CN" w:bidi="ar-SA"/>
              </w:rPr>
              <w:t>m³</w:t>
            </w:r>
          </w:p>
        </w:tc>
        <w:tc>
          <w:tcPr>
            <w:tcW w:w="834" w:type="pct"/>
            <w:noWrap w:val="0"/>
            <w:vAlign w:val="center"/>
          </w:tcPr>
          <w:p>
            <w:pPr>
              <w:keepNext w:val="0"/>
              <w:keepLines w:val="0"/>
              <w:widowControl/>
              <w:suppressLineNumbers w:val="0"/>
              <w:spacing w:line="240" w:lineRule="auto"/>
              <w:jc w:val="center"/>
              <w:textAlignment w:val="center"/>
              <w:rPr>
                <w:rFonts w:hint="default" w:hAnsi="宋体"/>
                <w:color w:val="auto"/>
                <w:sz w:val="21"/>
                <w:szCs w:val="21"/>
                <w:lang w:val="en-US" w:eastAsia="zh-CN"/>
              </w:rPr>
            </w:pPr>
            <w:r>
              <w:rPr>
                <w:rFonts w:hint="eastAsia" w:hAnsi="宋体"/>
                <w:color w:val="auto"/>
                <w:sz w:val="21"/>
                <w:szCs w:val="21"/>
                <w:lang w:val="en-US" w:eastAsia="zh-CN"/>
              </w:rPr>
              <w:t>碳钢</w:t>
            </w:r>
          </w:p>
        </w:tc>
        <w:tc>
          <w:tcPr>
            <w:tcW w:w="361" w:type="pct"/>
            <w:noWrap w:val="0"/>
            <w:vAlign w:val="center"/>
          </w:tcPr>
          <w:p>
            <w:pPr>
              <w:widowControl/>
              <w:spacing w:line="240" w:lineRule="auto"/>
              <w:ind w:left="-140" w:leftChars="-50" w:right="-140" w:rightChars="-50"/>
              <w:jc w:val="center"/>
              <w:rPr>
                <w:rFonts w:hint="default" w:hAnsi="宋体"/>
                <w:color w:val="auto"/>
                <w:sz w:val="21"/>
                <w:szCs w:val="21"/>
                <w:lang w:val="en-US" w:eastAsia="zh-CN"/>
              </w:rPr>
            </w:pPr>
            <w:r>
              <w:rPr>
                <w:rFonts w:hint="eastAsia" w:hAnsi="宋体"/>
                <w:color w:val="auto"/>
                <w:sz w:val="21"/>
                <w:szCs w:val="21"/>
                <w:lang w:val="en-US" w:eastAsia="zh-CN"/>
              </w:rPr>
              <w:t>台</w:t>
            </w:r>
          </w:p>
        </w:tc>
        <w:tc>
          <w:tcPr>
            <w:tcW w:w="345" w:type="pct"/>
            <w:noWrap w:val="0"/>
            <w:vAlign w:val="center"/>
          </w:tcPr>
          <w:p>
            <w:pPr>
              <w:keepNext w:val="0"/>
              <w:keepLines w:val="0"/>
              <w:widowControl/>
              <w:suppressLineNumbers w:val="0"/>
              <w:spacing w:line="240" w:lineRule="auto"/>
              <w:jc w:val="center"/>
              <w:textAlignment w:val="center"/>
              <w:rPr>
                <w:rFonts w:hint="default" w:ascii="宋体" w:hAnsi="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2</w:t>
            </w:r>
          </w:p>
        </w:tc>
        <w:tc>
          <w:tcPr>
            <w:tcW w:w="871" w:type="pct"/>
            <w:noWrap w:val="0"/>
            <w:vAlign w:val="center"/>
          </w:tcPr>
          <w:p>
            <w:pPr>
              <w:widowControl/>
              <w:spacing w:line="240" w:lineRule="auto"/>
              <w:ind w:left="-140" w:leftChars="-50" w:right="-140" w:rightChars="-50"/>
              <w:jc w:val="center"/>
              <w:rPr>
                <w:rFonts w:hint="eastAsia" w:hAnsi="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noWrap w:val="0"/>
            <w:vAlign w:val="center"/>
          </w:tcPr>
          <w:p>
            <w:pPr>
              <w:spacing w:line="240" w:lineRule="auto"/>
              <w:ind w:left="-140" w:leftChars="-50" w:right="-140" w:rightChars="-50"/>
              <w:jc w:val="center"/>
              <w:rPr>
                <w:rFonts w:hint="default" w:hAnsi="宋体"/>
                <w:color w:val="auto"/>
                <w:sz w:val="21"/>
                <w:szCs w:val="21"/>
                <w:highlight w:val="yellow"/>
                <w:lang w:val="en-US" w:eastAsia="zh-CN"/>
              </w:rPr>
            </w:pPr>
            <w:r>
              <w:rPr>
                <w:rFonts w:hint="eastAsia" w:hAnsi="宋体"/>
                <w:color w:val="auto"/>
                <w:sz w:val="21"/>
                <w:szCs w:val="21"/>
                <w:highlight w:val="none"/>
                <w:lang w:val="en-US" w:eastAsia="zh-CN"/>
              </w:rPr>
              <w:t>5</w:t>
            </w:r>
          </w:p>
        </w:tc>
        <w:tc>
          <w:tcPr>
            <w:tcW w:w="743" w:type="pct"/>
            <w:noWrap w:val="0"/>
            <w:vAlign w:val="center"/>
          </w:tcPr>
          <w:p>
            <w:pPr>
              <w:spacing w:line="240" w:lineRule="auto"/>
              <w:ind w:firstLine="0" w:firstLineChars="0"/>
              <w:jc w:val="center"/>
              <w:rPr>
                <w:rFonts w:hint="default" w:cs="Times New Roman"/>
                <w:color w:val="auto"/>
                <w:sz w:val="21"/>
                <w:szCs w:val="21"/>
                <w:highlight w:val="yellow"/>
                <w:lang w:val="en-US" w:eastAsia="zh-CN"/>
              </w:rPr>
            </w:pPr>
            <w:r>
              <w:rPr>
                <w:rFonts w:hint="eastAsia" w:cs="Times New Roman"/>
                <w:color w:val="auto"/>
                <w:sz w:val="21"/>
                <w:szCs w:val="21"/>
                <w:highlight w:val="none"/>
                <w:lang w:val="en-US" w:eastAsia="zh-CN"/>
              </w:rPr>
              <w:t>氮气储罐</w:t>
            </w:r>
          </w:p>
        </w:tc>
        <w:tc>
          <w:tcPr>
            <w:tcW w:w="1582" w:type="pct"/>
            <w:noWrap w:val="0"/>
            <w:vAlign w:val="center"/>
          </w:tcPr>
          <w:p>
            <w:pPr>
              <w:pStyle w:val="653"/>
              <w:spacing w:line="240" w:lineRule="auto"/>
              <w:rPr>
                <w:rFonts w:hint="eastAsia" w:ascii="宋体" w:hAnsi="宋体" w:eastAsia="宋体" w:cs="宋体"/>
                <w:color w:val="auto"/>
                <w:sz w:val="21"/>
                <w:szCs w:val="21"/>
                <w:highlight w:val="yellow"/>
                <w:u w:val="none"/>
                <w:lang w:val="en-US" w:eastAsia="zh-CN" w:bidi="ar"/>
              </w:rPr>
            </w:pPr>
            <w:r>
              <w:rPr>
                <w:rStyle w:val="652"/>
                <w:rFonts w:hint="eastAsia"/>
                <w:color w:val="auto"/>
                <w:sz w:val="21"/>
                <w:szCs w:val="21"/>
                <w:highlight w:val="none"/>
                <w:lang w:val="en-US" w:eastAsia="zh-CN" w:bidi="ar"/>
              </w:rPr>
              <w:t>3</w:t>
            </w:r>
            <w:r>
              <w:rPr>
                <w:rFonts w:hint="eastAsia" w:ascii="Times New Roman" w:hAnsi="Times New Roman" w:eastAsia="宋体" w:cs="Times New Roman"/>
                <w:color w:val="auto"/>
                <w:kern w:val="2"/>
                <w:sz w:val="21"/>
                <w:szCs w:val="21"/>
                <w:highlight w:val="none"/>
                <w:lang w:val="en-US" w:eastAsia="zh-CN" w:bidi="ar-SA"/>
              </w:rPr>
              <w:t>m³</w:t>
            </w:r>
          </w:p>
        </w:tc>
        <w:tc>
          <w:tcPr>
            <w:tcW w:w="834" w:type="pct"/>
            <w:noWrap w:val="0"/>
            <w:vAlign w:val="center"/>
          </w:tcPr>
          <w:p>
            <w:pPr>
              <w:keepNext w:val="0"/>
              <w:keepLines w:val="0"/>
              <w:widowControl/>
              <w:suppressLineNumbers w:val="0"/>
              <w:spacing w:line="240" w:lineRule="auto"/>
              <w:jc w:val="center"/>
              <w:textAlignment w:val="center"/>
              <w:rPr>
                <w:rFonts w:hint="eastAsia" w:ascii="Times New Roman" w:hAnsi="宋体" w:eastAsia="宋体" w:cs="Times New Roman"/>
                <w:color w:val="auto"/>
                <w:kern w:val="2"/>
                <w:sz w:val="21"/>
                <w:szCs w:val="21"/>
                <w:highlight w:val="yellow"/>
                <w:lang w:val="en-US" w:eastAsia="zh-CN" w:bidi="ar-SA"/>
              </w:rPr>
            </w:pPr>
            <w:r>
              <w:rPr>
                <w:rFonts w:hint="eastAsia" w:hAnsi="宋体"/>
                <w:color w:val="auto"/>
                <w:sz w:val="21"/>
                <w:szCs w:val="21"/>
                <w:highlight w:val="none"/>
                <w:lang w:val="en-US" w:eastAsia="zh-CN"/>
              </w:rPr>
              <w:t>碳钢</w:t>
            </w:r>
          </w:p>
        </w:tc>
        <w:tc>
          <w:tcPr>
            <w:tcW w:w="361" w:type="pct"/>
            <w:noWrap w:val="0"/>
            <w:vAlign w:val="center"/>
          </w:tcPr>
          <w:p>
            <w:pPr>
              <w:widowControl/>
              <w:spacing w:line="240" w:lineRule="auto"/>
              <w:ind w:left="-140" w:leftChars="-50" w:right="-140" w:rightChars="-50"/>
              <w:jc w:val="center"/>
              <w:rPr>
                <w:rFonts w:hint="eastAsia" w:ascii="Times New Roman" w:hAnsi="宋体" w:eastAsia="宋体" w:cs="Times New Roman"/>
                <w:color w:val="auto"/>
                <w:kern w:val="2"/>
                <w:sz w:val="21"/>
                <w:szCs w:val="21"/>
                <w:highlight w:val="yellow"/>
                <w:lang w:val="en-US" w:eastAsia="zh-CN" w:bidi="ar-SA"/>
              </w:rPr>
            </w:pPr>
            <w:r>
              <w:rPr>
                <w:rFonts w:hint="eastAsia" w:hAnsi="宋体"/>
                <w:color w:val="auto"/>
                <w:sz w:val="21"/>
                <w:szCs w:val="21"/>
                <w:highlight w:val="none"/>
                <w:lang w:val="en-US" w:eastAsia="zh-CN"/>
              </w:rPr>
              <w:t>台</w:t>
            </w:r>
          </w:p>
        </w:tc>
        <w:tc>
          <w:tcPr>
            <w:tcW w:w="345" w:type="pct"/>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yellow"/>
                <w:u w:val="none"/>
                <w:lang w:val="en-US" w:eastAsia="zh-CN" w:bidi="ar"/>
              </w:rPr>
            </w:pPr>
            <w:r>
              <w:rPr>
                <w:rFonts w:hint="eastAsia" w:ascii="宋体" w:hAnsi="宋体" w:cs="宋体"/>
                <w:i w:val="0"/>
                <w:iCs w:val="0"/>
                <w:color w:val="auto"/>
                <w:kern w:val="0"/>
                <w:sz w:val="21"/>
                <w:szCs w:val="21"/>
                <w:highlight w:val="none"/>
                <w:u w:val="none"/>
                <w:lang w:val="en-US" w:eastAsia="zh-CN" w:bidi="ar"/>
              </w:rPr>
              <w:t>2</w:t>
            </w:r>
          </w:p>
        </w:tc>
        <w:tc>
          <w:tcPr>
            <w:tcW w:w="871" w:type="pct"/>
            <w:noWrap w:val="0"/>
            <w:vAlign w:val="center"/>
          </w:tcPr>
          <w:p>
            <w:pPr>
              <w:widowControl/>
              <w:spacing w:line="240" w:lineRule="auto"/>
              <w:ind w:left="-140" w:leftChars="-50" w:right="-140" w:rightChars="-50"/>
              <w:jc w:val="center"/>
              <w:rPr>
                <w:rFonts w:hint="eastAsia" w:hAnsi="宋体"/>
                <w:color w:val="auto"/>
                <w:sz w:val="21"/>
                <w:szCs w:val="21"/>
                <w:lang w:val="en-US" w:eastAsia="zh-CN"/>
              </w:rPr>
            </w:pPr>
          </w:p>
        </w:tc>
      </w:tr>
    </w:tbl>
    <w:p>
      <w:pPr>
        <w:ind w:firstLine="560" w:firstLineChars="200"/>
        <w:rPr>
          <w:rFonts w:hint="eastAsia"/>
          <w:color w:val="auto"/>
          <w:lang w:val="en-US" w:eastAsia="zh-CN"/>
        </w:rPr>
      </w:pPr>
      <w:r>
        <w:rPr>
          <w:rFonts w:hint="eastAsia"/>
          <w:color w:val="auto"/>
          <w:lang w:val="en-US" w:eastAsia="zh-CN"/>
        </w:rPr>
        <w:t>3、管道</w:t>
      </w:r>
    </w:p>
    <w:p>
      <w:pPr>
        <w:ind w:firstLine="560" w:firstLineChars="200"/>
        <w:rPr>
          <w:rFonts w:hint="eastAsia"/>
          <w:color w:val="auto"/>
          <w:lang w:val="en-US" w:eastAsia="zh-CN"/>
        </w:rPr>
      </w:pPr>
      <w:r>
        <w:rPr>
          <w:rFonts w:hint="eastAsia"/>
          <w:color w:val="auto"/>
          <w:lang w:val="en-US" w:eastAsia="zh-CN"/>
        </w:rPr>
        <w:t>该项目的管道主要有：蒸汽管道、罐区至车间的工艺物料管、循环水池至车间的循环水管、公用工程间至车间的压缩空气、冷冻间至车间冷冻水管等。</w:t>
      </w:r>
    </w:p>
    <w:p>
      <w:pPr>
        <w:ind w:firstLine="560" w:firstLineChars="200"/>
        <w:rPr>
          <w:rFonts w:hint="eastAsia"/>
          <w:color w:val="auto"/>
          <w:lang w:val="en-US" w:eastAsia="zh-CN"/>
        </w:rPr>
      </w:pPr>
      <w:r>
        <w:rPr>
          <w:rFonts w:hint="eastAsia"/>
          <w:color w:val="auto"/>
          <w:lang w:val="en-US" w:eastAsia="zh-CN"/>
        </w:rPr>
        <w:t>1）管道系统选择</w:t>
      </w:r>
    </w:p>
    <w:p>
      <w:pPr>
        <w:ind w:firstLine="560" w:firstLineChars="200"/>
        <w:rPr>
          <w:rFonts w:hint="eastAsia"/>
          <w:color w:val="auto"/>
          <w:lang w:val="en-US" w:eastAsia="zh-CN"/>
        </w:rPr>
      </w:pPr>
      <w:r>
        <w:rPr>
          <w:rFonts w:hint="eastAsia"/>
          <w:color w:val="auto"/>
          <w:lang w:val="en-US" w:eastAsia="zh-CN"/>
        </w:rPr>
        <w:t>（1）所有管道均采用单管制。</w:t>
      </w:r>
    </w:p>
    <w:p>
      <w:pPr>
        <w:ind w:firstLine="560" w:firstLineChars="200"/>
        <w:rPr>
          <w:rFonts w:hint="eastAsia"/>
          <w:color w:val="auto"/>
          <w:lang w:val="en-US" w:eastAsia="zh-CN"/>
        </w:rPr>
      </w:pPr>
      <w:r>
        <w:rPr>
          <w:rFonts w:hint="eastAsia"/>
          <w:color w:val="auto"/>
          <w:lang w:val="en-US" w:eastAsia="zh-CN"/>
        </w:rPr>
        <w:t>（2）工艺管道按工艺专业要求敷设。</w:t>
      </w:r>
    </w:p>
    <w:p>
      <w:pPr>
        <w:ind w:firstLine="560" w:firstLineChars="200"/>
        <w:rPr>
          <w:rFonts w:hint="eastAsia"/>
          <w:color w:val="auto"/>
          <w:lang w:val="en-US" w:eastAsia="zh-CN"/>
        </w:rPr>
      </w:pPr>
      <w:r>
        <w:rPr>
          <w:rFonts w:hint="eastAsia"/>
          <w:color w:val="auto"/>
          <w:lang w:val="en-US" w:eastAsia="zh-CN"/>
        </w:rPr>
        <w:t>2）管道设计原则及敷设</w:t>
      </w:r>
    </w:p>
    <w:p>
      <w:pPr>
        <w:ind w:firstLine="560" w:firstLineChars="200"/>
        <w:rPr>
          <w:rFonts w:hint="eastAsia"/>
          <w:color w:val="auto"/>
          <w:lang w:val="en-US" w:eastAsia="zh-CN"/>
        </w:rPr>
      </w:pPr>
      <w:r>
        <w:rPr>
          <w:rFonts w:hint="eastAsia"/>
          <w:color w:val="auto"/>
          <w:lang w:val="en-US" w:eastAsia="zh-CN"/>
        </w:rPr>
        <w:t>（1）所有室外管道均尽量采用架空敷设。</w:t>
      </w:r>
    </w:p>
    <w:p>
      <w:pPr>
        <w:ind w:firstLine="560" w:firstLineChars="200"/>
        <w:rPr>
          <w:rFonts w:hint="eastAsia"/>
          <w:color w:val="auto"/>
          <w:lang w:val="en-US" w:eastAsia="zh-CN"/>
        </w:rPr>
      </w:pPr>
      <w:r>
        <w:rPr>
          <w:rFonts w:hint="eastAsia"/>
          <w:color w:val="auto"/>
          <w:lang w:val="en-US" w:eastAsia="zh-CN"/>
        </w:rPr>
        <w:t>（2）管道负荷及管径按相关专业所提条件确定。</w:t>
      </w:r>
    </w:p>
    <w:p>
      <w:pPr>
        <w:ind w:firstLine="560" w:firstLineChars="200"/>
        <w:rPr>
          <w:rFonts w:hint="eastAsia"/>
          <w:color w:val="auto"/>
          <w:lang w:val="en-US" w:eastAsia="zh-CN"/>
        </w:rPr>
      </w:pPr>
      <w:r>
        <w:rPr>
          <w:rFonts w:hint="eastAsia"/>
          <w:color w:val="auto"/>
          <w:lang w:val="en-US" w:eastAsia="zh-CN"/>
        </w:rPr>
        <w:t>（3）管道材质按介质性质和相关专业的要求。主要工艺物料管材料为不锈钢无缝钢管（304），其余管道材料一般为碳钢无缝钢管（20#）。</w:t>
      </w:r>
    </w:p>
    <w:p>
      <w:pPr>
        <w:ind w:firstLine="560" w:firstLineChars="200"/>
        <w:rPr>
          <w:rFonts w:hint="eastAsia"/>
          <w:color w:val="auto"/>
          <w:lang w:val="en-US" w:eastAsia="zh-CN"/>
        </w:rPr>
      </w:pPr>
      <w:r>
        <w:rPr>
          <w:rFonts w:hint="eastAsia"/>
          <w:color w:val="auto"/>
          <w:lang w:val="en-US" w:eastAsia="zh-CN"/>
        </w:rPr>
        <w:t>（4）外管道均架空敷设，管道的连接均为焊接连接。</w:t>
      </w:r>
    </w:p>
    <w:p>
      <w:pPr>
        <w:ind w:firstLine="560" w:firstLineChars="200"/>
        <w:rPr>
          <w:rFonts w:hint="eastAsia"/>
          <w:color w:val="auto"/>
          <w:lang w:val="en-US" w:eastAsia="zh-CN"/>
        </w:rPr>
      </w:pPr>
      <w:r>
        <w:rPr>
          <w:rFonts w:hint="eastAsia"/>
          <w:color w:val="auto"/>
          <w:lang w:val="en-US" w:eastAsia="zh-CN"/>
        </w:rPr>
        <w:t>3）保温及防腐</w:t>
      </w:r>
    </w:p>
    <w:p>
      <w:pPr>
        <w:ind w:firstLine="560" w:firstLineChars="200"/>
        <w:rPr>
          <w:rFonts w:hint="eastAsia"/>
          <w:color w:val="auto"/>
          <w:lang w:val="en-US" w:eastAsia="zh-CN"/>
        </w:rPr>
      </w:pPr>
      <w:r>
        <w:rPr>
          <w:rFonts w:hint="eastAsia"/>
          <w:color w:val="auto"/>
          <w:lang w:val="en-US" w:eastAsia="zh-CN"/>
        </w:rPr>
        <w:t>（1）保温管道的绝热层：蒸汽管道保温采用硅酸铝材料保温；冷冻水管道保温采用自熄性聚氨酯泡沫管壳。保温管线的保护层采用δ=0.5mm铝皮。</w:t>
      </w:r>
    </w:p>
    <w:p>
      <w:pPr>
        <w:ind w:firstLine="560" w:firstLineChars="200"/>
        <w:rPr>
          <w:rFonts w:hint="eastAsia"/>
          <w:color w:val="auto"/>
          <w:lang w:val="en-US" w:eastAsia="zh-CN"/>
        </w:rPr>
      </w:pPr>
      <w:r>
        <w:rPr>
          <w:rFonts w:hint="eastAsia"/>
          <w:color w:val="auto"/>
          <w:lang w:val="en-US" w:eastAsia="zh-CN"/>
        </w:rPr>
        <w:t>（2）不保温碳钢管道均先刷2道红丹底漆及2道调合漆面漆。</w:t>
      </w:r>
    </w:p>
    <w:p>
      <w:pPr>
        <w:ind w:firstLine="560" w:firstLineChars="200"/>
        <w:rPr>
          <w:rFonts w:hint="eastAsia"/>
          <w:color w:val="auto"/>
          <w:lang w:val="en-US" w:eastAsia="zh-CN"/>
        </w:rPr>
      </w:pPr>
      <w:r>
        <w:rPr>
          <w:rFonts w:hint="eastAsia"/>
          <w:color w:val="auto"/>
          <w:lang w:val="en-US" w:eastAsia="zh-CN"/>
        </w:rPr>
        <w:t>（3）保温、保冷碳钢管道刷2道红丹底漆。</w:t>
      </w:r>
    </w:p>
    <w:p>
      <w:pPr>
        <w:pStyle w:val="3"/>
        <w:rPr>
          <w:rFonts w:hint="default" w:eastAsia="宋体"/>
          <w:color w:val="auto"/>
          <w:lang w:val="en-US" w:eastAsia="zh-CN"/>
        </w:rPr>
      </w:pPr>
      <w:bookmarkStart w:id="144" w:name="_Toc29987"/>
      <w:bookmarkStart w:id="145" w:name="_Toc20796"/>
      <w:bookmarkStart w:id="146" w:name="_Toc2884"/>
      <w:bookmarkStart w:id="147" w:name="_Toc3340"/>
      <w:bookmarkStart w:id="148" w:name="_Toc28450"/>
      <w:bookmarkStart w:id="149" w:name="_Toc7518"/>
      <w:r>
        <w:rPr>
          <w:rFonts w:hint="eastAsia"/>
          <w:color w:val="auto"/>
          <w:lang w:val="en-US" w:eastAsia="zh-CN"/>
        </w:rPr>
        <w:t>2.5建设项目涉及的主要产品、原辅材料及其储运</w:t>
      </w:r>
      <w:bookmarkEnd w:id="144"/>
      <w:bookmarkEnd w:id="145"/>
      <w:bookmarkEnd w:id="146"/>
      <w:bookmarkEnd w:id="147"/>
      <w:bookmarkEnd w:id="148"/>
      <w:bookmarkEnd w:id="149"/>
    </w:p>
    <w:p>
      <w:pPr>
        <w:pStyle w:val="4"/>
        <w:bidi w:val="0"/>
        <w:rPr>
          <w:rFonts w:hint="eastAsia"/>
          <w:color w:val="auto"/>
        </w:rPr>
      </w:pPr>
      <w:bookmarkStart w:id="150" w:name="_Toc7176"/>
      <w:bookmarkStart w:id="151" w:name="_Toc13805"/>
      <w:bookmarkStart w:id="152" w:name="_Toc3313"/>
      <w:bookmarkStart w:id="153" w:name="_Toc19891"/>
      <w:bookmarkStart w:id="154" w:name="_Toc26709"/>
      <w:bookmarkStart w:id="155" w:name="_Toc15969"/>
      <w:r>
        <w:rPr>
          <w:rFonts w:hint="eastAsia"/>
          <w:color w:val="auto"/>
        </w:rPr>
        <w:t>2.</w:t>
      </w:r>
      <w:r>
        <w:rPr>
          <w:rFonts w:hint="eastAsia"/>
          <w:color w:val="auto"/>
          <w:lang w:val="en-US" w:eastAsia="zh-CN"/>
        </w:rPr>
        <w:t>5</w:t>
      </w:r>
      <w:r>
        <w:rPr>
          <w:rFonts w:hint="eastAsia"/>
          <w:color w:val="auto"/>
        </w:rPr>
        <w:t>.</w:t>
      </w:r>
      <w:r>
        <w:rPr>
          <w:rFonts w:hint="eastAsia"/>
          <w:color w:val="auto"/>
          <w:lang w:val="en-US" w:eastAsia="zh-CN"/>
        </w:rPr>
        <w:t>1</w:t>
      </w:r>
      <w:r>
        <w:rPr>
          <w:color w:val="auto"/>
        </w:rPr>
        <w:t>主要</w:t>
      </w:r>
      <w:r>
        <w:rPr>
          <w:rFonts w:hint="eastAsia"/>
          <w:color w:val="auto"/>
        </w:rPr>
        <w:t>产品、</w:t>
      </w:r>
      <w:r>
        <w:rPr>
          <w:color w:val="auto"/>
        </w:rPr>
        <w:t>原辅材料</w:t>
      </w:r>
      <w:bookmarkEnd w:id="150"/>
      <w:bookmarkEnd w:id="151"/>
      <w:bookmarkEnd w:id="152"/>
      <w:bookmarkEnd w:id="153"/>
      <w:bookmarkEnd w:id="154"/>
      <w:bookmarkEnd w:id="155"/>
    </w:p>
    <w:p>
      <w:pPr>
        <w:pStyle w:val="53"/>
        <w:bidi w:val="0"/>
        <w:rPr>
          <w:rFonts w:hint="eastAsia"/>
          <w:color w:val="auto"/>
        </w:rPr>
      </w:pPr>
      <w:r>
        <w:rPr>
          <w:color w:val="auto"/>
        </w:rPr>
        <w:t>表2.</w:t>
      </w:r>
      <w:r>
        <w:rPr>
          <w:rFonts w:hint="eastAsia"/>
          <w:color w:val="auto"/>
          <w:lang w:val="en-US" w:eastAsia="zh-CN"/>
        </w:rPr>
        <w:t>5</w:t>
      </w:r>
      <w:r>
        <w:rPr>
          <w:color w:val="auto"/>
        </w:rPr>
        <w:t>-</w:t>
      </w:r>
      <w:r>
        <w:rPr>
          <w:rFonts w:hint="eastAsia"/>
          <w:color w:val="auto"/>
        </w:rPr>
        <w:t>1</w:t>
      </w:r>
      <w:r>
        <w:rPr>
          <w:color w:val="auto"/>
        </w:rPr>
        <w:t>主要</w:t>
      </w:r>
      <w:r>
        <w:rPr>
          <w:rFonts w:hint="eastAsia"/>
          <w:color w:val="auto"/>
        </w:rPr>
        <w:t>产品、</w:t>
      </w:r>
      <w:r>
        <w:rPr>
          <w:color w:val="auto"/>
        </w:rPr>
        <w:t>原辅材料一览表</w:t>
      </w:r>
    </w:p>
    <w:tbl>
      <w:tblPr>
        <w:tblStyle w:val="42"/>
        <w:tblW w:w="493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73"/>
        <w:gridCol w:w="1108"/>
        <w:gridCol w:w="1198"/>
        <w:gridCol w:w="661"/>
        <w:gridCol w:w="871"/>
        <w:gridCol w:w="696"/>
        <w:gridCol w:w="1044"/>
        <w:gridCol w:w="783"/>
        <w:gridCol w:w="761"/>
        <w:gridCol w:w="914"/>
        <w:gridCol w:w="7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blHeader/>
          <w:jc w:val="center"/>
        </w:trPr>
        <w:tc>
          <w:tcPr>
            <w:tcW w:w="255" w:type="pct"/>
            <w:noWrap w:val="0"/>
            <w:vAlign w:val="center"/>
          </w:tcPr>
          <w:p>
            <w:pPr>
              <w:spacing w:line="240" w:lineRule="auto"/>
              <w:jc w:val="center"/>
              <w:rPr>
                <w:color w:val="auto"/>
                <w:sz w:val="21"/>
                <w:szCs w:val="21"/>
              </w:rPr>
            </w:pPr>
            <w:r>
              <w:rPr>
                <w:color w:val="auto"/>
                <w:sz w:val="21"/>
                <w:szCs w:val="21"/>
              </w:rPr>
              <w:t>序号</w:t>
            </w:r>
          </w:p>
        </w:tc>
        <w:tc>
          <w:tcPr>
            <w:tcW w:w="597" w:type="pct"/>
            <w:noWrap w:val="0"/>
            <w:vAlign w:val="center"/>
          </w:tcPr>
          <w:p>
            <w:pPr>
              <w:spacing w:line="240" w:lineRule="auto"/>
              <w:jc w:val="center"/>
              <w:rPr>
                <w:color w:val="auto"/>
                <w:sz w:val="21"/>
                <w:szCs w:val="21"/>
              </w:rPr>
            </w:pPr>
            <w:r>
              <w:rPr>
                <w:color w:val="auto"/>
                <w:sz w:val="21"/>
                <w:szCs w:val="21"/>
              </w:rPr>
              <w:t>名称</w:t>
            </w:r>
          </w:p>
        </w:tc>
        <w:tc>
          <w:tcPr>
            <w:tcW w:w="64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eastAsia" w:eastAsia="宋体"/>
                <w:color w:val="auto"/>
                <w:sz w:val="21"/>
                <w:szCs w:val="21"/>
                <w:lang w:eastAsia="zh-CN"/>
              </w:rPr>
            </w:pPr>
            <w:r>
              <w:rPr>
                <w:rFonts w:hint="eastAsia"/>
                <w:color w:val="auto"/>
                <w:sz w:val="21"/>
                <w:szCs w:val="21"/>
                <w:lang w:val="en-US" w:eastAsia="zh-CN"/>
              </w:rPr>
              <w:t>组分</w:t>
            </w:r>
          </w:p>
        </w:tc>
        <w:tc>
          <w:tcPr>
            <w:tcW w:w="356" w:type="pct"/>
            <w:noWrap w:val="0"/>
            <w:vAlign w:val="center"/>
          </w:tcPr>
          <w:p>
            <w:pPr>
              <w:spacing w:line="240" w:lineRule="auto"/>
              <w:jc w:val="center"/>
              <w:rPr>
                <w:rFonts w:hint="eastAsia" w:eastAsia="宋体"/>
                <w:color w:val="auto"/>
                <w:sz w:val="21"/>
                <w:szCs w:val="21"/>
                <w:lang w:val="en-US" w:eastAsia="zh-CN"/>
              </w:rPr>
            </w:pPr>
            <w:r>
              <w:rPr>
                <w:rFonts w:hint="eastAsia"/>
                <w:color w:val="auto"/>
                <w:sz w:val="21"/>
                <w:szCs w:val="21"/>
                <w:lang w:val="en-US" w:eastAsia="zh-CN"/>
              </w:rPr>
              <w:t>形态</w:t>
            </w:r>
          </w:p>
        </w:tc>
        <w:tc>
          <w:tcPr>
            <w:tcW w:w="469" w:type="pct"/>
            <w:noWrap w:val="0"/>
            <w:vAlign w:val="center"/>
          </w:tcPr>
          <w:p>
            <w:pPr>
              <w:spacing w:line="240" w:lineRule="auto"/>
              <w:jc w:val="center"/>
              <w:rPr>
                <w:color w:val="auto"/>
                <w:sz w:val="21"/>
                <w:szCs w:val="21"/>
              </w:rPr>
            </w:pPr>
            <w:r>
              <w:rPr>
                <w:color w:val="auto"/>
                <w:sz w:val="21"/>
                <w:szCs w:val="21"/>
              </w:rPr>
              <w:t>产品/</w:t>
            </w:r>
          </w:p>
          <w:p>
            <w:pPr>
              <w:spacing w:line="240" w:lineRule="auto"/>
              <w:jc w:val="center"/>
              <w:rPr>
                <w:color w:val="auto"/>
                <w:sz w:val="21"/>
                <w:szCs w:val="21"/>
              </w:rPr>
            </w:pPr>
            <w:r>
              <w:rPr>
                <w:color w:val="auto"/>
                <w:sz w:val="21"/>
                <w:szCs w:val="21"/>
              </w:rPr>
              <w:t>原料</w:t>
            </w:r>
          </w:p>
        </w:tc>
        <w:tc>
          <w:tcPr>
            <w:tcW w:w="375" w:type="pct"/>
            <w:noWrap w:val="0"/>
            <w:vAlign w:val="center"/>
          </w:tcPr>
          <w:p>
            <w:pPr>
              <w:pStyle w:val="233"/>
              <w:keepNext w:val="0"/>
              <w:keepLines w:val="0"/>
              <w:pageBreakBefore w:val="0"/>
              <w:widowControl w:val="0"/>
              <w:kinsoku/>
              <w:wordWrap/>
              <w:overflowPunct/>
              <w:topLinePunct w:val="0"/>
              <w:autoSpaceDE/>
              <w:autoSpaceDN/>
              <w:bidi w:val="0"/>
              <w:adjustRightInd w:val="0"/>
              <w:snapToGrid w:val="0"/>
              <w:spacing w:line="240" w:lineRule="auto"/>
              <w:ind w:left="-140" w:leftChars="-50" w:right="-140" w:rightChars="-50"/>
              <w:jc w:val="center"/>
              <w:textAlignment w:val="auto"/>
              <w:rPr>
                <w:rFonts w:ascii="Times New Roman" w:hAnsi="Times New Roman"/>
                <w:color w:val="auto"/>
                <w:sz w:val="21"/>
                <w:szCs w:val="21"/>
              </w:rPr>
            </w:pPr>
            <w:r>
              <w:rPr>
                <w:rFonts w:ascii="Times New Roman" w:hAnsi="Times New Roman"/>
                <w:color w:val="auto"/>
                <w:sz w:val="21"/>
                <w:szCs w:val="21"/>
              </w:rPr>
              <w:t>规格（%）</w:t>
            </w:r>
          </w:p>
        </w:tc>
        <w:tc>
          <w:tcPr>
            <w:tcW w:w="562" w:type="pct"/>
            <w:noWrap w:val="0"/>
            <w:vAlign w:val="center"/>
          </w:tcPr>
          <w:p>
            <w:pPr>
              <w:pStyle w:val="233"/>
              <w:keepNext w:val="0"/>
              <w:keepLines w:val="0"/>
              <w:pageBreakBefore w:val="0"/>
              <w:widowControl w:val="0"/>
              <w:kinsoku/>
              <w:wordWrap/>
              <w:overflowPunct/>
              <w:topLinePunct w:val="0"/>
              <w:autoSpaceDE/>
              <w:autoSpaceDN/>
              <w:bidi w:val="0"/>
              <w:adjustRightInd w:val="0"/>
              <w:snapToGrid w:val="0"/>
              <w:spacing w:line="240" w:lineRule="auto"/>
              <w:ind w:left="0" w:leftChars="0" w:right="-140" w:rightChars="-50"/>
              <w:jc w:val="center"/>
              <w:textAlignment w:val="auto"/>
              <w:rPr>
                <w:rFonts w:ascii="Times New Roman" w:hAnsi="Times New Roman"/>
                <w:color w:val="auto"/>
                <w:sz w:val="21"/>
                <w:szCs w:val="21"/>
              </w:rPr>
            </w:pPr>
            <w:r>
              <w:rPr>
                <w:rFonts w:ascii="Times New Roman" w:hAnsi="Times New Roman"/>
                <w:color w:val="auto"/>
                <w:sz w:val="21"/>
                <w:szCs w:val="21"/>
              </w:rPr>
              <w:t>年产（用）量</w:t>
            </w:r>
          </w:p>
        </w:tc>
        <w:tc>
          <w:tcPr>
            <w:tcW w:w="422" w:type="pct"/>
            <w:noWrap w:val="0"/>
            <w:vAlign w:val="center"/>
          </w:tcPr>
          <w:p>
            <w:pPr>
              <w:pStyle w:val="233"/>
              <w:keepNext w:val="0"/>
              <w:keepLines w:val="0"/>
              <w:pageBreakBefore w:val="0"/>
              <w:widowControl w:val="0"/>
              <w:kinsoku/>
              <w:wordWrap/>
              <w:overflowPunct/>
              <w:topLinePunct w:val="0"/>
              <w:autoSpaceDE/>
              <w:autoSpaceDN/>
              <w:bidi w:val="0"/>
              <w:adjustRightInd w:val="0"/>
              <w:snapToGrid w:val="0"/>
              <w:spacing w:line="240" w:lineRule="auto"/>
              <w:ind w:left="-140" w:leftChars="-50" w:right="0" w:rightChars="0"/>
              <w:jc w:val="center"/>
              <w:textAlignment w:val="auto"/>
              <w:rPr>
                <w:rFonts w:ascii="Times New Roman" w:hAnsi="Times New Roman"/>
                <w:color w:val="auto"/>
                <w:sz w:val="21"/>
                <w:szCs w:val="21"/>
              </w:rPr>
            </w:pPr>
            <w:r>
              <w:rPr>
                <w:rFonts w:ascii="Times New Roman" w:hAnsi="Times New Roman"/>
                <w:color w:val="auto"/>
                <w:sz w:val="21"/>
                <w:szCs w:val="21"/>
              </w:rPr>
              <w:t>最大储存量</w:t>
            </w:r>
          </w:p>
        </w:tc>
        <w:tc>
          <w:tcPr>
            <w:tcW w:w="410" w:type="pct"/>
            <w:noWrap w:val="0"/>
            <w:vAlign w:val="center"/>
          </w:tcPr>
          <w:p>
            <w:pPr>
              <w:pStyle w:val="233"/>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textAlignment w:val="auto"/>
              <w:rPr>
                <w:rFonts w:ascii="Times New Roman" w:hAnsi="Times New Roman"/>
                <w:color w:val="auto"/>
                <w:sz w:val="21"/>
                <w:szCs w:val="21"/>
              </w:rPr>
            </w:pPr>
            <w:r>
              <w:rPr>
                <w:rFonts w:ascii="Times New Roman" w:hAnsi="Times New Roman"/>
                <w:color w:val="auto"/>
                <w:sz w:val="21"/>
                <w:szCs w:val="21"/>
              </w:rPr>
              <w:t>储存方式</w:t>
            </w:r>
          </w:p>
        </w:tc>
        <w:tc>
          <w:tcPr>
            <w:tcW w:w="492" w:type="pct"/>
            <w:noWrap w:val="0"/>
            <w:vAlign w:val="center"/>
          </w:tcPr>
          <w:p>
            <w:pPr>
              <w:pStyle w:val="233"/>
              <w:adjustRightInd w:val="0"/>
              <w:snapToGrid w:val="0"/>
              <w:spacing w:line="240" w:lineRule="auto"/>
              <w:jc w:val="center"/>
              <w:rPr>
                <w:rFonts w:ascii="Times New Roman" w:hAnsi="Times New Roman"/>
                <w:color w:val="auto"/>
                <w:sz w:val="21"/>
                <w:szCs w:val="21"/>
              </w:rPr>
            </w:pPr>
            <w:r>
              <w:rPr>
                <w:rFonts w:ascii="Times New Roman" w:hAnsi="Times New Roman"/>
                <w:color w:val="auto"/>
                <w:sz w:val="21"/>
                <w:szCs w:val="21"/>
              </w:rPr>
              <w:t>储存</w:t>
            </w:r>
          </w:p>
          <w:p>
            <w:pPr>
              <w:pStyle w:val="233"/>
              <w:adjustRightInd w:val="0"/>
              <w:snapToGrid w:val="0"/>
              <w:spacing w:line="240" w:lineRule="auto"/>
              <w:jc w:val="center"/>
              <w:rPr>
                <w:rFonts w:ascii="Times New Roman" w:hAnsi="Times New Roman"/>
                <w:color w:val="auto"/>
                <w:sz w:val="21"/>
                <w:szCs w:val="21"/>
              </w:rPr>
            </w:pPr>
            <w:r>
              <w:rPr>
                <w:rFonts w:ascii="Times New Roman" w:hAnsi="Times New Roman"/>
                <w:color w:val="auto"/>
                <w:sz w:val="21"/>
                <w:szCs w:val="21"/>
              </w:rPr>
              <w:t>地点</w:t>
            </w:r>
          </w:p>
        </w:tc>
        <w:tc>
          <w:tcPr>
            <w:tcW w:w="411" w:type="pct"/>
            <w:noWrap w:val="0"/>
            <w:vAlign w:val="center"/>
          </w:tcPr>
          <w:p>
            <w:pPr>
              <w:pStyle w:val="233"/>
              <w:adjustRightInd w:val="0"/>
              <w:snapToGrid w:val="0"/>
              <w:spacing w:line="240" w:lineRule="auto"/>
              <w:jc w:val="center"/>
              <w:rPr>
                <w:rFonts w:ascii="Times New Roman" w:hAnsi="Times New Roman"/>
                <w:color w:val="auto"/>
                <w:sz w:val="21"/>
                <w:szCs w:val="21"/>
              </w:rPr>
            </w:pPr>
            <w:r>
              <w:rPr>
                <w:rFonts w:ascii="Times New Roman" w:hAnsi="Times New Roman"/>
                <w:color w:val="auto"/>
                <w:sz w:val="21"/>
                <w:szCs w:val="21"/>
              </w:rPr>
              <w:t>运输方式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blHeader/>
          <w:jc w:val="center"/>
        </w:trPr>
        <w:tc>
          <w:tcPr>
            <w:tcW w:w="255" w:type="pct"/>
            <w:noWrap w:val="0"/>
            <w:vAlign w:val="center"/>
          </w:tcPr>
          <w:p>
            <w:pPr>
              <w:widowControl/>
              <w:spacing w:line="240" w:lineRule="auto"/>
              <w:jc w:val="center"/>
              <w:rPr>
                <w:color w:val="auto"/>
                <w:kern w:val="0"/>
                <w:sz w:val="21"/>
                <w:szCs w:val="21"/>
              </w:rPr>
            </w:pPr>
            <w:r>
              <w:rPr>
                <w:color w:val="auto"/>
                <w:kern w:val="0"/>
                <w:sz w:val="21"/>
                <w:szCs w:val="21"/>
              </w:rPr>
              <w:t>1</w:t>
            </w:r>
          </w:p>
        </w:tc>
        <w:tc>
          <w:tcPr>
            <w:tcW w:w="597" w:type="pct"/>
            <w:noWrap w:val="0"/>
            <w:vAlign w:val="center"/>
          </w:tcPr>
          <w:p>
            <w:pPr>
              <w:spacing w:line="240" w:lineRule="auto"/>
              <w:jc w:val="center"/>
              <w:rPr>
                <w:rFonts w:hint="eastAsia" w:eastAsia="宋体"/>
                <w:color w:val="auto"/>
                <w:sz w:val="21"/>
                <w:szCs w:val="21"/>
                <w:lang w:val="en-US" w:eastAsia="zh-CN"/>
              </w:rPr>
            </w:pPr>
            <w:r>
              <w:rPr>
                <w:rFonts w:hint="eastAsia" w:hAnsi="宋体"/>
                <w:color w:val="auto"/>
                <w:sz w:val="21"/>
                <w:szCs w:val="21"/>
              </w:rPr>
              <w:t>有机玻璃</w:t>
            </w:r>
            <w:r>
              <w:rPr>
                <w:rFonts w:hint="eastAsia" w:hAnsi="宋体"/>
                <w:color w:val="auto"/>
                <w:sz w:val="21"/>
                <w:szCs w:val="21"/>
                <w:lang w:val="en-US" w:eastAsia="zh-CN"/>
              </w:rPr>
              <w:t>废料</w:t>
            </w:r>
          </w:p>
        </w:tc>
        <w:tc>
          <w:tcPr>
            <w:tcW w:w="645" w:type="pct"/>
            <w:noWrap w:val="0"/>
            <w:vAlign w:val="center"/>
          </w:tcPr>
          <w:p>
            <w:pPr>
              <w:spacing w:line="240" w:lineRule="auto"/>
              <w:jc w:val="center"/>
              <w:rPr>
                <w:rFonts w:hint="eastAsia" w:eastAsia="宋体"/>
                <w:color w:val="auto"/>
                <w:sz w:val="21"/>
                <w:szCs w:val="21"/>
                <w:lang w:eastAsia="zh-CN"/>
              </w:rPr>
            </w:pPr>
            <w:r>
              <w:rPr>
                <w:rFonts w:hint="eastAsia"/>
                <w:color w:val="auto"/>
                <w:sz w:val="21"/>
                <w:szCs w:val="21"/>
                <w:lang w:val="en-US" w:eastAsia="zh-CN"/>
              </w:rPr>
              <w:t>甲基丙烯酸甲酯</w:t>
            </w:r>
          </w:p>
        </w:tc>
        <w:tc>
          <w:tcPr>
            <w:tcW w:w="356" w:type="pct"/>
            <w:noWrap w:val="0"/>
            <w:vAlign w:val="center"/>
          </w:tcPr>
          <w:p>
            <w:pPr>
              <w:spacing w:line="240" w:lineRule="auto"/>
              <w:jc w:val="center"/>
              <w:rPr>
                <w:rFonts w:hint="eastAsia" w:eastAsia="宋体"/>
                <w:color w:val="auto"/>
                <w:sz w:val="21"/>
                <w:szCs w:val="21"/>
                <w:lang w:val="en-US" w:eastAsia="zh-CN"/>
              </w:rPr>
            </w:pPr>
            <w:r>
              <w:rPr>
                <w:rFonts w:hint="eastAsia"/>
                <w:color w:val="auto"/>
                <w:sz w:val="21"/>
                <w:szCs w:val="21"/>
                <w:lang w:val="en-US" w:eastAsia="zh-CN"/>
              </w:rPr>
              <w:t>固</w:t>
            </w:r>
          </w:p>
        </w:tc>
        <w:tc>
          <w:tcPr>
            <w:tcW w:w="469" w:type="pct"/>
            <w:noWrap w:val="0"/>
            <w:vAlign w:val="center"/>
          </w:tcPr>
          <w:p>
            <w:pPr>
              <w:spacing w:line="240" w:lineRule="auto"/>
              <w:jc w:val="center"/>
              <w:rPr>
                <w:color w:val="auto"/>
                <w:sz w:val="21"/>
                <w:szCs w:val="21"/>
              </w:rPr>
            </w:pPr>
            <w:r>
              <w:rPr>
                <w:color w:val="auto"/>
                <w:sz w:val="21"/>
                <w:szCs w:val="21"/>
              </w:rPr>
              <w:t>原料</w:t>
            </w:r>
          </w:p>
        </w:tc>
        <w:tc>
          <w:tcPr>
            <w:tcW w:w="375" w:type="pct"/>
            <w:noWrap w:val="0"/>
            <w:vAlign w:val="center"/>
          </w:tcPr>
          <w:p>
            <w:pPr>
              <w:autoSpaceDE w:val="0"/>
              <w:autoSpaceDN w:val="0"/>
              <w:spacing w:line="240" w:lineRule="auto"/>
              <w:jc w:val="center"/>
              <w:rPr>
                <w:color w:val="auto"/>
                <w:sz w:val="21"/>
                <w:szCs w:val="21"/>
                <w:lang w:val="zh-CN"/>
              </w:rPr>
            </w:pPr>
            <w:r>
              <w:rPr>
                <w:rFonts w:hint="eastAsia"/>
                <w:color w:val="auto"/>
                <w:sz w:val="21"/>
                <w:szCs w:val="21"/>
                <w:lang w:val="zh-CN"/>
              </w:rPr>
              <w:t>/</w:t>
            </w:r>
          </w:p>
        </w:tc>
        <w:tc>
          <w:tcPr>
            <w:tcW w:w="56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eastAsia="宋体"/>
                <w:color w:val="auto"/>
                <w:sz w:val="21"/>
                <w:szCs w:val="21"/>
                <w:lang w:val="en-US" w:eastAsia="zh-CN"/>
              </w:rPr>
            </w:pPr>
            <w:r>
              <w:rPr>
                <w:rFonts w:hint="eastAsia"/>
                <w:color w:val="auto"/>
                <w:sz w:val="21"/>
                <w:szCs w:val="21"/>
                <w:lang w:val="en-US" w:eastAsia="zh-CN"/>
              </w:rPr>
              <w:t>22195.21t</w:t>
            </w:r>
          </w:p>
        </w:tc>
        <w:tc>
          <w:tcPr>
            <w:tcW w:w="422"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600t</w:t>
            </w:r>
          </w:p>
        </w:tc>
        <w:tc>
          <w:tcPr>
            <w:tcW w:w="410" w:type="pct"/>
            <w:noWrap w:val="0"/>
            <w:vAlign w:val="center"/>
          </w:tcPr>
          <w:p>
            <w:pPr>
              <w:autoSpaceDE w:val="0"/>
              <w:autoSpaceDN w:val="0"/>
              <w:spacing w:line="240" w:lineRule="auto"/>
              <w:jc w:val="center"/>
              <w:rPr>
                <w:color w:val="auto"/>
                <w:sz w:val="21"/>
                <w:szCs w:val="21"/>
              </w:rPr>
            </w:pPr>
            <w:r>
              <w:rPr>
                <w:rFonts w:hint="eastAsia"/>
                <w:color w:val="auto"/>
                <w:sz w:val="21"/>
                <w:szCs w:val="21"/>
              </w:rPr>
              <w:t>袋装</w:t>
            </w:r>
          </w:p>
        </w:tc>
        <w:tc>
          <w:tcPr>
            <w:tcW w:w="492" w:type="pct"/>
            <w:noWrap w:val="0"/>
            <w:vAlign w:val="center"/>
          </w:tcPr>
          <w:p>
            <w:pPr>
              <w:autoSpaceDE w:val="0"/>
              <w:autoSpaceDN w:val="0"/>
              <w:spacing w:line="240" w:lineRule="auto"/>
              <w:jc w:val="center"/>
              <w:rPr>
                <w:rFonts w:hint="eastAsia"/>
                <w:color w:val="auto"/>
                <w:sz w:val="21"/>
                <w:szCs w:val="21"/>
              </w:rPr>
            </w:pPr>
            <w:r>
              <w:rPr>
                <w:rFonts w:hint="eastAsia"/>
                <w:color w:val="auto"/>
                <w:sz w:val="21"/>
                <w:szCs w:val="21"/>
              </w:rPr>
              <w:t>丙类</w:t>
            </w:r>
          </w:p>
          <w:p>
            <w:pPr>
              <w:keepNext w:val="0"/>
              <w:keepLines w:val="0"/>
              <w:pageBreakBefore w:val="0"/>
              <w:widowControl w:val="0"/>
              <w:kinsoku/>
              <w:wordWrap/>
              <w:overflowPunct/>
              <w:topLinePunct w:val="0"/>
              <w:autoSpaceDE w:val="0"/>
              <w:autoSpaceDN w:val="0"/>
              <w:bidi w:val="0"/>
              <w:adjustRightInd/>
              <w:snapToGrid/>
              <w:spacing w:line="240" w:lineRule="auto"/>
              <w:ind w:left="-140" w:leftChars="-50" w:right="-140" w:rightChars="-50"/>
              <w:jc w:val="center"/>
              <w:textAlignment w:val="auto"/>
              <w:rPr>
                <w:rFonts w:hint="eastAsia" w:eastAsia="宋体"/>
                <w:color w:val="auto"/>
                <w:sz w:val="21"/>
                <w:szCs w:val="21"/>
                <w:lang w:val="en-US" w:eastAsia="zh-CN"/>
              </w:rPr>
            </w:pPr>
            <w:r>
              <w:rPr>
                <w:rFonts w:hint="eastAsia"/>
                <w:color w:val="auto"/>
                <w:sz w:val="21"/>
                <w:szCs w:val="21"/>
              </w:rPr>
              <w:t>仓库</w:t>
            </w:r>
            <w:r>
              <w:rPr>
                <w:rFonts w:hint="eastAsia"/>
                <w:color w:val="auto"/>
                <w:sz w:val="21"/>
                <w:szCs w:val="21"/>
                <w:lang w:val="en-US" w:eastAsia="zh-CN"/>
              </w:rPr>
              <w:t>二</w:t>
            </w:r>
          </w:p>
        </w:tc>
        <w:tc>
          <w:tcPr>
            <w:tcW w:w="411" w:type="pct"/>
            <w:noWrap w:val="0"/>
            <w:vAlign w:val="center"/>
          </w:tcPr>
          <w:p>
            <w:pPr>
              <w:autoSpaceDE w:val="0"/>
              <w:autoSpaceDN w:val="0"/>
              <w:spacing w:line="240" w:lineRule="auto"/>
              <w:jc w:val="center"/>
              <w:rPr>
                <w:color w:val="auto"/>
                <w:sz w:val="21"/>
                <w:szCs w:val="21"/>
                <w:lang w:val="zh-CN"/>
              </w:rPr>
            </w:pPr>
            <w:r>
              <w:rPr>
                <w:color w:val="auto"/>
                <w:sz w:val="21"/>
                <w:szCs w:val="21"/>
                <w:lang w:val="zh-CN"/>
              </w:rPr>
              <w:t>汽车运输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blHeader/>
          <w:jc w:val="center"/>
        </w:trPr>
        <w:tc>
          <w:tcPr>
            <w:tcW w:w="255" w:type="pct"/>
            <w:noWrap w:val="0"/>
            <w:vAlign w:val="center"/>
          </w:tcPr>
          <w:p>
            <w:pPr>
              <w:widowControl/>
              <w:spacing w:line="240" w:lineRule="auto"/>
              <w:jc w:val="center"/>
              <w:rPr>
                <w:color w:val="auto"/>
                <w:kern w:val="0"/>
                <w:sz w:val="21"/>
                <w:szCs w:val="21"/>
              </w:rPr>
            </w:pPr>
            <w:r>
              <w:rPr>
                <w:color w:val="auto"/>
                <w:kern w:val="0"/>
                <w:sz w:val="21"/>
                <w:szCs w:val="21"/>
              </w:rPr>
              <w:t>2</w:t>
            </w:r>
          </w:p>
        </w:tc>
        <w:tc>
          <w:tcPr>
            <w:tcW w:w="597"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阻聚剂</w:t>
            </w:r>
          </w:p>
        </w:tc>
        <w:tc>
          <w:tcPr>
            <w:tcW w:w="645" w:type="pct"/>
            <w:noWrap w:val="0"/>
            <w:vAlign w:val="center"/>
          </w:tcPr>
          <w:p>
            <w:pPr>
              <w:spacing w:line="240" w:lineRule="auto"/>
              <w:jc w:val="center"/>
              <w:rPr>
                <w:rFonts w:hint="default" w:ascii="Times New Roman" w:hAnsi="宋体" w:eastAsia="宋体" w:cs="Times New Roman"/>
                <w:color w:val="auto"/>
                <w:kern w:val="2"/>
                <w:sz w:val="21"/>
                <w:szCs w:val="21"/>
                <w:lang w:val="en-US" w:eastAsia="zh-CN" w:bidi="ar-SA"/>
              </w:rPr>
            </w:pPr>
            <w:r>
              <w:rPr>
                <w:rFonts w:hint="eastAsia"/>
                <w:color w:val="auto"/>
                <w:sz w:val="21"/>
                <w:szCs w:val="21"/>
                <w:lang w:val="en-US" w:eastAsia="zh-CN"/>
              </w:rPr>
              <w:t>对苯二酚</w:t>
            </w:r>
          </w:p>
        </w:tc>
        <w:tc>
          <w:tcPr>
            <w:tcW w:w="3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固</w:t>
            </w:r>
          </w:p>
        </w:tc>
        <w:tc>
          <w:tcPr>
            <w:tcW w:w="469"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辅料</w:t>
            </w:r>
          </w:p>
        </w:tc>
        <w:tc>
          <w:tcPr>
            <w:tcW w:w="375" w:type="pct"/>
            <w:noWrap w:val="0"/>
            <w:vAlign w:val="center"/>
          </w:tcPr>
          <w:p>
            <w:pPr>
              <w:autoSpaceDE w:val="0"/>
              <w:autoSpaceDN w:val="0"/>
              <w:spacing w:line="240" w:lineRule="auto"/>
              <w:jc w:val="center"/>
              <w:rPr>
                <w:rFonts w:hint="default" w:eastAsia="宋体"/>
                <w:color w:val="auto"/>
                <w:sz w:val="21"/>
                <w:szCs w:val="21"/>
                <w:lang w:val="en-US" w:eastAsia="zh-CN"/>
              </w:rPr>
            </w:pPr>
            <w:r>
              <w:rPr>
                <w:rFonts w:hint="eastAsia"/>
                <w:color w:val="auto"/>
                <w:sz w:val="21"/>
                <w:szCs w:val="21"/>
                <w:lang w:val="en-US" w:eastAsia="zh-CN"/>
              </w:rPr>
              <w:t>99</w:t>
            </w:r>
          </w:p>
        </w:tc>
        <w:tc>
          <w:tcPr>
            <w:tcW w:w="562"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2t</w:t>
            </w:r>
          </w:p>
        </w:tc>
        <w:tc>
          <w:tcPr>
            <w:tcW w:w="422" w:type="pct"/>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0.3t</w:t>
            </w:r>
          </w:p>
        </w:tc>
        <w:tc>
          <w:tcPr>
            <w:tcW w:w="410"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default" w:eastAsia="宋体"/>
                <w:color w:val="auto"/>
                <w:sz w:val="21"/>
                <w:szCs w:val="21"/>
                <w:lang w:val="en-US" w:eastAsia="zh-CN"/>
              </w:rPr>
            </w:pPr>
            <w:r>
              <w:rPr>
                <w:rFonts w:hint="eastAsia"/>
                <w:color w:val="auto"/>
                <w:sz w:val="21"/>
                <w:szCs w:val="21"/>
                <w:lang w:val="en-US" w:eastAsia="zh-CN"/>
              </w:rPr>
              <w:t>袋装</w:t>
            </w:r>
          </w:p>
        </w:tc>
        <w:tc>
          <w:tcPr>
            <w:tcW w:w="49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140" w:leftChars="-50" w:right="-140" w:rightChars="-50"/>
              <w:jc w:val="center"/>
              <w:textAlignment w:val="auto"/>
              <w:rPr>
                <w:rFonts w:hint="default" w:eastAsia="宋体"/>
                <w:color w:val="auto"/>
                <w:sz w:val="21"/>
                <w:szCs w:val="21"/>
                <w:lang w:val="en-US" w:eastAsia="zh-CN"/>
              </w:rPr>
            </w:pPr>
            <w:r>
              <w:rPr>
                <w:rFonts w:hint="eastAsia"/>
                <w:color w:val="auto"/>
                <w:sz w:val="21"/>
                <w:szCs w:val="21"/>
                <w:lang w:val="en-US" w:eastAsia="zh-CN"/>
              </w:rPr>
              <w:t>甲类仓库</w:t>
            </w:r>
          </w:p>
        </w:tc>
        <w:tc>
          <w:tcPr>
            <w:tcW w:w="411"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eastAsia="宋体"/>
                <w:color w:val="auto"/>
                <w:sz w:val="21"/>
                <w:szCs w:val="21"/>
                <w:lang w:val="en-US" w:eastAsia="zh-CN"/>
              </w:rPr>
            </w:pPr>
            <w:r>
              <w:rPr>
                <w:rFonts w:hint="eastAsia"/>
                <w:color w:val="auto"/>
                <w:sz w:val="21"/>
                <w:szCs w:val="21"/>
                <w:lang w:val="en-US" w:eastAsia="zh-CN"/>
              </w:rPr>
              <w:t>汽车运输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tblHeader/>
          <w:jc w:val="center"/>
        </w:trPr>
        <w:tc>
          <w:tcPr>
            <w:tcW w:w="255" w:type="pct"/>
            <w:noWrap w:val="0"/>
            <w:vAlign w:val="center"/>
          </w:tcPr>
          <w:p>
            <w:pPr>
              <w:widowControl/>
              <w:spacing w:line="240" w:lineRule="auto"/>
              <w:jc w:val="center"/>
              <w:rPr>
                <w:rFonts w:hint="eastAsia" w:eastAsia="宋体"/>
                <w:color w:val="auto"/>
                <w:kern w:val="0"/>
                <w:sz w:val="21"/>
                <w:szCs w:val="21"/>
                <w:lang w:val="en-US" w:eastAsia="zh-CN"/>
              </w:rPr>
            </w:pPr>
            <w:r>
              <w:rPr>
                <w:rFonts w:hint="eastAsia"/>
                <w:color w:val="auto"/>
                <w:kern w:val="0"/>
                <w:sz w:val="21"/>
                <w:szCs w:val="21"/>
                <w:lang w:val="en-US" w:eastAsia="zh-CN"/>
              </w:rPr>
              <w:t>3</w:t>
            </w:r>
          </w:p>
        </w:tc>
        <w:tc>
          <w:tcPr>
            <w:tcW w:w="597"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MMA</w:t>
            </w:r>
          </w:p>
        </w:tc>
        <w:tc>
          <w:tcPr>
            <w:tcW w:w="645" w:type="pct"/>
            <w:noWrap w:val="0"/>
            <w:vAlign w:val="center"/>
          </w:tcPr>
          <w:p>
            <w:pPr>
              <w:spacing w:line="240" w:lineRule="auto"/>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甲基丙烯酸</w:t>
            </w:r>
            <w:r>
              <w:rPr>
                <w:color w:val="auto"/>
                <w:sz w:val="21"/>
                <w:szCs w:val="21"/>
              </w:rPr>
              <w:t>甲酯</w:t>
            </w:r>
          </w:p>
        </w:tc>
        <w:tc>
          <w:tcPr>
            <w:tcW w:w="356" w:type="pct"/>
            <w:noWrap w:val="0"/>
            <w:vAlign w:val="center"/>
          </w:tcPr>
          <w:p>
            <w:pPr>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液</w:t>
            </w:r>
          </w:p>
        </w:tc>
        <w:tc>
          <w:tcPr>
            <w:tcW w:w="469" w:type="pct"/>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rPr>
              <w:t>产品</w:t>
            </w:r>
          </w:p>
        </w:tc>
        <w:tc>
          <w:tcPr>
            <w:tcW w:w="375" w:type="pct"/>
            <w:noWrap w:val="0"/>
            <w:vAlign w:val="center"/>
          </w:tcPr>
          <w:p>
            <w:pPr>
              <w:autoSpaceDE w:val="0"/>
              <w:autoSpaceDN w:val="0"/>
              <w:spacing w:line="240" w:lineRule="auto"/>
              <w:jc w:val="center"/>
              <w:rPr>
                <w:rFonts w:hint="eastAsia" w:ascii="Times New Roman" w:hAnsi="Times New Roman" w:eastAsia="宋体" w:cs="Times New Roman"/>
                <w:color w:val="auto"/>
                <w:kern w:val="2"/>
                <w:sz w:val="21"/>
                <w:szCs w:val="21"/>
                <w:lang w:val="zh-CN" w:eastAsia="zh-CN" w:bidi="ar-SA"/>
              </w:rPr>
            </w:pPr>
            <w:r>
              <w:rPr>
                <w:rFonts w:hint="eastAsia"/>
                <w:color w:val="auto"/>
                <w:sz w:val="21"/>
                <w:szCs w:val="21"/>
                <w:lang w:val="zh-CN"/>
              </w:rPr>
              <w:t>9</w:t>
            </w:r>
            <w:r>
              <w:rPr>
                <w:rFonts w:hint="eastAsia"/>
                <w:color w:val="auto"/>
                <w:sz w:val="21"/>
                <w:szCs w:val="21"/>
                <w:lang w:val="en-US" w:eastAsia="zh-CN"/>
              </w:rPr>
              <w:t>9</w:t>
            </w:r>
          </w:p>
        </w:tc>
        <w:tc>
          <w:tcPr>
            <w:tcW w:w="56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2000</w:t>
            </w:r>
            <w:r>
              <w:rPr>
                <w:rFonts w:hint="eastAsia"/>
                <w:color w:val="auto"/>
                <w:sz w:val="21"/>
                <w:szCs w:val="21"/>
                <w:lang w:val="en-US" w:eastAsia="zh-CN"/>
              </w:rPr>
              <w:t>0t</w:t>
            </w:r>
          </w:p>
        </w:tc>
        <w:tc>
          <w:tcPr>
            <w:tcW w:w="422"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408.8t</w:t>
            </w:r>
          </w:p>
        </w:tc>
        <w:tc>
          <w:tcPr>
            <w:tcW w:w="410"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hint="eastAsia"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rPr>
              <w:t>储罐</w:t>
            </w:r>
          </w:p>
        </w:tc>
        <w:tc>
          <w:tcPr>
            <w:tcW w:w="49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140" w:leftChars="-50" w:right="-140" w:rightChars="-50"/>
              <w:jc w:val="center"/>
              <w:textAlignment w:val="auto"/>
              <w:rPr>
                <w:rFonts w:hint="eastAsia" w:ascii="Times New Roman" w:hAnsi="Times New Roman" w:eastAsia="宋体" w:cs="Times New Roman"/>
                <w:color w:val="auto"/>
                <w:kern w:val="2"/>
                <w:sz w:val="21"/>
                <w:szCs w:val="21"/>
                <w:highlight w:val="yellow"/>
                <w:lang w:val="en-US" w:eastAsia="zh-CN" w:bidi="ar-SA"/>
              </w:rPr>
            </w:pPr>
            <w:r>
              <w:rPr>
                <w:rFonts w:hint="eastAsia"/>
                <w:color w:val="auto"/>
                <w:sz w:val="21"/>
                <w:szCs w:val="21"/>
                <w:highlight w:val="none"/>
              </w:rPr>
              <w:t>罐区</w:t>
            </w:r>
          </w:p>
        </w:tc>
        <w:tc>
          <w:tcPr>
            <w:tcW w:w="411"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jc w:val="center"/>
              <w:textAlignment w:val="auto"/>
              <w:rPr>
                <w:rFonts w:ascii="Times New Roman" w:hAnsi="Times New Roman" w:eastAsia="宋体" w:cs="Times New Roman"/>
                <w:color w:val="auto"/>
                <w:kern w:val="2"/>
                <w:sz w:val="21"/>
                <w:szCs w:val="21"/>
                <w:lang w:val="zh-CN" w:eastAsia="zh-CN" w:bidi="ar-SA"/>
              </w:rPr>
            </w:pPr>
            <w:r>
              <w:rPr>
                <w:rFonts w:hint="eastAsia"/>
                <w:color w:val="auto"/>
                <w:sz w:val="21"/>
                <w:szCs w:val="21"/>
                <w:lang w:val="en-US" w:eastAsia="zh-CN"/>
              </w:rPr>
              <w:t>槽（罐）车</w:t>
            </w:r>
            <w:r>
              <w:rPr>
                <w:color w:val="auto"/>
                <w:sz w:val="21"/>
                <w:szCs w:val="21"/>
                <w:lang w:val="zh-CN"/>
              </w:rPr>
              <w:t>运输</w:t>
            </w:r>
          </w:p>
        </w:tc>
      </w:tr>
    </w:tbl>
    <w:p>
      <w:pPr>
        <w:bidi w:val="0"/>
        <w:spacing w:line="240" w:lineRule="auto"/>
        <w:ind w:firstLine="420" w:firstLineChars="200"/>
        <w:rPr>
          <w:rFonts w:hint="default"/>
          <w:color w:val="auto"/>
          <w:sz w:val="21"/>
          <w:szCs w:val="21"/>
          <w:lang w:val="en-US" w:eastAsia="zh-CN"/>
        </w:rPr>
      </w:pPr>
      <w:r>
        <w:rPr>
          <w:rFonts w:hint="eastAsia"/>
          <w:color w:val="auto"/>
          <w:sz w:val="21"/>
          <w:szCs w:val="21"/>
          <w:lang w:val="en-US" w:eastAsia="zh-CN"/>
        </w:rPr>
        <w:t>注：对苯二酚作为阻聚剂，添加到外销成品中。</w:t>
      </w:r>
    </w:p>
    <w:p>
      <w:pPr>
        <w:pStyle w:val="4"/>
        <w:bidi w:val="0"/>
        <w:rPr>
          <w:rFonts w:hint="default" w:eastAsia="宋体"/>
          <w:color w:val="auto"/>
          <w:lang w:val="en-US" w:eastAsia="zh-CN"/>
        </w:rPr>
      </w:pPr>
      <w:bookmarkStart w:id="156" w:name="_Toc11694"/>
      <w:bookmarkStart w:id="157" w:name="_Toc4370"/>
      <w:bookmarkStart w:id="158" w:name="_Toc30485"/>
      <w:bookmarkStart w:id="159" w:name="_Toc28130"/>
      <w:bookmarkStart w:id="160" w:name="_Toc24296"/>
      <w:bookmarkStart w:id="161" w:name="_Toc10455"/>
      <w:r>
        <w:rPr>
          <w:rFonts w:hint="eastAsia"/>
          <w:color w:val="auto"/>
          <w:lang w:val="en-US" w:eastAsia="zh-CN"/>
        </w:rPr>
        <w:t>2.5.2产品质量指标</w:t>
      </w:r>
      <w:bookmarkEnd w:id="156"/>
      <w:bookmarkEnd w:id="157"/>
      <w:bookmarkEnd w:id="158"/>
      <w:bookmarkEnd w:id="159"/>
      <w:bookmarkEnd w:id="160"/>
      <w:bookmarkEnd w:id="161"/>
    </w:p>
    <w:p>
      <w:pPr>
        <w:ind w:firstLine="560" w:firstLineChars="200"/>
        <w:rPr>
          <w:rFonts w:hint="eastAsia"/>
          <w:color w:val="auto"/>
          <w:sz w:val="28"/>
          <w:szCs w:val="28"/>
        </w:rPr>
      </w:pPr>
      <w:r>
        <w:rPr>
          <w:rFonts w:hint="eastAsia"/>
          <w:color w:val="auto"/>
          <w:sz w:val="28"/>
          <w:szCs w:val="28"/>
        </w:rPr>
        <w:t>该项目产品质量执行</w:t>
      </w:r>
      <w:r>
        <w:rPr>
          <w:rFonts w:hint="eastAsia"/>
          <w:color w:val="auto"/>
          <w:sz w:val="28"/>
          <w:szCs w:val="28"/>
          <w:lang w:val="en-US" w:eastAsia="zh-CN"/>
        </w:rPr>
        <w:t>行业</w:t>
      </w:r>
      <w:r>
        <w:rPr>
          <w:rFonts w:hint="eastAsia"/>
          <w:color w:val="auto"/>
          <w:sz w:val="28"/>
          <w:szCs w:val="28"/>
        </w:rPr>
        <w:t>标准《</w:t>
      </w:r>
      <w:r>
        <w:rPr>
          <w:rFonts w:hint="eastAsia"/>
          <w:color w:val="auto"/>
          <w:sz w:val="28"/>
          <w:szCs w:val="28"/>
          <w:lang w:val="en-US" w:eastAsia="zh-CN"/>
        </w:rPr>
        <w:t>有机玻璃再生甲基</w:t>
      </w:r>
      <w:r>
        <w:rPr>
          <w:rFonts w:hint="eastAsia"/>
          <w:color w:val="auto"/>
          <w:sz w:val="28"/>
          <w:szCs w:val="28"/>
        </w:rPr>
        <w:t>丙烯酸甲酯》</w:t>
      </w:r>
      <w:r>
        <w:rPr>
          <w:rFonts w:hint="eastAsia"/>
          <w:color w:val="auto"/>
          <w:sz w:val="28"/>
          <w:szCs w:val="28"/>
          <w:lang w:eastAsia="zh-CN"/>
        </w:rPr>
        <w:t>H</w:t>
      </w:r>
      <w:r>
        <w:rPr>
          <w:rFonts w:hint="eastAsia"/>
          <w:color w:val="auto"/>
          <w:sz w:val="28"/>
          <w:szCs w:val="28"/>
          <w:lang w:val="en-US" w:eastAsia="zh-CN"/>
        </w:rPr>
        <w:t>G</w:t>
      </w:r>
      <w:r>
        <w:rPr>
          <w:color w:val="auto"/>
          <w:sz w:val="28"/>
          <w:szCs w:val="28"/>
        </w:rPr>
        <w:t>/T</w:t>
      </w:r>
      <w:r>
        <w:rPr>
          <w:rFonts w:hint="eastAsia"/>
          <w:color w:val="auto"/>
          <w:sz w:val="28"/>
          <w:szCs w:val="28"/>
          <w:lang w:eastAsia="zh-CN"/>
        </w:rPr>
        <w:t>5</w:t>
      </w:r>
      <w:r>
        <w:rPr>
          <w:rFonts w:hint="eastAsia"/>
          <w:color w:val="auto"/>
          <w:sz w:val="28"/>
          <w:szCs w:val="28"/>
          <w:lang w:val="en-US" w:eastAsia="zh-CN"/>
        </w:rPr>
        <w:t>803-2021</w:t>
      </w:r>
      <w:r>
        <w:rPr>
          <w:rFonts w:hint="eastAsia"/>
          <w:color w:val="auto"/>
          <w:sz w:val="28"/>
          <w:szCs w:val="28"/>
        </w:rPr>
        <w:t>。产品主要质量指标见表</w:t>
      </w:r>
      <w:r>
        <w:rPr>
          <w:color w:val="auto"/>
          <w:sz w:val="28"/>
          <w:szCs w:val="28"/>
        </w:rPr>
        <w:t>2</w:t>
      </w:r>
      <w:r>
        <w:rPr>
          <w:rFonts w:hint="eastAsia"/>
          <w:color w:val="auto"/>
          <w:sz w:val="28"/>
          <w:szCs w:val="28"/>
          <w:lang w:val="en-US" w:eastAsia="zh-CN"/>
        </w:rPr>
        <w:t>.5</w:t>
      </w:r>
      <w:r>
        <w:rPr>
          <w:rFonts w:hint="eastAsia"/>
          <w:color w:val="auto"/>
          <w:sz w:val="28"/>
          <w:szCs w:val="28"/>
        </w:rPr>
        <w:t>－</w:t>
      </w:r>
      <w:r>
        <w:rPr>
          <w:rFonts w:hint="eastAsia"/>
          <w:color w:val="auto"/>
          <w:sz w:val="28"/>
          <w:szCs w:val="28"/>
          <w:lang w:eastAsia="zh-CN"/>
        </w:rPr>
        <w:t>2</w:t>
      </w:r>
      <w:r>
        <w:rPr>
          <w:rFonts w:hint="eastAsia"/>
          <w:color w:val="auto"/>
          <w:sz w:val="28"/>
          <w:szCs w:val="28"/>
        </w:rPr>
        <w:t>。</w:t>
      </w:r>
    </w:p>
    <w:p>
      <w:pPr>
        <w:pStyle w:val="53"/>
        <w:rPr>
          <w:rFonts w:hint="default"/>
          <w:color w:val="auto"/>
          <w:lang w:val="en-US" w:eastAsia="zh-CN"/>
        </w:rPr>
      </w:pPr>
      <w:r>
        <w:rPr>
          <w:rFonts w:hint="eastAsia"/>
          <w:color w:val="auto"/>
          <w:lang w:val="en-US" w:eastAsia="zh-CN"/>
        </w:rPr>
        <w:t>表2.5-2产品主要质量指标</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7"/>
        <w:gridCol w:w="2850"/>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Merge w:val="restart"/>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项目</w:t>
            </w:r>
          </w:p>
        </w:tc>
        <w:tc>
          <w:tcPr>
            <w:tcW w:w="5629" w:type="dxa"/>
            <w:gridSpan w:val="2"/>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Merge w:val="continue"/>
            <w:vAlign w:val="center"/>
          </w:tcPr>
          <w:p>
            <w:pPr>
              <w:spacing w:line="240" w:lineRule="auto"/>
              <w:jc w:val="center"/>
              <w:rPr>
                <w:rFonts w:hint="default" w:eastAsia="宋体"/>
                <w:color w:val="auto"/>
                <w:sz w:val="21"/>
                <w:szCs w:val="21"/>
                <w:vertAlign w:val="baseline"/>
                <w:lang w:val="en-US" w:eastAsia="zh-CN"/>
              </w:rPr>
            </w:pP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default" w:eastAsia="宋体"/>
                <w:color w:val="auto"/>
                <w:sz w:val="21"/>
                <w:szCs w:val="21"/>
                <w:vertAlign w:val="baseline"/>
                <w:lang w:val="en-US" w:eastAsia="zh-CN"/>
              </w:rPr>
              <w:t>Ⅰ</w:t>
            </w:r>
            <w:r>
              <w:rPr>
                <w:rFonts w:hint="eastAsia"/>
                <w:color w:val="auto"/>
                <w:sz w:val="21"/>
                <w:szCs w:val="21"/>
                <w:vertAlign w:val="baseline"/>
                <w:lang w:val="en-US" w:eastAsia="zh-CN"/>
              </w:rPr>
              <w:t>类</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default" w:eastAsia="宋体"/>
                <w:color w:val="auto"/>
                <w:sz w:val="21"/>
                <w:szCs w:val="21"/>
                <w:vertAlign w:val="baseline"/>
                <w:lang w:val="en-US" w:eastAsia="zh-CN"/>
              </w:rPr>
              <w:t>Ⅱ</w:t>
            </w:r>
            <w:r>
              <w:rPr>
                <w:rFonts w:hint="eastAsia"/>
                <w:color w:val="auto"/>
                <w:sz w:val="21"/>
                <w:szCs w:val="21"/>
                <w:vertAlign w:val="baseline"/>
                <w:lang w:val="en-US" w:eastAsia="zh-C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甲基丙烯酸甲酯，ω/%</w:t>
            </w: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≥93.0</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色度/Hazen单位（铂-钴色号）</w:t>
            </w: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≤15</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密度（20℃）/（g/cm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0.942~0.946</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0.940~0.955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酸度（以甲基丙烯酸计），ω/%</w:t>
            </w: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≤0.10</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7"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水分，ω/%</w:t>
            </w:r>
          </w:p>
        </w:tc>
        <w:tc>
          <w:tcPr>
            <w:tcW w:w="2850"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≤0.15</w:t>
            </w:r>
          </w:p>
        </w:tc>
        <w:tc>
          <w:tcPr>
            <w:tcW w:w="2779" w:type="dxa"/>
            <w:vAlign w:val="center"/>
          </w:tcPr>
          <w:p>
            <w:pPr>
              <w:spacing w:line="240" w:lineRule="auto"/>
              <w:jc w:val="center"/>
              <w:rPr>
                <w:rFonts w:hint="default" w:eastAsia="宋体"/>
                <w:color w:val="auto"/>
                <w:sz w:val="21"/>
                <w:szCs w:val="21"/>
                <w:vertAlign w:val="baseline"/>
                <w:lang w:val="en-US" w:eastAsia="zh-CN"/>
              </w:rPr>
            </w:pPr>
            <w:r>
              <w:rPr>
                <w:rFonts w:hint="eastAsia"/>
                <w:color w:val="auto"/>
                <w:sz w:val="21"/>
                <w:szCs w:val="21"/>
                <w:vertAlign w:val="baseline"/>
                <w:lang w:val="en-US" w:eastAsia="zh-CN"/>
              </w:rPr>
              <w:t>≤2.50</w:t>
            </w:r>
          </w:p>
        </w:tc>
      </w:tr>
    </w:tbl>
    <w:p>
      <w:pPr>
        <w:pStyle w:val="4"/>
        <w:rPr>
          <w:rFonts w:hint="default" w:eastAsia="宋体"/>
          <w:color w:val="auto"/>
          <w:sz w:val="28"/>
          <w:szCs w:val="28"/>
          <w:lang w:val="en-US" w:eastAsia="zh-CN"/>
        </w:rPr>
      </w:pPr>
      <w:bookmarkStart w:id="162" w:name="_Toc575"/>
      <w:bookmarkStart w:id="163" w:name="_Toc14565"/>
      <w:bookmarkStart w:id="164" w:name="_Toc139"/>
      <w:bookmarkStart w:id="165" w:name="_Toc16845"/>
      <w:bookmarkStart w:id="166" w:name="_Toc3569"/>
      <w:bookmarkStart w:id="167" w:name="_Toc31701"/>
      <w:r>
        <w:rPr>
          <w:rFonts w:hint="eastAsia"/>
          <w:color w:val="auto"/>
          <w:sz w:val="28"/>
          <w:szCs w:val="28"/>
          <w:lang w:val="en-US" w:eastAsia="zh-CN"/>
        </w:rPr>
        <w:t>2.5.3储运</w:t>
      </w:r>
      <w:bookmarkEnd w:id="162"/>
      <w:bookmarkEnd w:id="163"/>
      <w:bookmarkEnd w:id="164"/>
      <w:bookmarkEnd w:id="165"/>
      <w:bookmarkEnd w:id="166"/>
      <w:bookmarkEnd w:id="167"/>
    </w:p>
    <w:p>
      <w:pPr>
        <w:ind w:firstLine="562" w:firstLineChars="200"/>
        <w:rPr>
          <w:rFonts w:hint="default" w:eastAsia="宋体"/>
          <w:b/>
          <w:bCs/>
          <w:color w:val="auto"/>
          <w:sz w:val="28"/>
          <w:szCs w:val="28"/>
          <w:lang w:val="en-US" w:eastAsia="zh-CN"/>
        </w:rPr>
      </w:pPr>
      <w:r>
        <w:rPr>
          <w:rFonts w:hint="eastAsia"/>
          <w:b/>
          <w:bCs/>
          <w:color w:val="auto"/>
          <w:sz w:val="28"/>
          <w:szCs w:val="28"/>
          <w:lang w:val="en-US" w:eastAsia="zh-CN"/>
        </w:rPr>
        <w:t>1.运输</w:t>
      </w:r>
    </w:p>
    <w:p>
      <w:pPr>
        <w:autoSpaceDE w:val="0"/>
        <w:autoSpaceDN w:val="0"/>
        <w:adjustRightInd w:val="0"/>
        <w:snapToGrid w:val="0"/>
        <w:spacing w:line="600" w:lineRule="exact"/>
        <w:ind w:firstLine="560" w:firstLineChars="200"/>
        <w:rPr>
          <w:rFonts w:ascii="宋体" w:hAnsi="宋体"/>
          <w:color w:val="auto"/>
          <w:sz w:val="28"/>
          <w:szCs w:val="28"/>
        </w:rPr>
      </w:pPr>
      <w:r>
        <w:rPr>
          <w:rFonts w:hint="eastAsia" w:ascii="宋体" w:hAnsi="宋体"/>
          <w:color w:val="auto"/>
          <w:sz w:val="28"/>
          <w:szCs w:val="28"/>
        </w:rPr>
        <w:t>根据建设地点的运输条件，该项目运输货物的性质、运输量及地点，运输方式；目前拟采用管道与公路相结合运输方式。其中原料</w:t>
      </w:r>
      <w:r>
        <w:rPr>
          <w:rFonts w:hint="eastAsia" w:ascii="宋体" w:hAnsi="宋体"/>
          <w:color w:val="auto"/>
          <w:sz w:val="28"/>
          <w:szCs w:val="28"/>
          <w:lang w:eastAsia="zh-CN"/>
        </w:rPr>
        <w:t>：</w:t>
      </w:r>
      <w:r>
        <w:rPr>
          <w:rFonts w:hint="eastAsia" w:ascii="宋体" w:hAnsi="宋体"/>
          <w:color w:val="auto"/>
          <w:sz w:val="28"/>
          <w:szCs w:val="28"/>
          <w:lang w:val="en-US" w:eastAsia="zh-CN"/>
        </w:rPr>
        <w:t>废有机玻璃</w:t>
      </w:r>
      <w:r>
        <w:rPr>
          <w:rFonts w:hint="eastAsia" w:ascii="宋体" w:hAnsi="宋体"/>
          <w:color w:val="auto"/>
          <w:sz w:val="28"/>
          <w:szCs w:val="28"/>
        </w:rPr>
        <w:t>等采用公路运输方式送至</w:t>
      </w:r>
      <w:r>
        <w:rPr>
          <w:rFonts w:hint="eastAsia" w:ascii="宋体" w:hAnsi="宋体"/>
          <w:color w:val="auto"/>
          <w:sz w:val="28"/>
          <w:szCs w:val="28"/>
          <w:lang w:val="en-US" w:eastAsia="zh-CN"/>
        </w:rPr>
        <w:t>丙类仓库二原料分区</w:t>
      </w:r>
      <w:r>
        <w:rPr>
          <w:rFonts w:hint="eastAsia" w:ascii="宋体" w:hAnsi="宋体"/>
          <w:color w:val="auto"/>
          <w:sz w:val="28"/>
          <w:szCs w:val="28"/>
        </w:rPr>
        <w:t>储存；</w:t>
      </w:r>
      <w:r>
        <w:rPr>
          <w:rFonts w:hint="eastAsia" w:ascii="宋体" w:hAnsi="宋体"/>
          <w:color w:val="auto"/>
          <w:sz w:val="28"/>
          <w:szCs w:val="28"/>
          <w:lang w:val="en-US" w:eastAsia="zh-CN"/>
        </w:rPr>
        <w:t>经过人工分拣、破碎工序的废有机玻璃通过自用叉车运输至裂解车间。</w:t>
      </w:r>
      <w:r>
        <w:rPr>
          <w:rFonts w:hint="eastAsia" w:ascii="宋体" w:hAnsi="宋体"/>
          <w:color w:val="auto"/>
          <w:sz w:val="28"/>
          <w:szCs w:val="28"/>
        </w:rPr>
        <w:t>产品主要采用</w:t>
      </w:r>
      <w:r>
        <w:rPr>
          <w:rFonts w:ascii="宋体" w:hAnsi="宋体"/>
          <w:color w:val="auto"/>
          <w:sz w:val="28"/>
          <w:szCs w:val="28"/>
        </w:rPr>
        <w:t>公路运</w:t>
      </w:r>
      <w:r>
        <w:rPr>
          <w:rFonts w:hint="eastAsia" w:ascii="宋体" w:hAnsi="宋体"/>
          <w:color w:val="auto"/>
          <w:sz w:val="28"/>
          <w:szCs w:val="28"/>
        </w:rPr>
        <w:t>出厂外，</w:t>
      </w:r>
      <w:r>
        <w:rPr>
          <w:color w:val="auto"/>
          <w:sz w:val="28"/>
          <w:szCs w:val="28"/>
        </w:rPr>
        <w:t>货流出入口设置汽车衡</w:t>
      </w:r>
      <w:r>
        <w:rPr>
          <w:rFonts w:hint="eastAsia"/>
          <w:color w:val="auto"/>
          <w:sz w:val="28"/>
          <w:szCs w:val="28"/>
        </w:rPr>
        <w:t>；公司内部</w:t>
      </w:r>
      <w:r>
        <w:rPr>
          <w:rFonts w:hint="eastAsia"/>
          <w:color w:val="auto"/>
          <w:sz w:val="28"/>
          <w:szCs w:val="28"/>
          <w:lang w:val="en-US" w:eastAsia="zh-CN"/>
        </w:rPr>
        <w:t>存</w:t>
      </w:r>
      <w:r>
        <w:rPr>
          <w:rFonts w:hint="eastAsia"/>
          <w:color w:val="auto"/>
          <w:sz w:val="28"/>
          <w:szCs w:val="28"/>
        </w:rPr>
        <w:t>在上下游关系装置液体、气体采用管道输送。</w:t>
      </w:r>
    </w:p>
    <w:p>
      <w:pPr>
        <w:adjustRightInd w:val="0"/>
        <w:snapToGrid w:val="0"/>
        <w:spacing w:line="600" w:lineRule="exact"/>
        <w:ind w:firstLine="560" w:firstLineChars="200"/>
        <w:rPr>
          <w:rFonts w:hint="eastAsia" w:ascii="宋体" w:hAnsi="宋体"/>
          <w:color w:val="auto"/>
          <w:sz w:val="28"/>
          <w:szCs w:val="28"/>
        </w:rPr>
      </w:pPr>
      <w:r>
        <w:rPr>
          <w:rFonts w:hint="eastAsia" w:ascii="宋体" w:hAnsi="宋体"/>
          <w:color w:val="auto"/>
          <w:sz w:val="28"/>
          <w:szCs w:val="28"/>
        </w:rPr>
        <w:t>该项目的公路运输车辆均不考虑自备，主</w:t>
      </w:r>
      <w:r>
        <w:rPr>
          <w:color w:val="auto"/>
          <w:sz w:val="28"/>
          <w:szCs w:val="28"/>
        </w:rPr>
        <w:t>要原料、</w:t>
      </w:r>
      <w:r>
        <w:rPr>
          <w:rFonts w:hint="eastAsia"/>
          <w:color w:val="auto"/>
          <w:sz w:val="28"/>
          <w:szCs w:val="28"/>
          <w:lang w:val="en-US" w:eastAsia="zh-CN"/>
        </w:rPr>
        <w:t>辅</w:t>
      </w:r>
      <w:r>
        <w:rPr>
          <w:color w:val="auto"/>
          <w:sz w:val="28"/>
          <w:szCs w:val="28"/>
        </w:rPr>
        <w:t>料</w:t>
      </w:r>
      <w:r>
        <w:rPr>
          <w:rFonts w:hint="eastAsia"/>
          <w:color w:val="auto"/>
          <w:sz w:val="28"/>
          <w:szCs w:val="28"/>
        </w:rPr>
        <w:t>、</w:t>
      </w:r>
      <w:r>
        <w:rPr>
          <w:rFonts w:hint="eastAsia"/>
          <w:color w:val="auto"/>
          <w:sz w:val="28"/>
          <w:szCs w:val="28"/>
          <w:lang w:val="en-US" w:eastAsia="zh-CN"/>
        </w:rPr>
        <w:t>成</w:t>
      </w:r>
      <w:r>
        <w:rPr>
          <w:rFonts w:hint="eastAsia"/>
          <w:color w:val="auto"/>
          <w:sz w:val="28"/>
          <w:szCs w:val="28"/>
        </w:rPr>
        <w:t>品</w:t>
      </w:r>
      <w:r>
        <w:rPr>
          <w:rFonts w:hint="eastAsia"/>
          <w:color w:val="auto"/>
          <w:sz w:val="28"/>
          <w:szCs w:val="28"/>
          <w:lang w:eastAsia="zh-CN"/>
        </w:rPr>
        <w:t>、</w:t>
      </w:r>
      <w:r>
        <w:rPr>
          <w:rFonts w:hint="eastAsia"/>
          <w:color w:val="auto"/>
          <w:sz w:val="28"/>
          <w:szCs w:val="28"/>
          <w:lang w:val="en-US" w:eastAsia="zh-CN"/>
        </w:rPr>
        <w:t>危废</w:t>
      </w:r>
      <w:r>
        <w:rPr>
          <w:color w:val="auto"/>
          <w:sz w:val="28"/>
          <w:szCs w:val="28"/>
        </w:rPr>
        <w:t>的运输主要采用汽车运输，并且委托具有危险化学品运输资质的单位进行运输。</w:t>
      </w:r>
      <w:r>
        <w:rPr>
          <w:rFonts w:hint="eastAsia" w:ascii="宋体" w:hAnsi="宋体"/>
          <w:color w:val="auto"/>
          <w:sz w:val="28"/>
          <w:szCs w:val="28"/>
        </w:rPr>
        <w:t>生活、行政和后勤用车可考虑依托公司自备车辆。</w:t>
      </w:r>
    </w:p>
    <w:p>
      <w:pPr>
        <w:numPr>
          <w:ilvl w:val="0"/>
          <w:numId w:val="0"/>
        </w:numPr>
        <w:adjustRightInd w:val="0"/>
        <w:snapToGrid w:val="0"/>
        <w:spacing w:line="360" w:lineRule="auto"/>
        <w:ind w:firstLine="562" w:firstLineChars="200"/>
        <w:rPr>
          <w:rFonts w:hint="eastAsia" w:ascii="宋体" w:hAnsi="宋体"/>
          <w:b/>
          <w:bCs/>
          <w:color w:val="auto"/>
          <w:sz w:val="28"/>
          <w:szCs w:val="28"/>
          <w:lang w:val="en-US" w:eastAsia="zh-CN"/>
        </w:rPr>
      </w:pPr>
      <w:r>
        <w:rPr>
          <w:rFonts w:hint="eastAsia" w:ascii="宋体" w:hAnsi="宋体" w:eastAsia="宋体" w:cs="Times New Roman"/>
          <w:b/>
          <w:bCs/>
          <w:color w:val="auto"/>
          <w:kern w:val="2"/>
          <w:sz w:val="28"/>
          <w:szCs w:val="28"/>
          <w:lang w:val="en-US" w:eastAsia="zh-CN" w:bidi="ar-SA"/>
        </w:rPr>
        <w:t>2.</w:t>
      </w:r>
      <w:r>
        <w:rPr>
          <w:rFonts w:hint="eastAsia" w:ascii="宋体" w:hAnsi="宋体"/>
          <w:b/>
          <w:bCs/>
          <w:color w:val="auto"/>
          <w:sz w:val="28"/>
          <w:szCs w:val="28"/>
          <w:lang w:val="en-US" w:eastAsia="zh-CN"/>
        </w:rPr>
        <w:t>储存设施</w:t>
      </w:r>
    </w:p>
    <w:p>
      <w:pPr>
        <w:adjustRightInd w:val="0"/>
        <w:snapToGrid w:val="0"/>
        <w:spacing w:line="360" w:lineRule="auto"/>
        <w:ind w:firstLine="573"/>
        <w:rPr>
          <w:rFonts w:hint="eastAsia" w:ascii="宋体" w:hAnsi="宋体"/>
          <w:color w:val="auto"/>
          <w:sz w:val="28"/>
          <w:szCs w:val="28"/>
        </w:rPr>
      </w:pPr>
      <w:r>
        <w:rPr>
          <w:rFonts w:hint="eastAsia" w:ascii="宋体" w:hAnsi="宋体"/>
          <w:color w:val="auto"/>
          <w:sz w:val="28"/>
          <w:szCs w:val="28"/>
        </w:rPr>
        <w:t>该项目物料储存方式为罐区储存、仓库储存。</w:t>
      </w:r>
    </w:p>
    <w:p>
      <w:pPr>
        <w:autoSpaceDE w:val="0"/>
        <w:autoSpaceDN w:val="0"/>
        <w:spacing w:line="360" w:lineRule="auto"/>
        <w:ind w:firstLine="562" w:firstLineChars="200"/>
        <w:jc w:val="left"/>
        <w:rPr>
          <w:rFonts w:hint="eastAsia" w:ascii="宋体" w:hAnsi="宋体"/>
          <w:b/>
          <w:bCs/>
          <w:color w:val="auto"/>
          <w:sz w:val="28"/>
          <w:szCs w:val="28"/>
        </w:rPr>
      </w:pPr>
      <w:r>
        <w:rPr>
          <w:rFonts w:hint="eastAsia" w:ascii="宋体" w:hAnsi="宋体"/>
          <w:b/>
          <w:bCs/>
          <w:color w:val="auto"/>
          <w:sz w:val="28"/>
          <w:szCs w:val="28"/>
        </w:rPr>
        <w:t>1）罐区储存</w:t>
      </w:r>
    </w:p>
    <w:p>
      <w:pPr>
        <w:autoSpaceDE w:val="0"/>
        <w:autoSpaceDN w:val="0"/>
        <w:spacing w:line="360" w:lineRule="auto"/>
        <w:ind w:firstLine="560" w:firstLineChars="200"/>
        <w:jc w:val="left"/>
        <w:rPr>
          <w:rFonts w:hint="eastAsia" w:ascii="宋体" w:hAnsi="宋体"/>
          <w:color w:val="auto"/>
          <w:sz w:val="28"/>
          <w:szCs w:val="28"/>
        </w:rPr>
      </w:pPr>
      <w:r>
        <w:rPr>
          <w:rFonts w:hint="eastAsia" w:ascii="宋体" w:hAnsi="宋体"/>
          <w:color w:val="auto"/>
          <w:sz w:val="28"/>
          <w:szCs w:val="28"/>
        </w:rPr>
        <w:t>综合考虑罐区占地与储存</w:t>
      </w:r>
      <w:r>
        <w:rPr>
          <w:rFonts w:hint="eastAsia" w:ascii="宋体" w:hAnsi="宋体"/>
          <w:color w:val="auto"/>
          <w:sz w:val="28"/>
          <w:szCs w:val="28"/>
          <w:lang w:val="en-US" w:eastAsia="zh-CN"/>
        </w:rPr>
        <w:t>量</w:t>
      </w:r>
      <w:r>
        <w:rPr>
          <w:rFonts w:hint="eastAsia" w:ascii="宋体" w:hAnsi="宋体"/>
          <w:color w:val="auto"/>
          <w:sz w:val="28"/>
          <w:szCs w:val="28"/>
        </w:rPr>
        <w:t>的最优组合，</w:t>
      </w:r>
      <w:r>
        <w:rPr>
          <w:rFonts w:hint="eastAsia" w:ascii="宋体" w:hAnsi="宋体"/>
          <w:color w:val="auto"/>
          <w:sz w:val="28"/>
          <w:szCs w:val="28"/>
          <w:lang w:val="en-US" w:eastAsia="zh-CN"/>
        </w:rPr>
        <w:t>该项目拟新建甲类罐区1个，占地458.8m</w:t>
      </w:r>
      <w:r>
        <w:rPr>
          <w:rFonts w:hint="eastAsia" w:ascii="宋体" w:hAnsi="宋体"/>
          <w:color w:val="auto"/>
          <w:sz w:val="28"/>
          <w:szCs w:val="28"/>
          <w:vertAlign w:val="superscript"/>
          <w:lang w:val="en-US" w:eastAsia="zh-CN"/>
        </w:rPr>
        <w:t>2</w:t>
      </w:r>
      <w:r>
        <w:rPr>
          <w:rFonts w:hint="eastAsia" w:ascii="宋体" w:hAnsi="宋体"/>
          <w:color w:val="auto"/>
          <w:sz w:val="28"/>
          <w:szCs w:val="28"/>
          <w:vertAlign w:val="baseline"/>
          <w:lang w:val="en-US" w:eastAsia="zh-CN"/>
        </w:rPr>
        <w:t>，</w:t>
      </w:r>
      <w:r>
        <w:rPr>
          <w:rFonts w:hint="eastAsia" w:ascii="宋体" w:hAnsi="宋体"/>
          <w:color w:val="auto"/>
          <w:sz w:val="28"/>
          <w:szCs w:val="28"/>
          <w:lang w:val="en-US" w:eastAsia="zh-CN"/>
        </w:rPr>
        <w:t>罐区拟</w:t>
      </w:r>
      <w:r>
        <w:rPr>
          <w:rFonts w:hint="eastAsia" w:ascii="宋体" w:hAnsi="宋体"/>
          <w:color w:val="auto"/>
          <w:sz w:val="28"/>
          <w:szCs w:val="28"/>
        </w:rPr>
        <w:t>设置</w:t>
      </w:r>
      <w:r>
        <w:rPr>
          <w:rFonts w:hint="eastAsia" w:ascii="宋体" w:hAnsi="宋体"/>
          <w:color w:val="auto"/>
          <w:sz w:val="28"/>
          <w:szCs w:val="28"/>
          <w:lang w:val="en-US" w:eastAsia="zh-CN"/>
        </w:rPr>
        <w:t>3个甲基丙烯酸甲酯粗体罐</w:t>
      </w:r>
      <w:r>
        <w:rPr>
          <w:rFonts w:hint="eastAsia" w:ascii="宋体" w:hAnsi="宋体"/>
          <w:color w:val="auto"/>
          <w:sz w:val="28"/>
          <w:szCs w:val="28"/>
        </w:rPr>
        <w:t>、</w:t>
      </w:r>
      <w:r>
        <w:rPr>
          <w:rFonts w:hint="eastAsia" w:ascii="宋体" w:hAnsi="宋体"/>
          <w:color w:val="auto"/>
          <w:sz w:val="28"/>
          <w:szCs w:val="28"/>
          <w:lang w:val="en-US" w:eastAsia="zh-CN"/>
        </w:rPr>
        <w:t>2个甲基丙烯酸甲酯精体罐</w:t>
      </w:r>
      <w:r>
        <w:rPr>
          <w:rFonts w:hint="eastAsia" w:ascii="宋体" w:hAnsi="宋体"/>
          <w:color w:val="auto"/>
          <w:sz w:val="28"/>
          <w:szCs w:val="28"/>
        </w:rPr>
        <w:t>、</w:t>
      </w:r>
      <w:r>
        <w:rPr>
          <w:rFonts w:hint="eastAsia" w:ascii="宋体" w:hAnsi="宋体"/>
          <w:color w:val="auto"/>
          <w:sz w:val="28"/>
          <w:szCs w:val="28"/>
          <w:lang w:val="en-US" w:eastAsia="zh-CN"/>
        </w:rPr>
        <w:t>1个甲基丙烯酸甲酯残液罐</w:t>
      </w:r>
      <w:r>
        <w:rPr>
          <w:rFonts w:hint="eastAsia" w:ascii="宋体" w:hAnsi="宋体"/>
          <w:color w:val="auto"/>
          <w:sz w:val="28"/>
          <w:szCs w:val="28"/>
        </w:rPr>
        <w:t>。</w:t>
      </w:r>
      <w:r>
        <w:rPr>
          <w:rFonts w:hint="eastAsia" w:ascii="宋体" w:hAnsi="宋体"/>
          <w:color w:val="auto"/>
          <w:sz w:val="28"/>
          <w:szCs w:val="28"/>
          <w:lang w:val="en-US" w:eastAsia="zh-CN"/>
        </w:rPr>
        <w:t>该项目储罐均拟</w:t>
      </w:r>
      <w:r>
        <w:rPr>
          <w:rFonts w:hint="eastAsia" w:ascii="宋体" w:hAnsi="宋体"/>
          <w:color w:val="auto"/>
          <w:sz w:val="28"/>
          <w:szCs w:val="28"/>
        </w:rPr>
        <w:t>选用</w:t>
      </w:r>
      <w:r>
        <w:rPr>
          <w:rFonts w:hint="eastAsia" w:ascii="宋体" w:hAnsi="宋体"/>
          <w:color w:val="auto"/>
          <w:sz w:val="28"/>
          <w:szCs w:val="28"/>
          <w:lang w:val="en-US" w:eastAsia="zh-CN"/>
        </w:rPr>
        <w:t>氮封</w:t>
      </w:r>
      <w:r>
        <w:rPr>
          <w:rFonts w:hint="eastAsia" w:ascii="宋体" w:hAnsi="宋体"/>
          <w:color w:val="auto"/>
          <w:sz w:val="28"/>
          <w:szCs w:val="28"/>
        </w:rPr>
        <w:t>固定顶储罐，</w:t>
      </w:r>
      <w:r>
        <w:rPr>
          <w:rFonts w:hint="eastAsia" w:ascii="宋体" w:hAnsi="宋体"/>
          <w:color w:val="auto"/>
          <w:sz w:val="28"/>
          <w:szCs w:val="28"/>
          <w:lang w:val="en-US" w:eastAsia="zh-CN"/>
        </w:rPr>
        <w:t>罐区拟设</w:t>
      </w:r>
      <w:r>
        <w:rPr>
          <w:rFonts w:hint="eastAsia" w:ascii="宋体" w:hAnsi="宋体"/>
          <w:color w:val="auto"/>
          <w:sz w:val="28"/>
          <w:szCs w:val="28"/>
        </w:rPr>
        <w:t>防火堤</w:t>
      </w:r>
      <w:r>
        <w:rPr>
          <w:rFonts w:hint="eastAsia" w:ascii="宋体" w:hAnsi="宋体"/>
          <w:color w:val="auto"/>
          <w:sz w:val="28"/>
          <w:szCs w:val="28"/>
          <w:lang w:eastAsia="zh-CN"/>
        </w:rPr>
        <w:t>，</w:t>
      </w:r>
      <w:r>
        <w:rPr>
          <w:rFonts w:hint="eastAsia" w:ascii="宋体" w:hAnsi="宋体"/>
          <w:color w:val="auto"/>
          <w:sz w:val="28"/>
          <w:szCs w:val="28"/>
          <w:lang w:val="en-US" w:eastAsia="zh-CN"/>
        </w:rPr>
        <w:t>罐区西侧拟设置液体产品装卸区，装卸设施的设置应符合《精细化工企业工程设计防火标准》等精细化工有关规范的要求</w:t>
      </w:r>
      <w:r>
        <w:rPr>
          <w:rFonts w:hint="eastAsia" w:ascii="宋体" w:hAnsi="宋体"/>
          <w:color w:val="auto"/>
          <w:sz w:val="28"/>
          <w:szCs w:val="28"/>
        </w:rPr>
        <w:t>。</w:t>
      </w:r>
      <w:r>
        <w:rPr>
          <w:rFonts w:ascii="宋体" w:hAnsi="宋体"/>
          <w:color w:val="auto"/>
          <w:sz w:val="28"/>
          <w:szCs w:val="28"/>
        </w:rPr>
        <w:t>该项目液体储运装置主要用于储存、装卸各种液体物料。</w:t>
      </w:r>
    </w:p>
    <w:p>
      <w:pPr>
        <w:pStyle w:val="53"/>
        <w:rPr>
          <w:rFonts w:hint="eastAsia" w:ascii="宋体" w:hAnsi="宋体"/>
          <w:color w:val="auto"/>
          <w:szCs w:val="21"/>
        </w:rPr>
      </w:pPr>
      <w:r>
        <w:rPr>
          <w:rFonts w:hint="eastAsia" w:ascii="宋体" w:hAnsi="宋体"/>
          <w:color w:val="auto"/>
          <w:szCs w:val="21"/>
        </w:rPr>
        <w:t>表2.</w:t>
      </w:r>
      <w:r>
        <w:rPr>
          <w:rFonts w:hint="eastAsia" w:ascii="宋体" w:hAnsi="宋体"/>
          <w:color w:val="auto"/>
          <w:szCs w:val="21"/>
          <w:lang w:val="en-US" w:eastAsia="zh-CN"/>
        </w:rPr>
        <w:t>5</w:t>
      </w:r>
      <w:r>
        <w:rPr>
          <w:rFonts w:hint="eastAsia" w:ascii="宋体" w:hAnsi="宋体"/>
          <w:color w:val="auto"/>
          <w:szCs w:val="21"/>
        </w:rPr>
        <w:t>-</w:t>
      </w:r>
      <w:r>
        <w:rPr>
          <w:rFonts w:hint="eastAsia" w:ascii="宋体" w:hAnsi="宋体"/>
          <w:color w:val="auto"/>
          <w:szCs w:val="21"/>
          <w:lang w:val="en-US" w:eastAsia="zh-CN"/>
        </w:rPr>
        <w:t>3</w:t>
      </w:r>
      <w:r>
        <w:rPr>
          <w:rFonts w:hint="eastAsia" w:ascii="宋体" w:hAnsi="宋体"/>
          <w:color w:val="auto"/>
          <w:szCs w:val="21"/>
        </w:rPr>
        <w:t>该项目储罐情况一览表</w:t>
      </w:r>
    </w:p>
    <w:tbl>
      <w:tblPr>
        <w:tblStyle w:val="42"/>
        <w:tblW w:w="5143"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0"/>
        <w:gridCol w:w="911"/>
        <w:gridCol w:w="890"/>
        <w:gridCol w:w="867"/>
        <w:gridCol w:w="2104"/>
        <w:gridCol w:w="1263"/>
        <w:gridCol w:w="688"/>
        <w:gridCol w:w="759"/>
        <w:gridCol w:w="916"/>
        <w:gridCol w:w="83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2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序号</w:t>
            </w:r>
          </w:p>
        </w:tc>
        <w:tc>
          <w:tcPr>
            <w:tcW w:w="471"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名称</w:t>
            </w:r>
          </w:p>
        </w:tc>
        <w:tc>
          <w:tcPr>
            <w:tcW w:w="460" w:type="pct"/>
            <w:noWrap w:val="0"/>
            <w:vAlign w:val="center"/>
          </w:tcPr>
          <w:p>
            <w:pPr>
              <w:spacing w:line="240" w:lineRule="auto"/>
              <w:jc w:val="center"/>
              <w:rPr>
                <w:rFonts w:ascii="宋体" w:hAnsi="宋体"/>
                <w:color w:val="auto"/>
                <w:sz w:val="21"/>
                <w:szCs w:val="21"/>
              </w:rPr>
            </w:pPr>
            <w:r>
              <w:rPr>
                <w:rFonts w:hint="eastAsia" w:ascii="宋体" w:hAnsi="宋体"/>
                <w:color w:val="auto"/>
                <w:sz w:val="21"/>
                <w:szCs w:val="21"/>
              </w:rPr>
              <w:t>含量</w:t>
            </w:r>
            <w:r>
              <w:rPr>
                <w:rFonts w:hint="eastAsia" w:hAnsi="宋体"/>
                <w:bCs/>
                <w:color w:val="auto"/>
                <w:sz w:val="21"/>
                <w:szCs w:val="21"/>
              </w:rPr>
              <w:t>≥</w:t>
            </w:r>
            <w:r>
              <w:rPr>
                <w:rFonts w:hint="eastAsia" w:ascii="宋体" w:hAnsi="宋体"/>
                <w:color w:val="auto"/>
                <w:sz w:val="21"/>
                <w:szCs w:val="21"/>
              </w:rPr>
              <w:t>%</w:t>
            </w:r>
          </w:p>
        </w:tc>
        <w:tc>
          <w:tcPr>
            <w:tcW w:w="448"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储罐形式</w:t>
            </w:r>
          </w:p>
        </w:tc>
        <w:tc>
          <w:tcPr>
            <w:tcW w:w="1088" w:type="pct"/>
            <w:noWrap w:val="0"/>
            <w:vAlign w:val="center"/>
          </w:tcPr>
          <w:p>
            <w:pPr>
              <w:spacing w:line="240" w:lineRule="auto"/>
              <w:jc w:val="center"/>
              <w:rPr>
                <w:rFonts w:ascii="宋体" w:hAnsi="宋体"/>
                <w:color w:val="auto"/>
                <w:sz w:val="21"/>
                <w:szCs w:val="21"/>
              </w:rPr>
            </w:pPr>
            <w:r>
              <w:rPr>
                <w:rFonts w:ascii="宋体" w:hAnsi="宋体"/>
                <w:color w:val="auto"/>
                <w:kern w:val="0"/>
                <w:sz w:val="21"/>
                <w:szCs w:val="21"/>
              </w:rPr>
              <w:t>规格</w:t>
            </w:r>
            <w:r>
              <w:rPr>
                <w:rFonts w:ascii="宋体" w:hAnsi="宋体"/>
                <w:color w:val="auto"/>
                <w:sz w:val="21"/>
                <w:szCs w:val="21"/>
              </w:rPr>
              <w:t>m</w:t>
            </w:r>
            <w:r>
              <w:rPr>
                <w:rFonts w:ascii="宋体" w:hAnsi="宋体"/>
                <w:color w:val="auto"/>
                <w:sz w:val="21"/>
                <w:szCs w:val="21"/>
                <w:vertAlign w:val="superscript"/>
              </w:rPr>
              <w:t>3</w:t>
            </w:r>
          </w:p>
        </w:tc>
        <w:tc>
          <w:tcPr>
            <w:tcW w:w="653"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存储条件</w:t>
            </w:r>
          </w:p>
        </w:tc>
        <w:tc>
          <w:tcPr>
            <w:tcW w:w="355" w:type="pct"/>
            <w:noWrap w:val="0"/>
            <w:vAlign w:val="center"/>
          </w:tcPr>
          <w:p>
            <w:pPr>
              <w:spacing w:line="240" w:lineRule="auto"/>
              <w:jc w:val="center"/>
              <w:rPr>
                <w:rFonts w:ascii="宋体" w:hAnsi="宋体"/>
                <w:color w:val="auto"/>
                <w:sz w:val="21"/>
                <w:szCs w:val="21"/>
              </w:rPr>
            </w:pPr>
            <w:r>
              <w:rPr>
                <w:rFonts w:hint="eastAsia" w:ascii="宋体" w:hAnsi="宋体"/>
                <w:color w:val="auto"/>
                <w:sz w:val="21"/>
                <w:szCs w:val="21"/>
              </w:rPr>
              <w:t>材质</w:t>
            </w:r>
          </w:p>
        </w:tc>
        <w:tc>
          <w:tcPr>
            <w:tcW w:w="392"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数量</w:t>
            </w:r>
            <w:r>
              <w:rPr>
                <w:rFonts w:hint="eastAsia" w:ascii="宋体" w:hAnsi="宋体"/>
                <w:color w:val="auto"/>
                <w:sz w:val="21"/>
                <w:szCs w:val="21"/>
                <w:lang w:eastAsia="zh-CN"/>
              </w:rPr>
              <w:t>（</w:t>
            </w:r>
            <w:r>
              <w:rPr>
                <w:rFonts w:ascii="宋体" w:hAnsi="宋体"/>
                <w:color w:val="auto"/>
                <w:sz w:val="21"/>
                <w:szCs w:val="21"/>
              </w:rPr>
              <w:t>台</w:t>
            </w:r>
            <w:r>
              <w:rPr>
                <w:rFonts w:hint="eastAsia" w:ascii="宋体" w:hAnsi="宋体"/>
                <w:color w:val="auto"/>
                <w:sz w:val="21"/>
                <w:szCs w:val="21"/>
                <w:lang w:eastAsia="zh-CN"/>
              </w:rPr>
              <w:t>）</w:t>
            </w:r>
          </w:p>
        </w:tc>
        <w:tc>
          <w:tcPr>
            <w:tcW w:w="473"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最大存储量</w:t>
            </w:r>
            <w:r>
              <w:rPr>
                <w:rFonts w:hint="eastAsia" w:ascii="宋体" w:hAnsi="宋体"/>
                <w:color w:val="auto"/>
                <w:sz w:val="21"/>
                <w:szCs w:val="21"/>
              </w:rPr>
              <w:t>/</w:t>
            </w:r>
            <w:r>
              <w:rPr>
                <w:rFonts w:ascii="宋体" w:hAnsi="宋体"/>
                <w:color w:val="auto"/>
                <w:sz w:val="21"/>
                <w:szCs w:val="21"/>
              </w:rPr>
              <w:t>t</w:t>
            </w:r>
          </w:p>
        </w:tc>
        <w:tc>
          <w:tcPr>
            <w:tcW w:w="433" w:type="pct"/>
            <w:noWrap w:val="0"/>
            <w:vAlign w:val="center"/>
          </w:tcPr>
          <w:p>
            <w:pPr>
              <w:spacing w:line="240" w:lineRule="auto"/>
              <w:jc w:val="center"/>
              <w:rPr>
                <w:rFonts w:ascii="宋体" w:hAnsi="宋体"/>
                <w:color w:val="auto"/>
                <w:sz w:val="21"/>
                <w:szCs w:val="21"/>
              </w:rPr>
            </w:pPr>
            <w:r>
              <w:rPr>
                <w:rFonts w:ascii="宋体"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2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1</w:t>
            </w:r>
          </w:p>
        </w:tc>
        <w:tc>
          <w:tcPr>
            <w:tcW w:w="471"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MMA粗体罐</w:t>
            </w:r>
          </w:p>
        </w:tc>
        <w:tc>
          <w:tcPr>
            <w:tcW w:w="460" w:type="pct"/>
            <w:noWrap w:val="0"/>
            <w:vAlign w:val="center"/>
          </w:tcPr>
          <w:p>
            <w:pPr>
              <w:spacing w:line="240" w:lineRule="auto"/>
              <w:jc w:val="center"/>
              <w:rPr>
                <w:rFonts w:hint="eastAsia" w:ascii="宋体" w:hAnsi="宋体"/>
                <w:color w:val="auto"/>
                <w:sz w:val="21"/>
                <w:szCs w:val="21"/>
              </w:rPr>
            </w:pPr>
            <w:r>
              <w:rPr>
                <w:rFonts w:hint="eastAsia" w:ascii="宋体" w:hAnsi="宋体" w:cs="宋体"/>
                <w:color w:val="auto"/>
                <w:sz w:val="21"/>
                <w:szCs w:val="21"/>
              </w:rPr>
              <w:t>99</w:t>
            </w:r>
          </w:p>
        </w:tc>
        <w:tc>
          <w:tcPr>
            <w:tcW w:w="448"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固定顶</w:t>
            </w:r>
          </w:p>
        </w:tc>
        <w:tc>
          <w:tcPr>
            <w:tcW w:w="1088" w:type="pct"/>
            <w:noWrap w:val="0"/>
            <w:vAlign w:val="center"/>
          </w:tcPr>
          <w:p>
            <w:pPr>
              <w:spacing w:line="240" w:lineRule="auto"/>
              <w:jc w:val="center"/>
              <w:rPr>
                <w:rFonts w:ascii="宋体" w:hAnsi="宋体"/>
                <w:color w:val="auto"/>
                <w:sz w:val="21"/>
                <w:szCs w:val="21"/>
              </w:rPr>
            </w:pPr>
            <w:r>
              <w:rPr>
                <w:rFonts w:hint="eastAsia" w:ascii="宋体" w:hAnsi="宋体"/>
                <w:color w:val="auto"/>
                <w:sz w:val="21"/>
                <w:szCs w:val="21"/>
              </w:rPr>
              <w:t>Ø</w:t>
            </w:r>
            <w:r>
              <w:rPr>
                <w:rFonts w:hint="eastAsia" w:ascii="宋体" w:hAnsi="宋体"/>
                <w:color w:val="auto"/>
                <w:sz w:val="21"/>
                <w:szCs w:val="21"/>
                <w:lang w:eastAsia="zh-CN"/>
              </w:rPr>
              <w:t>4</w:t>
            </w:r>
            <w:r>
              <w:rPr>
                <w:rFonts w:hint="eastAsia" w:ascii="宋体" w:hAnsi="宋体"/>
                <w:color w:val="auto"/>
                <w:sz w:val="21"/>
                <w:szCs w:val="21"/>
                <w:lang w:val="en-US" w:eastAsia="zh-CN"/>
              </w:rPr>
              <w:t>300*6000</w:t>
            </w:r>
            <w:r>
              <w:rPr>
                <w:rFonts w:hint="eastAsia" w:ascii="宋体" w:hAnsi="宋体"/>
                <w:color w:val="auto"/>
                <w:sz w:val="21"/>
                <w:szCs w:val="21"/>
              </w:rPr>
              <w:t>，V=</w:t>
            </w:r>
            <w:r>
              <w:rPr>
                <w:rFonts w:hint="eastAsia" w:ascii="宋体" w:hAnsi="宋体"/>
                <w:color w:val="auto"/>
                <w:sz w:val="21"/>
                <w:szCs w:val="21"/>
                <w:lang w:eastAsia="zh-CN"/>
              </w:rPr>
              <w:t>8</w:t>
            </w:r>
            <w:r>
              <w:rPr>
                <w:rFonts w:hint="eastAsia" w:ascii="宋体" w:hAnsi="宋体"/>
                <w:color w:val="auto"/>
                <w:sz w:val="21"/>
                <w:szCs w:val="21"/>
                <w:lang w:val="en-US" w:eastAsia="zh-CN"/>
              </w:rPr>
              <w:t>0</w:t>
            </w:r>
            <w:r>
              <w:rPr>
                <w:rFonts w:hint="eastAsia" w:ascii="宋体" w:hAnsi="宋体"/>
                <w:color w:val="auto"/>
                <w:sz w:val="21"/>
                <w:szCs w:val="21"/>
              </w:rPr>
              <w:t>m</w:t>
            </w:r>
            <w:r>
              <w:rPr>
                <w:rFonts w:hint="eastAsia" w:ascii="宋体" w:hAnsi="宋体"/>
                <w:color w:val="auto"/>
                <w:sz w:val="21"/>
                <w:szCs w:val="21"/>
                <w:vertAlign w:val="superscript"/>
              </w:rPr>
              <w:t>3</w:t>
            </w:r>
          </w:p>
        </w:tc>
        <w:tc>
          <w:tcPr>
            <w:tcW w:w="653" w:type="pct"/>
            <w:noWrap w:val="0"/>
            <w:vAlign w:val="center"/>
          </w:tcPr>
          <w:p>
            <w:pPr>
              <w:spacing w:line="240" w:lineRule="auto"/>
              <w:jc w:val="center"/>
              <w:rPr>
                <w:rFonts w:hint="eastAsia" w:ascii="宋体" w:hAnsi="宋体" w:eastAsia="宋体"/>
                <w:color w:val="auto"/>
                <w:sz w:val="21"/>
                <w:szCs w:val="21"/>
                <w:lang w:eastAsia="zh-CN"/>
              </w:rPr>
            </w:pPr>
            <w:r>
              <w:rPr>
                <w:rFonts w:hint="eastAsia" w:ascii="宋体" w:hAnsi="宋体"/>
                <w:color w:val="auto"/>
                <w:sz w:val="21"/>
                <w:szCs w:val="21"/>
              </w:rPr>
              <w:t>常温、</w:t>
            </w:r>
            <w:r>
              <w:rPr>
                <w:rFonts w:hint="eastAsia" w:ascii="宋体" w:hAnsi="宋体"/>
                <w:color w:val="auto"/>
                <w:sz w:val="21"/>
                <w:szCs w:val="21"/>
                <w:lang w:val="en-US" w:eastAsia="zh-CN"/>
              </w:rPr>
              <w:t>常压</w:t>
            </w:r>
          </w:p>
        </w:tc>
        <w:tc>
          <w:tcPr>
            <w:tcW w:w="355"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碳钢</w:t>
            </w:r>
          </w:p>
        </w:tc>
        <w:tc>
          <w:tcPr>
            <w:tcW w:w="39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eastAsia="zh-CN"/>
              </w:rPr>
              <w:t>3</w:t>
            </w:r>
          </w:p>
        </w:tc>
        <w:tc>
          <w:tcPr>
            <w:tcW w:w="473" w:type="pct"/>
            <w:noWrap w:val="0"/>
            <w:vAlign w:val="center"/>
          </w:tcPr>
          <w:p>
            <w:pPr>
              <w:spacing w:line="240" w:lineRule="auto"/>
              <w:jc w:val="center"/>
              <w:rPr>
                <w:rFonts w:ascii="宋体" w:hAnsi="宋体"/>
                <w:color w:val="auto"/>
                <w:sz w:val="21"/>
                <w:szCs w:val="21"/>
                <w:highlight w:val="yellow"/>
              </w:rPr>
            </w:pPr>
            <w:r>
              <w:rPr>
                <w:rFonts w:hint="eastAsia" w:ascii="宋体" w:hAnsi="宋体"/>
                <w:color w:val="auto"/>
                <w:sz w:val="21"/>
                <w:szCs w:val="21"/>
                <w:highlight w:val="none"/>
              </w:rPr>
              <w:t>364.5</w:t>
            </w:r>
          </w:p>
        </w:tc>
        <w:tc>
          <w:tcPr>
            <w:tcW w:w="433" w:type="pct"/>
            <w:noWrap w:val="0"/>
            <w:vAlign w:val="center"/>
          </w:tcPr>
          <w:p>
            <w:pPr>
              <w:spacing w:line="240" w:lineRule="auto"/>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拟设氮封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2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2</w:t>
            </w:r>
          </w:p>
        </w:tc>
        <w:tc>
          <w:tcPr>
            <w:tcW w:w="471"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MMA精体罐</w:t>
            </w:r>
          </w:p>
        </w:tc>
        <w:tc>
          <w:tcPr>
            <w:tcW w:w="460" w:type="pct"/>
            <w:noWrap w:val="0"/>
            <w:vAlign w:val="center"/>
          </w:tcPr>
          <w:p>
            <w:pPr>
              <w:spacing w:line="240" w:lineRule="auto"/>
              <w:jc w:val="center"/>
              <w:rPr>
                <w:rFonts w:hint="eastAsia" w:ascii="宋体" w:hAnsi="宋体" w:cs="宋体"/>
                <w:color w:val="auto"/>
                <w:sz w:val="21"/>
                <w:szCs w:val="21"/>
              </w:rPr>
            </w:pPr>
            <w:r>
              <w:rPr>
                <w:rFonts w:hint="eastAsia" w:ascii="宋体" w:hAnsi="宋体" w:cs="宋体"/>
                <w:color w:val="auto"/>
                <w:sz w:val="21"/>
                <w:szCs w:val="21"/>
              </w:rPr>
              <w:t>99</w:t>
            </w:r>
          </w:p>
        </w:tc>
        <w:tc>
          <w:tcPr>
            <w:tcW w:w="448" w:type="pct"/>
            <w:noWrap w:val="0"/>
            <w:vAlign w:val="center"/>
          </w:tcPr>
          <w:p>
            <w:pPr>
              <w:spacing w:line="240" w:lineRule="auto"/>
              <w:jc w:val="center"/>
              <w:rPr>
                <w:color w:val="auto"/>
                <w:sz w:val="21"/>
                <w:szCs w:val="21"/>
              </w:rPr>
            </w:pPr>
            <w:r>
              <w:rPr>
                <w:rFonts w:hint="eastAsia" w:ascii="宋体" w:hAnsi="宋体"/>
                <w:color w:val="auto"/>
                <w:sz w:val="21"/>
                <w:szCs w:val="21"/>
                <w:lang w:val="en-US" w:eastAsia="zh-CN"/>
              </w:rPr>
              <w:t>固定顶</w:t>
            </w:r>
          </w:p>
        </w:tc>
        <w:tc>
          <w:tcPr>
            <w:tcW w:w="1088"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Ø</w:t>
            </w:r>
            <w:r>
              <w:rPr>
                <w:rFonts w:hint="eastAsia" w:ascii="宋体" w:hAnsi="宋体"/>
                <w:color w:val="auto"/>
                <w:sz w:val="21"/>
                <w:szCs w:val="21"/>
                <w:lang w:eastAsia="zh-CN"/>
              </w:rPr>
              <w:t>4</w:t>
            </w:r>
            <w:r>
              <w:rPr>
                <w:rFonts w:hint="eastAsia" w:ascii="宋体" w:hAnsi="宋体"/>
                <w:color w:val="auto"/>
                <w:sz w:val="21"/>
                <w:szCs w:val="21"/>
                <w:lang w:val="en-US" w:eastAsia="zh-CN"/>
              </w:rPr>
              <w:t>300*6000</w:t>
            </w:r>
            <w:r>
              <w:rPr>
                <w:rFonts w:hint="eastAsia" w:ascii="宋体" w:hAnsi="宋体"/>
                <w:color w:val="auto"/>
                <w:sz w:val="21"/>
                <w:szCs w:val="21"/>
              </w:rPr>
              <w:t>，V=</w:t>
            </w:r>
            <w:r>
              <w:rPr>
                <w:rFonts w:hint="eastAsia" w:ascii="宋体" w:hAnsi="宋体"/>
                <w:color w:val="auto"/>
                <w:sz w:val="21"/>
                <w:szCs w:val="21"/>
                <w:lang w:eastAsia="zh-CN"/>
              </w:rPr>
              <w:t>8</w:t>
            </w:r>
            <w:r>
              <w:rPr>
                <w:rFonts w:hint="eastAsia" w:ascii="宋体" w:hAnsi="宋体"/>
                <w:color w:val="auto"/>
                <w:sz w:val="21"/>
                <w:szCs w:val="21"/>
                <w:lang w:val="en-US" w:eastAsia="zh-CN"/>
              </w:rPr>
              <w:t>0</w:t>
            </w:r>
            <w:r>
              <w:rPr>
                <w:rFonts w:hint="eastAsia" w:ascii="宋体" w:hAnsi="宋体"/>
                <w:color w:val="auto"/>
                <w:sz w:val="21"/>
                <w:szCs w:val="21"/>
              </w:rPr>
              <w:t>m</w:t>
            </w:r>
            <w:r>
              <w:rPr>
                <w:rFonts w:hint="eastAsia" w:ascii="宋体" w:hAnsi="宋体"/>
                <w:color w:val="auto"/>
                <w:sz w:val="21"/>
                <w:szCs w:val="21"/>
                <w:vertAlign w:val="superscript"/>
              </w:rPr>
              <w:t>3</w:t>
            </w:r>
          </w:p>
        </w:tc>
        <w:tc>
          <w:tcPr>
            <w:tcW w:w="653" w:type="pct"/>
            <w:noWrap w:val="0"/>
            <w:vAlign w:val="center"/>
          </w:tcPr>
          <w:p>
            <w:pPr>
              <w:spacing w:line="240" w:lineRule="auto"/>
              <w:jc w:val="center"/>
              <w:rPr>
                <w:rFonts w:hint="eastAsia" w:eastAsia="宋体"/>
                <w:color w:val="auto"/>
                <w:sz w:val="21"/>
                <w:szCs w:val="21"/>
                <w:lang w:eastAsia="zh-CN"/>
              </w:rPr>
            </w:pPr>
            <w:r>
              <w:rPr>
                <w:rFonts w:hint="eastAsia" w:ascii="宋体" w:hAnsi="宋体"/>
                <w:color w:val="auto"/>
                <w:sz w:val="21"/>
                <w:szCs w:val="21"/>
              </w:rPr>
              <w:t>常温、</w:t>
            </w:r>
            <w:r>
              <w:rPr>
                <w:rFonts w:hint="eastAsia" w:ascii="宋体" w:hAnsi="宋体"/>
                <w:color w:val="auto"/>
                <w:sz w:val="21"/>
                <w:szCs w:val="21"/>
                <w:lang w:val="en-US" w:eastAsia="zh-CN"/>
              </w:rPr>
              <w:t>常压</w:t>
            </w:r>
          </w:p>
        </w:tc>
        <w:tc>
          <w:tcPr>
            <w:tcW w:w="355"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碳钢</w:t>
            </w:r>
          </w:p>
        </w:tc>
        <w:tc>
          <w:tcPr>
            <w:tcW w:w="39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2</w:t>
            </w:r>
          </w:p>
        </w:tc>
        <w:tc>
          <w:tcPr>
            <w:tcW w:w="473" w:type="pct"/>
            <w:noWrap w:val="0"/>
            <w:vAlign w:val="center"/>
          </w:tcPr>
          <w:p>
            <w:pPr>
              <w:spacing w:line="240" w:lineRule="auto"/>
              <w:jc w:val="center"/>
              <w:rPr>
                <w:rFonts w:hint="eastAsia" w:ascii="宋体" w:hAnsi="宋体"/>
                <w:color w:val="auto"/>
                <w:sz w:val="21"/>
                <w:szCs w:val="21"/>
                <w:highlight w:val="yellow"/>
              </w:rPr>
            </w:pPr>
            <w:r>
              <w:rPr>
                <w:rFonts w:hint="eastAsia" w:ascii="宋体" w:hAnsi="宋体"/>
                <w:color w:val="auto"/>
                <w:sz w:val="21"/>
                <w:szCs w:val="21"/>
                <w:highlight w:val="none"/>
              </w:rPr>
              <w:t>1360</w:t>
            </w:r>
          </w:p>
        </w:tc>
        <w:tc>
          <w:tcPr>
            <w:tcW w:w="433"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拟设氮封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2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3</w:t>
            </w:r>
          </w:p>
        </w:tc>
        <w:tc>
          <w:tcPr>
            <w:tcW w:w="471"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lang w:val="en-US" w:eastAsia="zh-CN"/>
              </w:rPr>
              <w:t>MMA残液罐</w:t>
            </w:r>
          </w:p>
        </w:tc>
        <w:tc>
          <w:tcPr>
            <w:tcW w:w="460" w:type="pct"/>
            <w:noWrap w:val="0"/>
            <w:vAlign w:val="center"/>
          </w:tcPr>
          <w:p>
            <w:pPr>
              <w:spacing w:line="240" w:lineRule="auto"/>
              <w:jc w:val="center"/>
              <w:rPr>
                <w:rFonts w:hint="eastAsia" w:ascii="宋体" w:hAnsi="宋体" w:cs="宋体"/>
                <w:color w:val="auto"/>
                <w:sz w:val="21"/>
                <w:szCs w:val="21"/>
              </w:rPr>
            </w:pPr>
            <w:r>
              <w:rPr>
                <w:rFonts w:hint="eastAsia" w:ascii="宋体" w:hAnsi="宋体" w:cs="宋体"/>
                <w:color w:val="auto"/>
                <w:sz w:val="21"/>
                <w:szCs w:val="21"/>
                <w:lang w:val="en-US" w:eastAsia="zh-CN"/>
              </w:rPr>
              <w:t>混合物</w:t>
            </w:r>
          </w:p>
        </w:tc>
        <w:tc>
          <w:tcPr>
            <w:tcW w:w="448" w:type="pct"/>
            <w:noWrap w:val="0"/>
            <w:vAlign w:val="center"/>
          </w:tcPr>
          <w:p>
            <w:pPr>
              <w:spacing w:line="240" w:lineRule="auto"/>
              <w:jc w:val="center"/>
              <w:rPr>
                <w:color w:val="auto"/>
                <w:sz w:val="21"/>
                <w:szCs w:val="21"/>
              </w:rPr>
            </w:pPr>
            <w:r>
              <w:rPr>
                <w:rFonts w:hint="eastAsia" w:ascii="宋体" w:hAnsi="宋体"/>
                <w:color w:val="auto"/>
                <w:sz w:val="21"/>
                <w:szCs w:val="21"/>
                <w:lang w:val="en-US" w:eastAsia="zh-CN"/>
              </w:rPr>
              <w:t>固定顶</w:t>
            </w:r>
          </w:p>
        </w:tc>
        <w:tc>
          <w:tcPr>
            <w:tcW w:w="1088"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Ø</w:t>
            </w:r>
            <w:r>
              <w:rPr>
                <w:rFonts w:hint="eastAsia" w:ascii="宋体" w:hAnsi="宋体"/>
                <w:color w:val="auto"/>
                <w:sz w:val="21"/>
                <w:szCs w:val="21"/>
                <w:lang w:eastAsia="zh-CN"/>
              </w:rPr>
              <w:t>4</w:t>
            </w:r>
            <w:r>
              <w:rPr>
                <w:rFonts w:hint="eastAsia" w:ascii="宋体" w:hAnsi="宋体"/>
                <w:color w:val="auto"/>
                <w:sz w:val="21"/>
                <w:szCs w:val="21"/>
                <w:lang w:val="en-US" w:eastAsia="zh-CN"/>
              </w:rPr>
              <w:t>300*6000</w:t>
            </w:r>
            <w:r>
              <w:rPr>
                <w:rFonts w:hint="eastAsia" w:ascii="宋体" w:hAnsi="宋体"/>
                <w:color w:val="auto"/>
                <w:sz w:val="21"/>
                <w:szCs w:val="21"/>
              </w:rPr>
              <w:t>，V=</w:t>
            </w:r>
            <w:r>
              <w:rPr>
                <w:rFonts w:hint="eastAsia" w:ascii="宋体" w:hAnsi="宋体"/>
                <w:color w:val="auto"/>
                <w:sz w:val="21"/>
                <w:szCs w:val="21"/>
                <w:lang w:eastAsia="zh-CN"/>
              </w:rPr>
              <w:t>8</w:t>
            </w:r>
            <w:r>
              <w:rPr>
                <w:rFonts w:hint="eastAsia" w:ascii="宋体" w:hAnsi="宋体"/>
                <w:color w:val="auto"/>
                <w:sz w:val="21"/>
                <w:szCs w:val="21"/>
                <w:lang w:val="en-US" w:eastAsia="zh-CN"/>
              </w:rPr>
              <w:t>0</w:t>
            </w:r>
            <w:r>
              <w:rPr>
                <w:rFonts w:hint="eastAsia" w:ascii="宋体" w:hAnsi="宋体"/>
                <w:color w:val="auto"/>
                <w:sz w:val="21"/>
                <w:szCs w:val="21"/>
              </w:rPr>
              <w:t>m</w:t>
            </w:r>
            <w:r>
              <w:rPr>
                <w:rFonts w:hint="eastAsia" w:ascii="宋体" w:hAnsi="宋体"/>
                <w:color w:val="auto"/>
                <w:sz w:val="21"/>
                <w:szCs w:val="21"/>
                <w:vertAlign w:val="superscript"/>
              </w:rPr>
              <w:t>3</w:t>
            </w:r>
          </w:p>
        </w:tc>
        <w:tc>
          <w:tcPr>
            <w:tcW w:w="653" w:type="pct"/>
            <w:noWrap w:val="0"/>
            <w:vAlign w:val="center"/>
          </w:tcPr>
          <w:p>
            <w:pPr>
              <w:spacing w:line="240" w:lineRule="auto"/>
              <w:jc w:val="center"/>
              <w:rPr>
                <w:color w:val="auto"/>
                <w:sz w:val="21"/>
                <w:szCs w:val="21"/>
              </w:rPr>
            </w:pPr>
            <w:r>
              <w:rPr>
                <w:rFonts w:hint="eastAsia" w:ascii="宋体" w:hAnsi="宋体"/>
                <w:color w:val="auto"/>
                <w:sz w:val="21"/>
                <w:szCs w:val="21"/>
              </w:rPr>
              <w:t>常温、</w:t>
            </w:r>
            <w:r>
              <w:rPr>
                <w:rFonts w:hint="eastAsia" w:ascii="宋体" w:hAnsi="宋体"/>
                <w:color w:val="auto"/>
                <w:sz w:val="21"/>
                <w:szCs w:val="21"/>
                <w:lang w:val="en-US" w:eastAsia="zh-CN"/>
              </w:rPr>
              <w:t>常压</w:t>
            </w:r>
          </w:p>
        </w:tc>
        <w:tc>
          <w:tcPr>
            <w:tcW w:w="355"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碳钢</w:t>
            </w:r>
          </w:p>
        </w:tc>
        <w:tc>
          <w:tcPr>
            <w:tcW w:w="392" w:type="pct"/>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1</w:t>
            </w:r>
          </w:p>
        </w:tc>
        <w:tc>
          <w:tcPr>
            <w:tcW w:w="473" w:type="pct"/>
            <w:noWrap w:val="0"/>
            <w:vAlign w:val="center"/>
          </w:tcPr>
          <w:p>
            <w:pPr>
              <w:spacing w:line="240" w:lineRule="auto"/>
              <w:jc w:val="center"/>
              <w:rPr>
                <w:rFonts w:hint="default" w:ascii="宋体" w:hAnsi="宋体" w:eastAsia="宋体"/>
                <w:color w:val="auto"/>
                <w:sz w:val="21"/>
                <w:szCs w:val="21"/>
                <w:highlight w:val="yellow"/>
                <w:lang w:val="en-US" w:eastAsia="zh-CN"/>
              </w:rPr>
            </w:pPr>
            <w:r>
              <w:rPr>
                <w:rFonts w:hint="eastAsia" w:ascii="宋体" w:hAnsi="宋体"/>
                <w:color w:val="auto"/>
                <w:sz w:val="21"/>
                <w:szCs w:val="21"/>
                <w:highlight w:val="none"/>
                <w:lang w:val="en-US" w:eastAsia="zh-CN"/>
              </w:rPr>
              <w:t>70</w:t>
            </w:r>
          </w:p>
        </w:tc>
        <w:tc>
          <w:tcPr>
            <w:tcW w:w="433" w:type="pct"/>
            <w:noWrap w:val="0"/>
            <w:vAlign w:val="center"/>
          </w:tcPr>
          <w:p>
            <w:pPr>
              <w:spacing w:line="240" w:lineRule="auto"/>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拟设氮封</w:t>
            </w:r>
          </w:p>
        </w:tc>
      </w:tr>
    </w:tbl>
    <w:p>
      <w:pPr>
        <w:ind w:firstLine="843" w:firstLineChars="300"/>
        <w:rPr>
          <w:rFonts w:hint="default" w:eastAsia="宋体"/>
          <w:b/>
          <w:bCs/>
          <w:color w:val="auto"/>
          <w:sz w:val="28"/>
          <w:szCs w:val="28"/>
          <w:lang w:val="en-US" w:eastAsia="zh-CN"/>
        </w:rPr>
      </w:pPr>
      <w:r>
        <w:rPr>
          <w:rFonts w:hint="eastAsia"/>
          <w:b/>
          <w:bCs/>
          <w:color w:val="auto"/>
          <w:sz w:val="28"/>
          <w:szCs w:val="28"/>
          <w:lang w:val="en-US" w:eastAsia="zh-CN"/>
        </w:rPr>
        <w:t>2）仓库</w:t>
      </w:r>
    </w:p>
    <w:p>
      <w:pPr>
        <w:ind w:firstLine="560" w:firstLineChars="200"/>
        <w:rPr>
          <w:rFonts w:hint="default" w:eastAsia="宋体"/>
          <w:color w:val="auto"/>
          <w:szCs w:val="28"/>
          <w:lang w:val="en-US" w:eastAsia="zh-CN"/>
        </w:rPr>
      </w:pPr>
      <w:r>
        <w:rPr>
          <w:rFonts w:hint="eastAsia"/>
          <w:color w:val="auto"/>
          <w:szCs w:val="28"/>
          <w:lang w:val="en-US" w:eastAsia="zh-CN"/>
        </w:rPr>
        <w:t>该项目拟新建201甲类仓库、202丙类仓库一，204丙类仓库二。</w:t>
      </w:r>
    </w:p>
    <w:p>
      <w:pPr>
        <w:numPr>
          <w:ilvl w:val="-1"/>
          <w:numId w:val="0"/>
        </w:numPr>
        <w:ind w:firstLine="560" w:firstLineChars="200"/>
        <w:rPr>
          <w:rFonts w:hint="eastAsia"/>
          <w:b w:val="0"/>
          <w:bCs w:val="0"/>
          <w:color w:val="auto"/>
          <w:sz w:val="28"/>
          <w:szCs w:val="24"/>
          <w:highlight w:val="none"/>
          <w:lang w:val="en-US" w:eastAsia="zh-CN"/>
        </w:rPr>
      </w:pPr>
      <w:r>
        <w:rPr>
          <w:rFonts w:hint="eastAsia"/>
          <w:color w:val="auto"/>
          <w:sz w:val="28"/>
          <w:szCs w:val="28"/>
        </w:rPr>
        <w:t>20</w:t>
      </w:r>
      <w:r>
        <w:rPr>
          <w:rFonts w:hint="eastAsia"/>
          <w:color w:val="auto"/>
          <w:sz w:val="28"/>
          <w:szCs w:val="28"/>
          <w:lang w:val="en-US" w:eastAsia="zh-CN"/>
        </w:rPr>
        <w:t>1甲</w:t>
      </w:r>
      <w:r>
        <w:rPr>
          <w:rFonts w:hint="eastAsia"/>
          <w:color w:val="auto"/>
          <w:sz w:val="28"/>
          <w:szCs w:val="28"/>
        </w:rPr>
        <w:t>类仓库</w:t>
      </w:r>
      <w:r>
        <w:rPr>
          <w:rFonts w:hint="eastAsia"/>
          <w:color w:val="auto"/>
          <w:sz w:val="28"/>
          <w:szCs w:val="28"/>
          <w:lang w:eastAsia="zh-CN"/>
        </w:rPr>
        <w:t>：</w:t>
      </w:r>
      <w:r>
        <w:rPr>
          <w:rFonts w:hint="eastAsia"/>
          <w:color w:val="auto"/>
          <w:sz w:val="28"/>
          <w:szCs w:val="28"/>
        </w:rPr>
        <w:t>单层，占地面积为</w:t>
      </w:r>
      <w:r>
        <w:rPr>
          <w:rFonts w:hint="eastAsia"/>
          <w:color w:val="auto"/>
          <w:sz w:val="28"/>
          <w:szCs w:val="28"/>
          <w:lang w:val="en-US" w:eastAsia="zh-CN"/>
        </w:rPr>
        <w:t>84</w:t>
      </w:r>
      <w:r>
        <w:rPr>
          <w:rFonts w:hint="eastAsia"/>
          <w:color w:val="auto"/>
          <w:sz w:val="28"/>
          <w:szCs w:val="28"/>
        </w:rPr>
        <w:t>m</w:t>
      </w:r>
      <w:r>
        <w:rPr>
          <w:rFonts w:hint="eastAsia"/>
          <w:color w:val="auto"/>
          <w:sz w:val="28"/>
          <w:szCs w:val="28"/>
          <w:vertAlign w:val="superscript"/>
        </w:rPr>
        <w:t>2</w:t>
      </w:r>
      <w:r>
        <w:rPr>
          <w:rFonts w:hint="eastAsia"/>
          <w:color w:val="auto"/>
          <w:sz w:val="28"/>
          <w:szCs w:val="28"/>
        </w:rPr>
        <w:t>，</w:t>
      </w:r>
      <w:r>
        <w:rPr>
          <w:rFonts w:hint="eastAsia"/>
          <w:b w:val="0"/>
          <w:bCs w:val="0"/>
          <w:color w:val="auto"/>
          <w:sz w:val="28"/>
          <w:szCs w:val="24"/>
          <w:highlight w:val="none"/>
          <w:lang w:val="en-US" w:eastAsia="zh-CN"/>
        </w:rPr>
        <w:t>其中防火分区一占地面积为42m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lang w:val="en-US" w:eastAsia="zh-CN"/>
        </w:rPr>
        <w:t>，为预留分区，防火分区二占地面积为42m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w:t>
      </w:r>
      <w:r>
        <w:rPr>
          <w:rFonts w:hint="eastAsia"/>
          <w:b w:val="0"/>
          <w:bCs w:val="0"/>
          <w:color w:val="auto"/>
          <w:sz w:val="28"/>
          <w:szCs w:val="24"/>
          <w:highlight w:val="none"/>
          <w:lang w:val="en-US" w:eastAsia="zh-CN"/>
        </w:rPr>
        <w:t>用于存储项目20t 危废，</w:t>
      </w:r>
      <w:r>
        <w:rPr>
          <w:rFonts w:hint="eastAsia"/>
          <w:b w:val="0"/>
          <w:bCs w:val="0"/>
          <w:color w:val="auto"/>
          <w:sz w:val="28"/>
          <w:szCs w:val="24"/>
          <w:highlight w:val="none"/>
          <w:vertAlign w:val="baseline"/>
          <w:lang w:val="en-US" w:eastAsia="zh-CN"/>
        </w:rPr>
        <w:t>存储2t阻聚剂（对苯二酚），</w:t>
      </w:r>
      <w:r>
        <w:rPr>
          <w:rFonts w:hint="eastAsia"/>
          <w:b w:val="0"/>
          <w:bCs w:val="0"/>
          <w:color w:val="auto"/>
          <w:sz w:val="28"/>
          <w:szCs w:val="24"/>
          <w:highlight w:val="none"/>
          <w:lang w:val="en-US" w:eastAsia="zh-CN"/>
        </w:rPr>
        <w:t>根据《危险化学品仓库储存通则》的要求就行储存，仓库的储存系数在0.5左右，可以满足项目储存需求。</w:t>
      </w:r>
    </w:p>
    <w:p>
      <w:pPr>
        <w:numPr>
          <w:ilvl w:val="-1"/>
          <w:numId w:val="0"/>
        </w:numPr>
        <w:ind w:firstLine="560" w:firstLineChars="200"/>
        <w:rPr>
          <w:rFonts w:hint="default"/>
          <w:b w:val="0"/>
          <w:bCs w:val="0"/>
          <w:color w:val="auto"/>
          <w:sz w:val="28"/>
          <w:szCs w:val="24"/>
          <w:highlight w:val="none"/>
          <w:vertAlign w:val="baseline"/>
          <w:lang w:val="en-US" w:eastAsia="zh-CN"/>
        </w:rPr>
      </w:pPr>
      <w:r>
        <w:rPr>
          <w:rFonts w:hint="default"/>
          <w:color w:val="auto"/>
          <w:lang w:val="en-US" w:eastAsia="zh-CN"/>
        </w:rPr>
        <w:t>202</w:t>
      </w:r>
      <w:r>
        <w:rPr>
          <w:rFonts w:hint="eastAsia"/>
          <w:color w:val="auto"/>
          <w:lang w:val="en-US" w:eastAsia="zh-CN"/>
        </w:rPr>
        <w:t>丙类仓库一：单层，占地面积</w:t>
      </w:r>
      <w:r>
        <w:rPr>
          <w:rFonts w:hint="default"/>
          <w:color w:val="auto"/>
          <w:lang w:val="en-US" w:eastAsia="zh-CN"/>
        </w:rPr>
        <w:t>133m</w:t>
      </w:r>
      <w:r>
        <w:rPr>
          <w:rFonts w:hint="default"/>
          <w:color w:val="auto"/>
          <w:vertAlign w:val="superscript"/>
          <w:lang w:val="en-US" w:eastAsia="zh-CN"/>
        </w:rPr>
        <w:t>2</w:t>
      </w:r>
      <w:r>
        <w:rPr>
          <w:rFonts w:hint="eastAsia"/>
          <w:color w:val="auto"/>
          <w:lang w:val="en-US" w:eastAsia="zh-CN"/>
        </w:rPr>
        <w:t>，</w:t>
      </w:r>
      <w:r>
        <w:rPr>
          <w:rFonts w:hint="eastAsia"/>
          <w:b w:val="0"/>
          <w:bCs w:val="0"/>
          <w:color w:val="auto"/>
          <w:sz w:val="28"/>
          <w:szCs w:val="24"/>
          <w:highlight w:val="none"/>
          <w:lang w:val="en-US" w:eastAsia="zh-CN"/>
        </w:rPr>
        <w:t>其中防火分区一占地面积为50m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w:t>
      </w:r>
      <w:r>
        <w:rPr>
          <w:rFonts w:hint="eastAsia"/>
          <w:b w:val="0"/>
          <w:bCs w:val="0"/>
          <w:color w:val="auto"/>
          <w:sz w:val="28"/>
          <w:szCs w:val="24"/>
          <w:highlight w:val="none"/>
          <w:lang w:val="en-US" w:eastAsia="zh-CN"/>
        </w:rPr>
        <w:t>用于储存有机玻璃废料，最大储存量约为40t</w:t>
      </w:r>
      <w:r>
        <w:rPr>
          <w:rFonts w:hint="eastAsia"/>
          <w:b w:val="0"/>
          <w:bCs w:val="0"/>
          <w:color w:val="auto"/>
          <w:sz w:val="28"/>
          <w:szCs w:val="24"/>
          <w:highlight w:val="none"/>
          <w:vertAlign w:val="baseline"/>
          <w:lang w:val="en-US" w:eastAsia="zh-CN"/>
        </w:rPr>
        <w:t>；防火分区二占地面积40m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，用于一般固废的暂存；防火分区三占地面积为43m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，主要用于五金设备的存放。</w:t>
      </w:r>
    </w:p>
    <w:p>
      <w:pPr>
        <w:ind w:firstLine="560"/>
        <w:rPr>
          <w:rFonts w:hint="eastAsia"/>
          <w:color w:val="auto"/>
          <w:vertAlign w:val="baseline"/>
          <w:lang w:val="en-US" w:eastAsia="zh-CN"/>
        </w:rPr>
      </w:pPr>
      <w:r>
        <w:rPr>
          <w:rFonts w:hint="eastAsia"/>
          <w:color w:val="auto"/>
          <w:lang w:val="en-US" w:eastAsia="zh-CN"/>
        </w:rPr>
        <w:t>204丙类仓库二：单层，占地面积1215m</w:t>
      </w:r>
      <w:r>
        <w:rPr>
          <w:rFonts w:hint="eastAsia"/>
          <w:color w:val="auto"/>
          <w:vertAlign w:val="superscript"/>
          <w:lang w:val="en-US" w:eastAsia="zh-CN"/>
        </w:rPr>
        <w:t>2</w:t>
      </w:r>
      <w:r>
        <w:rPr>
          <w:rFonts w:hint="eastAsia"/>
          <w:color w:val="auto"/>
          <w:vertAlign w:val="baseline"/>
          <w:lang w:val="en-US" w:eastAsia="zh-CN"/>
        </w:rPr>
        <w:t>，</w:t>
      </w:r>
      <w:r>
        <w:rPr>
          <w:rFonts w:hint="eastAsia"/>
          <w:b w:val="0"/>
          <w:bCs w:val="0"/>
          <w:color w:val="auto"/>
          <w:sz w:val="28"/>
          <w:szCs w:val="24"/>
          <w:highlight w:val="none"/>
          <w:vertAlign w:val="baseline"/>
          <w:lang w:val="en-US" w:eastAsia="zh-CN"/>
        </w:rPr>
        <w:t>其中防火分区一占地面积为800m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，用于存储600t有机玻璃废料；防火分区二占地面积为240m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，用于原料的人工分拣；防火分区三占地面积175m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，用于原料的破碎工序。</w:t>
      </w:r>
    </w:p>
    <w:p>
      <w:pPr>
        <w:pStyle w:val="53"/>
        <w:ind w:firstLine="241" w:firstLineChars="100"/>
        <w:rPr>
          <w:rFonts w:hint="default" w:eastAsia="宋体"/>
          <w:color w:val="auto"/>
          <w:szCs w:val="28"/>
          <w:lang w:val="en-US" w:eastAsia="zh-CN"/>
        </w:rPr>
      </w:pPr>
      <w:r>
        <w:rPr>
          <w:rFonts w:hint="eastAsia"/>
          <w:color w:val="auto"/>
          <w:szCs w:val="28"/>
          <w:lang w:val="en-US" w:eastAsia="zh-CN"/>
        </w:rPr>
        <w:t>表2.5-4该项目仓库情况一览表</w:t>
      </w:r>
    </w:p>
    <w:tbl>
      <w:tblPr>
        <w:tblStyle w:val="42"/>
        <w:tblW w:w="5142"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19"/>
        <w:gridCol w:w="1320"/>
        <w:gridCol w:w="867"/>
        <w:gridCol w:w="1218"/>
        <w:gridCol w:w="1113"/>
        <w:gridCol w:w="1151"/>
        <w:gridCol w:w="894"/>
        <w:gridCol w:w="1231"/>
        <w:gridCol w:w="10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423"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仓库序号</w:t>
            </w:r>
          </w:p>
        </w:tc>
        <w:tc>
          <w:tcPr>
            <w:tcW w:w="682"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仓库名称</w:t>
            </w:r>
          </w:p>
        </w:tc>
        <w:tc>
          <w:tcPr>
            <w:tcW w:w="448"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占地面积（m</w:t>
            </w:r>
            <w:r>
              <w:rPr>
                <w:rFonts w:hint="eastAsia" w:ascii="宋体" w:hAnsi="宋体"/>
                <w:color w:val="auto"/>
                <w:sz w:val="21"/>
                <w:szCs w:val="21"/>
                <w:highlight w:val="none"/>
                <w:vertAlign w:val="superscript"/>
                <w:lang w:val="en-US" w:eastAsia="zh-CN"/>
              </w:rPr>
              <w:t>2</w:t>
            </w:r>
            <w:r>
              <w:rPr>
                <w:rFonts w:hint="eastAsia" w:ascii="宋体" w:hAnsi="宋体"/>
                <w:color w:val="auto"/>
                <w:sz w:val="21"/>
                <w:szCs w:val="21"/>
                <w:highlight w:val="none"/>
                <w:lang w:val="en-US" w:eastAsia="zh-CN"/>
              </w:rPr>
              <w:t>）</w:t>
            </w:r>
          </w:p>
        </w:tc>
        <w:tc>
          <w:tcPr>
            <w:tcW w:w="629"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建筑面积（m</w:t>
            </w:r>
            <w:r>
              <w:rPr>
                <w:rFonts w:hint="eastAsia" w:ascii="宋体" w:hAnsi="宋体"/>
                <w:color w:val="auto"/>
                <w:sz w:val="21"/>
                <w:szCs w:val="21"/>
                <w:highlight w:val="none"/>
                <w:vertAlign w:val="superscript"/>
                <w:lang w:val="en-US" w:eastAsia="zh-CN"/>
              </w:rPr>
              <w:t>2</w:t>
            </w:r>
            <w:r>
              <w:rPr>
                <w:rFonts w:hint="eastAsia" w:ascii="宋体" w:hAnsi="宋体"/>
                <w:color w:val="auto"/>
                <w:sz w:val="21"/>
                <w:szCs w:val="21"/>
                <w:highlight w:val="none"/>
                <w:lang w:val="en-US" w:eastAsia="zh-CN"/>
              </w:rPr>
              <w:t>）</w:t>
            </w:r>
          </w:p>
        </w:tc>
        <w:tc>
          <w:tcPr>
            <w:tcW w:w="575"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火灾危险性类别</w:t>
            </w:r>
          </w:p>
        </w:tc>
        <w:tc>
          <w:tcPr>
            <w:tcW w:w="595"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防火分区面积（m</w:t>
            </w:r>
            <w:r>
              <w:rPr>
                <w:rFonts w:hint="eastAsia" w:ascii="宋体" w:hAnsi="宋体"/>
                <w:color w:val="auto"/>
                <w:sz w:val="21"/>
                <w:szCs w:val="21"/>
                <w:highlight w:val="none"/>
                <w:vertAlign w:val="superscript"/>
                <w:lang w:val="en-US" w:eastAsia="zh-CN"/>
              </w:rPr>
              <w:t>2</w:t>
            </w:r>
            <w:r>
              <w:rPr>
                <w:rFonts w:hint="eastAsia" w:ascii="宋体" w:hAnsi="宋体"/>
                <w:color w:val="auto"/>
                <w:sz w:val="21"/>
                <w:szCs w:val="21"/>
                <w:highlight w:val="none"/>
                <w:lang w:val="en-US" w:eastAsia="zh-CN"/>
              </w:rPr>
              <w:t>）</w:t>
            </w:r>
          </w:p>
        </w:tc>
        <w:tc>
          <w:tcPr>
            <w:tcW w:w="462"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最大存在量</w:t>
            </w:r>
          </w:p>
        </w:tc>
        <w:tc>
          <w:tcPr>
            <w:tcW w:w="636"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储存物料</w:t>
            </w:r>
          </w:p>
        </w:tc>
        <w:tc>
          <w:tcPr>
            <w:tcW w:w="545" w:type="pct"/>
            <w:noWrap w:val="0"/>
            <w:vAlign w:val="center"/>
          </w:tcPr>
          <w:p>
            <w:pPr>
              <w:spacing w:line="240" w:lineRule="auto"/>
              <w:jc w:val="center"/>
              <w:rPr>
                <w:rFonts w:ascii="宋体" w:hAnsi="宋体"/>
                <w:color w:val="auto"/>
                <w:sz w:val="21"/>
                <w:szCs w:val="21"/>
                <w:highlight w:val="none"/>
              </w:rPr>
            </w:pPr>
            <w:r>
              <w:rPr>
                <w:rFonts w:ascii="宋体"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4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rPr>
            </w:pPr>
            <w:r>
              <w:rPr>
                <w:rFonts w:hint="eastAsia" w:ascii="宋体" w:hAnsi="宋体"/>
                <w:color w:val="auto"/>
                <w:sz w:val="21"/>
                <w:szCs w:val="21"/>
                <w:highlight w:val="none"/>
                <w:lang w:val="en-US" w:eastAsia="zh-CN"/>
              </w:rPr>
              <w:t>201</w:t>
            </w:r>
          </w:p>
        </w:tc>
        <w:tc>
          <w:tcPr>
            <w:tcW w:w="6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rPr>
            </w:pPr>
            <w:r>
              <w:rPr>
                <w:rFonts w:hint="eastAsia" w:ascii="宋体" w:hAnsi="宋体"/>
                <w:color w:val="auto"/>
                <w:sz w:val="21"/>
                <w:szCs w:val="21"/>
                <w:highlight w:val="none"/>
                <w:lang w:val="en-US" w:eastAsia="zh-CN"/>
              </w:rPr>
              <w:t>甲类仓库</w:t>
            </w:r>
          </w:p>
        </w:tc>
        <w:tc>
          <w:tcPr>
            <w:tcW w:w="44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84</w:t>
            </w:r>
          </w:p>
        </w:tc>
        <w:tc>
          <w:tcPr>
            <w:tcW w:w="62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Times New Roman"/>
                <w:color w:val="auto"/>
                <w:kern w:val="2"/>
                <w:sz w:val="21"/>
                <w:szCs w:val="21"/>
                <w:highlight w:val="none"/>
                <w:lang w:val="en-US" w:eastAsia="zh-CN" w:bidi="ar-SA"/>
              </w:rPr>
            </w:pPr>
            <w:r>
              <w:rPr>
                <w:rFonts w:hint="eastAsia" w:ascii="宋体" w:hAnsi="宋体"/>
                <w:color w:val="auto"/>
                <w:sz w:val="21"/>
                <w:szCs w:val="21"/>
                <w:highlight w:val="none"/>
                <w:lang w:val="en-US" w:eastAsia="zh-CN"/>
              </w:rPr>
              <w:t>84</w:t>
            </w:r>
          </w:p>
        </w:tc>
        <w:tc>
          <w:tcPr>
            <w:tcW w:w="57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甲类</w:t>
            </w:r>
          </w:p>
        </w:tc>
        <w:tc>
          <w:tcPr>
            <w:tcW w:w="5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42</w:t>
            </w:r>
          </w:p>
        </w:tc>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Times New Roman"/>
                <w:color w:val="auto"/>
                <w:kern w:val="2"/>
                <w:sz w:val="21"/>
                <w:szCs w:val="21"/>
                <w:highlight w:val="none"/>
                <w:lang w:val="en-US" w:eastAsia="zh-CN" w:bidi="ar-SA"/>
              </w:rPr>
            </w:pPr>
            <w:r>
              <w:rPr>
                <w:rFonts w:hint="eastAsia" w:ascii="宋体" w:hAnsi="宋体"/>
                <w:color w:val="auto"/>
                <w:sz w:val="21"/>
                <w:szCs w:val="21"/>
                <w:highlight w:val="none"/>
                <w:lang w:val="en-US" w:eastAsia="zh-CN"/>
              </w:rPr>
              <w:t>20t、2t</w:t>
            </w:r>
          </w:p>
        </w:tc>
        <w:tc>
          <w:tcPr>
            <w:tcW w:w="6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s="Times New Roman"/>
                <w:color w:val="auto"/>
                <w:kern w:val="2"/>
                <w:sz w:val="21"/>
                <w:szCs w:val="21"/>
                <w:highlight w:val="none"/>
                <w:lang w:val="en-US" w:eastAsia="zh-CN" w:bidi="ar-SA"/>
              </w:rPr>
            </w:pPr>
            <w:r>
              <w:rPr>
                <w:rFonts w:hint="eastAsia" w:ascii="宋体" w:hAnsi="宋体"/>
                <w:color w:val="auto"/>
                <w:sz w:val="21"/>
                <w:szCs w:val="21"/>
                <w:highlight w:val="none"/>
                <w:lang w:val="en-US" w:eastAsia="zh-CN"/>
              </w:rPr>
              <w:t>危废、对苯二酚</w:t>
            </w:r>
          </w:p>
        </w:tc>
        <w:tc>
          <w:tcPr>
            <w:tcW w:w="5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42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c>
          <w:tcPr>
            <w:tcW w:w="6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c>
          <w:tcPr>
            <w:tcW w:w="44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c>
          <w:tcPr>
            <w:tcW w:w="62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c>
          <w:tcPr>
            <w:tcW w:w="5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42</w:t>
            </w:r>
          </w:p>
        </w:tc>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6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预留</w:t>
            </w:r>
          </w:p>
        </w:tc>
        <w:tc>
          <w:tcPr>
            <w:tcW w:w="5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42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rPr>
            </w:pPr>
            <w:r>
              <w:rPr>
                <w:rFonts w:hint="eastAsia" w:ascii="宋体" w:hAnsi="宋体"/>
                <w:color w:val="auto"/>
                <w:sz w:val="21"/>
                <w:szCs w:val="21"/>
                <w:highlight w:val="none"/>
                <w:lang w:val="en-US" w:eastAsia="zh-CN"/>
              </w:rPr>
              <w:t>202</w:t>
            </w:r>
          </w:p>
        </w:tc>
        <w:tc>
          <w:tcPr>
            <w:tcW w:w="6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color w:val="auto"/>
                <w:sz w:val="21"/>
                <w:szCs w:val="21"/>
                <w:highlight w:val="none"/>
              </w:rPr>
            </w:pPr>
            <w:r>
              <w:rPr>
                <w:rFonts w:hint="eastAsia" w:ascii="宋体" w:hAnsi="宋体"/>
                <w:color w:val="auto"/>
                <w:sz w:val="21"/>
                <w:szCs w:val="21"/>
                <w:highlight w:val="none"/>
                <w:lang w:val="en-US" w:eastAsia="zh-CN"/>
              </w:rPr>
              <w:t>丙类仓库一</w:t>
            </w:r>
          </w:p>
        </w:tc>
        <w:tc>
          <w:tcPr>
            <w:tcW w:w="44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133</w:t>
            </w:r>
          </w:p>
        </w:tc>
        <w:tc>
          <w:tcPr>
            <w:tcW w:w="62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133</w:t>
            </w:r>
          </w:p>
        </w:tc>
        <w:tc>
          <w:tcPr>
            <w:tcW w:w="57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丙类</w:t>
            </w:r>
          </w:p>
        </w:tc>
        <w:tc>
          <w:tcPr>
            <w:tcW w:w="5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50</w:t>
            </w:r>
          </w:p>
        </w:tc>
        <w:tc>
          <w:tcPr>
            <w:tcW w:w="46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40t</w:t>
            </w:r>
          </w:p>
        </w:tc>
        <w:tc>
          <w:tcPr>
            <w:tcW w:w="636"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有机玻璃废料</w:t>
            </w:r>
          </w:p>
        </w:tc>
        <w:tc>
          <w:tcPr>
            <w:tcW w:w="54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423" w:type="pct"/>
            <w:vMerge w:val="continue"/>
            <w:noWrap w:val="0"/>
            <w:vAlign w:val="center"/>
          </w:tcPr>
          <w:p>
            <w:pPr>
              <w:spacing w:line="240" w:lineRule="auto"/>
              <w:jc w:val="center"/>
              <w:rPr>
                <w:color w:val="auto"/>
                <w:highlight w:val="none"/>
              </w:rPr>
            </w:pPr>
          </w:p>
        </w:tc>
        <w:tc>
          <w:tcPr>
            <w:tcW w:w="682" w:type="pct"/>
            <w:vMerge w:val="continue"/>
            <w:noWrap w:val="0"/>
            <w:vAlign w:val="center"/>
          </w:tcPr>
          <w:p>
            <w:pPr>
              <w:spacing w:line="240" w:lineRule="auto"/>
              <w:jc w:val="center"/>
              <w:rPr>
                <w:color w:val="auto"/>
                <w:highlight w:val="none"/>
              </w:rPr>
            </w:pPr>
          </w:p>
        </w:tc>
        <w:tc>
          <w:tcPr>
            <w:tcW w:w="448" w:type="pct"/>
            <w:vMerge w:val="continue"/>
            <w:noWrap w:val="0"/>
            <w:vAlign w:val="center"/>
          </w:tcPr>
          <w:p>
            <w:pPr>
              <w:spacing w:line="240" w:lineRule="auto"/>
              <w:jc w:val="center"/>
              <w:rPr>
                <w:color w:val="auto"/>
                <w:highlight w:val="none"/>
              </w:rPr>
            </w:pPr>
          </w:p>
        </w:tc>
        <w:tc>
          <w:tcPr>
            <w:tcW w:w="629" w:type="pct"/>
            <w:vMerge w:val="continue"/>
            <w:noWrap w:val="0"/>
            <w:vAlign w:val="center"/>
          </w:tcPr>
          <w:p>
            <w:pPr>
              <w:spacing w:line="240" w:lineRule="auto"/>
              <w:jc w:val="center"/>
              <w:rPr>
                <w:color w:val="auto"/>
                <w:highlight w:val="none"/>
              </w:rPr>
            </w:pPr>
          </w:p>
        </w:tc>
        <w:tc>
          <w:tcPr>
            <w:tcW w:w="575" w:type="pct"/>
            <w:vMerge w:val="continue"/>
            <w:noWrap w:val="0"/>
            <w:vAlign w:val="center"/>
          </w:tcPr>
          <w:p>
            <w:pPr>
              <w:spacing w:line="240" w:lineRule="auto"/>
              <w:jc w:val="center"/>
              <w:rPr>
                <w:color w:val="auto"/>
                <w:highlight w:val="none"/>
              </w:rPr>
            </w:pPr>
          </w:p>
        </w:tc>
        <w:tc>
          <w:tcPr>
            <w:tcW w:w="59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40</w:t>
            </w:r>
          </w:p>
        </w:tc>
        <w:tc>
          <w:tcPr>
            <w:tcW w:w="462" w:type="pct"/>
            <w:noWrap w:val="0"/>
            <w:vAlign w:val="center"/>
          </w:tcPr>
          <w:p>
            <w:pPr>
              <w:spacing w:line="240" w:lineRule="auto"/>
              <w:jc w:val="center"/>
              <w:rPr>
                <w:rFonts w:hint="eastAsia" w:ascii="宋体" w:hAnsi="宋体"/>
                <w:color w:val="auto"/>
                <w:sz w:val="21"/>
                <w:szCs w:val="21"/>
                <w:highlight w:val="none"/>
                <w:lang w:val="en-US" w:eastAsia="zh-CN"/>
              </w:rPr>
            </w:pPr>
          </w:p>
        </w:tc>
        <w:tc>
          <w:tcPr>
            <w:tcW w:w="636"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一般固废</w:t>
            </w:r>
          </w:p>
        </w:tc>
        <w:tc>
          <w:tcPr>
            <w:tcW w:w="545" w:type="pct"/>
            <w:noWrap w:val="0"/>
            <w:vAlign w:val="center"/>
          </w:tcPr>
          <w:p>
            <w:pPr>
              <w:spacing w:line="240" w:lineRule="auto"/>
              <w:jc w:val="center"/>
              <w:rPr>
                <w:rFonts w:hint="eastAsia" w:ascii="宋体" w:hAnsi="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3" w:hRule="atLeast"/>
          <w:jc w:val="center"/>
        </w:trPr>
        <w:tc>
          <w:tcPr>
            <w:tcW w:w="423"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682"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448"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629"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575"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59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43</w:t>
            </w:r>
          </w:p>
        </w:tc>
        <w:tc>
          <w:tcPr>
            <w:tcW w:w="462"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636"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54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五金设备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23" w:type="pct"/>
            <w:vMerge w:val="restart"/>
            <w:noWrap w:val="0"/>
            <w:vAlign w:val="center"/>
          </w:tcPr>
          <w:p>
            <w:pPr>
              <w:spacing w:line="240" w:lineRule="auto"/>
              <w:jc w:val="center"/>
              <w:rPr>
                <w:rFonts w:hint="default" w:ascii="宋体" w:hAnsi="宋体"/>
                <w:color w:val="auto"/>
                <w:sz w:val="21"/>
                <w:szCs w:val="21"/>
                <w:highlight w:val="none"/>
                <w:lang w:val="en-US"/>
              </w:rPr>
            </w:pPr>
            <w:r>
              <w:rPr>
                <w:rFonts w:hint="eastAsia" w:ascii="宋体" w:hAnsi="宋体"/>
                <w:color w:val="auto"/>
                <w:sz w:val="21"/>
                <w:szCs w:val="21"/>
                <w:highlight w:val="none"/>
                <w:lang w:val="en-US" w:eastAsia="zh-CN"/>
              </w:rPr>
              <w:t>204</w:t>
            </w:r>
          </w:p>
        </w:tc>
        <w:tc>
          <w:tcPr>
            <w:tcW w:w="682" w:type="pct"/>
            <w:vMerge w:val="restart"/>
            <w:noWrap w:val="0"/>
            <w:vAlign w:val="center"/>
          </w:tcPr>
          <w:p>
            <w:pPr>
              <w:spacing w:line="240" w:lineRule="auto"/>
              <w:jc w:val="center"/>
              <w:rPr>
                <w:rFonts w:hint="eastAsia" w:ascii="宋体" w:hAnsi="宋体" w:cs="宋体"/>
                <w:color w:val="auto"/>
                <w:sz w:val="21"/>
                <w:szCs w:val="21"/>
                <w:highlight w:val="none"/>
              </w:rPr>
            </w:pPr>
            <w:r>
              <w:rPr>
                <w:rFonts w:hint="eastAsia" w:ascii="宋体" w:hAnsi="宋体"/>
                <w:color w:val="auto"/>
                <w:sz w:val="21"/>
                <w:szCs w:val="21"/>
                <w:highlight w:val="none"/>
                <w:lang w:val="en-US" w:eastAsia="zh-CN"/>
              </w:rPr>
              <w:t>丙类仓库二</w:t>
            </w:r>
          </w:p>
        </w:tc>
        <w:tc>
          <w:tcPr>
            <w:tcW w:w="448" w:type="pct"/>
            <w:vMerge w:val="restart"/>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1215</w:t>
            </w:r>
          </w:p>
        </w:tc>
        <w:tc>
          <w:tcPr>
            <w:tcW w:w="629" w:type="pct"/>
            <w:vMerge w:val="restar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1215</w:t>
            </w:r>
          </w:p>
        </w:tc>
        <w:tc>
          <w:tcPr>
            <w:tcW w:w="575" w:type="pct"/>
            <w:vMerge w:val="restart"/>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丙类</w:t>
            </w:r>
          </w:p>
        </w:tc>
        <w:tc>
          <w:tcPr>
            <w:tcW w:w="595"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800</w:t>
            </w:r>
          </w:p>
        </w:tc>
        <w:tc>
          <w:tcPr>
            <w:tcW w:w="462"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600t</w:t>
            </w:r>
          </w:p>
        </w:tc>
        <w:tc>
          <w:tcPr>
            <w:tcW w:w="636" w:type="pct"/>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有机玻璃废料</w:t>
            </w:r>
          </w:p>
        </w:tc>
        <w:tc>
          <w:tcPr>
            <w:tcW w:w="545" w:type="pct"/>
            <w:noWrap w:val="0"/>
            <w:vAlign w:val="center"/>
          </w:tcPr>
          <w:p>
            <w:pPr>
              <w:spacing w:line="240" w:lineRule="auto"/>
              <w:jc w:val="center"/>
              <w:rPr>
                <w:rFonts w:hint="eastAsia" w:ascii="宋体" w:hAnsi="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23" w:type="pct"/>
            <w:vMerge w:val="continue"/>
            <w:noWrap w:val="0"/>
            <w:vAlign w:val="center"/>
          </w:tcPr>
          <w:p>
            <w:pPr>
              <w:spacing w:line="240" w:lineRule="auto"/>
              <w:jc w:val="center"/>
              <w:rPr>
                <w:color w:val="auto"/>
                <w:highlight w:val="none"/>
              </w:rPr>
            </w:pPr>
          </w:p>
        </w:tc>
        <w:tc>
          <w:tcPr>
            <w:tcW w:w="682" w:type="pct"/>
            <w:vMerge w:val="continue"/>
            <w:noWrap w:val="0"/>
            <w:vAlign w:val="center"/>
          </w:tcPr>
          <w:p>
            <w:pPr>
              <w:spacing w:line="240" w:lineRule="auto"/>
              <w:jc w:val="center"/>
              <w:rPr>
                <w:color w:val="auto"/>
                <w:highlight w:val="none"/>
              </w:rPr>
            </w:pPr>
          </w:p>
        </w:tc>
        <w:tc>
          <w:tcPr>
            <w:tcW w:w="448" w:type="pct"/>
            <w:vMerge w:val="continue"/>
            <w:noWrap w:val="0"/>
            <w:vAlign w:val="center"/>
          </w:tcPr>
          <w:p>
            <w:pPr>
              <w:spacing w:line="240" w:lineRule="auto"/>
              <w:jc w:val="center"/>
              <w:rPr>
                <w:color w:val="auto"/>
                <w:highlight w:val="none"/>
              </w:rPr>
            </w:pPr>
          </w:p>
        </w:tc>
        <w:tc>
          <w:tcPr>
            <w:tcW w:w="629" w:type="pct"/>
            <w:vMerge w:val="continue"/>
            <w:noWrap w:val="0"/>
            <w:vAlign w:val="center"/>
          </w:tcPr>
          <w:p>
            <w:pPr>
              <w:spacing w:line="240" w:lineRule="auto"/>
              <w:jc w:val="center"/>
              <w:rPr>
                <w:color w:val="auto"/>
                <w:highlight w:val="none"/>
              </w:rPr>
            </w:pPr>
          </w:p>
        </w:tc>
        <w:tc>
          <w:tcPr>
            <w:tcW w:w="575" w:type="pct"/>
            <w:vMerge w:val="continue"/>
            <w:noWrap w:val="0"/>
            <w:vAlign w:val="center"/>
          </w:tcPr>
          <w:p>
            <w:pPr>
              <w:spacing w:line="240" w:lineRule="auto"/>
              <w:jc w:val="center"/>
              <w:rPr>
                <w:color w:val="auto"/>
                <w:highlight w:val="none"/>
              </w:rPr>
            </w:pPr>
          </w:p>
        </w:tc>
        <w:tc>
          <w:tcPr>
            <w:tcW w:w="59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240</w:t>
            </w:r>
          </w:p>
        </w:tc>
        <w:tc>
          <w:tcPr>
            <w:tcW w:w="462"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636" w:type="pct"/>
            <w:noWrap w:val="0"/>
            <w:vAlign w:val="center"/>
          </w:tcPr>
          <w:p>
            <w:pPr>
              <w:spacing w:line="240" w:lineRule="auto"/>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有机玻璃废料</w:t>
            </w:r>
          </w:p>
        </w:tc>
        <w:tc>
          <w:tcPr>
            <w:tcW w:w="54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人工分拣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23"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682"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448"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629"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575" w:type="pct"/>
            <w:vMerge w:val="continue"/>
            <w:noWrap w:val="0"/>
            <w:vAlign w:val="center"/>
          </w:tcPr>
          <w:p>
            <w:pPr>
              <w:spacing w:line="240" w:lineRule="auto"/>
              <w:jc w:val="center"/>
              <w:rPr>
                <w:rFonts w:hint="eastAsia" w:ascii="宋体" w:hAnsi="宋体"/>
                <w:color w:val="auto"/>
                <w:sz w:val="21"/>
                <w:szCs w:val="21"/>
                <w:highlight w:val="none"/>
                <w:lang w:val="en-US" w:eastAsia="zh-CN"/>
              </w:rPr>
            </w:pPr>
          </w:p>
        </w:tc>
        <w:tc>
          <w:tcPr>
            <w:tcW w:w="59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175</w:t>
            </w:r>
          </w:p>
        </w:tc>
        <w:tc>
          <w:tcPr>
            <w:tcW w:w="462"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636" w:type="pct"/>
            <w:noWrap w:val="0"/>
            <w:vAlign w:val="center"/>
          </w:tcPr>
          <w:p>
            <w:pPr>
              <w:spacing w:line="240" w:lineRule="auto"/>
              <w:jc w:val="center"/>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545" w:type="pct"/>
            <w:noWrap w:val="0"/>
            <w:vAlign w:val="center"/>
          </w:tcPr>
          <w:p>
            <w:pPr>
              <w:spacing w:line="240" w:lineRule="auto"/>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破碎工序</w:t>
            </w:r>
          </w:p>
        </w:tc>
      </w:tr>
      <w:bookmarkEnd w:id="85"/>
    </w:tbl>
    <w:p>
      <w:pPr>
        <w:pStyle w:val="3"/>
        <w:bidi w:val="0"/>
        <w:rPr>
          <w:rFonts w:hint="default" w:eastAsia="宋体"/>
          <w:color w:val="auto"/>
          <w:lang w:val="en-US" w:eastAsia="zh-CN"/>
        </w:rPr>
      </w:pPr>
      <w:bookmarkStart w:id="168" w:name="_Toc32409"/>
      <w:bookmarkStart w:id="169" w:name="_Toc22427"/>
      <w:bookmarkStart w:id="170" w:name="_Toc27150"/>
      <w:bookmarkStart w:id="171" w:name="_Toc10647"/>
      <w:bookmarkStart w:id="172" w:name="_Toc7890"/>
      <w:bookmarkStart w:id="173" w:name="_Toc5957"/>
      <w:bookmarkStart w:id="174" w:name="_Toc12057"/>
      <w:r>
        <w:rPr>
          <w:color w:val="auto"/>
        </w:rPr>
        <w:t>2.</w:t>
      </w:r>
      <w:r>
        <w:rPr>
          <w:rFonts w:hint="eastAsia"/>
          <w:color w:val="auto"/>
          <w:lang w:val="en-US" w:eastAsia="zh-CN"/>
        </w:rPr>
        <w:t>6</w:t>
      </w:r>
      <w:bookmarkEnd w:id="168"/>
      <w:r>
        <w:rPr>
          <w:rFonts w:hint="eastAsia"/>
          <w:color w:val="auto"/>
          <w:lang w:val="en-US" w:eastAsia="zh-CN"/>
        </w:rPr>
        <w:t>主要设备、设施的布局、道路运输</w:t>
      </w:r>
      <w:bookmarkEnd w:id="169"/>
      <w:bookmarkEnd w:id="170"/>
      <w:bookmarkEnd w:id="171"/>
      <w:bookmarkEnd w:id="172"/>
      <w:bookmarkEnd w:id="173"/>
      <w:bookmarkEnd w:id="174"/>
    </w:p>
    <w:p>
      <w:pPr>
        <w:pStyle w:val="4"/>
        <w:bidi w:val="0"/>
        <w:rPr>
          <w:color w:val="auto"/>
        </w:rPr>
      </w:pPr>
      <w:bookmarkStart w:id="175" w:name="_Toc10341"/>
      <w:bookmarkStart w:id="176" w:name="_Toc5974"/>
      <w:bookmarkStart w:id="177" w:name="_Toc11160"/>
      <w:bookmarkStart w:id="178" w:name="_Toc23217"/>
      <w:bookmarkStart w:id="179" w:name="_Toc28429"/>
      <w:bookmarkStart w:id="180" w:name="_Toc13062"/>
      <w:bookmarkStart w:id="181" w:name="_Toc6183"/>
      <w:r>
        <w:rPr>
          <w:color w:val="auto"/>
        </w:rPr>
        <w:t>2.</w:t>
      </w:r>
      <w:r>
        <w:rPr>
          <w:rFonts w:hint="eastAsia"/>
          <w:color w:val="auto"/>
          <w:lang w:val="en-US" w:eastAsia="zh-CN"/>
        </w:rPr>
        <w:t>6</w:t>
      </w:r>
      <w:r>
        <w:rPr>
          <w:color w:val="auto"/>
        </w:rPr>
        <w:t>.</w:t>
      </w:r>
      <w:r>
        <w:rPr>
          <w:rFonts w:hint="eastAsia"/>
          <w:color w:val="auto"/>
          <w:lang w:val="en-US" w:eastAsia="zh-CN"/>
        </w:rPr>
        <w:t>1</w:t>
      </w:r>
      <w:r>
        <w:rPr>
          <w:rFonts w:hint="eastAsia"/>
          <w:color w:val="auto"/>
        </w:rPr>
        <w:t>总平面布置</w:t>
      </w:r>
      <w:bookmarkEnd w:id="175"/>
      <w:bookmarkEnd w:id="176"/>
      <w:bookmarkEnd w:id="177"/>
      <w:bookmarkEnd w:id="178"/>
      <w:bookmarkEnd w:id="179"/>
      <w:bookmarkEnd w:id="180"/>
    </w:p>
    <w:p>
      <w:pPr>
        <w:ind w:firstLine="560" w:firstLineChars="200"/>
        <w:rPr>
          <w:rFonts w:hint="default" w:hAnsi="宋体"/>
          <w:bCs/>
          <w:color w:val="auto"/>
          <w:sz w:val="28"/>
          <w:szCs w:val="28"/>
          <w:highlight w:val="yellow"/>
          <w:lang w:val="en-US"/>
        </w:rPr>
      </w:pPr>
      <w:r>
        <w:rPr>
          <w:rFonts w:hint="eastAsia" w:hAnsi="宋体"/>
          <w:color w:val="auto"/>
          <w:sz w:val="28"/>
          <w:szCs w:val="28"/>
          <w:highlight w:val="none"/>
          <w:lang w:val="en-US" w:eastAsia="zh-CN"/>
        </w:rPr>
        <w:t>该</w:t>
      </w:r>
      <w:r>
        <w:rPr>
          <w:rFonts w:hint="eastAsia" w:hAnsi="宋体"/>
          <w:color w:val="auto"/>
          <w:sz w:val="28"/>
          <w:szCs w:val="28"/>
          <w:highlight w:val="none"/>
        </w:rPr>
        <w:t>项目</w:t>
      </w:r>
      <w:r>
        <w:rPr>
          <w:rFonts w:hint="eastAsia" w:hAnsi="宋体"/>
          <w:color w:val="auto"/>
          <w:sz w:val="28"/>
          <w:szCs w:val="28"/>
          <w:highlight w:val="none"/>
          <w:lang w:val="en-US" w:eastAsia="zh-CN"/>
        </w:rPr>
        <w:t>占地28.1亩，呈梯形。厂区按功能可分为办公区、生产区。生产区内各主、次道路形成环形回路。</w:t>
      </w:r>
    </w:p>
    <w:p>
      <w:pPr>
        <w:ind w:firstLine="600"/>
        <w:rPr>
          <w:rFonts w:hint="eastAsia" w:hAnsi="宋体"/>
          <w:bCs/>
          <w:color w:val="auto"/>
          <w:sz w:val="28"/>
          <w:szCs w:val="28"/>
          <w:lang w:val="en-US" w:eastAsia="zh-CN"/>
        </w:rPr>
      </w:pPr>
      <w:r>
        <w:rPr>
          <w:rFonts w:hint="eastAsia" w:hAnsi="宋体"/>
          <w:bCs/>
          <w:color w:val="auto"/>
          <w:sz w:val="28"/>
          <w:szCs w:val="28"/>
          <w:lang w:val="en-US" w:eastAsia="zh-CN"/>
        </w:rPr>
        <w:t>生产区：按功能可分为，生产仓储区块（南侧）；公用辅助区块（北侧）。</w:t>
      </w:r>
    </w:p>
    <w:p>
      <w:pPr>
        <w:ind w:firstLine="600"/>
        <w:rPr>
          <w:rFonts w:hint="default" w:hAnsi="宋体"/>
          <w:bCs/>
          <w:color w:val="auto"/>
          <w:sz w:val="28"/>
          <w:szCs w:val="28"/>
          <w:highlight w:val="yellow"/>
          <w:lang w:val="en-US" w:eastAsia="zh-CN"/>
        </w:rPr>
      </w:pPr>
      <w:r>
        <w:rPr>
          <w:rFonts w:hint="eastAsia" w:hAnsi="宋体"/>
          <w:bCs/>
          <w:color w:val="auto"/>
          <w:sz w:val="28"/>
          <w:szCs w:val="28"/>
          <w:lang w:val="en-US" w:eastAsia="zh-CN"/>
        </w:rPr>
        <w:t>①生产仓储区块：物流出入口设置在厂区东侧中部，与银岭路相接，正对物流入口的次要道路通向最西侧裂解车间，沿该道路北</w:t>
      </w:r>
      <w:r>
        <w:rPr>
          <w:rFonts w:hint="eastAsia" w:hAnsi="宋体"/>
          <w:bCs/>
          <w:color w:val="auto"/>
          <w:sz w:val="28"/>
          <w:szCs w:val="28"/>
        </w:rPr>
        <w:t>侧</w:t>
      </w:r>
      <w:r>
        <w:rPr>
          <w:rFonts w:hint="eastAsia" w:hAnsi="宋体"/>
          <w:bCs/>
          <w:color w:val="auto"/>
          <w:sz w:val="28"/>
          <w:szCs w:val="28"/>
          <w:lang w:val="en-US" w:eastAsia="zh-CN"/>
        </w:rPr>
        <w:t>由东到西为：丙类仓库二</w:t>
      </w:r>
      <w:r>
        <w:rPr>
          <w:rFonts w:hint="eastAsia" w:hAnsi="宋体"/>
          <w:bCs/>
          <w:color w:val="auto"/>
          <w:sz w:val="28"/>
          <w:szCs w:val="28"/>
          <w:lang w:eastAsia="zh-CN"/>
        </w:rPr>
        <w:t>；</w:t>
      </w:r>
      <w:r>
        <w:rPr>
          <w:rFonts w:hint="eastAsia" w:hAnsi="宋体"/>
          <w:bCs/>
          <w:color w:val="auto"/>
          <w:sz w:val="28"/>
          <w:szCs w:val="28"/>
          <w:lang w:val="en-US" w:eastAsia="zh-CN"/>
        </w:rPr>
        <w:t>甲类仓库、丙类仓库一（由南至北）。沿该道路南侧由东到西为罐区</w:t>
      </w:r>
      <w:r>
        <w:rPr>
          <w:rFonts w:hint="eastAsia" w:hAnsi="宋体"/>
          <w:bCs/>
          <w:color w:val="auto"/>
          <w:sz w:val="28"/>
          <w:szCs w:val="28"/>
        </w:rPr>
        <w:t>、</w:t>
      </w:r>
      <w:r>
        <w:rPr>
          <w:rFonts w:hint="eastAsia" w:hAnsi="宋体"/>
          <w:bCs/>
          <w:color w:val="auto"/>
          <w:sz w:val="28"/>
          <w:szCs w:val="28"/>
          <w:lang w:val="en-US" w:eastAsia="zh-CN"/>
        </w:rPr>
        <w:t>精馏车间。</w:t>
      </w:r>
      <w:r>
        <w:rPr>
          <w:rFonts w:hint="eastAsia" w:hAnsi="宋体"/>
          <w:bCs/>
          <w:color w:val="auto"/>
          <w:sz w:val="28"/>
          <w:szCs w:val="28"/>
          <w:highlight w:val="none"/>
          <w:lang w:val="en-US" w:eastAsia="zh-CN"/>
        </w:rPr>
        <w:t>罐区西侧设置装卸区，成品由槽（罐）车运输，不设置桶装成品。</w:t>
      </w:r>
    </w:p>
    <w:p>
      <w:pPr>
        <w:ind w:firstLine="600"/>
        <w:rPr>
          <w:rFonts w:hint="default" w:hAnsi="宋体"/>
          <w:bCs/>
          <w:color w:val="auto"/>
          <w:sz w:val="28"/>
          <w:szCs w:val="28"/>
          <w:lang w:val="en-US" w:eastAsia="zh-CN"/>
        </w:rPr>
      </w:pPr>
      <w:r>
        <w:rPr>
          <w:rFonts w:hint="eastAsia" w:hAnsi="宋体"/>
          <w:bCs/>
          <w:color w:val="auto"/>
          <w:sz w:val="28"/>
          <w:szCs w:val="28"/>
          <w:lang w:val="en-US" w:eastAsia="zh-CN"/>
        </w:rPr>
        <w:t>②公用辅助区块：</w:t>
      </w:r>
      <w:r>
        <w:rPr>
          <w:rFonts w:hint="eastAsia" w:hAnsi="宋体"/>
          <w:bCs/>
          <w:color w:val="auto"/>
          <w:sz w:val="28"/>
          <w:szCs w:val="28"/>
          <w:highlight w:val="none"/>
          <w:lang w:val="en-US" w:eastAsia="zh-CN"/>
        </w:rPr>
        <w:t>由西向东依次为：事故应急池；（由南向北）初期雨水池、污水处理池；（由南向北）消防泵房、2个消防水罐、TO炉（明火地点）；循环水池；公用工程间。</w:t>
      </w:r>
    </w:p>
    <w:p>
      <w:pPr>
        <w:pStyle w:val="36"/>
        <w:ind w:firstLine="560"/>
        <w:rPr>
          <w:rFonts w:hint="eastAsia" w:hAnsi="宋体"/>
          <w:bCs/>
          <w:color w:val="auto"/>
          <w:sz w:val="28"/>
          <w:szCs w:val="28"/>
          <w:lang w:val="en-US" w:eastAsia="zh-CN"/>
        </w:rPr>
      </w:pPr>
      <w:r>
        <w:rPr>
          <w:rFonts w:hint="eastAsia" w:hAnsi="宋体"/>
          <w:bCs/>
          <w:color w:val="auto"/>
          <w:sz w:val="28"/>
          <w:szCs w:val="28"/>
          <w:lang w:val="en-US" w:eastAsia="zh-CN"/>
        </w:rPr>
        <w:t>办公区：设实体围墙与生产区隔开。办公区东侧围墙设人流出入口，办公区东南侧设置门卫室；东北侧设置中心控制室；综合楼设置在办公区西侧。</w:t>
      </w:r>
    </w:p>
    <w:p>
      <w:pPr>
        <w:pStyle w:val="36"/>
        <w:ind w:firstLine="560" w:firstLineChars="200"/>
        <w:rPr>
          <w:rFonts w:hint="eastAsia" w:hAnsi="宋体"/>
          <w:color w:val="auto"/>
          <w:sz w:val="28"/>
          <w:szCs w:val="28"/>
          <w:lang w:val="en-US" w:eastAsia="zh-CN"/>
        </w:rPr>
      </w:pPr>
      <w:r>
        <w:rPr>
          <w:rFonts w:hint="eastAsia" w:hAnsi="宋体"/>
          <w:color w:val="auto"/>
          <w:sz w:val="28"/>
          <w:szCs w:val="28"/>
          <w:lang w:val="en-US" w:eastAsia="zh-CN"/>
        </w:rPr>
        <w:t>该项目各建、构筑物的防火间距、厂内各建筑物与厂外建、构筑物、道路的安全间距，均拟按《精细化工企业工程设计防火标准》《建筑设计防火规范》《化工企业总图运输设计规范》《工业企业总平面设计规范》的要求进行设计。</w:t>
      </w:r>
    </w:p>
    <w:p>
      <w:pPr>
        <w:ind w:firstLine="560" w:firstLineChars="200"/>
        <w:rPr>
          <w:rFonts w:hAnsi="宋体"/>
          <w:color w:val="auto"/>
          <w:sz w:val="28"/>
          <w:szCs w:val="28"/>
        </w:rPr>
      </w:pPr>
      <w:r>
        <w:rPr>
          <w:rFonts w:hint="eastAsia" w:hAnsi="宋体"/>
          <w:color w:val="auto"/>
          <w:sz w:val="28"/>
          <w:szCs w:val="28"/>
          <w:lang w:val="en-US" w:eastAsia="zh-CN"/>
        </w:rPr>
        <w:t>该项目</w:t>
      </w:r>
      <w:r>
        <w:rPr>
          <w:rFonts w:hAnsi="宋体"/>
          <w:color w:val="auto"/>
          <w:sz w:val="28"/>
          <w:szCs w:val="28"/>
        </w:rPr>
        <w:t>总平面布置图</w:t>
      </w:r>
      <w:r>
        <w:rPr>
          <w:rFonts w:hint="eastAsia" w:hAnsi="宋体"/>
          <w:color w:val="auto"/>
          <w:sz w:val="28"/>
          <w:szCs w:val="28"/>
          <w:lang w:val="en-US" w:eastAsia="zh-CN"/>
        </w:rPr>
        <w:t>详见附件</w:t>
      </w:r>
      <w:r>
        <w:rPr>
          <w:rFonts w:hAnsi="宋体"/>
          <w:color w:val="auto"/>
          <w:sz w:val="28"/>
          <w:szCs w:val="28"/>
        </w:rPr>
        <w:t>。</w:t>
      </w:r>
    </w:p>
    <w:p>
      <w:pPr>
        <w:pStyle w:val="4"/>
        <w:bidi w:val="0"/>
        <w:rPr>
          <w:rFonts w:hint="eastAsia"/>
          <w:color w:val="auto"/>
        </w:rPr>
      </w:pPr>
      <w:bookmarkStart w:id="182" w:name="_Toc20771"/>
      <w:bookmarkStart w:id="183" w:name="_Toc9919"/>
      <w:bookmarkStart w:id="184" w:name="_Toc12132"/>
      <w:bookmarkStart w:id="185" w:name="_Toc30458"/>
      <w:bookmarkStart w:id="186" w:name="_Toc30703"/>
      <w:bookmarkStart w:id="187" w:name="_Toc8036"/>
      <w:r>
        <w:rPr>
          <w:color w:val="auto"/>
        </w:rPr>
        <w:t>2.</w:t>
      </w:r>
      <w:r>
        <w:rPr>
          <w:rFonts w:hint="eastAsia"/>
          <w:color w:val="auto"/>
          <w:lang w:val="en-US" w:eastAsia="zh-CN"/>
        </w:rPr>
        <w:t>6</w:t>
      </w:r>
      <w:r>
        <w:rPr>
          <w:color w:val="auto"/>
        </w:rPr>
        <w:t>.</w:t>
      </w:r>
      <w:r>
        <w:rPr>
          <w:rFonts w:hint="eastAsia"/>
          <w:color w:val="auto"/>
          <w:lang w:val="en-US" w:eastAsia="zh-CN"/>
        </w:rPr>
        <w:t>2</w:t>
      </w:r>
      <w:r>
        <w:rPr>
          <w:rFonts w:hint="eastAsia"/>
          <w:color w:val="auto"/>
        </w:rPr>
        <w:t>竖向布置</w:t>
      </w:r>
      <w:bookmarkEnd w:id="182"/>
      <w:bookmarkEnd w:id="183"/>
      <w:bookmarkEnd w:id="184"/>
      <w:bookmarkEnd w:id="185"/>
      <w:bookmarkEnd w:id="186"/>
      <w:bookmarkEnd w:id="187"/>
    </w:p>
    <w:p>
      <w:pPr>
        <w:ind w:firstLine="560" w:firstLineChars="200"/>
        <w:rPr>
          <w:rFonts w:hint="eastAsia" w:hAnsi="宋体"/>
          <w:color w:val="auto"/>
          <w:sz w:val="28"/>
          <w:szCs w:val="28"/>
        </w:rPr>
      </w:pPr>
      <w:r>
        <w:rPr>
          <w:rFonts w:hint="eastAsia" w:hAnsi="宋体"/>
          <w:color w:val="auto"/>
          <w:sz w:val="28"/>
          <w:szCs w:val="28"/>
        </w:rPr>
        <w:t>结合厂区周围场地及道路标高、坡向、坡度及汇水区域，合理确定该项目场地标高，力求填挖平衡。</w:t>
      </w:r>
    </w:p>
    <w:p>
      <w:pPr>
        <w:ind w:firstLine="560" w:firstLineChars="200"/>
        <w:rPr>
          <w:rFonts w:hint="eastAsia" w:hAnsi="宋体"/>
          <w:color w:val="auto"/>
          <w:sz w:val="28"/>
          <w:szCs w:val="28"/>
        </w:rPr>
      </w:pPr>
      <w:r>
        <w:rPr>
          <w:rFonts w:hint="eastAsia" w:hAnsi="宋体"/>
          <w:color w:val="auto"/>
          <w:sz w:val="28"/>
          <w:szCs w:val="28"/>
        </w:rPr>
        <w:t>场地竖向采用平坡式布置，整个厂区西</w:t>
      </w:r>
      <w:r>
        <w:rPr>
          <w:rFonts w:hint="eastAsia" w:hAnsi="宋体"/>
          <w:color w:val="auto"/>
          <w:sz w:val="28"/>
          <w:szCs w:val="28"/>
          <w:lang w:val="en-US" w:eastAsia="zh-CN"/>
        </w:rPr>
        <w:t>北</w:t>
      </w:r>
      <w:r>
        <w:rPr>
          <w:rFonts w:hint="eastAsia" w:hAnsi="宋体"/>
          <w:color w:val="auto"/>
          <w:sz w:val="28"/>
          <w:szCs w:val="28"/>
        </w:rPr>
        <w:t>部略高东</w:t>
      </w:r>
      <w:r>
        <w:rPr>
          <w:rFonts w:hint="eastAsia" w:hAnsi="宋体"/>
          <w:color w:val="auto"/>
          <w:sz w:val="28"/>
          <w:szCs w:val="28"/>
          <w:lang w:val="en-US" w:eastAsia="zh-CN"/>
        </w:rPr>
        <w:t>南</w:t>
      </w:r>
      <w:r>
        <w:rPr>
          <w:rFonts w:hint="eastAsia" w:hAnsi="宋体"/>
          <w:color w:val="auto"/>
          <w:sz w:val="28"/>
          <w:szCs w:val="28"/>
        </w:rPr>
        <w:t>部略低，厂区生产装置室内外地坪高差为</w:t>
      </w:r>
      <w:r>
        <w:rPr>
          <w:rFonts w:hint="eastAsia" w:hAnsi="宋体"/>
          <w:color w:val="auto"/>
          <w:sz w:val="28"/>
          <w:szCs w:val="28"/>
          <w:lang w:val="en-US" w:eastAsia="zh-CN"/>
        </w:rPr>
        <w:t>0.20~</w:t>
      </w:r>
      <w:r>
        <w:rPr>
          <w:rFonts w:hint="eastAsia" w:hAnsi="宋体"/>
          <w:color w:val="auto"/>
          <w:sz w:val="28"/>
          <w:szCs w:val="28"/>
        </w:rPr>
        <w:t xml:space="preserve"> 0.30m。</w:t>
      </w:r>
    </w:p>
    <w:p>
      <w:pPr>
        <w:ind w:firstLine="560" w:firstLineChars="200"/>
        <w:rPr>
          <w:rFonts w:hAnsi="宋体"/>
          <w:color w:val="auto"/>
          <w:szCs w:val="28"/>
        </w:rPr>
      </w:pPr>
      <w:r>
        <w:rPr>
          <w:rFonts w:hint="eastAsia" w:hAnsi="宋体"/>
          <w:color w:val="auto"/>
          <w:szCs w:val="28"/>
        </w:rPr>
        <w:t>厂区竖向设计根据地形，工艺及生产采用平坡式，平整坡度 1%。竖向布置根据地形特征，区域规划和防洪要求，有利于厂区内外道路运输，有利于场地排除雨水，合理选定场地标高。园区设有完善的排涝设施，能满足周边企业在强降雨时的排水能力。</w:t>
      </w:r>
    </w:p>
    <w:bookmarkEnd w:id="181"/>
    <w:p>
      <w:pPr>
        <w:pStyle w:val="4"/>
        <w:bidi w:val="0"/>
        <w:rPr>
          <w:rFonts w:hint="eastAsia"/>
          <w:color w:val="auto"/>
        </w:rPr>
      </w:pPr>
      <w:bookmarkStart w:id="188" w:name="_Toc11954"/>
      <w:bookmarkStart w:id="189" w:name="_Toc4458"/>
      <w:bookmarkStart w:id="190" w:name="_Toc12360"/>
      <w:bookmarkStart w:id="191" w:name="_Toc16646"/>
      <w:bookmarkStart w:id="192" w:name="_Toc17642"/>
      <w:bookmarkStart w:id="193" w:name="_Toc13739"/>
      <w:bookmarkStart w:id="194" w:name="_Toc26141"/>
      <w:r>
        <w:rPr>
          <w:color w:val="auto"/>
        </w:rPr>
        <w:t>2.</w:t>
      </w:r>
      <w:r>
        <w:rPr>
          <w:rFonts w:hint="eastAsia"/>
          <w:color w:val="auto"/>
          <w:lang w:val="en-US" w:eastAsia="zh-CN"/>
        </w:rPr>
        <w:t>6</w:t>
      </w:r>
      <w:r>
        <w:rPr>
          <w:color w:val="auto"/>
        </w:rPr>
        <w:t>.</w:t>
      </w:r>
      <w:r>
        <w:rPr>
          <w:rFonts w:hint="eastAsia"/>
          <w:color w:val="auto"/>
          <w:lang w:val="en-US" w:eastAsia="zh-CN"/>
        </w:rPr>
        <w:t>3</w:t>
      </w:r>
      <w:r>
        <w:rPr>
          <w:color w:val="auto"/>
        </w:rPr>
        <w:t>工厂运输</w:t>
      </w:r>
      <w:bookmarkEnd w:id="188"/>
      <w:bookmarkEnd w:id="189"/>
      <w:bookmarkEnd w:id="190"/>
      <w:bookmarkEnd w:id="191"/>
      <w:bookmarkEnd w:id="192"/>
      <w:bookmarkEnd w:id="193"/>
      <w:bookmarkEnd w:id="194"/>
    </w:p>
    <w:p>
      <w:pPr>
        <w:ind w:firstLine="560" w:firstLineChars="200"/>
        <w:rPr>
          <w:rFonts w:hint="eastAsia" w:hAnsi="宋体"/>
          <w:color w:val="auto"/>
          <w:sz w:val="28"/>
          <w:szCs w:val="28"/>
        </w:rPr>
      </w:pPr>
      <w:r>
        <w:rPr>
          <w:rFonts w:hint="eastAsia" w:hAnsi="宋体"/>
          <w:color w:val="auto"/>
          <w:sz w:val="28"/>
          <w:szCs w:val="28"/>
        </w:rPr>
        <w:t>（1）道路布置</w:t>
      </w:r>
    </w:p>
    <w:p>
      <w:pPr>
        <w:ind w:firstLine="560" w:firstLineChars="200"/>
        <w:rPr>
          <w:rFonts w:hint="eastAsia" w:hAnsi="宋体"/>
          <w:color w:val="auto"/>
          <w:sz w:val="28"/>
          <w:szCs w:val="28"/>
        </w:rPr>
      </w:pPr>
      <w:r>
        <w:rPr>
          <w:rFonts w:hint="eastAsia" w:hAnsi="宋体"/>
          <w:color w:val="auto"/>
          <w:sz w:val="28"/>
          <w:szCs w:val="28"/>
        </w:rPr>
        <w:t>厂区内道路建道路宽4~6m，主要通道宽度6m，厂区主要道路的转弯半径不小于9m。道路布局合理，满足交通及消防要求。</w:t>
      </w:r>
    </w:p>
    <w:p>
      <w:pPr>
        <w:ind w:firstLine="560" w:firstLineChars="200"/>
        <w:rPr>
          <w:rFonts w:hint="eastAsia" w:hAnsi="宋体"/>
          <w:color w:val="auto"/>
          <w:sz w:val="28"/>
          <w:szCs w:val="28"/>
        </w:rPr>
      </w:pPr>
      <w:r>
        <w:rPr>
          <w:rFonts w:hint="eastAsia" w:hAnsi="宋体"/>
          <w:color w:val="auto"/>
          <w:sz w:val="28"/>
          <w:szCs w:val="28"/>
        </w:rPr>
        <w:t>（2）路面结构</w:t>
      </w:r>
    </w:p>
    <w:p>
      <w:pPr>
        <w:ind w:firstLine="560" w:firstLineChars="200"/>
        <w:rPr>
          <w:rFonts w:hint="eastAsia" w:hAnsi="宋体"/>
          <w:color w:val="auto"/>
          <w:sz w:val="28"/>
          <w:szCs w:val="28"/>
        </w:rPr>
      </w:pPr>
      <w:r>
        <w:rPr>
          <w:rFonts w:hint="eastAsia" w:hAnsi="宋体"/>
          <w:color w:val="auto"/>
          <w:sz w:val="28"/>
          <w:szCs w:val="28"/>
        </w:rPr>
        <w:t>厂区道路拟采用公路型混凝土结构路面道路，路拱坡度≤1.5%。道路两侧均设置排水沟，道路路缘半径一般为9~15m。</w:t>
      </w:r>
    </w:p>
    <w:p>
      <w:pPr>
        <w:ind w:firstLine="560" w:firstLineChars="200"/>
        <w:rPr>
          <w:rFonts w:hint="eastAsia" w:hAnsi="宋体"/>
          <w:color w:val="auto"/>
          <w:sz w:val="28"/>
          <w:szCs w:val="28"/>
        </w:rPr>
      </w:pPr>
      <w:r>
        <w:rPr>
          <w:rFonts w:hint="eastAsia" w:hAnsi="宋体"/>
          <w:color w:val="auto"/>
          <w:sz w:val="28"/>
          <w:szCs w:val="28"/>
        </w:rPr>
        <w:t>道路路面结构：依次素土夯实（压实度≥0.95）、20cm厚碎石或（卵石）崁粗砂灌实垫层、C25混凝土面层22cm。</w:t>
      </w:r>
    </w:p>
    <w:p>
      <w:pPr>
        <w:ind w:firstLine="560" w:firstLineChars="200"/>
        <w:rPr>
          <w:rFonts w:hint="eastAsia" w:hAnsi="宋体"/>
          <w:color w:val="auto"/>
          <w:sz w:val="28"/>
          <w:szCs w:val="28"/>
        </w:rPr>
      </w:pPr>
      <w:r>
        <w:rPr>
          <w:rFonts w:hint="eastAsia" w:hAnsi="宋体"/>
          <w:color w:val="auto"/>
          <w:sz w:val="28"/>
          <w:szCs w:val="28"/>
        </w:rPr>
        <w:t>（3）运输方式</w:t>
      </w:r>
    </w:p>
    <w:p>
      <w:pPr>
        <w:ind w:firstLine="560" w:firstLineChars="200"/>
        <w:rPr>
          <w:rFonts w:hint="eastAsia" w:hAnsi="宋体"/>
          <w:color w:val="auto"/>
          <w:sz w:val="28"/>
          <w:szCs w:val="28"/>
        </w:rPr>
      </w:pPr>
      <w:r>
        <w:rPr>
          <w:rFonts w:hint="eastAsia" w:hAnsi="宋体"/>
          <w:color w:val="auto"/>
          <w:sz w:val="28"/>
          <w:szCs w:val="28"/>
        </w:rPr>
        <w:t>该项目原辅料及产品</w:t>
      </w:r>
      <w:r>
        <w:rPr>
          <w:rFonts w:hint="eastAsia" w:hAnsi="宋体"/>
          <w:color w:val="auto"/>
          <w:sz w:val="28"/>
          <w:szCs w:val="28"/>
          <w:lang w:val="en-US" w:eastAsia="zh-CN"/>
        </w:rPr>
        <w:t>分别</w:t>
      </w:r>
      <w:r>
        <w:rPr>
          <w:rFonts w:hint="eastAsia" w:hAnsi="宋体"/>
          <w:color w:val="auto"/>
          <w:sz w:val="28"/>
          <w:szCs w:val="28"/>
        </w:rPr>
        <w:t>采用袋装及罐装的方式储运。该项目拟采用汽车、槽车运输，槽车运输委托外部具有相关资质的公司车辆进行运输。厂内采用叉车运送。</w:t>
      </w:r>
    </w:p>
    <w:p>
      <w:pPr>
        <w:ind w:firstLine="560" w:firstLineChars="200"/>
        <w:rPr>
          <w:rFonts w:hint="eastAsia" w:hAnsi="宋体"/>
          <w:color w:val="auto"/>
          <w:sz w:val="28"/>
          <w:szCs w:val="28"/>
          <w:highlight w:val="none"/>
        </w:rPr>
      </w:pPr>
      <w:r>
        <w:rPr>
          <w:rFonts w:hint="eastAsia" w:hAnsi="宋体"/>
          <w:color w:val="auto"/>
          <w:sz w:val="28"/>
          <w:szCs w:val="28"/>
          <w:highlight w:val="none"/>
        </w:rPr>
        <w:t>a 装卸运输设备选择如下：</w:t>
      </w:r>
    </w:p>
    <w:p>
      <w:pPr>
        <w:ind w:firstLine="560" w:firstLineChars="200"/>
        <w:rPr>
          <w:rFonts w:hint="eastAsia" w:hAnsi="宋体"/>
          <w:color w:val="auto"/>
          <w:sz w:val="28"/>
          <w:szCs w:val="28"/>
          <w:highlight w:val="none"/>
        </w:rPr>
      </w:pPr>
      <w:r>
        <w:rPr>
          <w:rFonts w:hint="eastAsia" w:hAnsi="宋体"/>
          <w:color w:val="auto"/>
          <w:sz w:val="28"/>
          <w:szCs w:val="28"/>
          <w:highlight w:val="none"/>
        </w:rPr>
        <w:t>①原料：采用汽车运输</w:t>
      </w:r>
    </w:p>
    <w:p>
      <w:pPr>
        <w:ind w:firstLine="560" w:firstLineChars="200"/>
        <w:rPr>
          <w:rFonts w:hint="eastAsia" w:hAnsi="宋体"/>
          <w:color w:val="auto"/>
          <w:sz w:val="28"/>
          <w:szCs w:val="28"/>
          <w:highlight w:val="none"/>
        </w:rPr>
      </w:pPr>
      <w:r>
        <w:rPr>
          <w:rFonts w:hint="eastAsia" w:hAnsi="宋体"/>
          <w:color w:val="auto"/>
          <w:sz w:val="28"/>
          <w:szCs w:val="28"/>
          <w:highlight w:val="none"/>
        </w:rPr>
        <w:t>②成品：采用槽车运输</w:t>
      </w:r>
    </w:p>
    <w:p>
      <w:pPr>
        <w:ind w:firstLine="560" w:firstLineChars="200"/>
        <w:rPr>
          <w:rFonts w:hint="eastAsia" w:hAnsi="宋体"/>
          <w:color w:val="auto"/>
          <w:sz w:val="28"/>
          <w:szCs w:val="28"/>
          <w:highlight w:val="none"/>
        </w:rPr>
      </w:pPr>
      <w:r>
        <w:rPr>
          <w:rFonts w:hint="eastAsia" w:hAnsi="宋体"/>
          <w:color w:val="auto"/>
          <w:sz w:val="28"/>
          <w:szCs w:val="28"/>
          <w:highlight w:val="none"/>
        </w:rPr>
        <w:t>b 装卸运输设备</w:t>
      </w:r>
    </w:p>
    <w:p>
      <w:pPr>
        <w:ind w:firstLine="560" w:firstLineChars="200"/>
        <w:rPr>
          <w:rFonts w:hint="eastAsia" w:hAnsi="宋体"/>
          <w:color w:val="auto"/>
          <w:sz w:val="28"/>
          <w:szCs w:val="28"/>
          <w:highlight w:val="yellow"/>
        </w:rPr>
      </w:pPr>
      <w:r>
        <w:rPr>
          <w:rFonts w:hint="eastAsia" w:hAnsi="宋体"/>
          <w:color w:val="auto"/>
          <w:sz w:val="28"/>
          <w:szCs w:val="28"/>
          <w:highlight w:val="none"/>
        </w:rPr>
        <w:t>该项目采用的装卸运输设备为：拟采购柴油叉车作为厂内运输工具。</w:t>
      </w:r>
    </w:p>
    <w:p>
      <w:pPr>
        <w:ind w:firstLine="560" w:firstLineChars="200"/>
        <w:rPr>
          <w:rFonts w:hint="eastAsia" w:hAnsi="宋体"/>
          <w:color w:val="auto"/>
          <w:sz w:val="28"/>
          <w:szCs w:val="28"/>
        </w:rPr>
      </w:pPr>
      <w:r>
        <w:rPr>
          <w:rFonts w:hint="eastAsia" w:hAnsi="宋体"/>
          <w:color w:val="auto"/>
          <w:sz w:val="28"/>
          <w:szCs w:val="28"/>
        </w:rPr>
        <w:t>3）工厂防护及绿化</w:t>
      </w:r>
    </w:p>
    <w:p>
      <w:pPr>
        <w:ind w:firstLine="560" w:firstLineChars="200"/>
        <w:rPr>
          <w:rFonts w:hint="eastAsia" w:hAnsi="宋体"/>
          <w:color w:val="auto"/>
          <w:sz w:val="28"/>
          <w:szCs w:val="28"/>
        </w:rPr>
      </w:pPr>
      <w:r>
        <w:rPr>
          <w:rFonts w:hint="eastAsia" w:hAnsi="宋体"/>
          <w:color w:val="auto"/>
          <w:sz w:val="28"/>
          <w:szCs w:val="28"/>
        </w:rPr>
        <w:t>（1）工厂防护</w:t>
      </w:r>
    </w:p>
    <w:p>
      <w:pPr>
        <w:ind w:firstLine="560" w:firstLineChars="200"/>
        <w:rPr>
          <w:rFonts w:hint="eastAsia" w:hAnsi="宋体"/>
          <w:color w:val="auto"/>
          <w:sz w:val="28"/>
          <w:szCs w:val="28"/>
        </w:rPr>
      </w:pPr>
      <w:r>
        <w:rPr>
          <w:rFonts w:hint="eastAsia" w:hAnsi="宋体"/>
          <w:color w:val="auto"/>
          <w:sz w:val="28"/>
          <w:szCs w:val="28"/>
        </w:rPr>
        <w:t>围墙：厂区采用 2.2m 高实体围墙将企业与外界隔开。</w:t>
      </w:r>
    </w:p>
    <w:p>
      <w:pPr>
        <w:ind w:firstLine="560" w:firstLineChars="200"/>
        <w:rPr>
          <w:rFonts w:hint="eastAsia" w:hAnsi="宋体"/>
          <w:color w:val="auto"/>
          <w:sz w:val="28"/>
          <w:szCs w:val="28"/>
        </w:rPr>
      </w:pPr>
      <w:r>
        <w:rPr>
          <w:rFonts w:hint="eastAsia" w:hAnsi="宋体"/>
          <w:color w:val="auto"/>
          <w:sz w:val="28"/>
          <w:szCs w:val="28"/>
        </w:rPr>
        <w:t>门卫：在主要出入口处设置门卫。</w:t>
      </w:r>
    </w:p>
    <w:p>
      <w:pPr>
        <w:numPr>
          <w:ilvl w:val="0"/>
          <w:numId w:val="4"/>
        </w:numPr>
        <w:ind w:firstLine="560" w:firstLineChars="200"/>
        <w:rPr>
          <w:rFonts w:hint="eastAsia" w:hAnsi="宋体"/>
          <w:color w:val="auto"/>
          <w:sz w:val="28"/>
          <w:szCs w:val="28"/>
        </w:rPr>
      </w:pPr>
      <w:r>
        <w:rPr>
          <w:rFonts w:hint="eastAsia" w:hAnsi="宋体"/>
          <w:color w:val="auto"/>
          <w:sz w:val="28"/>
          <w:szCs w:val="28"/>
        </w:rPr>
        <w:t>绿化</w:t>
      </w:r>
    </w:p>
    <w:p>
      <w:pPr>
        <w:numPr>
          <w:ilvl w:val="-1"/>
          <w:numId w:val="0"/>
        </w:numPr>
        <w:ind w:firstLine="560" w:firstLineChars="200"/>
        <w:rPr>
          <w:rFonts w:hint="eastAsia" w:hAnsi="宋体"/>
          <w:color w:val="auto"/>
          <w:sz w:val="28"/>
          <w:szCs w:val="28"/>
        </w:rPr>
      </w:pPr>
      <w:r>
        <w:rPr>
          <w:rFonts w:hint="eastAsia" w:hAnsi="宋体"/>
          <w:color w:val="auto"/>
          <w:sz w:val="28"/>
          <w:szCs w:val="28"/>
        </w:rPr>
        <w:t>工厂绿化具有美化环境、净化空气、减少噪音及水土保持等多种作用。</w:t>
      </w:r>
    </w:p>
    <w:p>
      <w:pPr>
        <w:numPr>
          <w:ilvl w:val="-1"/>
          <w:numId w:val="0"/>
        </w:numPr>
        <w:ind w:firstLine="0" w:firstLineChars="0"/>
        <w:rPr>
          <w:rFonts w:hint="eastAsia" w:hAnsi="宋体"/>
          <w:color w:val="auto"/>
          <w:sz w:val="28"/>
          <w:szCs w:val="28"/>
        </w:rPr>
      </w:pPr>
      <w:r>
        <w:rPr>
          <w:rFonts w:hint="eastAsia" w:hAnsi="宋体"/>
          <w:color w:val="auto"/>
          <w:sz w:val="28"/>
          <w:szCs w:val="28"/>
        </w:rPr>
        <w:t>厂区整体绿化布置由以下两部分组成：</w:t>
      </w:r>
    </w:p>
    <w:p>
      <w:pPr>
        <w:numPr>
          <w:ilvl w:val="-1"/>
          <w:numId w:val="0"/>
        </w:numPr>
        <w:ind w:firstLine="560" w:firstLineChars="200"/>
        <w:rPr>
          <w:rFonts w:hint="eastAsia" w:hAnsi="宋体"/>
          <w:color w:val="auto"/>
          <w:sz w:val="28"/>
          <w:szCs w:val="28"/>
        </w:rPr>
      </w:pPr>
      <w:r>
        <w:rPr>
          <w:rFonts w:hint="eastAsia" w:hAnsi="宋体"/>
          <w:color w:val="auto"/>
          <w:sz w:val="28"/>
          <w:szCs w:val="28"/>
        </w:rPr>
        <w:t>a 厂区道路绿化</w:t>
      </w:r>
    </w:p>
    <w:p>
      <w:pPr>
        <w:numPr>
          <w:ilvl w:val="-1"/>
          <w:numId w:val="0"/>
        </w:numPr>
        <w:ind w:firstLine="560" w:firstLineChars="200"/>
        <w:rPr>
          <w:rFonts w:hint="eastAsia" w:hAnsi="宋体"/>
          <w:color w:val="auto"/>
          <w:sz w:val="28"/>
          <w:szCs w:val="28"/>
        </w:rPr>
      </w:pPr>
      <w:r>
        <w:rPr>
          <w:rFonts w:hint="eastAsia" w:hAnsi="宋体"/>
          <w:color w:val="auto"/>
          <w:sz w:val="28"/>
          <w:szCs w:val="28"/>
        </w:rPr>
        <w:t>由线型绿带和绿化灌木组成绿化骨架，并与通道两侧建、构筑物及地下管道、道路、人行道的布置等相协调。道路绿化采取在道路两侧人行道边种植适当的灌木和草坪。</w:t>
      </w:r>
    </w:p>
    <w:p>
      <w:pPr>
        <w:numPr>
          <w:ilvl w:val="-1"/>
          <w:numId w:val="0"/>
        </w:numPr>
        <w:ind w:firstLine="560" w:firstLineChars="200"/>
        <w:rPr>
          <w:rFonts w:hint="eastAsia" w:hAnsi="宋体"/>
          <w:color w:val="auto"/>
          <w:sz w:val="28"/>
          <w:szCs w:val="28"/>
        </w:rPr>
      </w:pPr>
      <w:r>
        <w:rPr>
          <w:rFonts w:hint="eastAsia" w:hAnsi="宋体"/>
          <w:color w:val="auto"/>
          <w:sz w:val="28"/>
          <w:szCs w:val="28"/>
        </w:rPr>
        <w:t>b 车间周围绿化</w:t>
      </w:r>
    </w:p>
    <w:p>
      <w:pPr>
        <w:numPr>
          <w:ilvl w:val="-1"/>
          <w:numId w:val="0"/>
        </w:numPr>
        <w:ind w:firstLine="560" w:firstLineChars="200"/>
        <w:rPr>
          <w:rFonts w:hint="eastAsia" w:hAnsi="宋体"/>
          <w:color w:val="auto"/>
          <w:sz w:val="28"/>
          <w:szCs w:val="28"/>
        </w:rPr>
      </w:pPr>
      <w:r>
        <w:rPr>
          <w:rFonts w:hint="eastAsia" w:hAnsi="宋体"/>
          <w:color w:val="auto"/>
          <w:sz w:val="28"/>
          <w:szCs w:val="28"/>
        </w:rPr>
        <w:t>在车间周围的空地上尽量以草皮覆盖或水泥硬化。</w:t>
      </w:r>
    </w:p>
    <w:p>
      <w:pPr>
        <w:pStyle w:val="3"/>
        <w:rPr>
          <w:rFonts w:hint="eastAsia"/>
          <w:color w:val="auto"/>
        </w:rPr>
      </w:pPr>
      <w:bookmarkStart w:id="195" w:name="_Toc7052"/>
      <w:bookmarkStart w:id="196" w:name="_Toc31747"/>
      <w:bookmarkStart w:id="197" w:name="_Toc6747"/>
      <w:bookmarkStart w:id="198" w:name="_Toc20256"/>
      <w:bookmarkStart w:id="199" w:name="_Toc21495"/>
      <w:bookmarkStart w:id="200" w:name="_Toc2849"/>
      <w:bookmarkStart w:id="201" w:name="_Toc15617"/>
      <w:r>
        <w:rPr>
          <w:color w:val="auto"/>
        </w:rPr>
        <w:t>2.</w:t>
      </w:r>
      <w:r>
        <w:rPr>
          <w:rFonts w:hint="eastAsia"/>
          <w:color w:val="auto"/>
          <w:lang w:val="en-US" w:eastAsia="zh-CN"/>
        </w:rPr>
        <w:t>7</w:t>
      </w:r>
      <w:r>
        <w:rPr>
          <w:rFonts w:hint="eastAsia"/>
          <w:color w:val="auto"/>
        </w:rPr>
        <w:t>建</w:t>
      </w:r>
      <w:r>
        <w:rPr>
          <w:rFonts w:hint="eastAsia"/>
          <w:color w:val="auto"/>
          <w:lang w:eastAsia="zh-CN"/>
        </w:rPr>
        <w:t>、</w:t>
      </w:r>
      <w:r>
        <w:rPr>
          <w:rFonts w:hint="eastAsia"/>
          <w:color w:val="auto"/>
          <w:lang w:val="en-US" w:eastAsia="zh-CN"/>
        </w:rPr>
        <w:t>构筑物</w:t>
      </w:r>
      <w:bookmarkEnd w:id="195"/>
      <w:bookmarkEnd w:id="196"/>
      <w:bookmarkEnd w:id="197"/>
      <w:bookmarkEnd w:id="198"/>
      <w:bookmarkEnd w:id="199"/>
      <w:bookmarkEnd w:id="200"/>
      <w:bookmarkEnd w:id="201"/>
    </w:p>
    <w:p>
      <w:pPr>
        <w:ind w:firstLine="560" w:firstLineChars="200"/>
        <w:rPr>
          <w:rFonts w:hint="eastAsia"/>
          <w:color w:val="auto"/>
          <w:sz w:val="28"/>
          <w:szCs w:val="28"/>
        </w:rPr>
      </w:pPr>
      <w:r>
        <w:rPr>
          <w:rFonts w:hint="eastAsia"/>
          <w:color w:val="auto"/>
          <w:sz w:val="28"/>
          <w:szCs w:val="28"/>
        </w:rPr>
        <w:t>各建筑物需保证整个流通体系的系统性、合理性，建筑空间内划分在充分满足生产工艺操作和检修等使用功能的基础上，符合化工厂生产的特点，</w:t>
      </w:r>
      <w:r>
        <w:rPr>
          <w:rFonts w:hint="eastAsia"/>
          <w:color w:val="auto"/>
          <w:sz w:val="28"/>
          <w:szCs w:val="28"/>
          <w:highlight w:val="none"/>
        </w:rPr>
        <w:t>即</w:t>
      </w:r>
      <w:r>
        <w:rPr>
          <w:rFonts w:hint="eastAsia"/>
          <w:color w:val="auto"/>
          <w:sz w:val="28"/>
          <w:szCs w:val="28"/>
          <w:highlight w:val="none"/>
        </w:rPr>
        <w:t>防火、防爆</w:t>
      </w:r>
      <w:r>
        <w:rPr>
          <w:rFonts w:hint="eastAsia"/>
          <w:color w:val="auto"/>
          <w:sz w:val="28"/>
          <w:szCs w:val="28"/>
          <w:highlight w:val="none"/>
        </w:rPr>
        <w:t>、防腐蚀、防尘等要求的前提下</w:t>
      </w:r>
      <w:r>
        <w:rPr>
          <w:rFonts w:hint="eastAsia"/>
          <w:color w:val="auto"/>
          <w:sz w:val="28"/>
          <w:szCs w:val="28"/>
        </w:rPr>
        <w:t>，做到适用、经济。采用先进的建筑技术和新型的建筑材料。各生产车间和仓库均采用现浇钢筋砼框架结构，轻质顶屋面。</w:t>
      </w:r>
    </w:p>
    <w:p>
      <w:pPr>
        <w:ind w:firstLine="560" w:firstLineChars="200"/>
        <w:rPr>
          <w:rFonts w:hint="eastAsia"/>
          <w:color w:val="auto"/>
          <w:sz w:val="28"/>
          <w:szCs w:val="28"/>
        </w:rPr>
      </w:pPr>
      <w:r>
        <w:rPr>
          <w:rFonts w:hint="eastAsia"/>
          <w:color w:val="auto"/>
          <w:sz w:val="28"/>
          <w:szCs w:val="28"/>
        </w:rPr>
        <w:t>拟建建筑耐火等级拟按不低于二级设计，根据《建筑设计防火规范》，厂房的安全出口分散布置。每个防火分区、一个防火分区的每个楼层，其相邻2个安全出口最近边缘之间的水平距离不小于5m。根据《建筑设计防火规范》，甲类厂房内任一点到最近安全出口的距离均小于25m。</w:t>
      </w:r>
    </w:p>
    <w:p>
      <w:pPr>
        <w:ind w:firstLine="560" w:firstLineChars="200"/>
        <w:rPr>
          <w:rFonts w:hint="eastAsia"/>
          <w:color w:val="auto"/>
          <w:sz w:val="28"/>
          <w:szCs w:val="28"/>
        </w:rPr>
      </w:pPr>
      <w:r>
        <w:rPr>
          <w:rFonts w:hint="eastAsia"/>
          <w:color w:val="auto"/>
          <w:sz w:val="28"/>
          <w:szCs w:val="28"/>
        </w:rPr>
        <w:t>该项目</w:t>
      </w:r>
      <w:r>
        <w:rPr>
          <w:rFonts w:hint="eastAsia"/>
          <w:color w:val="auto"/>
          <w:sz w:val="28"/>
          <w:szCs w:val="28"/>
          <w:lang w:val="en-US" w:eastAsia="zh-CN"/>
        </w:rPr>
        <w:t>裂解</w:t>
      </w:r>
      <w:r>
        <w:rPr>
          <w:rFonts w:hint="eastAsia"/>
          <w:color w:val="auto"/>
          <w:sz w:val="28"/>
          <w:szCs w:val="28"/>
        </w:rPr>
        <w:t xml:space="preserve">生产设施拟布置在 101 </w:t>
      </w:r>
      <w:r>
        <w:rPr>
          <w:rFonts w:hint="eastAsia"/>
          <w:color w:val="auto"/>
          <w:sz w:val="28"/>
          <w:szCs w:val="28"/>
          <w:lang w:val="en-US" w:eastAsia="zh-CN"/>
        </w:rPr>
        <w:t>裂解</w:t>
      </w:r>
      <w:r>
        <w:rPr>
          <w:rFonts w:hint="eastAsia"/>
          <w:color w:val="auto"/>
          <w:sz w:val="28"/>
          <w:szCs w:val="28"/>
        </w:rPr>
        <w:t>车间，为半敞开式厂房。</w:t>
      </w:r>
    </w:p>
    <w:p>
      <w:pPr>
        <w:ind w:firstLine="560" w:firstLineChars="200"/>
        <w:rPr>
          <w:rFonts w:hint="eastAsia"/>
          <w:color w:val="auto"/>
          <w:sz w:val="28"/>
          <w:szCs w:val="28"/>
        </w:rPr>
      </w:pPr>
      <w:r>
        <w:rPr>
          <w:rFonts w:hint="eastAsia"/>
          <w:color w:val="auto"/>
          <w:sz w:val="28"/>
          <w:szCs w:val="28"/>
        </w:rPr>
        <w:t>该项目</w:t>
      </w:r>
      <w:r>
        <w:rPr>
          <w:rFonts w:hint="eastAsia"/>
          <w:color w:val="auto"/>
          <w:sz w:val="28"/>
          <w:szCs w:val="28"/>
          <w:lang w:val="en-US" w:eastAsia="zh-CN"/>
        </w:rPr>
        <w:t>精馏</w:t>
      </w:r>
      <w:r>
        <w:rPr>
          <w:rFonts w:hint="eastAsia"/>
          <w:color w:val="auto"/>
          <w:sz w:val="28"/>
          <w:szCs w:val="28"/>
        </w:rPr>
        <w:t>生产设施拟布置在 10</w:t>
      </w:r>
      <w:r>
        <w:rPr>
          <w:rFonts w:hint="eastAsia"/>
          <w:color w:val="auto"/>
          <w:sz w:val="28"/>
          <w:szCs w:val="28"/>
          <w:lang w:val="en-US" w:eastAsia="zh-CN"/>
        </w:rPr>
        <w:t>2精馏</w:t>
      </w:r>
      <w:r>
        <w:rPr>
          <w:rFonts w:hint="eastAsia"/>
          <w:color w:val="auto"/>
          <w:sz w:val="28"/>
          <w:szCs w:val="28"/>
        </w:rPr>
        <w:t>车间，为敞开式厂房。</w:t>
      </w:r>
    </w:p>
    <w:p>
      <w:pPr>
        <w:ind w:firstLine="560" w:firstLineChars="200"/>
        <w:rPr>
          <w:color w:val="auto"/>
          <w:sz w:val="28"/>
          <w:szCs w:val="28"/>
        </w:rPr>
      </w:pPr>
      <w:r>
        <w:rPr>
          <w:color w:val="auto"/>
          <w:sz w:val="28"/>
          <w:szCs w:val="28"/>
        </w:rPr>
        <w:t>建（构）物一览表见表2.</w:t>
      </w:r>
      <w:r>
        <w:rPr>
          <w:rFonts w:hint="eastAsia"/>
          <w:color w:val="auto"/>
          <w:sz w:val="28"/>
          <w:szCs w:val="28"/>
          <w:lang w:val="en-US" w:eastAsia="zh-CN"/>
        </w:rPr>
        <w:t>7</w:t>
      </w:r>
      <w:r>
        <w:rPr>
          <w:color w:val="auto"/>
          <w:sz w:val="28"/>
          <w:szCs w:val="28"/>
        </w:rPr>
        <w:t>-1。</w:t>
      </w:r>
    </w:p>
    <w:p>
      <w:pPr>
        <w:pStyle w:val="53"/>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eastAsia"/>
          <w:color w:val="auto"/>
        </w:rPr>
      </w:pPr>
      <w:r>
        <w:rPr>
          <w:color w:val="auto"/>
        </w:rPr>
        <w:t>表2.</w:t>
      </w:r>
      <w:r>
        <w:rPr>
          <w:rFonts w:hint="eastAsia"/>
          <w:color w:val="auto"/>
          <w:lang w:val="en-US" w:eastAsia="zh-CN"/>
        </w:rPr>
        <w:t>7</w:t>
      </w:r>
      <w:r>
        <w:rPr>
          <w:color w:val="auto"/>
        </w:rPr>
        <w:t>-1建（构）物一览表</w:t>
      </w:r>
    </w:p>
    <w:tbl>
      <w:tblPr>
        <w:tblStyle w:val="42"/>
        <w:tblpPr w:leftFromText="180" w:rightFromText="180" w:vertAnchor="text" w:horzAnchor="page" w:tblpX="1526" w:tblpY="280"/>
        <w:tblOverlap w:val="never"/>
        <w:tblW w:w="51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661"/>
        <w:gridCol w:w="713"/>
        <w:gridCol w:w="767"/>
        <w:gridCol w:w="689"/>
        <w:gridCol w:w="818"/>
        <w:gridCol w:w="1080"/>
        <w:gridCol w:w="1183"/>
        <w:gridCol w:w="850"/>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40" w:type="pct"/>
            <w:noWrap w:val="0"/>
            <w:vAlign w:val="center"/>
          </w:tcPr>
          <w:p>
            <w:pPr>
              <w:spacing w:line="240" w:lineRule="auto"/>
              <w:jc w:val="center"/>
              <w:rPr>
                <w:color w:val="auto"/>
                <w:sz w:val="21"/>
                <w:szCs w:val="21"/>
                <w:highlight w:val="none"/>
              </w:rPr>
            </w:pPr>
            <w:r>
              <w:rPr>
                <w:rFonts w:hAnsi="宋体"/>
                <w:color w:val="auto"/>
                <w:sz w:val="21"/>
                <w:szCs w:val="21"/>
                <w:highlight w:val="none"/>
              </w:rPr>
              <w:t>序号</w:t>
            </w:r>
          </w:p>
        </w:tc>
        <w:tc>
          <w:tcPr>
            <w:tcW w:w="853" w:type="pct"/>
            <w:noWrap w:val="0"/>
            <w:vAlign w:val="center"/>
          </w:tcPr>
          <w:p>
            <w:pPr>
              <w:spacing w:line="240" w:lineRule="auto"/>
              <w:jc w:val="center"/>
              <w:rPr>
                <w:color w:val="auto"/>
                <w:sz w:val="21"/>
                <w:szCs w:val="21"/>
                <w:highlight w:val="none"/>
              </w:rPr>
            </w:pPr>
            <w:r>
              <w:rPr>
                <w:rFonts w:hAnsi="宋体"/>
                <w:color w:val="auto"/>
                <w:sz w:val="21"/>
                <w:szCs w:val="21"/>
                <w:highlight w:val="none"/>
              </w:rPr>
              <w:t>项目名称</w:t>
            </w:r>
          </w:p>
        </w:tc>
        <w:tc>
          <w:tcPr>
            <w:tcW w:w="366" w:type="pct"/>
            <w:noWrap w:val="0"/>
            <w:vAlign w:val="center"/>
          </w:tcPr>
          <w:p>
            <w:pPr>
              <w:spacing w:line="240" w:lineRule="auto"/>
              <w:jc w:val="center"/>
              <w:rPr>
                <w:color w:val="auto"/>
                <w:sz w:val="21"/>
                <w:szCs w:val="21"/>
                <w:highlight w:val="none"/>
              </w:rPr>
            </w:pPr>
            <w:r>
              <w:rPr>
                <w:rFonts w:hint="eastAsia" w:hAnsi="宋体"/>
                <w:color w:val="auto"/>
                <w:sz w:val="21"/>
                <w:szCs w:val="21"/>
                <w:highlight w:val="none"/>
              </w:rPr>
              <w:t>火灾类别</w:t>
            </w:r>
          </w:p>
        </w:tc>
        <w:tc>
          <w:tcPr>
            <w:tcW w:w="394" w:type="pct"/>
            <w:noWrap w:val="0"/>
            <w:vAlign w:val="center"/>
          </w:tcPr>
          <w:p>
            <w:pPr>
              <w:spacing w:line="240" w:lineRule="auto"/>
              <w:jc w:val="center"/>
              <w:rPr>
                <w:color w:val="auto"/>
                <w:sz w:val="21"/>
                <w:szCs w:val="21"/>
                <w:highlight w:val="none"/>
              </w:rPr>
            </w:pPr>
            <w:r>
              <w:rPr>
                <w:rFonts w:hAnsi="宋体"/>
                <w:color w:val="auto"/>
                <w:sz w:val="21"/>
                <w:szCs w:val="21"/>
                <w:highlight w:val="none"/>
              </w:rPr>
              <w:t>耐火等级</w:t>
            </w:r>
          </w:p>
        </w:tc>
        <w:tc>
          <w:tcPr>
            <w:tcW w:w="354" w:type="pct"/>
            <w:noWrap w:val="0"/>
            <w:vAlign w:val="center"/>
          </w:tcPr>
          <w:p>
            <w:pPr>
              <w:spacing w:line="240" w:lineRule="auto"/>
              <w:jc w:val="center"/>
              <w:rPr>
                <w:color w:val="auto"/>
                <w:sz w:val="21"/>
                <w:szCs w:val="21"/>
                <w:highlight w:val="none"/>
              </w:rPr>
            </w:pPr>
            <w:r>
              <w:rPr>
                <w:rFonts w:hAnsi="宋体"/>
                <w:color w:val="auto"/>
                <w:sz w:val="21"/>
                <w:szCs w:val="21"/>
                <w:highlight w:val="none"/>
              </w:rPr>
              <w:t>建筑层数</w:t>
            </w:r>
          </w:p>
        </w:tc>
        <w:tc>
          <w:tcPr>
            <w:tcW w:w="420" w:type="pct"/>
            <w:noWrap w:val="0"/>
            <w:vAlign w:val="center"/>
          </w:tcPr>
          <w:p>
            <w:pPr>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结构形式</w:t>
            </w:r>
          </w:p>
        </w:tc>
        <w:tc>
          <w:tcPr>
            <w:tcW w:w="554" w:type="pct"/>
            <w:noWrap w:val="0"/>
            <w:vAlign w:val="center"/>
          </w:tcPr>
          <w:p>
            <w:pPr>
              <w:spacing w:line="240" w:lineRule="auto"/>
              <w:jc w:val="center"/>
              <w:rPr>
                <w:color w:val="auto"/>
                <w:sz w:val="21"/>
                <w:szCs w:val="21"/>
                <w:highlight w:val="none"/>
              </w:rPr>
            </w:pPr>
            <w:r>
              <w:rPr>
                <w:rFonts w:hAnsi="宋体"/>
                <w:color w:val="auto"/>
                <w:sz w:val="21"/>
                <w:szCs w:val="21"/>
                <w:highlight w:val="none"/>
              </w:rPr>
              <w:t>占地面积（</w:t>
            </w:r>
            <w:r>
              <w:rPr>
                <w:color w:val="auto"/>
                <w:sz w:val="21"/>
                <w:szCs w:val="21"/>
                <w:highlight w:val="none"/>
              </w:rPr>
              <w:t>m</w:t>
            </w:r>
            <w:r>
              <w:rPr>
                <w:color w:val="auto"/>
                <w:sz w:val="21"/>
                <w:szCs w:val="21"/>
                <w:highlight w:val="none"/>
                <w:vertAlign w:val="superscript"/>
              </w:rPr>
              <w:t>2</w:t>
            </w:r>
            <w:r>
              <w:rPr>
                <w:rFonts w:hAnsi="宋体"/>
                <w:color w:val="auto"/>
                <w:sz w:val="21"/>
                <w:szCs w:val="21"/>
                <w:highlight w:val="none"/>
              </w:rPr>
              <w:t>）</w:t>
            </w:r>
          </w:p>
        </w:tc>
        <w:tc>
          <w:tcPr>
            <w:tcW w:w="607" w:type="pct"/>
            <w:noWrap w:val="0"/>
            <w:vAlign w:val="center"/>
          </w:tcPr>
          <w:p>
            <w:pPr>
              <w:spacing w:line="240" w:lineRule="auto"/>
              <w:jc w:val="center"/>
              <w:rPr>
                <w:color w:val="auto"/>
                <w:sz w:val="21"/>
                <w:szCs w:val="21"/>
                <w:highlight w:val="none"/>
              </w:rPr>
            </w:pPr>
            <w:r>
              <w:rPr>
                <w:rFonts w:hAnsi="宋体"/>
                <w:color w:val="auto"/>
                <w:sz w:val="21"/>
                <w:szCs w:val="21"/>
                <w:highlight w:val="none"/>
              </w:rPr>
              <w:t>建筑面积（</w:t>
            </w:r>
            <w:r>
              <w:rPr>
                <w:color w:val="auto"/>
                <w:sz w:val="21"/>
                <w:szCs w:val="21"/>
                <w:highlight w:val="none"/>
              </w:rPr>
              <w:t>m</w:t>
            </w:r>
            <w:r>
              <w:rPr>
                <w:color w:val="auto"/>
                <w:sz w:val="21"/>
                <w:szCs w:val="21"/>
                <w:highlight w:val="none"/>
                <w:vertAlign w:val="superscript"/>
              </w:rPr>
              <w:t>2</w:t>
            </w:r>
            <w:r>
              <w:rPr>
                <w:rFonts w:hAnsi="宋体"/>
                <w:color w:val="auto"/>
                <w:sz w:val="21"/>
                <w:szCs w:val="21"/>
                <w:highlight w:val="none"/>
              </w:rPr>
              <w:t>）</w:t>
            </w:r>
          </w:p>
        </w:tc>
        <w:tc>
          <w:tcPr>
            <w:tcW w:w="436" w:type="pct"/>
            <w:noWrap w:val="0"/>
            <w:vAlign w:val="center"/>
          </w:tcPr>
          <w:p>
            <w:pPr>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建筑高度（m）</w:t>
            </w:r>
          </w:p>
        </w:tc>
        <w:tc>
          <w:tcPr>
            <w:tcW w:w="671" w:type="pct"/>
            <w:noWrap w:val="0"/>
            <w:vAlign w:val="center"/>
          </w:tcPr>
          <w:p>
            <w:pPr>
              <w:spacing w:line="240" w:lineRule="auto"/>
              <w:jc w:val="center"/>
              <w:rPr>
                <w:color w:val="auto"/>
                <w:sz w:val="21"/>
                <w:szCs w:val="21"/>
                <w:highlight w:val="none"/>
              </w:rPr>
            </w:pPr>
            <w:r>
              <w:rPr>
                <w:rFonts w:hAnsi="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1</w:t>
            </w:r>
          </w:p>
        </w:tc>
        <w:tc>
          <w:tcPr>
            <w:tcW w:w="853" w:type="pct"/>
            <w:noWrap w:val="0"/>
            <w:vAlign w:val="center"/>
          </w:tcPr>
          <w:p>
            <w:pPr>
              <w:widowControl/>
              <w:spacing w:line="240" w:lineRule="auto"/>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101</w:t>
            </w:r>
            <w:r>
              <w:rPr>
                <w:rFonts w:hint="eastAsia" w:hAnsi="宋体"/>
                <w:color w:val="auto"/>
                <w:kern w:val="0"/>
                <w:sz w:val="21"/>
                <w:szCs w:val="21"/>
                <w:highlight w:val="none"/>
                <w:lang w:val="en-US" w:eastAsia="zh-CN"/>
              </w:rPr>
              <w:t>裂解</w:t>
            </w:r>
            <w:r>
              <w:rPr>
                <w:rFonts w:hAnsi="宋体"/>
                <w:color w:val="auto"/>
                <w:kern w:val="0"/>
                <w:sz w:val="21"/>
                <w:szCs w:val="21"/>
                <w:highlight w:val="none"/>
              </w:rPr>
              <w:t>车间</w:t>
            </w:r>
          </w:p>
        </w:tc>
        <w:tc>
          <w:tcPr>
            <w:tcW w:w="366" w:type="pct"/>
            <w:noWrap w:val="0"/>
            <w:vAlign w:val="center"/>
          </w:tcPr>
          <w:p>
            <w:pPr>
              <w:widowControl/>
              <w:spacing w:line="240" w:lineRule="auto"/>
              <w:jc w:val="center"/>
              <w:rPr>
                <w:color w:val="auto"/>
                <w:sz w:val="21"/>
                <w:szCs w:val="21"/>
                <w:highlight w:val="none"/>
              </w:rPr>
            </w:pPr>
            <w:r>
              <w:rPr>
                <w:rFonts w:hint="eastAsia"/>
                <w:color w:val="auto"/>
                <w:sz w:val="21"/>
                <w:szCs w:val="21"/>
                <w:highlight w:val="none"/>
              </w:rPr>
              <w:t>甲类</w:t>
            </w:r>
          </w:p>
        </w:tc>
        <w:tc>
          <w:tcPr>
            <w:tcW w:w="394" w:type="pct"/>
            <w:noWrap w:val="0"/>
            <w:vAlign w:val="center"/>
          </w:tcPr>
          <w:p>
            <w:pPr>
              <w:widowControl/>
              <w:spacing w:line="240" w:lineRule="auto"/>
              <w:jc w:val="center"/>
              <w:rPr>
                <w:color w:val="auto"/>
                <w:sz w:val="21"/>
                <w:szCs w:val="21"/>
                <w:highlight w:val="none"/>
              </w:rPr>
            </w:pPr>
            <w:r>
              <w:rPr>
                <w:rFonts w:hAnsi="宋体"/>
                <w:color w:val="auto"/>
                <w:sz w:val="21"/>
                <w:szCs w:val="21"/>
                <w:highlight w:val="none"/>
              </w:rPr>
              <w:t>二级</w:t>
            </w:r>
          </w:p>
        </w:tc>
        <w:tc>
          <w:tcPr>
            <w:tcW w:w="354" w:type="pct"/>
            <w:noWrap w:val="0"/>
            <w:vAlign w:val="center"/>
          </w:tcPr>
          <w:p>
            <w:pPr>
              <w:spacing w:line="240" w:lineRule="auto"/>
              <w:jc w:val="center"/>
              <w:rPr>
                <w:color w:val="auto"/>
                <w:sz w:val="21"/>
                <w:szCs w:val="21"/>
                <w:highlight w:val="none"/>
              </w:rPr>
            </w:pPr>
            <w:r>
              <w:rPr>
                <w:rFonts w:hint="eastAsia"/>
                <w:color w:val="auto"/>
                <w:sz w:val="21"/>
                <w:szCs w:val="21"/>
                <w:highlight w:val="none"/>
              </w:rPr>
              <w:t>1</w:t>
            </w:r>
          </w:p>
        </w:tc>
        <w:tc>
          <w:tcPr>
            <w:tcW w:w="420"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1682.88</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1606.88</w:t>
            </w:r>
          </w:p>
        </w:tc>
        <w:tc>
          <w:tcPr>
            <w:tcW w:w="436" w:type="pct"/>
            <w:noWrap w:val="0"/>
            <w:vAlign w:val="center"/>
          </w:tcPr>
          <w:p>
            <w:pPr>
              <w:widowControl/>
              <w:spacing w:line="240" w:lineRule="auto"/>
              <w:jc w:val="center"/>
              <w:rPr>
                <w:rFonts w:hint="default" w:hAnsi="宋体"/>
                <w:color w:val="auto"/>
                <w:kern w:val="0"/>
                <w:sz w:val="21"/>
                <w:szCs w:val="21"/>
                <w:highlight w:val="none"/>
                <w:lang w:val="en-US" w:eastAsia="zh-CN"/>
              </w:rPr>
            </w:pPr>
            <w:r>
              <w:rPr>
                <w:rFonts w:hint="eastAsia" w:hAnsi="宋体"/>
                <w:color w:val="auto"/>
                <w:kern w:val="0"/>
                <w:sz w:val="21"/>
                <w:szCs w:val="21"/>
                <w:highlight w:val="none"/>
                <w:lang w:val="en-US" w:eastAsia="zh-CN"/>
              </w:rPr>
              <w:t>10.70</w:t>
            </w:r>
          </w:p>
        </w:tc>
        <w:tc>
          <w:tcPr>
            <w:tcW w:w="671" w:type="pct"/>
            <w:noWrap w:val="0"/>
            <w:vAlign w:val="center"/>
          </w:tcPr>
          <w:p>
            <w:pPr>
              <w:widowControl/>
              <w:spacing w:line="240" w:lineRule="auto"/>
              <w:jc w:val="center"/>
              <w:rPr>
                <w:rFonts w:hint="eastAsia" w:hAnsi="宋体"/>
                <w:color w:val="auto"/>
                <w:kern w:val="0"/>
                <w:sz w:val="21"/>
                <w:szCs w:val="21"/>
                <w:highlight w:val="none"/>
                <w:lang w:val="en-US" w:eastAsia="zh-CN"/>
              </w:rPr>
            </w:pPr>
            <w:r>
              <w:rPr>
                <w:rFonts w:hint="eastAsia" w:hAnsi="宋体"/>
                <w:color w:val="auto"/>
                <w:kern w:val="0"/>
                <w:sz w:val="21"/>
                <w:szCs w:val="21"/>
                <w:highlight w:val="none"/>
                <w:lang w:val="en-US" w:eastAsia="zh-CN"/>
              </w:rPr>
              <w:t>半敞开式，</w:t>
            </w:r>
          </w:p>
          <w:p>
            <w:pPr>
              <w:widowControl/>
              <w:spacing w:line="240" w:lineRule="auto"/>
              <w:jc w:val="center"/>
              <w:rPr>
                <w:rFonts w:hint="default" w:eastAsia="宋体"/>
                <w:color w:val="auto"/>
                <w:kern w:val="0"/>
                <w:sz w:val="21"/>
                <w:szCs w:val="21"/>
                <w:highlight w:val="none"/>
                <w:lang w:val="en-US" w:eastAsia="zh-CN"/>
              </w:rPr>
            </w:pPr>
            <w:r>
              <w:rPr>
                <w:rFonts w:hint="eastAsia" w:hAnsi="宋体"/>
                <w:color w:val="auto"/>
                <w:kern w:val="0"/>
                <w:sz w:val="21"/>
                <w:szCs w:val="21"/>
                <w:highlight w:val="none"/>
                <w:lang w:val="en-US" w:eastAsia="zh-CN"/>
              </w:rPr>
              <w:t>层高＞8m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2</w:t>
            </w:r>
          </w:p>
        </w:tc>
        <w:tc>
          <w:tcPr>
            <w:tcW w:w="853" w:type="pct"/>
            <w:noWrap w:val="0"/>
            <w:vAlign w:val="center"/>
          </w:tcPr>
          <w:p>
            <w:pPr>
              <w:widowControl/>
              <w:spacing w:line="240" w:lineRule="auto"/>
              <w:jc w:val="center"/>
              <w:rPr>
                <w:rFonts w:hint="eastAsia" w:eastAsia="宋体"/>
                <w:color w:val="auto"/>
                <w:kern w:val="0"/>
                <w:sz w:val="21"/>
                <w:szCs w:val="21"/>
                <w:highlight w:val="none"/>
                <w:lang w:eastAsia="zh-CN"/>
              </w:rPr>
            </w:pPr>
            <w:r>
              <w:rPr>
                <w:rFonts w:hint="eastAsia"/>
                <w:color w:val="auto"/>
                <w:kern w:val="0"/>
                <w:sz w:val="21"/>
                <w:szCs w:val="21"/>
                <w:highlight w:val="none"/>
                <w:lang w:val="en-US" w:eastAsia="zh-CN"/>
              </w:rPr>
              <w:t>102</w:t>
            </w:r>
            <w:r>
              <w:rPr>
                <w:rFonts w:hint="eastAsia" w:hAnsi="宋体"/>
                <w:color w:val="auto"/>
                <w:kern w:val="0"/>
                <w:sz w:val="21"/>
                <w:szCs w:val="21"/>
                <w:highlight w:val="none"/>
                <w:lang w:val="en-US" w:eastAsia="zh-CN"/>
              </w:rPr>
              <w:t>精馏车间</w:t>
            </w:r>
          </w:p>
        </w:tc>
        <w:tc>
          <w:tcPr>
            <w:tcW w:w="366" w:type="pct"/>
            <w:noWrap w:val="0"/>
            <w:vAlign w:val="center"/>
          </w:tcPr>
          <w:p>
            <w:pPr>
              <w:widowControl/>
              <w:spacing w:line="240" w:lineRule="auto"/>
              <w:jc w:val="center"/>
              <w:rPr>
                <w:color w:val="auto"/>
                <w:sz w:val="21"/>
                <w:szCs w:val="21"/>
                <w:highlight w:val="none"/>
              </w:rPr>
            </w:pPr>
            <w:r>
              <w:rPr>
                <w:rFonts w:hint="eastAsia"/>
                <w:color w:val="auto"/>
                <w:sz w:val="21"/>
                <w:szCs w:val="21"/>
                <w:highlight w:val="none"/>
                <w:lang w:val="en-US" w:eastAsia="zh-CN"/>
              </w:rPr>
              <w:t>甲</w:t>
            </w:r>
            <w:r>
              <w:rPr>
                <w:rFonts w:hint="eastAsia"/>
                <w:color w:val="auto"/>
                <w:sz w:val="21"/>
                <w:szCs w:val="21"/>
                <w:highlight w:val="none"/>
              </w:rPr>
              <w:t>类</w:t>
            </w:r>
          </w:p>
        </w:tc>
        <w:tc>
          <w:tcPr>
            <w:tcW w:w="394" w:type="pct"/>
            <w:noWrap w:val="0"/>
            <w:vAlign w:val="center"/>
          </w:tcPr>
          <w:p>
            <w:pPr>
              <w:widowControl/>
              <w:spacing w:line="240" w:lineRule="auto"/>
              <w:jc w:val="center"/>
              <w:rPr>
                <w:color w:val="auto"/>
                <w:sz w:val="21"/>
                <w:szCs w:val="21"/>
                <w:highlight w:val="none"/>
              </w:rPr>
            </w:pPr>
            <w:r>
              <w:rPr>
                <w:rFonts w:hAnsi="宋体"/>
                <w:color w:val="auto"/>
                <w:sz w:val="21"/>
                <w:szCs w:val="21"/>
                <w:highlight w:val="none"/>
              </w:rPr>
              <w:t>二级</w:t>
            </w:r>
          </w:p>
        </w:tc>
        <w:tc>
          <w:tcPr>
            <w:tcW w:w="354" w:type="pct"/>
            <w:noWrap w:val="0"/>
            <w:vAlign w:val="center"/>
          </w:tcPr>
          <w:p>
            <w:pPr>
              <w:spacing w:line="240" w:lineRule="auto"/>
              <w:jc w:val="center"/>
              <w:rPr>
                <w:rFonts w:hint="eastAsia" w:eastAsia="宋体"/>
                <w:color w:val="auto"/>
                <w:sz w:val="21"/>
                <w:szCs w:val="21"/>
                <w:highlight w:val="none"/>
                <w:lang w:eastAsia="zh-CN"/>
              </w:rPr>
            </w:pPr>
            <w:r>
              <w:rPr>
                <w:rFonts w:hint="eastAsia"/>
                <w:color w:val="auto"/>
                <w:sz w:val="21"/>
                <w:szCs w:val="21"/>
                <w:highlight w:val="none"/>
                <w:lang w:val="en-US" w:eastAsia="zh-CN"/>
              </w:rPr>
              <w:t>6</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227.77</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1052.09</w:t>
            </w:r>
          </w:p>
        </w:tc>
        <w:tc>
          <w:tcPr>
            <w:tcW w:w="436"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22.71</w:t>
            </w:r>
          </w:p>
        </w:tc>
        <w:tc>
          <w:tcPr>
            <w:tcW w:w="671" w:type="pct"/>
            <w:noWrap w:val="0"/>
            <w:vAlign w:val="center"/>
          </w:tcPr>
          <w:p>
            <w:pPr>
              <w:widowControl/>
              <w:spacing w:line="240" w:lineRule="auto"/>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敞开式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3</w:t>
            </w:r>
          </w:p>
        </w:tc>
        <w:tc>
          <w:tcPr>
            <w:tcW w:w="853" w:type="pct"/>
            <w:noWrap w:val="0"/>
            <w:vAlign w:val="center"/>
          </w:tcPr>
          <w:p>
            <w:pPr>
              <w:widowControl/>
              <w:spacing w:line="240" w:lineRule="auto"/>
              <w:jc w:val="center"/>
              <w:rPr>
                <w:rFonts w:hint="eastAsia" w:eastAsia="宋体"/>
                <w:color w:val="auto"/>
                <w:kern w:val="0"/>
                <w:sz w:val="21"/>
                <w:szCs w:val="21"/>
                <w:highlight w:val="none"/>
                <w:lang w:eastAsia="zh-CN"/>
              </w:rPr>
            </w:pPr>
            <w:r>
              <w:rPr>
                <w:rFonts w:hint="eastAsia"/>
                <w:color w:val="auto"/>
                <w:kern w:val="0"/>
                <w:sz w:val="21"/>
                <w:szCs w:val="21"/>
                <w:highlight w:val="none"/>
                <w:lang w:val="en-US" w:eastAsia="zh-CN"/>
              </w:rPr>
              <w:t>201</w:t>
            </w:r>
            <w:r>
              <w:rPr>
                <w:rFonts w:hint="eastAsia" w:hAnsi="宋体"/>
                <w:color w:val="auto"/>
                <w:kern w:val="0"/>
                <w:sz w:val="21"/>
                <w:szCs w:val="21"/>
                <w:highlight w:val="none"/>
                <w:lang w:val="en-US" w:eastAsia="zh-CN"/>
              </w:rPr>
              <w:t>甲类仓库</w:t>
            </w:r>
          </w:p>
        </w:tc>
        <w:tc>
          <w:tcPr>
            <w:tcW w:w="366" w:type="pct"/>
            <w:noWrap w:val="0"/>
            <w:vAlign w:val="center"/>
          </w:tcPr>
          <w:p>
            <w:pPr>
              <w:widowControl/>
              <w:spacing w:line="240" w:lineRule="auto"/>
              <w:jc w:val="center"/>
              <w:rPr>
                <w:color w:val="auto"/>
                <w:sz w:val="21"/>
                <w:szCs w:val="21"/>
                <w:highlight w:val="none"/>
              </w:rPr>
            </w:pPr>
            <w:r>
              <w:rPr>
                <w:rFonts w:hint="eastAsia"/>
                <w:color w:val="auto"/>
                <w:sz w:val="21"/>
                <w:szCs w:val="21"/>
                <w:highlight w:val="none"/>
              </w:rPr>
              <w:t>甲类</w:t>
            </w:r>
          </w:p>
        </w:tc>
        <w:tc>
          <w:tcPr>
            <w:tcW w:w="394" w:type="pct"/>
            <w:noWrap w:val="0"/>
            <w:vAlign w:val="center"/>
          </w:tcPr>
          <w:p>
            <w:pPr>
              <w:widowControl/>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二级</w:t>
            </w:r>
          </w:p>
        </w:tc>
        <w:tc>
          <w:tcPr>
            <w:tcW w:w="354" w:type="pct"/>
            <w:noWrap w:val="0"/>
            <w:vAlign w:val="center"/>
          </w:tcPr>
          <w:p>
            <w:pPr>
              <w:spacing w:line="240" w:lineRule="auto"/>
              <w:jc w:val="center"/>
              <w:rPr>
                <w:color w:val="auto"/>
                <w:sz w:val="21"/>
                <w:szCs w:val="21"/>
                <w:highlight w:val="none"/>
              </w:rPr>
            </w:pPr>
            <w:r>
              <w:rPr>
                <w:color w:val="auto"/>
                <w:sz w:val="21"/>
                <w:szCs w:val="21"/>
                <w:highlight w:val="none"/>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84</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84</w:t>
            </w:r>
          </w:p>
        </w:tc>
        <w:tc>
          <w:tcPr>
            <w:tcW w:w="43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color w:val="auto"/>
                <w:kern w:val="0"/>
                <w:sz w:val="21"/>
                <w:szCs w:val="21"/>
                <w:highlight w:val="none"/>
                <w:lang w:val="en-US" w:eastAsia="zh-CN"/>
              </w:rPr>
            </w:pPr>
            <w:r>
              <w:rPr>
                <w:rFonts w:hint="eastAsia"/>
                <w:color w:val="auto"/>
                <w:kern w:val="0"/>
                <w:sz w:val="21"/>
                <w:szCs w:val="21"/>
                <w:highlight w:val="none"/>
                <w:lang w:val="en-US" w:eastAsia="zh-CN"/>
              </w:rPr>
              <w:t>7.40</w:t>
            </w:r>
          </w:p>
        </w:tc>
        <w:tc>
          <w:tcPr>
            <w:tcW w:w="671"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存放固废、阻聚剂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4</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202</w:t>
            </w:r>
            <w:r>
              <w:rPr>
                <w:rFonts w:hAnsi="宋体"/>
                <w:color w:val="auto"/>
                <w:kern w:val="0"/>
                <w:sz w:val="21"/>
                <w:szCs w:val="21"/>
                <w:highlight w:val="none"/>
              </w:rPr>
              <w:t>丙类仓库</w:t>
            </w:r>
            <w:r>
              <w:rPr>
                <w:rFonts w:hint="eastAsia" w:hAnsi="宋体"/>
                <w:color w:val="auto"/>
                <w:kern w:val="0"/>
                <w:sz w:val="21"/>
                <w:szCs w:val="21"/>
                <w:highlight w:val="none"/>
                <w:lang w:val="en-US" w:eastAsia="zh-CN"/>
              </w:rPr>
              <w:t>一</w:t>
            </w:r>
          </w:p>
        </w:tc>
        <w:tc>
          <w:tcPr>
            <w:tcW w:w="366"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丙类</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Ansi="宋体"/>
                <w:color w:val="auto"/>
                <w:sz w:val="21"/>
                <w:szCs w:val="21"/>
                <w:highlight w:val="none"/>
              </w:rPr>
              <w:t>二级</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133</w:t>
            </w:r>
          </w:p>
        </w:tc>
        <w:tc>
          <w:tcPr>
            <w:tcW w:w="607"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133</w:t>
            </w:r>
          </w:p>
        </w:tc>
        <w:tc>
          <w:tcPr>
            <w:tcW w:w="436" w:type="pct"/>
            <w:noWrap w:val="0"/>
            <w:vAlign w:val="center"/>
          </w:tcPr>
          <w:p>
            <w:pPr>
              <w:widowControl/>
              <w:spacing w:line="240" w:lineRule="auto"/>
              <w:jc w:val="center"/>
              <w:rPr>
                <w:rFonts w:hint="default" w:hAnsi="宋体"/>
                <w:color w:val="auto"/>
                <w:kern w:val="0"/>
                <w:sz w:val="21"/>
                <w:szCs w:val="21"/>
                <w:highlight w:val="none"/>
                <w:lang w:val="en-US" w:eastAsia="zh-CN"/>
              </w:rPr>
            </w:pPr>
            <w:r>
              <w:rPr>
                <w:rFonts w:hint="eastAsia" w:hAnsi="宋体"/>
                <w:color w:val="auto"/>
                <w:kern w:val="0"/>
                <w:sz w:val="21"/>
                <w:szCs w:val="21"/>
                <w:highlight w:val="none"/>
                <w:lang w:val="en-US" w:eastAsia="zh-CN"/>
              </w:rPr>
              <w:t>9.50</w:t>
            </w:r>
          </w:p>
        </w:tc>
        <w:tc>
          <w:tcPr>
            <w:tcW w:w="671"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hAnsi="宋体"/>
                <w:color w:val="auto"/>
                <w:kern w:val="0"/>
                <w:sz w:val="21"/>
                <w:szCs w:val="21"/>
                <w:highlight w:val="none"/>
                <w:lang w:val="en-US" w:eastAsia="zh-CN"/>
              </w:rPr>
              <w:t>层高＞8m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5</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203</w:t>
            </w:r>
            <w:r>
              <w:rPr>
                <w:rFonts w:hAnsi="宋体"/>
                <w:color w:val="auto"/>
                <w:kern w:val="0"/>
                <w:sz w:val="21"/>
                <w:szCs w:val="21"/>
                <w:highlight w:val="none"/>
              </w:rPr>
              <w:t>罐区</w:t>
            </w:r>
          </w:p>
        </w:tc>
        <w:tc>
          <w:tcPr>
            <w:tcW w:w="366"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甲类</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Ansi="宋体"/>
                <w:color w:val="auto"/>
                <w:sz w:val="21"/>
                <w:szCs w:val="21"/>
                <w:highlight w:val="none"/>
              </w:rPr>
              <w:t>二级</w:t>
            </w:r>
          </w:p>
        </w:tc>
        <w:tc>
          <w:tcPr>
            <w:tcW w:w="354" w:type="pc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280" w:leftChars="-100" w:right="-280" w:rightChars="-10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color w:val="auto"/>
                <w:kern w:val="0"/>
                <w:sz w:val="21"/>
                <w:szCs w:val="21"/>
                <w:highlight w:val="none"/>
                <w:lang w:val="en-US" w:eastAsia="zh-CN"/>
              </w:rPr>
              <w:t>砼</w:t>
            </w:r>
          </w:p>
        </w:tc>
        <w:tc>
          <w:tcPr>
            <w:tcW w:w="55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ind w:left="-280" w:leftChars="-100" w:right="-280" w:rightChars="-10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color w:val="auto"/>
                <w:kern w:val="0"/>
                <w:sz w:val="21"/>
                <w:szCs w:val="21"/>
                <w:highlight w:val="none"/>
                <w:lang w:val="en-US" w:eastAsia="zh-CN"/>
              </w:rPr>
              <w:t>447.27</w:t>
            </w:r>
          </w:p>
        </w:tc>
        <w:tc>
          <w:tcPr>
            <w:tcW w:w="607"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p>
        </w:tc>
        <w:tc>
          <w:tcPr>
            <w:tcW w:w="671"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V</w:t>
            </w:r>
            <w:r>
              <w:rPr>
                <w:rFonts w:hint="eastAsia" w:cs="Times New Roman"/>
                <w:color w:val="auto"/>
                <w:kern w:val="0"/>
                <w:sz w:val="21"/>
                <w:szCs w:val="21"/>
                <w:highlight w:val="none"/>
                <w:vertAlign w:val="subscript"/>
                <w:lang w:val="en-US" w:eastAsia="zh-CN" w:bidi="ar-SA"/>
              </w:rPr>
              <w:t>单</w:t>
            </w:r>
            <w:r>
              <w:rPr>
                <w:rFonts w:hint="eastAsia" w:cs="Times New Roman"/>
                <w:color w:val="auto"/>
                <w:kern w:val="0"/>
                <w:sz w:val="21"/>
                <w:szCs w:val="21"/>
                <w:highlight w:val="none"/>
                <w:vertAlign w:val="baseline"/>
                <w:lang w:val="en-US" w:eastAsia="zh-CN" w:bidi="ar-SA"/>
              </w:rPr>
              <w:t>=80m</w:t>
            </w:r>
            <w:r>
              <w:rPr>
                <w:rFonts w:hint="eastAsia" w:cs="Times New Roman"/>
                <w:color w:val="auto"/>
                <w:kern w:val="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6</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204</w:t>
            </w:r>
            <w:r>
              <w:rPr>
                <w:rFonts w:hint="eastAsia" w:hAnsi="宋体"/>
                <w:color w:val="auto"/>
                <w:kern w:val="0"/>
                <w:sz w:val="21"/>
                <w:szCs w:val="21"/>
                <w:highlight w:val="none"/>
                <w:lang w:val="en-US" w:eastAsia="zh-CN"/>
              </w:rPr>
              <w:t>丙类仓库二</w:t>
            </w:r>
          </w:p>
        </w:tc>
        <w:tc>
          <w:tcPr>
            <w:tcW w:w="366"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丙类</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Ansi="宋体"/>
                <w:color w:val="auto"/>
                <w:sz w:val="21"/>
                <w:szCs w:val="21"/>
                <w:highlight w:val="none"/>
              </w:rPr>
              <w:t>二级</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1215</w:t>
            </w:r>
          </w:p>
        </w:tc>
        <w:tc>
          <w:tcPr>
            <w:tcW w:w="607"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1215</w:t>
            </w:r>
          </w:p>
        </w:tc>
        <w:tc>
          <w:tcPr>
            <w:tcW w:w="436" w:type="pct"/>
            <w:noWrap w:val="0"/>
            <w:vAlign w:val="center"/>
          </w:tcPr>
          <w:p>
            <w:pPr>
              <w:widowControl/>
              <w:spacing w:line="240" w:lineRule="auto"/>
              <w:jc w:val="center"/>
              <w:rPr>
                <w:rFonts w:hint="default" w:hAnsi="宋体"/>
                <w:color w:val="auto"/>
                <w:kern w:val="0"/>
                <w:sz w:val="21"/>
                <w:szCs w:val="21"/>
                <w:highlight w:val="none"/>
                <w:lang w:val="en-US" w:eastAsia="zh-CN"/>
              </w:rPr>
            </w:pPr>
            <w:r>
              <w:rPr>
                <w:rFonts w:hint="eastAsia" w:hAnsi="宋体"/>
                <w:color w:val="auto"/>
                <w:kern w:val="0"/>
                <w:sz w:val="21"/>
                <w:szCs w:val="21"/>
                <w:highlight w:val="none"/>
                <w:lang w:val="en-US" w:eastAsia="zh-CN"/>
              </w:rPr>
              <w:t>9.8</w:t>
            </w:r>
          </w:p>
        </w:tc>
        <w:tc>
          <w:tcPr>
            <w:tcW w:w="671"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hAnsi="宋体"/>
                <w:color w:val="auto"/>
                <w:kern w:val="0"/>
                <w:sz w:val="21"/>
                <w:szCs w:val="21"/>
                <w:highlight w:val="none"/>
                <w:lang w:val="en-US" w:eastAsia="zh-CN"/>
              </w:rPr>
              <w:t>层高＞8m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7</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301</w:t>
            </w:r>
            <w:r>
              <w:rPr>
                <w:rFonts w:hAnsi="宋体"/>
                <w:color w:val="auto"/>
                <w:kern w:val="0"/>
                <w:sz w:val="21"/>
                <w:szCs w:val="21"/>
                <w:highlight w:val="none"/>
              </w:rPr>
              <w:t>消防泵房</w:t>
            </w:r>
          </w:p>
        </w:tc>
        <w:tc>
          <w:tcPr>
            <w:tcW w:w="366"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丁</w:t>
            </w:r>
            <w:r>
              <w:rPr>
                <w:rFonts w:hint="eastAsia"/>
                <w:color w:val="auto"/>
                <w:sz w:val="21"/>
                <w:szCs w:val="21"/>
                <w:highlight w:val="none"/>
              </w:rPr>
              <w:t>类</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Ansi="宋体"/>
                <w:color w:val="auto"/>
                <w:sz w:val="21"/>
                <w:szCs w:val="21"/>
                <w:highlight w:val="none"/>
              </w:rPr>
              <w:t>二级</w:t>
            </w:r>
          </w:p>
        </w:tc>
        <w:tc>
          <w:tcPr>
            <w:tcW w:w="354" w:type="pc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color w:val="auto"/>
                <w:sz w:val="21"/>
                <w:szCs w:val="21"/>
                <w:highlight w:val="none"/>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39.89</w:t>
            </w:r>
          </w:p>
        </w:tc>
        <w:tc>
          <w:tcPr>
            <w:tcW w:w="607"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39.89</w:t>
            </w:r>
          </w:p>
        </w:tc>
        <w:tc>
          <w:tcPr>
            <w:tcW w:w="436"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6.7</w:t>
            </w:r>
          </w:p>
        </w:tc>
        <w:tc>
          <w:tcPr>
            <w:tcW w:w="671"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color w:val="auto"/>
                <w:sz w:val="21"/>
                <w:szCs w:val="21"/>
                <w:highlight w:val="none"/>
              </w:rPr>
            </w:pPr>
            <w:r>
              <w:rPr>
                <w:color w:val="auto"/>
                <w:sz w:val="21"/>
                <w:szCs w:val="21"/>
                <w:highlight w:val="none"/>
              </w:rPr>
              <w:t>8</w:t>
            </w:r>
          </w:p>
        </w:tc>
        <w:tc>
          <w:tcPr>
            <w:tcW w:w="853" w:type="pct"/>
            <w:noWrap w:val="0"/>
            <w:vAlign w:val="center"/>
          </w:tcPr>
          <w:p>
            <w:pPr>
              <w:widowControl/>
              <w:spacing w:line="240" w:lineRule="auto"/>
              <w:jc w:val="center"/>
              <w:rPr>
                <w:rFonts w:hint="default" w:ascii="Times New Roman" w:hAnsi="宋体"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301A</w:t>
            </w:r>
            <w:r>
              <w:rPr>
                <w:rFonts w:hint="eastAsia" w:hAnsi="宋体"/>
                <w:color w:val="auto"/>
                <w:kern w:val="0"/>
                <w:sz w:val="21"/>
                <w:szCs w:val="21"/>
                <w:highlight w:val="none"/>
                <w:lang w:val="en-US" w:eastAsia="zh-CN"/>
              </w:rPr>
              <w:t>消防水罐</w:t>
            </w:r>
          </w:p>
        </w:tc>
        <w:tc>
          <w:tcPr>
            <w:tcW w:w="366"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砼</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76.97</w:t>
            </w:r>
          </w:p>
        </w:tc>
        <w:tc>
          <w:tcPr>
            <w:tcW w:w="607"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6.1</w:t>
            </w:r>
          </w:p>
        </w:tc>
        <w:tc>
          <w:tcPr>
            <w:tcW w:w="671"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地上式，570.8m</w:t>
            </w:r>
            <w:r>
              <w:rPr>
                <w:rFonts w:hint="eastAsia" w:cs="Times New Roman"/>
                <w:color w:val="auto"/>
                <w:kern w:val="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9</w:t>
            </w:r>
          </w:p>
        </w:tc>
        <w:tc>
          <w:tcPr>
            <w:tcW w:w="853"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302</w:t>
            </w:r>
            <w:r>
              <w:rPr>
                <w:rFonts w:hint="eastAsia" w:hAnsi="宋体"/>
                <w:color w:val="auto"/>
                <w:kern w:val="0"/>
                <w:sz w:val="21"/>
                <w:szCs w:val="21"/>
                <w:highlight w:val="none"/>
                <w:lang w:val="en-US" w:eastAsia="zh-CN"/>
              </w:rPr>
              <w:t>循环水池</w:t>
            </w:r>
          </w:p>
        </w:tc>
        <w:tc>
          <w:tcPr>
            <w:tcW w:w="366"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砼</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252</w:t>
            </w:r>
          </w:p>
        </w:tc>
        <w:tc>
          <w:tcPr>
            <w:tcW w:w="607"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rFonts w:hint="eastAsia"/>
                <w:color w:val="auto"/>
                <w:kern w:val="0"/>
                <w:sz w:val="21"/>
                <w:szCs w:val="21"/>
                <w:highlight w:val="none"/>
                <w:lang w:val="en-US" w:eastAsia="zh-CN"/>
              </w:rPr>
            </w:pPr>
          </w:p>
        </w:tc>
        <w:tc>
          <w:tcPr>
            <w:tcW w:w="671"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地上式，1200m</w:t>
            </w:r>
            <w:r>
              <w:rPr>
                <w:rFonts w:hint="eastAsia"/>
                <w:color w:val="auto"/>
                <w:kern w:val="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10</w:t>
            </w:r>
          </w:p>
        </w:tc>
        <w:tc>
          <w:tcPr>
            <w:tcW w:w="853"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303</w:t>
            </w:r>
            <w:r>
              <w:rPr>
                <w:rFonts w:hAnsi="宋体"/>
                <w:color w:val="auto"/>
                <w:kern w:val="0"/>
                <w:sz w:val="21"/>
                <w:szCs w:val="21"/>
                <w:highlight w:val="none"/>
              </w:rPr>
              <w:t>事故应急池</w:t>
            </w:r>
          </w:p>
        </w:tc>
        <w:tc>
          <w:tcPr>
            <w:tcW w:w="366" w:type="pct"/>
            <w:noWrap w:val="0"/>
            <w:vAlign w:val="center"/>
          </w:tcPr>
          <w:p>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砼</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155</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rFonts w:hint="eastAsia"/>
                <w:color w:val="auto"/>
                <w:kern w:val="0"/>
                <w:sz w:val="21"/>
                <w:szCs w:val="21"/>
                <w:highlight w:val="none"/>
                <w:lang w:val="en-US" w:eastAsia="zh-CN"/>
              </w:rPr>
            </w:pPr>
          </w:p>
        </w:tc>
        <w:tc>
          <w:tcPr>
            <w:tcW w:w="671" w:type="pct"/>
            <w:noWrap w:val="0"/>
            <w:vAlign w:val="center"/>
          </w:tcPr>
          <w:p>
            <w:pPr>
              <w:widowControl/>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500m</w:t>
            </w:r>
            <w:r>
              <w:rPr>
                <w:rFonts w:hint="eastAsia"/>
                <w:color w:val="auto"/>
                <w:kern w:val="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11</w:t>
            </w:r>
          </w:p>
        </w:tc>
        <w:tc>
          <w:tcPr>
            <w:tcW w:w="853"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304</w:t>
            </w:r>
            <w:r>
              <w:rPr>
                <w:rFonts w:hAnsi="宋体"/>
                <w:color w:val="auto"/>
                <w:kern w:val="0"/>
                <w:sz w:val="21"/>
                <w:szCs w:val="21"/>
                <w:highlight w:val="none"/>
              </w:rPr>
              <w:t>污水处理</w:t>
            </w:r>
            <w:r>
              <w:rPr>
                <w:rFonts w:hint="eastAsia" w:hAnsi="宋体"/>
                <w:color w:val="auto"/>
                <w:kern w:val="0"/>
                <w:sz w:val="21"/>
                <w:szCs w:val="21"/>
                <w:highlight w:val="none"/>
                <w:lang w:val="en-US" w:eastAsia="zh-CN"/>
              </w:rPr>
              <w:t>池</w:t>
            </w:r>
          </w:p>
        </w:tc>
        <w:tc>
          <w:tcPr>
            <w:tcW w:w="366" w:type="pct"/>
            <w:noWrap w:val="0"/>
            <w:vAlign w:val="center"/>
          </w:tcPr>
          <w:p>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54</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color w:val="auto"/>
                <w:kern w:val="0"/>
                <w:sz w:val="21"/>
                <w:szCs w:val="21"/>
                <w:highlight w:val="none"/>
              </w:rPr>
            </w:pPr>
          </w:p>
        </w:tc>
        <w:tc>
          <w:tcPr>
            <w:tcW w:w="671" w:type="pct"/>
            <w:noWrap w:val="0"/>
            <w:vAlign w:val="center"/>
          </w:tcPr>
          <w:p>
            <w:pPr>
              <w:widowControl/>
              <w:spacing w:line="240" w:lineRule="auto"/>
              <w:jc w:val="center"/>
              <w:rPr>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12</w:t>
            </w:r>
          </w:p>
        </w:tc>
        <w:tc>
          <w:tcPr>
            <w:tcW w:w="853"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305</w:t>
            </w:r>
            <w:r>
              <w:rPr>
                <w:rFonts w:hint="eastAsia" w:cs="Times New Roman"/>
                <w:color w:val="auto"/>
                <w:kern w:val="0"/>
                <w:sz w:val="21"/>
                <w:szCs w:val="21"/>
                <w:highlight w:val="none"/>
                <w:lang w:val="en-US" w:eastAsia="zh-CN" w:bidi="ar-SA"/>
              </w:rPr>
              <w:t>初期雨水池</w:t>
            </w:r>
          </w:p>
        </w:tc>
        <w:tc>
          <w:tcPr>
            <w:tcW w:w="366" w:type="pct"/>
            <w:noWrap w:val="0"/>
            <w:vAlign w:val="center"/>
          </w:tcPr>
          <w:p>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 w:val="21"/>
                <w:szCs w:val="21"/>
                <w:highlight w:val="none"/>
                <w:lang w:val="en-US" w:eastAsia="zh-CN"/>
              </w:rPr>
              <w:t>/</w:t>
            </w:r>
          </w:p>
        </w:tc>
        <w:tc>
          <w:tcPr>
            <w:tcW w:w="420" w:type="pct"/>
            <w:noWrap w:val="0"/>
            <w:vAlign w:val="center"/>
          </w:tcPr>
          <w:p>
            <w:pPr>
              <w:widowControl/>
              <w:spacing w:line="240" w:lineRule="auto"/>
              <w:jc w:val="center"/>
              <w:rPr>
                <w:rFonts w:hint="eastAsia" w:cs="Times New Roman"/>
                <w:color w:val="auto"/>
                <w:kern w:val="0"/>
                <w:sz w:val="21"/>
                <w:szCs w:val="21"/>
                <w:highlight w:val="none"/>
                <w:lang w:val="en-US" w:eastAsia="zh-CN" w:bidi="ar-SA"/>
              </w:rPr>
            </w:pPr>
            <w:r>
              <w:rPr>
                <w:rFonts w:hint="eastAsia"/>
                <w:color w:val="auto"/>
                <w:kern w:val="0"/>
                <w:sz w:val="21"/>
                <w:szCs w:val="21"/>
                <w:highlight w:val="none"/>
                <w:lang w:val="en-US" w:eastAsia="zh-CN"/>
              </w:rPr>
              <w:t>砼</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99</w:t>
            </w:r>
          </w:p>
        </w:tc>
        <w:tc>
          <w:tcPr>
            <w:tcW w:w="607" w:type="pct"/>
            <w:noWrap w:val="0"/>
            <w:vAlign w:val="center"/>
          </w:tcPr>
          <w:p>
            <w:pPr>
              <w:widowControl/>
              <w:spacing w:line="240" w:lineRule="auto"/>
              <w:jc w:val="center"/>
              <w:rPr>
                <w:color w:val="auto"/>
                <w:kern w:val="0"/>
                <w:sz w:val="21"/>
                <w:szCs w:val="21"/>
                <w:highlight w:val="none"/>
              </w:rPr>
            </w:pPr>
            <w:r>
              <w:rPr>
                <w:rFonts w:hint="eastAsia"/>
                <w:color w:val="auto"/>
                <w:kern w:val="0"/>
                <w:sz w:val="21"/>
                <w:szCs w:val="21"/>
                <w:highlight w:val="none"/>
                <w:lang w:val="en-US" w:eastAsia="zh-CN"/>
              </w:rPr>
              <w:t>/</w:t>
            </w:r>
          </w:p>
        </w:tc>
        <w:tc>
          <w:tcPr>
            <w:tcW w:w="436" w:type="pct"/>
            <w:noWrap w:val="0"/>
            <w:vAlign w:val="center"/>
          </w:tcPr>
          <w:p>
            <w:pPr>
              <w:widowControl/>
              <w:spacing w:line="240" w:lineRule="auto"/>
              <w:jc w:val="center"/>
              <w:rPr>
                <w:rFonts w:hint="eastAsia"/>
                <w:color w:val="auto"/>
                <w:kern w:val="0"/>
                <w:sz w:val="21"/>
                <w:szCs w:val="21"/>
                <w:highlight w:val="none"/>
                <w:lang w:val="en-US" w:eastAsia="zh-CN"/>
              </w:rPr>
            </w:pPr>
          </w:p>
        </w:tc>
        <w:tc>
          <w:tcPr>
            <w:tcW w:w="671" w:type="pct"/>
            <w:noWrap w:val="0"/>
            <w:vAlign w:val="center"/>
          </w:tcPr>
          <w:p>
            <w:pPr>
              <w:widowControl/>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300m</w:t>
            </w:r>
            <w:r>
              <w:rPr>
                <w:rFonts w:hint="eastAsia"/>
                <w:color w:val="auto"/>
                <w:kern w:val="0"/>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13</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306</w:t>
            </w:r>
            <w:r>
              <w:rPr>
                <w:rFonts w:hint="eastAsia" w:hAnsi="宋体"/>
                <w:color w:val="auto"/>
                <w:kern w:val="0"/>
                <w:sz w:val="21"/>
                <w:szCs w:val="21"/>
                <w:highlight w:val="none"/>
                <w:lang w:val="en-US" w:eastAsia="zh-CN"/>
              </w:rPr>
              <w:t>公用工程间</w:t>
            </w:r>
          </w:p>
        </w:tc>
        <w:tc>
          <w:tcPr>
            <w:tcW w:w="366" w:type="pct"/>
            <w:noWrap w:val="0"/>
            <w:vAlign w:val="center"/>
          </w:tcPr>
          <w:p>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丙</w:t>
            </w:r>
            <w:r>
              <w:rPr>
                <w:rFonts w:hint="eastAsia"/>
                <w:color w:val="auto"/>
                <w:sz w:val="21"/>
                <w:szCs w:val="21"/>
                <w:highlight w:val="none"/>
              </w:rPr>
              <w:t>类</w:t>
            </w:r>
          </w:p>
        </w:tc>
        <w:tc>
          <w:tcPr>
            <w:tcW w:w="394"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二级</w:t>
            </w:r>
          </w:p>
        </w:tc>
        <w:tc>
          <w:tcPr>
            <w:tcW w:w="354" w:type="pc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270</w:t>
            </w:r>
          </w:p>
        </w:tc>
        <w:tc>
          <w:tcPr>
            <w:tcW w:w="607"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567.98</w:t>
            </w:r>
          </w:p>
        </w:tc>
        <w:tc>
          <w:tcPr>
            <w:tcW w:w="436" w:type="pct"/>
            <w:noWrap w:val="0"/>
            <w:vAlign w:val="center"/>
          </w:tcPr>
          <w:p>
            <w:pPr>
              <w:widowControl/>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12.2</w:t>
            </w:r>
          </w:p>
        </w:tc>
        <w:tc>
          <w:tcPr>
            <w:tcW w:w="671" w:type="pct"/>
            <w:noWrap w:val="0"/>
            <w:vAlign w:val="center"/>
          </w:tcPr>
          <w:p>
            <w:pPr>
              <w:widowControl/>
              <w:spacing w:line="240" w:lineRule="auto"/>
              <w:jc w:val="center"/>
              <w:rPr>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14</w:t>
            </w:r>
          </w:p>
        </w:tc>
        <w:tc>
          <w:tcPr>
            <w:tcW w:w="853" w:type="pct"/>
            <w:noWrap w:val="0"/>
            <w:vAlign w:val="center"/>
          </w:tcPr>
          <w:p>
            <w:pPr>
              <w:widowControl/>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307中心控制室</w:t>
            </w:r>
          </w:p>
        </w:tc>
        <w:tc>
          <w:tcPr>
            <w:tcW w:w="366" w:type="pct"/>
            <w:noWrap w:val="0"/>
            <w:vAlign w:val="center"/>
          </w:tcPr>
          <w:p>
            <w:pPr>
              <w:widowControl/>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丁类</w:t>
            </w:r>
          </w:p>
        </w:tc>
        <w:tc>
          <w:tcPr>
            <w:tcW w:w="394"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一级</w:t>
            </w:r>
          </w:p>
        </w:tc>
        <w:tc>
          <w:tcPr>
            <w:tcW w:w="354" w:type="pc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81.84</w:t>
            </w:r>
          </w:p>
        </w:tc>
        <w:tc>
          <w:tcPr>
            <w:tcW w:w="607"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81.84</w:t>
            </w:r>
          </w:p>
        </w:tc>
        <w:tc>
          <w:tcPr>
            <w:tcW w:w="436"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6.5</w:t>
            </w:r>
          </w:p>
        </w:tc>
        <w:tc>
          <w:tcPr>
            <w:tcW w:w="671" w:type="pct"/>
            <w:noWrap w:val="0"/>
            <w:vAlign w:val="center"/>
          </w:tcPr>
          <w:p>
            <w:pPr>
              <w:widowControl/>
              <w:spacing w:line="240" w:lineRule="auto"/>
              <w:jc w:val="center"/>
              <w:rPr>
                <w:rFonts w:hint="eastAsia" w:eastAsia="宋体"/>
                <w:color w:val="auto"/>
                <w:kern w:val="0"/>
                <w:sz w:val="21"/>
                <w:szCs w:val="21"/>
                <w:highlight w:val="none"/>
                <w:lang w:val="en-US" w:eastAsia="zh-CN"/>
              </w:rPr>
            </w:pPr>
            <w:r>
              <w:rPr>
                <w:rFonts w:hint="eastAsia"/>
                <w:color w:val="auto"/>
                <w:kern w:val="0"/>
                <w:sz w:val="21"/>
                <w:szCs w:val="21"/>
                <w:highlight w:val="none"/>
                <w:lang w:val="en-US" w:eastAsia="zh-CN"/>
              </w:rPr>
              <w:t>抗爆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w:t>
            </w:r>
          </w:p>
        </w:tc>
        <w:tc>
          <w:tcPr>
            <w:tcW w:w="853"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308TO炉</w:t>
            </w:r>
          </w:p>
        </w:tc>
        <w:tc>
          <w:tcPr>
            <w:tcW w:w="366" w:type="pct"/>
            <w:noWrap w:val="0"/>
            <w:vAlign w:val="center"/>
          </w:tcPr>
          <w:p>
            <w:pPr>
              <w:widowControl/>
              <w:spacing w:line="240" w:lineRule="auto"/>
              <w:jc w:val="center"/>
              <w:rPr>
                <w:rFonts w:hint="eastAsia"/>
                <w:color w:val="auto"/>
                <w:sz w:val="21"/>
                <w:szCs w:val="21"/>
                <w:highlight w:val="none"/>
                <w:lang w:val="en-US" w:eastAsia="zh-CN"/>
              </w:rPr>
            </w:pPr>
          </w:p>
        </w:tc>
        <w:tc>
          <w:tcPr>
            <w:tcW w:w="394" w:type="pct"/>
            <w:noWrap w:val="0"/>
            <w:vAlign w:val="center"/>
          </w:tcPr>
          <w:p>
            <w:pPr>
              <w:widowControl/>
              <w:spacing w:line="240" w:lineRule="auto"/>
              <w:jc w:val="center"/>
              <w:rPr>
                <w:rFonts w:hint="eastAsia"/>
                <w:color w:val="auto"/>
                <w:sz w:val="21"/>
                <w:szCs w:val="21"/>
                <w:highlight w:val="none"/>
                <w:lang w:val="en-US" w:eastAsia="zh-CN"/>
              </w:rPr>
            </w:pPr>
          </w:p>
        </w:tc>
        <w:tc>
          <w:tcPr>
            <w:tcW w:w="354" w:type="pct"/>
            <w:noWrap w:val="0"/>
            <w:vAlign w:val="center"/>
          </w:tcPr>
          <w:p>
            <w:pPr>
              <w:spacing w:line="240" w:lineRule="auto"/>
              <w:jc w:val="center"/>
              <w:rPr>
                <w:rFonts w:hint="eastAsia"/>
                <w:color w:val="auto"/>
                <w:sz w:val="21"/>
                <w:szCs w:val="21"/>
                <w:highlight w:val="none"/>
                <w:lang w:val="en-US" w:eastAsia="zh-CN"/>
              </w:rPr>
            </w:pP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p>
        </w:tc>
        <w:tc>
          <w:tcPr>
            <w:tcW w:w="554" w:type="pct"/>
            <w:noWrap w:val="0"/>
            <w:vAlign w:val="center"/>
          </w:tcPr>
          <w:p>
            <w:pPr>
              <w:widowControl/>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66.44</w:t>
            </w:r>
          </w:p>
        </w:tc>
        <w:tc>
          <w:tcPr>
            <w:tcW w:w="607" w:type="pct"/>
            <w:noWrap w:val="0"/>
            <w:vAlign w:val="center"/>
          </w:tcPr>
          <w:p>
            <w:pPr>
              <w:widowControl/>
              <w:spacing w:line="240" w:lineRule="auto"/>
              <w:jc w:val="center"/>
              <w:rPr>
                <w:rFonts w:hint="default"/>
                <w:color w:val="auto"/>
                <w:kern w:val="0"/>
                <w:sz w:val="21"/>
                <w:szCs w:val="21"/>
                <w:highlight w:val="none"/>
                <w:lang w:val="en-US" w:eastAsia="zh-CN"/>
              </w:rPr>
            </w:pPr>
          </w:p>
        </w:tc>
        <w:tc>
          <w:tcPr>
            <w:tcW w:w="436" w:type="pct"/>
            <w:noWrap w:val="0"/>
            <w:vAlign w:val="center"/>
          </w:tcPr>
          <w:p>
            <w:pPr>
              <w:widowControl/>
              <w:spacing w:line="240" w:lineRule="auto"/>
              <w:jc w:val="center"/>
              <w:rPr>
                <w:rFonts w:hint="eastAsia"/>
                <w:color w:val="auto"/>
                <w:kern w:val="0"/>
                <w:sz w:val="21"/>
                <w:szCs w:val="21"/>
                <w:highlight w:val="none"/>
                <w:lang w:val="en-US" w:eastAsia="zh-CN"/>
              </w:rPr>
            </w:pPr>
          </w:p>
        </w:tc>
        <w:tc>
          <w:tcPr>
            <w:tcW w:w="671" w:type="pct"/>
            <w:noWrap w:val="0"/>
            <w:vAlign w:val="center"/>
          </w:tcPr>
          <w:p>
            <w:pPr>
              <w:widowControl/>
              <w:spacing w:line="240" w:lineRule="auto"/>
              <w:jc w:val="center"/>
              <w:rPr>
                <w:rFonts w:hint="eastAsia"/>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16</w:t>
            </w:r>
          </w:p>
        </w:tc>
        <w:tc>
          <w:tcPr>
            <w:tcW w:w="853" w:type="pct"/>
            <w:noWrap w:val="0"/>
            <w:vAlign w:val="center"/>
          </w:tcPr>
          <w:p>
            <w:pPr>
              <w:widowControl/>
              <w:spacing w:line="240" w:lineRule="auto"/>
              <w:jc w:val="center"/>
              <w:rPr>
                <w:rFonts w:hint="eastAsia" w:hAnsi="宋体" w:eastAsia="宋体"/>
                <w:color w:val="auto"/>
                <w:kern w:val="0"/>
                <w:sz w:val="21"/>
                <w:szCs w:val="21"/>
                <w:highlight w:val="none"/>
                <w:lang w:val="en-US" w:eastAsia="zh-CN"/>
              </w:rPr>
            </w:pPr>
            <w:r>
              <w:rPr>
                <w:rFonts w:hint="eastAsia"/>
                <w:color w:val="auto"/>
                <w:kern w:val="0"/>
                <w:sz w:val="21"/>
                <w:szCs w:val="21"/>
                <w:highlight w:val="none"/>
                <w:lang w:val="en-US" w:eastAsia="zh-CN"/>
              </w:rPr>
              <w:t>401</w:t>
            </w:r>
            <w:r>
              <w:rPr>
                <w:rFonts w:hint="eastAsia" w:hAnsi="宋体"/>
                <w:color w:val="auto"/>
                <w:kern w:val="0"/>
                <w:sz w:val="21"/>
                <w:szCs w:val="21"/>
                <w:highlight w:val="none"/>
                <w:lang w:val="en-US" w:eastAsia="zh-CN"/>
              </w:rPr>
              <w:t>综合楼</w:t>
            </w:r>
          </w:p>
        </w:tc>
        <w:tc>
          <w:tcPr>
            <w:tcW w:w="366" w:type="pct"/>
            <w:noWrap w:val="0"/>
            <w:vAlign w:val="center"/>
          </w:tcPr>
          <w:p>
            <w:pPr>
              <w:widowControl/>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民建</w:t>
            </w:r>
          </w:p>
        </w:tc>
        <w:tc>
          <w:tcPr>
            <w:tcW w:w="394" w:type="pct"/>
            <w:noWrap w:val="0"/>
            <w:vAlign w:val="center"/>
          </w:tcPr>
          <w:p>
            <w:pPr>
              <w:widowControl/>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二级</w:t>
            </w:r>
          </w:p>
        </w:tc>
        <w:tc>
          <w:tcPr>
            <w:tcW w:w="354" w:type="pct"/>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2</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272.08</w:t>
            </w:r>
          </w:p>
        </w:tc>
        <w:tc>
          <w:tcPr>
            <w:tcW w:w="607" w:type="pct"/>
            <w:noWrap w:val="0"/>
            <w:vAlign w:val="center"/>
          </w:tcPr>
          <w:p>
            <w:pPr>
              <w:widowControl/>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544.16</w:t>
            </w:r>
          </w:p>
        </w:tc>
        <w:tc>
          <w:tcPr>
            <w:tcW w:w="436" w:type="pct"/>
            <w:noWrap w:val="0"/>
            <w:vAlign w:val="center"/>
          </w:tcPr>
          <w:p>
            <w:pPr>
              <w:widowControl/>
              <w:spacing w:line="240" w:lineRule="auto"/>
              <w:jc w:val="center"/>
              <w:rPr>
                <w:rFonts w:hint="default" w:hAnsi="宋体" w:eastAsia="宋体"/>
                <w:color w:val="auto"/>
                <w:kern w:val="0"/>
                <w:sz w:val="21"/>
                <w:szCs w:val="21"/>
                <w:highlight w:val="none"/>
                <w:lang w:val="en-US" w:eastAsia="zh-CN"/>
              </w:rPr>
            </w:pPr>
            <w:r>
              <w:rPr>
                <w:rFonts w:hint="eastAsia" w:hAnsi="宋体"/>
                <w:color w:val="auto"/>
                <w:kern w:val="0"/>
                <w:sz w:val="21"/>
                <w:szCs w:val="21"/>
                <w:highlight w:val="none"/>
                <w:lang w:val="en-US" w:eastAsia="zh-CN"/>
              </w:rPr>
              <w:t>10.45</w:t>
            </w:r>
          </w:p>
        </w:tc>
        <w:tc>
          <w:tcPr>
            <w:tcW w:w="671" w:type="pct"/>
            <w:noWrap w:val="0"/>
            <w:vAlign w:val="center"/>
          </w:tcPr>
          <w:p>
            <w:pPr>
              <w:widowControl/>
              <w:spacing w:line="240" w:lineRule="auto"/>
              <w:jc w:val="center"/>
              <w:rPr>
                <w:rFonts w:hAnsi="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17</w:t>
            </w:r>
          </w:p>
        </w:tc>
        <w:tc>
          <w:tcPr>
            <w:tcW w:w="853"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402</w:t>
            </w:r>
            <w:r>
              <w:rPr>
                <w:rFonts w:hAnsi="宋体"/>
                <w:color w:val="auto"/>
                <w:kern w:val="0"/>
                <w:sz w:val="21"/>
                <w:szCs w:val="21"/>
                <w:highlight w:val="none"/>
              </w:rPr>
              <w:t>门卫</w:t>
            </w:r>
          </w:p>
        </w:tc>
        <w:tc>
          <w:tcPr>
            <w:tcW w:w="366" w:type="pct"/>
            <w:noWrap w:val="0"/>
            <w:vAlign w:val="center"/>
          </w:tcPr>
          <w:p>
            <w:pPr>
              <w:widowControl/>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民建</w:t>
            </w:r>
          </w:p>
        </w:tc>
        <w:tc>
          <w:tcPr>
            <w:tcW w:w="394" w:type="pct"/>
            <w:noWrap w:val="0"/>
            <w:vAlign w:val="center"/>
          </w:tcPr>
          <w:p>
            <w:pPr>
              <w:widowControl/>
              <w:spacing w:line="240" w:lineRule="auto"/>
              <w:jc w:val="center"/>
              <w:rPr>
                <w:rFonts w:ascii="Times New Roman" w:hAnsi="Times New Roman" w:eastAsia="宋体" w:cs="Times New Roman"/>
                <w:color w:val="auto"/>
                <w:kern w:val="2"/>
                <w:sz w:val="21"/>
                <w:szCs w:val="21"/>
                <w:highlight w:val="none"/>
                <w:lang w:val="en-US" w:eastAsia="zh-CN" w:bidi="ar-SA"/>
              </w:rPr>
            </w:pPr>
            <w:r>
              <w:rPr>
                <w:rFonts w:hAnsi="宋体"/>
                <w:color w:val="auto"/>
                <w:sz w:val="21"/>
                <w:szCs w:val="21"/>
                <w:highlight w:val="none"/>
              </w:rPr>
              <w:t>二级</w:t>
            </w:r>
          </w:p>
        </w:tc>
        <w:tc>
          <w:tcPr>
            <w:tcW w:w="354" w:type="pct"/>
            <w:noWrap w:val="0"/>
            <w:vAlign w:val="center"/>
          </w:tcPr>
          <w:p>
            <w:pPr>
              <w:spacing w:line="240" w:lineRule="auto"/>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1</w:t>
            </w:r>
          </w:p>
        </w:tc>
        <w:tc>
          <w:tcPr>
            <w:tcW w:w="420" w:type="pct"/>
            <w:noWrap w:val="0"/>
            <w:vAlign w:val="center"/>
          </w:tcPr>
          <w:p>
            <w:pPr>
              <w:widowControl/>
              <w:spacing w:line="240" w:lineRule="auto"/>
              <w:jc w:val="center"/>
              <w:rPr>
                <w:rFonts w:hint="eastAsia"/>
                <w:color w:val="auto"/>
                <w:kern w:val="0"/>
                <w:sz w:val="21"/>
                <w:szCs w:val="21"/>
                <w:highlight w:val="none"/>
                <w:lang w:val="en-US" w:eastAsia="zh-CN"/>
              </w:rPr>
            </w:pPr>
            <w:r>
              <w:rPr>
                <w:rFonts w:hint="eastAsia"/>
                <w:color w:val="auto"/>
                <w:kern w:val="0"/>
                <w:sz w:val="21"/>
                <w:szCs w:val="21"/>
                <w:highlight w:val="none"/>
                <w:lang w:val="en-US" w:eastAsia="zh-CN"/>
              </w:rPr>
              <w:t>框架</w:t>
            </w:r>
          </w:p>
        </w:tc>
        <w:tc>
          <w:tcPr>
            <w:tcW w:w="554"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62</w:t>
            </w:r>
          </w:p>
        </w:tc>
        <w:tc>
          <w:tcPr>
            <w:tcW w:w="607"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62</w:t>
            </w:r>
          </w:p>
        </w:tc>
        <w:tc>
          <w:tcPr>
            <w:tcW w:w="436" w:type="pct"/>
            <w:noWrap w:val="0"/>
            <w:vAlign w:val="center"/>
          </w:tcPr>
          <w:p>
            <w:pPr>
              <w:widowControl/>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5.2</w:t>
            </w:r>
          </w:p>
        </w:tc>
        <w:tc>
          <w:tcPr>
            <w:tcW w:w="671" w:type="pct"/>
            <w:noWrap w:val="0"/>
            <w:vAlign w:val="center"/>
          </w:tcPr>
          <w:p>
            <w:pPr>
              <w:widowControl/>
              <w:spacing w:line="240" w:lineRule="auto"/>
              <w:jc w:val="center"/>
              <w:rPr>
                <w:rFonts w:ascii="Times New Roman" w:hAnsi="Times New Roman" w:eastAsia="宋体" w:cs="Times New Roman"/>
                <w:color w:val="auto"/>
                <w:kern w:val="0"/>
                <w:sz w:val="21"/>
                <w:szCs w:val="21"/>
                <w:highlight w:val="none"/>
                <w:lang w:val="en-US" w:eastAsia="zh-CN" w:bidi="ar-SA"/>
              </w:rPr>
            </w:pPr>
          </w:p>
        </w:tc>
      </w:tr>
    </w:tbl>
    <w:p>
      <w:pPr>
        <w:ind w:firstLine="548" w:firstLineChars="196"/>
        <w:rPr>
          <w:rFonts w:hint="eastAsia"/>
          <w:color w:val="auto"/>
          <w:sz w:val="28"/>
          <w:szCs w:val="28"/>
        </w:rPr>
      </w:pPr>
      <w:r>
        <w:rPr>
          <w:color w:val="auto"/>
          <w:sz w:val="28"/>
          <w:szCs w:val="28"/>
        </w:rPr>
        <w:t>建（构）物</w:t>
      </w:r>
      <w:r>
        <w:rPr>
          <w:rFonts w:hint="eastAsia"/>
          <w:color w:val="auto"/>
          <w:sz w:val="28"/>
          <w:szCs w:val="28"/>
        </w:rPr>
        <w:t>间防火距离</w:t>
      </w:r>
      <w:r>
        <w:rPr>
          <w:color w:val="auto"/>
          <w:sz w:val="28"/>
          <w:szCs w:val="28"/>
        </w:rPr>
        <w:t>一览表见表2.</w:t>
      </w:r>
      <w:r>
        <w:rPr>
          <w:rFonts w:hint="eastAsia"/>
          <w:color w:val="auto"/>
          <w:sz w:val="28"/>
          <w:szCs w:val="28"/>
          <w:lang w:val="en-US" w:eastAsia="zh-CN"/>
        </w:rPr>
        <w:t>7</w:t>
      </w:r>
      <w:r>
        <w:rPr>
          <w:color w:val="auto"/>
          <w:sz w:val="28"/>
          <w:szCs w:val="28"/>
        </w:rPr>
        <w:t>-</w:t>
      </w:r>
      <w:r>
        <w:rPr>
          <w:rFonts w:hint="eastAsia"/>
          <w:color w:val="auto"/>
          <w:sz w:val="28"/>
          <w:szCs w:val="28"/>
          <w:lang w:val="en-US" w:eastAsia="zh-CN"/>
        </w:rPr>
        <w:t>2</w:t>
      </w:r>
      <w:r>
        <w:rPr>
          <w:rFonts w:hint="eastAsia"/>
          <w:color w:val="auto"/>
          <w:sz w:val="28"/>
          <w:szCs w:val="28"/>
        </w:rPr>
        <w:t>。</w:t>
      </w:r>
    </w:p>
    <w:p>
      <w:pPr>
        <w:pStyle w:val="53"/>
        <w:bidi w:val="0"/>
        <w:rPr>
          <w:rFonts w:hint="eastAsia"/>
          <w:color w:val="auto"/>
        </w:rPr>
      </w:pPr>
      <w:r>
        <w:rPr>
          <w:rFonts w:hint="eastAsia"/>
          <w:color w:val="auto"/>
        </w:rPr>
        <w:t>表2.</w:t>
      </w:r>
      <w:r>
        <w:rPr>
          <w:rFonts w:hint="eastAsia"/>
          <w:color w:val="auto"/>
          <w:lang w:val="en-US" w:eastAsia="zh-CN"/>
        </w:rPr>
        <w:t>7</w:t>
      </w:r>
      <w:r>
        <w:rPr>
          <w:rFonts w:hint="eastAsia"/>
          <w:color w:val="auto"/>
        </w:rPr>
        <w:t>-</w:t>
      </w:r>
      <w:r>
        <w:rPr>
          <w:rFonts w:hint="eastAsia"/>
          <w:color w:val="auto"/>
          <w:lang w:val="en-US" w:eastAsia="zh-CN"/>
        </w:rPr>
        <w:t>2</w:t>
      </w:r>
      <w:r>
        <w:rPr>
          <w:rFonts w:hint="eastAsia"/>
          <w:color w:val="auto"/>
        </w:rPr>
        <w:t>建（构）物防火距离</w:t>
      </w:r>
      <w:r>
        <w:rPr>
          <w:color w:val="auto"/>
        </w:rPr>
        <w:t>一览表</w:t>
      </w:r>
    </w:p>
    <w:tbl>
      <w:tblPr>
        <w:tblStyle w:val="42"/>
        <w:tblW w:w="4865"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54"/>
        <w:gridCol w:w="1644"/>
        <w:gridCol w:w="679"/>
        <w:gridCol w:w="1893"/>
        <w:gridCol w:w="1037"/>
        <w:gridCol w:w="866"/>
        <w:gridCol w:w="1799"/>
        <w:gridCol w:w="6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color w:val="auto"/>
                <w:highlight w:val="none"/>
              </w:rPr>
            </w:pPr>
            <w:r>
              <w:rPr>
                <w:color w:val="auto"/>
                <w:highlight w:val="none"/>
              </w:rPr>
              <w:t>序号</w:t>
            </w:r>
          </w:p>
        </w:tc>
        <w:tc>
          <w:tcPr>
            <w:tcW w:w="898" w:type="pct"/>
            <w:noWrap w:val="0"/>
            <w:vAlign w:val="center"/>
          </w:tcPr>
          <w:p>
            <w:pPr>
              <w:pStyle w:val="59"/>
              <w:jc w:val="center"/>
              <w:rPr>
                <w:color w:val="auto"/>
                <w:highlight w:val="none"/>
              </w:rPr>
            </w:pPr>
            <w:r>
              <w:rPr>
                <w:color w:val="auto"/>
                <w:highlight w:val="none"/>
              </w:rPr>
              <w:t>设施名称</w:t>
            </w:r>
          </w:p>
        </w:tc>
        <w:tc>
          <w:tcPr>
            <w:tcW w:w="371" w:type="pct"/>
            <w:noWrap w:val="0"/>
            <w:vAlign w:val="center"/>
          </w:tcPr>
          <w:p>
            <w:pPr>
              <w:pStyle w:val="59"/>
              <w:jc w:val="center"/>
              <w:rPr>
                <w:color w:val="auto"/>
                <w:highlight w:val="none"/>
              </w:rPr>
            </w:pPr>
            <w:r>
              <w:rPr>
                <w:rFonts w:hint="eastAsia"/>
                <w:color w:val="auto"/>
                <w:highlight w:val="none"/>
              </w:rPr>
              <w:t>方位</w:t>
            </w:r>
          </w:p>
        </w:tc>
        <w:tc>
          <w:tcPr>
            <w:tcW w:w="1034" w:type="pct"/>
            <w:noWrap w:val="0"/>
            <w:vAlign w:val="center"/>
          </w:tcPr>
          <w:p>
            <w:pPr>
              <w:pStyle w:val="59"/>
              <w:jc w:val="center"/>
              <w:rPr>
                <w:rFonts w:hint="eastAsia"/>
                <w:color w:val="auto"/>
                <w:highlight w:val="none"/>
                <w:lang w:eastAsia="zh-CN"/>
              </w:rPr>
            </w:pPr>
            <w:r>
              <w:rPr>
                <w:color w:val="auto"/>
                <w:highlight w:val="none"/>
              </w:rPr>
              <w:t>相邻</w:t>
            </w:r>
            <w:r>
              <w:rPr>
                <w:rFonts w:hint="eastAsia"/>
                <w:color w:val="auto"/>
                <w:highlight w:val="none"/>
                <w:lang w:val="en-US" w:eastAsia="zh-CN"/>
              </w:rPr>
              <w:t>建筑</w:t>
            </w:r>
          </w:p>
        </w:tc>
        <w:tc>
          <w:tcPr>
            <w:tcW w:w="566" w:type="pct"/>
            <w:noWrap w:val="0"/>
            <w:vAlign w:val="center"/>
          </w:tcPr>
          <w:p>
            <w:pPr>
              <w:pStyle w:val="59"/>
              <w:jc w:val="center"/>
              <w:rPr>
                <w:color w:val="auto"/>
                <w:highlight w:val="none"/>
              </w:rPr>
            </w:pPr>
            <w:r>
              <w:rPr>
                <w:rFonts w:hint="eastAsia"/>
                <w:color w:val="auto"/>
                <w:highlight w:val="none"/>
                <w:lang w:val="en-US" w:eastAsia="zh-CN"/>
              </w:rPr>
              <w:t>规范要求</w:t>
            </w:r>
            <w:r>
              <w:rPr>
                <w:rFonts w:hint="eastAsia"/>
                <w:color w:val="auto"/>
                <w:highlight w:val="none"/>
              </w:rPr>
              <w:t>（</w:t>
            </w:r>
            <w:r>
              <w:rPr>
                <w:color w:val="auto"/>
                <w:highlight w:val="none"/>
              </w:rPr>
              <w:t>m）</w:t>
            </w:r>
          </w:p>
        </w:tc>
        <w:tc>
          <w:tcPr>
            <w:tcW w:w="473" w:type="pct"/>
            <w:noWrap w:val="0"/>
            <w:vAlign w:val="center"/>
          </w:tcPr>
          <w:p>
            <w:pPr>
              <w:pStyle w:val="59"/>
              <w:jc w:val="center"/>
              <w:rPr>
                <w:color w:val="auto"/>
                <w:highlight w:val="none"/>
              </w:rPr>
            </w:pPr>
            <w:r>
              <w:rPr>
                <w:rFonts w:hint="eastAsia"/>
                <w:color w:val="auto"/>
                <w:highlight w:val="none"/>
              </w:rPr>
              <w:t>拟建</w:t>
            </w:r>
            <w:r>
              <w:rPr>
                <w:color w:val="auto"/>
                <w:highlight w:val="none"/>
              </w:rPr>
              <w:t>距离（m）</w:t>
            </w:r>
          </w:p>
        </w:tc>
        <w:tc>
          <w:tcPr>
            <w:tcW w:w="983" w:type="pct"/>
            <w:noWrap w:val="0"/>
            <w:vAlign w:val="center"/>
          </w:tcPr>
          <w:p>
            <w:pPr>
              <w:pStyle w:val="59"/>
              <w:jc w:val="center"/>
              <w:rPr>
                <w:color w:val="auto"/>
                <w:highlight w:val="none"/>
              </w:rPr>
            </w:pPr>
            <w:r>
              <w:rPr>
                <w:rFonts w:hint="eastAsia"/>
                <w:color w:val="auto"/>
                <w:highlight w:val="none"/>
              </w:rPr>
              <w:t>检查依据</w:t>
            </w:r>
          </w:p>
        </w:tc>
        <w:tc>
          <w:tcPr>
            <w:tcW w:w="369" w:type="pct"/>
            <w:noWrap w:val="0"/>
            <w:vAlign w:val="center"/>
          </w:tcPr>
          <w:p>
            <w:pPr>
              <w:pStyle w:val="59"/>
              <w:jc w:val="center"/>
              <w:rPr>
                <w:color w:val="auto"/>
                <w:highlight w:val="none"/>
              </w:rPr>
            </w:pPr>
            <w:r>
              <w:rPr>
                <w:color w:val="auto"/>
                <w:highlight w:val="none"/>
              </w:rPr>
              <w:t>检查结论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rPr>
              <w:t>裂解车间（甲）</w:t>
            </w:r>
          </w:p>
        </w:tc>
        <w:tc>
          <w:tcPr>
            <w:tcW w:w="371" w:type="pct"/>
            <w:vMerge w:val="restart"/>
            <w:noWrap w:val="0"/>
            <w:vAlign w:val="center"/>
          </w:tcPr>
          <w:p>
            <w:pPr>
              <w:pStyle w:val="59"/>
              <w:jc w:val="center"/>
              <w:rPr>
                <w:rFonts w:hint="eastAsia"/>
                <w:color w:val="auto"/>
                <w:highlight w:val="none"/>
              </w:rPr>
            </w:pPr>
            <w:r>
              <w:rPr>
                <w:rFonts w:hint="eastAsia"/>
                <w:color w:val="auto"/>
                <w:highlight w:val="none"/>
              </w:rPr>
              <w:t>东</w:t>
            </w:r>
          </w:p>
        </w:tc>
        <w:tc>
          <w:tcPr>
            <w:tcW w:w="1034"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精馏车间（甲）</w:t>
            </w:r>
          </w:p>
        </w:tc>
        <w:tc>
          <w:tcPr>
            <w:tcW w:w="566" w:type="pct"/>
            <w:noWrap w:val="0"/>
            <w:vAlign w:val="center"/>
          </w:tcPr>
          <w:p>
            <w:pPr>
              <w:pStyle w:val="59"/>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2</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rPr>
            </w:pPr>
            <w:r>
              <w:rPr>
                <w:rFonts w:hint="eastAsia"/>
                <w:color w:val="auto"/>
                <w:highlight w:val="none"/>
                <w:lang w:val="en-US" w:eastAsia="zh-CN"/>
              </w:rPr>
              <w:t>甲类仓库</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566" w:type="pct"/>
            <w:noWrap w:val="0"/>
            <w:vAlign w:val="center"/>
          </w:tcPr>
          <w:p>
            <w:pPr>
              <w:pStyle w:val="59"/>
              <w:jc w:val="center"/>
              <w:rPr>
                <w:rFonts w:hint="eastAsia"/>
                <w:color w:val="auto"/>
                <w:highlight w:val="none"/>
                <w:lang w:eastAsia="zh-CN"/>
              </w:rPr>
            </w:pPr>
            <w:r>
              <w:rPr>
                <w:rFonts w:hint="eastAsia"/>
                <w:color w:val="auto"/>
                <w:highlight w:val="none"/>
              </w:rPr>
              <w:t>1</w:t>
            </w: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3</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丙类仓库</w:t>
            </w:r>
            <w:r>
              <w:rPr>
                <w:rFonts w:hint="eastAsia"/>
                <w:color w:val="auto"/>
                <w:highlight w:val="none"/>
                <w:lang w:val="en-US" w:eastAsia="zh-CN"/>
              </w:rPr>
              <w:t>一</w:t>
            </w:r>
            <w:r>
              <w:rPr>
                <w:rFonts w:hint="eastAsia"/>
                <w:color w:val="auto"/>
                <w:highlight w:val="none"/>
              </w:rPr>
              <w:t>（丙）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rPr>
              <w:t>1</w:t>
            </w:r>
            <w:r>
              <w:rPr>
                <w:rFonts w:hint="eastAsia"/>
                <w:color w:val="auto"/>
                <w:highlight w:val="none"/>
                <w:lang w:val="en-US" w:eastAsia="zh-CN"/>
              </w:rPr>
              <w:t>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GB50016-201</w:t>
            </w:r>
            <w:r>
              <w:rPr>
                <w:rFonts w:hint="eastAsia"/>
                <w:color w:val="auto"/>
                <w:highlight w:val="none"/>
                <w:lang w:val="en-US" w:eastAsia="zh-CN"/>
              </w:rPr>
              <w:t>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表3.4.1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2" w:hRule="atLeast"/>
          <w:tblHeader/>
          <w:jc w:val="center"/>
        </w:trPr>
        <w:tc>
          <w:tcPr>
            <w:tcW w:w="302" w:type="pct"/>
            <w:noWrap w:val="0"/>
            <w:vAlign w:val="center"/>
          </w:tcPr>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5</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lang w:eastAsia="zh-CN"/>
              </w:rPr>
            </w:pPr>
            <w:r>
              <w:rPr>
                <w:rFonts w:hint="eastAsia"/>
                <w:color w:val="auto"/>
                <w:highlight w:val="none"/>
              </w:rPr>
              <w:t>东</w:t>
            </w:r>
            <w:r>
              <w:rPr>
                <w:rFonts w:hint="eastAsia"/>
                <w:color w:val="auto"/>
                <w:highlight w:val="none"/>
                <w:lang w:eastAsia="zh-CN"/>
              </w:rPr>
              <w:t>北</w:t>
            </w:r>
          </w:p>
        </w:tc>
        <w:tc>
          <w:tcPr>
            <w:tcW w:w="1034" w:type="pct"/>
            <w:noWrap w:val="0"/>
            <w:vAlign w:val="center"/>
          </w:tcPr>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事故应急池</w:t>
            </w:r>
          </w:p>
        </w:tc>
        <w:tc>
          <w:tcPr>
            <w:tcW w:w="566"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15</w:t>
            </w:r>
          </w:p>
        </w:tc>
        <w:tc>
          <w:tcPr>
            <w:tcW w:w="473"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15.4</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表4.2.9</w:t>
            </w:r>
          </w:p>
        </w:tc>
        <w:tc>
          <w:tcPr>
            <w:tcW w:w="369" w:type="pct"/>
            <w:noWrap w:val="0"/>
            <w:vAlign w:val="center"/>
          </w:tcPr>
          <w:p>
            <w:pPr>
              <w:pStyle w:val="59"/>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6</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7</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7.6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8</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9</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lang w:val="en-US" w:eastAsia="zh-CN"/>
              </w:rPr>
              <w:t>精馏车间</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371"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甲类仓库（甲）</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10</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丙类仓库一</w:t>
            </w:r>
            <w:r>
              <w:rPr>
                <w:rFonts w:hint="eastAsia"/>
                <w:color w:val="auto"/>
                <w:highlight w:val="none"/>
              </w:rPr>
              <w:t>（</w:t>
            </w:r>
            <w:r>
              <w:rPr>
                <w:rFonts w:hint="eastAsia"/>
                <w:color w:val="auto"/>
                <w:highlight w:val="none"/>
                <w:lang w:val="en-US" w:eastAsia="zh-CN"/>
              </w:rPr>
              <w:t>丙</w:t>
            </w:r>
            <w:r>
              <w:rPr>
                <w:rFonts w:hint="eastAsia"/>
                <w:color w:val="auto"/>
                <w:highlight w:val="none"/>
              </w:rPr>
              <w:t>）</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38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GB50016-201</w:t>
            </w:r>
            <w:r>
              <w:rPr>
                <w:rFonts w:hint="eastAsia"/>
                <w:color w:val="auto"/>
                <w:highlight w:val="none"/>
                <w:lang w:val="en-US" w:eastAsia="zh-CN"/>
              </w:rPr>
              <w:t>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表3.4.1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11</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69"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12</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31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13</w:t>
            </w:r>
          </w:p>
        </w:tc>
        <w:tc>
          <w:tcPr>
            <w:tcW w:w="898" w:type="pct"/>
            <w:vMerge w:val="continue"/>
            <w:noWrap w:val="0"/>
            <w:vAlign w:val="center"/>
          </w:tcPr>
          <w:p>
            <w:pPr>
              <w:pStyle w:val="59"/>
              <w:jc w:val="center"/>
              <w:rPr>
                <w:rFonts w:hint="eastAsia"/>
                <w:color w:val="auto"/>
                <w:highlight w:val="none"/>
              </w:rPr>
            </w:pPr>
          </w:p>
        </w:tc>
        <w:tc>
          <w:tcPr>
            <w:tcW w:w="371"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eastAsia"/>
                <w:color w:val="auto"/>
                <w:highlight w:val="none"/>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41</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14</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default"/>
                <w:color w:val="auto"/>
                <w:highlight w:val="none"/>
                <w:lang w:val="en-US" w:eastAsia="zh-CN"/>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主要道路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15</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16</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17</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lang w:val="en-US" w:eastAsia="zh-CN"/>
              </w:rPr>
              <w:t>甲类仓库</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371"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东南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default"/>
                <w:color w:val="auto"/>
                <w:highlight w:val="none"/>
                <w:lang w:val="en-US" w:eastAsia="zh-CN"/>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18</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丙类仓库一（丙）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表3.5.1</w:t>
            </w:r>
          </w:p>
        </w:tc>
        <w:tc>
          <w:tcPr>
            <w:tcW w:w="369" w:type="pct"/>
            <w:noWrap w:val="0"/>
            <w:vAlign w:val="center"/>
          </w:tcPr>
          <w:p>
            <w:pPr>
              <w:pStyle w:val="59"/>
              <w:rPr>
                <w:rFonts w:hint="eastAsia"/>
                <w:color w:val="auto"/>
                <w:highlight w:val="none"/>
                <w:lang w:val="en-US" w:eastAsia="zh-CN"/>
              </w:rPr>
            </w:pPr>
            <w:r>
              <w:rPr>
                <w:rFonts w:hint="eastAsia"/>
                <w:color w:val="auto"/>
                <w:highlight w:val="none"/>
                <w:lang w:val="en-US" w:eastAsia="zh-CN"/>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19</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23</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r>
              <w:rPr>
                <w:rFonts w:hint="eastAsia"/>
                <w:color w:val="auto"/>
                <w:highlight w:val="none"/>
                <w:lang w:val="en-US" w:eastAsia="zh-CN"/>
              </w:rPr>
              <w:t>表3.4.1</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20</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21</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rPr>
            </w:pPr>
            <w:r>
              <w:rPr>
                <w:rFonts w:hint="eastAsia"/>
                <w:color w:val="auto"/>
                <w:highlight w:val="none"/>
              </w:rPr>
              <w:t>西</w:t>
            </w:r>
          </w:p>
        </w:tc>
        <w:tc>
          <w:tcPr>
            <w:tcW w:w="1034" w:type="pct"/>
            <w:noWrap w:val="0"/>
            <w:vAlign w:val="center"/>
          </w:tcPr>
          <w:p>
            <w:pPr>
              <w:pStyle w:val="59"/>
              <w:jc w:val="center"/>
              <w:rPr>
                <w:rFonts w:hint="eastAsia"/>
                <w:color w:val="auto"/>
                <w:highlight w:val="none"/>
              </w:rPr>
            </w:pPr>
            <w:r>
              <w:rPr>
                <w:rFonts w:hint="eastAsia"/>
                <w:color w:val="auto"/>
                <w:highlight w:val="none"/>
              </w:rPr>
              <w:t>厂区次要道路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22</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rPr>
            </w:pPr>
            <w:r>
              <w:rPr>
                <w:rFonts w:hint="eastAsia"/>
                <w:color w:val="auto"/>
                <w:highlight w:val="none"/>
              </w:rPr>
              <w:t>南</w:t>
            </w:r>
          </w:p>
        </w:tc>
        <w:tc>
          <w:tcPr>
            <w:tcW w:w="1034" w:type="pct"/>
            <w:noWrap w:val="0"/>
            <w:vAlign w:val="center"/>
          </w:tcPr>
          <w:p>
            <w:pPr>
              <w:pStyle w:val="59"/>
              <w:jc w:val="center"/>
              <w:rPr>
                <w:rFonts w:hint="eastAsia"/>
                <w:color w:val="auto"/>
                <w:highlight w:val="none"/>
              </w:rPr>
            </w:pPr>
            <w:r>
              <w:rPr>
                <w:rFonts w:hint="eastAsia"/>
                <w:color w:val="auto"/>
                <w:highlight w:val="none"/>
              </w:rPr>
              <w:t>厂区次要道路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23</w:t>
            </w:r>
          </w:p>
        </w:tc>
        <w:tc>
          <w:tcPr>
            <w:tcW w:w="898"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default"/>
                <w:color w:val="auto"/>
                <w:highlight w:val="none"/>
                <w:lang w:val="en-US" w:eastAsia="zh-CN"/>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371"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24</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25</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26</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15.7</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27</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次</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28</w:t>
            </w:r>
          </w:p>
        </w:tc>
        <w:tc>
          <w:tcPr>
            <w:tcW w:w="898"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TO炉</w:t>
            </w: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污水处理池</w:t>
            </w:r>
          </w:p>
          <w:p>
            <w:pPr>
              <w:pStyle w:val="59"/>
              <w:jc w:val="center"/>
              <w:rPr>
                <w:rFonts w:hint="default" w:eastAsia="宋体"/>
                <w:color w:val="auto"/>
                <w:highlight w:val="none"/>
                <w:lang w:val="en-US" w:eastAsia="zh-CN"/>
              </w:rPr>
            </w:pPr>
            <w:r>
              <w:rPr>
                <w:rFonts w:hint="eastAsia"/>
                <w:color w:val="auto"/>
                <w:highlight w:val="none"/>
                <w:lang w:val="en-US" w:eastAsia="zh-CN"/>
              </w:rPr>
              <w:t>（隔油池）</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24.2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29</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事故应急池</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第4.2.6条</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30</w:t>
            </w:r>
          </w:p>
        </w:tc>
        <w:tc>
          <w:tcPr>
            <w:tcW w:w="898"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丙类仓库一（丙）</w:t>
            </w: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消防泵房（丙）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31</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公用工程间（丙）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32</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33</w:t>
            </w:r>
          </w:p>
        </w:tc>
        <w:tc>
          <w:tcPr>
            <w:tcW w:w="898"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丙类仓库二（丙）</w:t>
            </w: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综合楼（民建）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34</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公用工程间（丙）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35</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消防泵房（丙）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19.7</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36</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门卫室（民建）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14.8</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37</w:t>
            </w:r>
          </w:p>
        </w:tc>
        <w:tc>
          <w:tcPr>
            <w:tcW w:w="898"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中心控制室（丁）</w:t>
            </w: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综合楼（民建）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10.4</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bl>
    <w:p>
      <w:pPr>
        <w:bidi w:val="0"/>
        <w:ind w:firstLine="560" w:firstLineChars="200"/>
        <w:rPr>
          <w:rFonts w:hint="eastAsia"/>
          <w:color w:val="auto"/>
          <w:lang w:val="en-US" w:eastAsia="zh-CN"/>
        </w:rPr>
      </w:pPr>
      <w:r>
        <w:rPr>
          <w:rFonts w:hint="eastAsia"/>
          <w:color w:val="auto"/>
          <w:lang w:val="en-US" w:eastAsia="zh-CN"/>
        </w:rPr>
        <w:t>罐区相邻设施之间的防火间距见表2.7-3</w:t>
      </w:r>
    </w:p>
    <w:p>
      <w:pPr>
        <w:pStyle w:val="53"/>
        <w:bidi w:val="0"/>
        <w:rPr>
          <w:rFonts w:hint="default"/>
          <w:color w:val="auto"/>
          <w:lang w:val="en-US" w:eastAsia="zh-CN"/>
        </w:rPr>
      </w:pPr>
      <w:r>
        <w:rPr>
          <w:rFonts w:hint="eastAsia"/>
          <w:color w:val="auto"/>
          <w:lang w:val="en-US" w:eastAsia="zh-CN"/>
        </w:rPr>
        <w:t>表2.7-3 罐区相邻设施的防火间距</w:t>
      </w:r>
    </w:p>
    <w:tbl>
      <w:tblPr>
        <w:tblStyle w:val="43"/>
        <w:tblW w:w="9475" w:type="dxa"/>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35"/>
        <w:gridCol w:w="1200"/>
        <w:gridCol w:w="1575"/>
        <w:gridCol w:w="1140"/>
        <w:gridCol w:w="1020"/>
        <w:gridCol w:w="1635"/>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序号</w:t>
            </w:r>
          </w:p>
        </w:tc>
        <w:tc>
          <w:tcPr>
            <w:tcW w:w="13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设施名称</w:t>
            </w:r>
          </w:p>
        </w:tc>
        <w:tc>
          <w:tcPr>
            <w:tcW w:w="120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相对位置</w:t>
            </w:r>
          </w:p>
        </w:tc>
        <w:tc>
          <w:tcPr>
            <w:tcW w:w="157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相邻设施名称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标准间距（m）</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拟建间距（m）</w:t>
            </w:r>
          </w:p>
        </w:tc>
        <w:tc>
          <w:tcPr>
            <w:tcW w:w="1635" w:type="dxa"/>
            <w:vAlign w:val="center"/>
          </w:tcPr>
          <w:p>
            <w:pPr>
              <w:bidi w:val="0"/>
              <w:spacing w:line="240" w:lineRule="auto"/>
              <w:jc w:val="center"/>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检查依据</w:t>
            </w:r>
          </w:p>
        </w:tc>
        <w:tc>
          <w:tcPr>
            <w:tcW w:w="835" w:type="dxa"/>
            <w:vAlign w:val="center"/>
          </w:tcPr>
          <w:p>
            <w:pPr>
              <w:bidi w:val="0"/>
              <w:spacing w:line="240" w:lineRule="auto"/>
              <w:jc w:val="center"/>
              <w:rPr>
                <w:rFonts w:hint="eastAsia"/>
                <w:color w:val="auto"/>
                <w:sz w:val="21"/>
                <w:szCs w:val="21"/>
                <w:vertAlign w:val="baseline"/>
                <w:lang w:val="en-US" w:eastAsia="zh-CN"/>
              </w:rPr>
            </w:pPr>
            <w:r>
              <w:rPr>
                <w:rFonts w:hint="eastAsia"/>
                <w:color w:val="auto"/>
                <w:sz w:val="21"/>
                <w:szCs w:val="21"/>
                <w:vertAlign w:val="baseline"/>
                <w:lang w:val="en-US" w:eastAsia="zh-CN"/>
              </w:rPr>
              <w:t>检查结论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20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北（南）</w:t>
            </w:r>
          </w:p>
        </w:tc>
        <w:tc>
          <w:tcPr>
            <w:tcW w:w="157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0.4D=1.72</w:t>
            </w:r>
          </w:p>
        </w:tc>
        <w:tc>
          <w:tcPr>
            <w:tcW w:w="102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eastAsia"/>
                <w:color w:val="auto"/>
                <w:sz w:val="18"/>
                <w:szCs w:val="18"/>
                <w:lang w:val="en-US" w:eastAsia="zh-CN"/>
              </w:rPr>
            </w:pPr>
            <w:r>
              <w:rPr>
                <w:rFonts w:hint="eastAsia"/>
                <w:color w:val="auto"/>
                <w:sz w:val="18"/>
                <w:szCs w:val="18"/>
              </w:rPr>
              <w:t>GB5</w:t>
            </w:r>
            <w:r>
              <w:rPr>
                <w:rFonts w:hint="eastAsia"/>
                <w:color w:val="auto"/>
                <w:sz w:val="18"/>
                <w:szCs w:val="18"/>
                <w:lang w:val="en-US" w:eastAsia="zh-CN"/>
              </w:rPr>
              <w:t>1283</w:t>
            </w:r>
            <w:r>
              <w:rPr>
                <w:rFonts w:hint="eastAsia"/>
                <w:color w:val="auto"/>
                <w:sz w:val="18"/>
                <w:szCs w:val="18"/>
              </w:rPr>
              <w:t>-20</w:t>
            </w:r>
            <w:r>
              <w:rPr>
                <w:rFonts w:hint="eastAsia"/>
                <w:color w:val="auto"/>
                <w:sz w:val="18"/>
                <w:szCs w:val="18"/>
                <w:lang w:val="en-US" w:eastAsia="zh-CN"/>
              </w:rPr>
              <w:t>20</w:t>
            </w:r>
          </w:p>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18"/>
                <w:szCs w:val="18"/>
                <w:lang w:val="en-US" w:eastAsia="zh-CN"/>
              </w:rPr>
              <w:t>表6.2.6</w:t>
            </w:r>
          </w:p>
        </w:tc>
        <w:tc>
          <w:tcPr>
            <w:tcW w:w="83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20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东（西）</w:t>
            </w:r>
          </w:p>
        </w:tc>
        <w:tc>
          <w:tcPr>
            <w:tcW w:w="157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0.4D=1.72</w:t>
            </w:r>
          </w:p>
        </w:tc>
        <w:tc>
          <w:tcPr>
            <w:tcW w:w="102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eastAsia"/>
                <w:color w:val="auto"/>
                <w:sz w:val="18"/>
                <w:szCs w:val="18"/>
                <w:lang w:val="en-US" w:eastAsia="zh-CN"/>
              </w:rPr>
            </w:pPr>
            <w:r>
              <w:rPr>
                <w:rFonts w:hint="eastAsia"/>
                <w:color w:val="auto"/>
                <w:sz w:val="18"/>
                <w:szCs w:val="18"/>
              </w:rPr>
              <w:t>GB5</w:t>
            </w:r>
            <w:r>
              <w:rPr>
                <w:rFonts w:hint="eastAsia"/>
                <w:color w:val="auto"/>
                <w:sz w:val="18"/>
                <w:szCs w:val="18"/>
                <w:lang w:val="en-US" w:eastAsia="zh-CN"/>
              </w:rPr>
              <w:t>1283</w:t>
            </w:r>
            <w:r>
              <w:rPr>
                <w:rFonts w:hint="eastAsia"/>
                <w:color w:val="auto"/>
                <w:sz w:val="18"/>
                <w:szCs w:val="18"/>
              </w:rPr>
              <w:t>-20</w:t>
            </w:r>
            <w:r>
              <w:rPr>
                <w:rFonts w:hint="eastAsia"/>
                <w:color w:val="auto"/>
                <w:sz w:val="18"/>
                <w:szCs w:val="18"/>
                <w:lang w:val="en-US" w:eastAsia="zh-CN"/>
              </w:rPr>
              <w:t>20</w:t>
            </w:r>
          </w:p>
          <w:p>
            <w:pPr>
              <w:bidi w:val="0"/>
              <w:spacing w:line="240" w:lineRule="auto"/>
              <w:jc w:val="center"/>
              <w:rPr>
                <w:rFonts w:hint="default"/>
                <w:color w:val="auto"/>
                <w:sz w:val="21"/>
                <w:szCs w:val="21"/>
                <w:vertAlign w:val="baseline"/>
                <w:lang w:val="en-US" w:eastAsia="zh-CN"/>
              </w:rPr>
            </w:pPr>
            <w:r>
              <w:rPr>
                <w:rFonts w:hint="eastAsia"/>
                <w:color w:val="auto"/>
                <w:sz w:val="18"/>
                <w:szCs w:val="18"/>
                <w:lang w:val="en-US" w:eastAsia="zh-CN"/>
              </w:rPr>
              <w:t>表6.2.6</w:t>
            </w:r>
          </w:p>
        </w:tc>
        <w:tc>
          <w:tcPr>
            <w:tcW w:w="8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防火堤</w:t>
            </w:r>
          </w:p>
        </w:tc>
        <w:tc>
          <w:tcPr>
            <w:tcW w:w="120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四周</w:t>
            </w:r>
          </w:p>
        </w:tc>
        <w:tc>
          <w:tcPr>
            <w:tcW w:w="157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8"/>
                <w:szCs w:val="28"/>
                <w:vertAlign w:val="baseline"/>
                <w:lang w:val="en-US" w:eastAsia="zh-CN"/>
              </w:rPr>
              <w:t>½H</w:t>
            </w:r>
            <w:r>
              <w:rPr>
                <w:rFonts w:hint="eastAsia"/>
                <w:color w:val="auto"/>
                <w:sz w:val="21"/>
                <w:szCs w:val="21"/>
                <w:vertAlign w:val="subscript"/>
                <w:lang w:val="en-US" w:eastAsia="zh-CN"/>
              </w:rPr>
              <w:t>罐壁</w:t>
            </w:r>
            <w:r>
              <w:rPr>
                <w:rFonts w:hint="eastAsia"/>
                <w:color w:val="auto"/>
                <w:sz w:val="21"/>
                <w:szCs w:val="21"/>
                <w:vertAlign w:val="baseline"/>
                <w:lang w:val="en-US" w:eastAsia="zh-CN"/>
              </w:rPr>
              <w:t>=3</w:t>
            </w:r>
          </w:p>
        </w:tc>
        <w:tc>
          <w:tcPr>
            <w:tcW w:w="102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eastAsia"/>
                <w:color w:val="auto"/>
                <w:sz w:val="18"/>
                <w:szCs w:val="18"/>
                <w:lang w:val="en-US" w:eastAsia="zh-CN"/>
              </w:rPr>
            </w:pPr>
            <w:r>
              <w:rPr>
                <w:rFonts w:hint="eastAsia"/>
                <w:color w:val="auto"/>
                <w:sz w:val="18"/>
                <w:szCs w:val="18"/>
              </w:rPr>
              <w:t>GB5</w:t>
            </w:r>
            <w:r>
              <w:rPr>
                <w:rFonts w:hint="eastAsia"/>
                <w:color w:val="auto"/>
                <w:sz w:val="18"/>
                <w:szCs w:val="18"/>
                <w:lang w:val="en-US" w:eastAsia="zh-CN"/>
              </w:rPr>
              <w:t>1283</w:t>
            </w:r>
            <w:r>
              <w:rPr>
                <w:rFonts w:hint="eastAsia"/>
                <w:color w:val="auto"/>
                <w:sz w:val="18"/>
                <w:szCs w:val="18"/>
              </w:rPr>
              <w:t>-20</w:t>
            </w:r>
            <w:r>
              <w:rPr>
                <w:rFonts w:hint="eastAsia"/>
                <w:color w:val="auto"/>
                <w:sz w:val="18"/>
                <w:szCs w:val="18"/>
                <w:lang w:val="en-US" w:eastAsia="zh-CN"/>
              </w:rPr>
              <w:t>20</w:t>
            </w:r>
          </w:p>
          <w:p>
            <w:pPr>
              <w:bidi w:val="0"/>
              <w:spacing w:line="240" w:lineRule="auto"/>
              <w:jc w:val="center"/>
              <w:rPr>
                <w:rFonts w:hint="default"/>
                <w:color w:val="auto"/>
                <w:sz w:val="18"/>
                <w:szCs w:val="18"/>
                <w:lang w:val="en-US" w:eastAsia="zh-CN"/>
              </w:rPr>
            </w:pPr>
            <w:r>
              <w:rPr>
                <w:rFonts w:hint="eastAsia"/>
                <w:color w:val="auto"/>
                <w:sz w:val="18"/>
                <w:szCs w:val="18"/>
                <w:lang w:val="en-US" w:eastAsia="zh-CN"/>
              </w:rPr>
              <w:t>第6.2.12条</w:t>
            </w:r>
          </w:p>
        </w:tc>
        <w:tc>
          <w:tcPr>
            <w:tcW w:w="835" w:type="dxa"/>
            <w:vAlign w:val="center"/>
          </w:tcPr>
          <w:p>
            <w:pPr>
              <w:bidi w:val="0"/>
              <w:spacing w:line="240" w:lineRule="auto"/>
              <w:jc w:val="center"/>
              <w:rPr>
                <w:rFonts w:hint="eastAsia"/>
                <w:color w:val="auto"/>
                <w:sz w:val="21"/>
                <w:szCs w:val="21"/>
                <w:vertAlign w:val="baseline"/>
                <w:lang w:val="en-US" w:eastAsia="zh-CN"/>
              </w:rPr>
            </w:pPr>
            <w:r>
              <w:rPr>
                <w:rFonts w:hint="eastAsia"/>
                <w:color w:val="auto"/>
                <w:sz w:val="21"/>
                <w:szCs w:val="21"/>
                <w:vertAlign w:val="baseline"/>
                <w:lang w:val="en-US" w:eastAsia="zh-CN"/>
              </w:rPr>
              <w:t>符合要求</w:t>
            </w:r>
          </w:p>
        </w:tc>
      </w:tr>
    </w:tbl>
    <w:p>
      <w:pPr>
        <w:pStyle w:val="3"/>
        <w:bidi w:val="0"/>
        <w:rPr>
          <w:color w:val="auto"/>
        </w:rPr>
      </w:pPr>
      <w:bookmarkStart w:id="202" w:name="_Toc23676"/>
      <w:bookmarkStart w:id="203" w:name="_Toc14000"/>
      <w:bookmarkStart w:id="204" w:name="_Toc23778"/>
      <w:bookmarkStart w:id="205" w:name="_Toc4384"/>
      <w:bookmarkStart w:id="206" w:name="_Toc2387"/>
      <w:bookmarkStart w:id="207" w:name="_Toc24757"/>
      <w:bookmarkStart w:id="208" w:name="_Toc12061"/>
      <w:r>
        <w:rPr>
          <w:color w:val="auto"/>
        </w:rPr>
        <w:t>2.</w:t>
      </w:r>
      <w:r>
        <w:rPr>
          <w:rFonts w:hint="eastAsia"/>
          <w:color w:val="auto"/>
        </w:rPr>
        <w:t>8</w:t>
      </w:r>
      <w:r>
        <w:rPr>
          <w:color w:val="auto"/>
        </w:rPr>
        <w:t>公工程及辅助设施</w:t>
      </w:r>
      <w:bookmarkEnd w:id="202"/>
      <w:bookmarkEnd w:id="203"/>
      <w:bookmarkEnd w:id="204"/>
      <w:bookmarkEnd w:id="205"/>
      <w:bookmarkEnd w:id="206"/>
      <w:bookmarkEnd w:id="207"/>
      <w:bookmarkEnd w:id="208"/>
    </w:p>
    <w:p>
      <w:pPr>
        <w:pStyle w:val="4"/>
        <w:bidi w:val="0"/>
        <w:rPr>
          <w:color w:val="auto"/>
        </w:rPr>
      </w:pPr>
      <w:bookmarkStart w:id="209" w:name="_Toc28958"/>
      <w:bookmarkStart w:id="210" w:name="_Toc26863"/>
      <w:bookmarkStart w:id="211" w:name="_Toc9473"/>
      <w:bookmarkStart w:id="212" w:name="_Toc10590"/>
      <w:bookmarkStart w:id="213" w:name="_Toc8538"/>
      <w:bookmarkStart w:id="214" w:name="_Toc23720"/>
      <w:bookmarkStart w:id="215" w:name="_Toc14853"/>
      <w:r>
        <w:rPr>
          <w:color w:val="auto"/>
        </w:rPr>
        <w:t>2.</w:t>
      </w:r>
      <w:r>
        <w:rPr>
          <w:rFonts w:hint="eastAsia"/>
          <w:color w:val="auto"/>
        </w:rPr>
        <w:t>8</w:t>
      </w:r>
      <w:r>
        <w:rPr>
          <w:color w:val="auto"/>
        </w:rPr>
        <w:t>.1供配电</w:t>
      </w:r>
      <w:bookmarkEnd w:id="209"/>
      <w:bookmarkEnd w:id="210"/>
      <w:bookmarkEnd w:id="211"/>
      <w:bookmarkEnd w:id="212"/>
      <w:bookmarkEnd w:id="213"/>
      <w:bookmarkEnd w:id="214"/>
      <w:bookmarkEnd w:id="215"/>
    </w:p>
    <w:p>
      <w:pPr>
        <w:ind w:firstLine="562" w:firstLineChars="200"/>
        <w:rPr>
          <w:b/>
          <w:bCs/>
          <w:color w:val="auto"/>
          <w:sz w:val="28"/>
          <w:szCs w:val="28"/>
        </w:rPr>
      </w:pPr>
      <w:r>
        <w:rPr>
          <w:b/>
          <w:bCs/>
          <w:color w:val="auto"/>
          <w:sz w:val="28"/>
          <w:szCs w:val="28"/>
        </w:rPr>
        <w:t>1</w:t>
      </w:r>
      <w:r>
        <w:rPr>
          <w:rFonts w:hAnsi="宋体"/>
          <w:b/>
          <w:bCs/>
          <w:color w:val="auto"/>
          <w:sz w:val="28"/>
          <w:szCs w:val="28"/>
        </w:rPr>
        <w:t>、电源</w:t>
      </w:r>
    </w:p>
    <w:p>
      <w:pPr>
        <w:numPr>
          <w:ilvl w:val="0"/>
          <w:numId w:val="0"/>
        </w:numPr>
        <w:bidi w:val="0"/>
        <w:ind w:firstLine="560" w:firstLineChars="200"/>
        <w:rPr>
          <w:rFonts w:hint="eastAsia"/>
          <w:color w:val="auto"/>
          <w:highlight w:val="none"/>
          <w:lang w:val="en-US" w:eastAsia="zh-CN"/>
        </w:rPr>
      </w:pPr>
      <w:bookmarkStart w:id="216" w:name="_Toc340735715"/>
      <w:r>
        <w:rPr>
          <w:rFonts w:hint="eastAsia"/>
          <w:color w:val="auto"/>
          <w:highlight w:val="none"/>
          <w:lang w:val="en-US" w:eastAsia="zh-CN"/>
        </w:rPr>
        <w:t>1、供电电源选择</w:t>
      </w:r>
    </w:p>
    <w:p>
      <w:pPr>
        <w:spacing w:line="600" w:lineRule="exact"/>
        <w:ind w:firstLine="560" w:firstLineChars="200"/>
        <w:rPr>
          <w:rFonts w:hint="default" w:eastAsia="宋体"/>
          <w:color w:val="auto"/>
          <w:kern w:val="0"/>
          <w:sz w:val="28"/>
          <w:szCs w:val="28"/>
          <w:highlight w:val="none"/>
          <w:lang w:val="en-US" w:eastAsia="zh-CN"/>
        </w:rPr>
      </w:pPr>
      <w:r>
        <w:rPr>
          <w:color w:val="auto"/>
          <w:kern w:val="0"/>
          <w:sz w:val="28"/>
          <w:szCs w:val="28"/>
          <w:highlight w:val="none"/>
        </w:rPr>
        <w:t>供电：</w:t>
      </w:r>
      <w:r>
        <w:rPr>
          <w:rFonts w:hint="eastAsia"/>
          <w:color w:val="auto"/>
          <w:kern w:val="0"/>
          <w:sz w:val="28"/>
          <w:szCs w:val="28"/>
          <w:highlight w:val="none"/>
          <w:lang w:val="en-US" w:eastAsia="zh-CN"/>
        </w:rPr>
        <w:t>袁州医药工业园园区的两路电源分别</w:t>
      </w:r>
      <w:r>
        <w:rPr>
          <w:color w:val="auto"/>
          <w:kern w:val="0"/>
          <w:sz w:val="28"/>
          <w:szCs w:val="28"/>
          <w:highlight w:val="none"/>
        </w:rPr>
        <w:t>引</w:t>
      </w:r>
      <w:r>
        <w:rPr>
          <w:rFonts w:hint="eastAsia"/>
          <w:color w:val="auto"/>
          <w:kern w:val="0"/>
          <w:sz w:val="28"/>
          <w:szCs w:val="28"/>
          <w:highlight w:val="none"/>
          <w:lang w:val="en-US" w:eastAsia="zh-CN"/>
        </w:rPr>
        <w:t>至已建成的110</w:t>
      </w:r>
      <w:r>
        <w:rPr>
          <w:color w:val="auto"/>
          <w:kern w:val="0"/>
          <w:sz w:val="28"/>
          <w:szCs w:val="28"/>
          <w:highlight w:val="none"/>
        </w:rPr>
        <w:t>kV/10kV</w:t>
      </w:r>
      <w:r>
        <w:rPr>
          <w:rFonts w:hint="eastAsia"/>
          <w:color w:val="auto"/>
          <w:kern w:val="0"/>
          <w:sz w:val="28"/>
          <w:szCs w:val="28"/>
          <w:highlight w:val="none"/>
          <w:lang w:val="en-US" w:eastAsia="zh-CN"/>
        </w:rPr>
        <w:t>杆塘</w:t>
      </w:r>
      <w:r>
        <w:rPr>
          <w:color w:val="auto"/>
          <w:kern w:val="0"/>
          <w:sz w:val="28"/>
          <w:szCs w:val="28"/>
          <w:highlight w:val="none"/>
        </w:rPr>
        <w:t>变电站</w:t>
      </w:r>
      <w:r>
        <w:rPr>
          <w:rFonts w:hint="eastAsia"/>
          <w:color w:val="auto"/>
          <w:kern w:val="0"/>
          <w:sz w:val="28"/>
          <w:szCs w:val="28"/>
          <w:highlight w:val="none"/>
          <w:lang w:val="en-US" w:eastAsia="zh-CN"/>
        </w:rPr>
        <w:t>和22</w:t>
      </w:r>
      <w:r>
        <w:rPr>
          <w:color w:val="auto"/>
          <w:kern w:val="0"/>
          <w:sz w:val="28"/>
          <w:szCs w:val="28"/>
          <w:highlight w:val="none"/>
        </w:rPr>
        <w:t>0kV/10kV</w:t>
      </w:r>
      <w:r>
        <w:rPr>
          <w:rFonts w:hint="eastAsia"/>
          <w:color w:val="auto"/>
          <w:kern w:val="0"/>
          <w:sz w:val="28"/>
          <w:szCs w:val="28"/>
          <w:highlight w:val="none"/>
          <w:lang w:val="en-US" w:eastAsia="zh-CN"/>
        </w:rPr>
        <w:t>明怡</w:t>
      </w:r>
      <w:r>
        <w:rPr>
          <w:color w:val="auto"/>
          <w:kern w:val="0"/>
          <w:sz w:val="28"/>
          <w:szCs w:val="28"/>
          <w:highlight w:val="none"/>
        </w:rPr>
        <w:t>变电站，</w:t>
      </w:r>
      <w:r>
        <w:rPr>
          <w:rFonts w:hint="eastAsia"/>
          <w:color w:val="auto"/>
          <w:kern w:val="0"/>
          <w:sz w:val="28"/>
          <w:szCs w:val="28"/>
          <w:highlight w:val="none"/>
          <w:lang w:val="en-US" w:eastAsia="zh-CN"/>
        </w:rPr>
        <w:t>园区10KV双回路</w:t>
      </w:r>
      <w:r>
        <w:rPr>
          <w:color w:val="auto"/>
          <w:kern w:val="0"/>
          <w:sz w:val="28"/>
          <w:szCs w:val="28"/>
          <w:highlight w:val="none"/>
        </w:rPr>
        <w:t>供电线路已架</w:t>
      </w:r>
      <w:r>
        <w:rPr>
          <w:rFonts w:hint="eastAsia"/>
          <w:color w:val="auto"/>
          <w:kern w:val="0"/>
          <w:sz w:val="28"/>
          <w:szCs w:val="28"/>
          <w:highlight w:val="none"/>
          <w:lang w:val="en-US" w:eastAsia="zh-CN"/>
        </w:rPr>
        <w:t>设</w:t>
      </w:r>
      <w:r>
        <w:rPr>
          <w:color w:val="auto"/>
          <w:kern w:val="0"/>
          <w:sz w:val="28"/>
          <w:szCs w:val="28"/>
          <w:highlight w:val="none"/>
        </w:rPr>
        <w:t>至该项目道路旁。</w:t>
      </w:r>
    </w:p>
    <w:p>
      <w:pPr>
        <w:bidi w:val="0"/>
        <w:ind w:firstLine="560" w:firstLineChars="200"/>
        <w:rPr>
          <w:color w:val="auto"/>
          <w:highlight w:val="none"/>
        </w:rPr>
      </w:pPr>
      <w:r>
        <w:rPr>
          <w:rFonts w:hint="eastAsia"/>
          <w:color w:val="auto"/>
          <w:kern w:val="0"/>
          <w:sz w:val="28"/>
          <w:szCs w:val="28"/>
          <w:highlight w:val="none"/>
          <w:lang w:val="en-US" w:eastAsia="zh-CN"/>
        </w:rPr>
        <w:t>该项目电源来自道路旁的10KV双回路供电线路，通过埋地敷设至</w:t>
      </w:r>
      <w:r>
        <w:rPr>
          <w:rFonts w:hint="eastAsia"/>
          <w:color w:val="auto"/>
          <w:highlight w:val="none"/>
          <w:lang w:val="en-US" w:eastAsia="zh-CN"/>
        </w:rPr>
        <w:t>该项目</w:t>
      </w:r>
      <w:r>
        <w:rPr>
          <w:rFonts w:hint="eastAsia"/>
          <w:b w:val="0"/>
          <w:bCs w:val="0"/>
          <w:color w:val="auto"/>
          <w:sz w:val="28"/>
          <w:szCs w:val="24"/>
          <w:highlight w:val="none"/>
          <w:lang w:val="en-US" w:eastAsia="zh-CN"/>
        </w:rPr>
        <w:t>306公用工程间的</w:t>
      </w:r>
      <w:r>
        <w:rPr>
          <w:rFonts w:hint="eastAsia"/>
          <w:color w:val="auto"/>
          <w:highlight w:val="none"/>
          <w:lang w:val="en-US" w:eastAsia="zh-CN"/>
        </w:rPr>
        <w:t>变配电室</w:t>
      </w:r>
      <w:r>
        <w:rPr>
          <w:rFonts w:hint="eastAsia"/>
          <w:b w:val="0"/>
          <w:bCs w:val="0"/>
          <w:color w:val="auto"/>
          <w:sz w:val="28"/>
          <w:szCs w:val="24"/>
          <w:highlight w:val="none"/>
          <w:lang w:val="en-US" w:eastAsia="zh-CN"/>
        </w:rPr>
        <w:t>，变配电室内设1台160KVA 和2台2500KVA干式变压器</w:t>
      </w:r>
      <w:r>
        <w:rPr>
          <w:color w:val="auto"/>
          <w:highlight w:val="none"/>
        </w:rPr>
        <w:t>，变压器低压为铜芯电缆进入配电房总开关柜，通过电缆沟分至各供电单元配电柜，由供电单元地埋至各用电车间。</w:t>
      </w:r>
    </w:p>
    <w:p>
      <w:pPr>
        <w:bidi w:val="0"/>
        <w:ind w:firstLine="560"/>
        <w:rPr>
          <w:color w:val="auto"/>
          <w:kern w:val="0"/>
          <w:sz w:val="28"/>
          <w:szCs w:val="28"/>
          <w:highlight w:val="none"/>
        </w:rPr>
      </w:pPr>
      <w:r>
        <w:rPr>
          <w:rFonts w:hint="eastAsia"/>
          <w:color w:val="auto"/>
          <w:kern w:val="0"/>
          <w:sz w:val="28"/>
          <w:szCs w:val="28"/>
          <w:highlight w:val="none"/>
        </w:rPr>
        <w:t>该项目</w:t>
      </w:r>
      <w:r>
        <w:rPr>
          <w:rFonts w:hint="eastAsia"/>
          <w:color w:val="auto"/>
          <w:kern w:val="0"/>
          <w:sz w:val="28"/>
          <w:szCs w:val="28"/>
          <w:highlight w:val="none"/>
          <w:lang w:val="en-US" w:eastAsia="zh-CN"/>
        </w:rPr>
        <w:t>拟</w:t>
      </w:r>
      <w:r>
        <w:rPr>
          <w:color w:val="auto"/>
          <w:kern w:val="0"/>
          <w:sz w:val="28"/>
          <w:szCs w:val="28"/>
          <w:highlight w:val="none"/>
        </w:rPr>
        <w:t>200kW的柴油发电机组，布置在消防泵房内，</w:t>
      </w:r>
      <w:r>
        <w:rPr>
          <w:rFonts w:hint="eastAsia"/>
          <w:color w:val="auto"/>
          <w:kern w:val="0"/>
          <w:sz w:val="28"/>
          <w:szCs w:val="28"/>
          <w:highlight w:val="none"/>
        </w:rPr>
        <w:t>作为</w:t>
      </w:r>
      <w:r>
        <w:rPr>
          <w:color w:val="auto"/>
          <w:kern w:val="0"/>
          <w:sz w:val="28"/>
          <w:szCs w:val="28"/>
          <w:highlight w:val="none"/>
        </w:rPr>
        <w:t>该项目仪表电源</w:t>
      </w:r>
      <w:r>
        <w:rPr>
          <w:rFonts w:hint="eastAsia"/>
          <w:color w:val="auto"/>
          <w:kern w:val="0"/>
          <w:sz w:val="28"/>
          <w:szCs w:val="28"/>
          <w:highlight w:val="none"/>
          <w:lang w:eastAsia="zh-CN"/>
        </w:rPr>
        <w:t>、</w:t>
      </w:r>
      <w:r>
        <w:rPr>
          <w:color w:val="auto"/>
          <w:sz w:val="28"/>
          <w:szCs w:val="28"/>
          <w:highlight w:val="none"/>
        </w:rPr>
        <w:t>可燃/有毒气体报警探测器、火灾报警系统及车间重要仪表显示用电</w:t>
      </w:r>
      <w:r>
        <w:rPr>
          <w:color w:val="auto"/>
          <w:kern w:val="0"/>
          <w:sz w:val="28"/>
          <w:szCs w:val="28"/>
          <w:highlight w:val="none"/>
        </w:rPr>
        <w:t>等一级重要负荷</w:t>
      </w:r>
      <w:r>
        <w:rPr>
          <w:rFonts w:hint="eastAsia"/>
          <w:color w:val="auto"/>
          <w:kern w:val="0"/>
          <w:sz w:val="28"/>
          <w:szCs w:val="28"/>
          <w:highlight w:val="none"/>
        </w:rPr>
        <w:t>应急</w:t>
      </w:r>
      <w:r>
        <w:rPr>
          <w:color w:val="auto"/>
          <w:kern w:val="0"/>
          <w:sz w:val="28"/>
          <w:szCs w:val="28"/>
          <w:highlight w:val="none"/>
        </w:rPr>
        <w:t>电源。</w:t>
      </w:r>
    </w:p>
    <w:p>
      <w:pPr>
        <w:spacing w:line="600" w:lineRule="exact"/>
        <w:ind w:firstLine="560" w:firstLineChars="200"/>
        <w:rPr>
          <w:color w:val="auto"/>
          <w:sz w:val="28"/>
          <w:szCs w:val="28"/>
          <w:highlight w:val="none"/>
        </w:rPr>
      </w:pPr>
      <w:r>
        <w:rPr>
          <w:color w:val="auto"/>
          <w:sz w:val="28"/>
          <w:szCs w:val="28"/>
          <w:highlight w:val="none"/>
        </w:rPr>
        <w:t>2、负荷等级及供电电源可靠性</w:t>
      </w:r>
    </w:p>
    <w:p>
      <w:pPr>
        <w:spacing w:line="600" w:lineRule="exact"/>
        <w:ind w:firstLine="560" w:firstLineChars="200"/>
        <w:rPr>
          <w:color w:val="auto"/>
          <w:sz w:val="28"/>
          <w:szCs w:val="28"/>
        </w:rPr>
      </w:pPr>
      <w:r>
        <w:rPr>
          <w:color w:val="auto"/>
          <w:sz w:val="28"/>
          <w:szCs w:val="28"/>
          <w:highlight w:val="none"/>
        </w:rPr>
        <w:t>本项目仅应急照明、视频监控系统、消防泵、通风系统及尾气吸收系统用电为二级负荷，二级用电负荷约为</w:t>
      </w:r>
      <w:r>
        <w:rPr>
          <w:rFonts w:hint="eastAsia"/>
          <w:color w:val="auto"/>
          <w:sz w:val="28"/>
          <w:szCs w:val="28"/>
          <w:highlight w:val="none"/>
          <w:lang w:val="en-US" w:eastAsia="zh-CN"/>
        </w:rPr>
        <w:t>190</w:t>
      </w:r>
      <w:r>
        <w:rPr>
          <w:color w:val="auto"/>
          <w:sz w:val="28"/>
          <w:szCs w:val="28"/>
          <w:highlight w:val="none"/>
        </w:rPr>
        <w:t>kW，其余均为三级负荷。仪表电源、可燃气体报警探测器、火灾报警系统及车间重要仪表显示用电为一级用电负荷。仪表电源、气体报警系统用电、火灾报警系统用电由UPS电源提供保障，当外电源中断时，UPS电池至少可供系统正常工作120min。车间应急照明系统用电由带有自充功能的蓄电池保障供电，可连续供电90min。</w:t>
      </w:r>
    </w:p>
    <w:bookmarkEnd w:id="216"/>
    <w:p>
      <w:pPr>
        <w:ind w:firstLine="560" w:firstLineChars="200"/>
        <w:rPr>
          <w:color w:val="auto"/>
          <w:sz w:val="28"/>
          <w:szCs w:val="28"/>
        </w:rPr>
      </w:pPr>
      <w:bookmarkStart w:id="217" w:name="_Toc340735716"/>
      <w:r>
        <w:rPr>
          <w:rFonts w:hint="eastAsia"/>
          <w:color w:val="auto"/>
          <w:sz w:val="28"/>
          <w:szCs w:val="28"/>
        </w:rPr>
        <w:t>该项目总装机容量</w:t>
      </w:r>
      <w:r>
        <w:rPr>
          <w:rFonts w:hint="eastAsia"/>
          <w:color w:val="auto"/>
          <w:sz w:val="28"/>
          <w:szCs w:val="28"/>
          <w:lang w:val="en-US" w:eastAsia="zh-CN"/>
        </w:rPr>
        <w:t>5414K</w:t>
      </w:r>
      <w:r>
        <w:rPr>
          <w:rFonts w:hint="eastAsia"/>
          <w:color w:val="auto"/>
          <w:sz w:val="28"/>
          <w:szCs w:val="28"/>
        </w:rPr>
        <w:t>W，工作容量</w:t>
      </w:r>
      <w:r>
        <w:rPr>
          <w:rFonts w:hint="eastAsia"/>
          <w:color w:val="auto"/>
          <w:sz w:val="28"/>
          <w:szCs w:val="28"/>
          <w:lang w:val="en-US" w:eastAsia="zh-CN"/>
        </w:rPr>
        <w:t>3816.8K</w:t>
      </w:r>
      <w:r>
        <w:rPr>
          <w:rFonts w:hint="eastAsia"/>
          <w:color w:val="auto"/>
          <w:sz w:val="28"/>
          <w:szCs w:val="28"/>
        </w:rPr>
        <w:t>W，厂区内该项目所有设备用电由发配电间</w:t>
      </w:r>
      <w:r>
        <w:rPr>
          <w:rFonts w:hint="eastAsia"/>
          <w:color w:val="auto"/>
          <w:sz w:val="28"/>
          <w:szCs w:val="28"/>
          <w:lang w:val="en-US" w:eastAsia="zh-CN"/>
        </w:rPr>
        <w:t>2台2500</w:t>
      </w:r>
      <w:r>
        <w:rPr>
          <w:rFonts w:hint="eastAsia"/>
          <w:color w:val="auto"/>
          <w:sz w:val="28"/>
          <w:szCs w:val="28"/>
        </w:rPr>
        <w:t>KVA</w:t>
      </w:r>
      <w:r>
        <w:rPr>
          <w:rFonts w:hint="eastAsia"/>
          <w:color w:val="auto"/>
          <w:sz w:val="28"/>
          <w:szCs w:val="28"/>
          <w:lang w:val="en-US" w:eastAsia="zh-CN"/>
        </w:rPr>
        <w:t>和1台160KVA</w:t>
      </w:r>
      <w:r>
        <w:rPr>
          <w:rFonts w:hint="eastAsia"/>
          <w:color w:val="auto"/>
          <w:sz w:val="28"/>
          <w:szCs w:val="28"/>
        </w:rPr>
        <w:t>干式变压器供电，负荷率为</w:t>
      </w:r>
      <w:r>
        <w:rPr>
          <w:color w:val="auto"/>
          <w:sz w:val="28"/>
          <w:szCs w:val="28"/>
        </w:rPr>
        <w:t>70</w:t>
      </w:r>
      <w:r>
        <w:rPr>
          <w:rFonts w:hint="eastAsia"/>
          <w:color w:val="auto"/>
          <w:sz w:val="28"/>
          <w:szCs w:val="28"/>
        </w:rPr>
        <w:t>%。该项目年耗电量：</w:t>
      </w:r>
      <w:r>
        <w:rPr>
          <w:rFonts w:hint="eastAsia"/>
          <w:color w:val="auto"/>
          <w:sz w:val="28"/>
          <w:szCs w:val="28"/>
          <w:lang w:val="en-US" w:eastAsia="zh-CN"/>
        </w:rPr>
        <w:t>2700</w:t>
      </w:r>
      <w:r>
        <w:rPr>
          <w:rFonts w:hint="eastAsia"/>
          <w:color w:val="auto"/>
          <w:sz w:val="28"/>
          <w:szCs w:val="28"/>
        </w:rPr>
        <w:t>万Kwh。</w:t>
      </w:r>
    </w:p>
    <w:p>
      <w:pPr>
        <w:ind w:firstLine="560" w:firstLineChars="200"/>
        <w:rPr>
          <w:rFonts w:hint="eastAsia"/>
          <w:color w:val="auto"/>
          <w:sz w:val="28"/>
          <w:szCs w:val="28"/>
        </w:rPr>
      </w:pPr>
      <w:r>
        <w:rPr>
          <w:rFonts w:hint="eastAsia"/>
          <w:color w:val="auto"/>
          <w:sz w:val="28"/>
          <w:szCs w:val="28"/>
        </w:rPr>
        <w:t>该项目</w:t>
      </w:r>
      <w:r>
        <w:rPr>
          <w:color w:val="auto"/>
          <w:sz w:val="28"/>
          <w:szCs w:val="28"/>
        </w:rPr>
        <w:t>用电负荷计算见表2.</w:t>
      </w:r>
      <w:r>
        <w:rPr>
          <w:rFonts w:hint="eastAsia"/>
          <w:color w:val="auto"/>
          <w:sz w:val="28"/>
          <w:szCs w:val="28"/>
        </w:rPr>
        <w:t>8</w:t>
      </w:r>
      <w:r>
        <w:rPr>
          <w:color w:val="auto"/>
          <w:sz w:val="28"/>
          <w:szCs w:val="28"/>
        </w:rPr>
        <w:t>-1</w:t>
      </w:r>
      <w:r>
        <w:rPr>
          <w:rFonts w:hint="eastAsia"/>
          <w:color w:val="auto"/>
          <w:sz w:val="28"/>
          <w:szCs w:val="28"/>
        </w:rPr>
        <w:t>。</w:t>
      </w:r>
      <w:bookmarkEnd w:id="217"/>
    </w:p>
    <w:p>
      <w:pPr>
        <w:pStyle w:val="53"/>
        <w:bidi w:val="0"/>
        <w:rPr>
          <w:rFonts w:hint="eastAsia"/>
          <w:color w:val="auto"/>
        </w:rPr>
      </w:pPr>
      <w:r>
        <w:rPr>
          <w:color w:val="auto"/>
        </w:rPr>
        <w:t>2.</w:t>
      </w:r>
      <w:r>
        <w:rPr>
          <w:rFonts w:hint="eastAsia"/>
          <w:color w:val="auto"/>
        </w:rPr>
        <w:t>8</w:t>
      </w:r>
      <w:r>
        <w:rPr>
          <w:color w:val="auto"/>
        </w:rPr>
        <w:t>-1</w:t>
      </w:r>
      <w:r>
        <w:rPr>
          <w:rFonts w:hint="eastAsia"/>
          <w:color w:val="auto"/>
        </w:rPr>
        <w:t>用电</w:t>
      </w:r>
      <w:r>
        <w:rPr>
          <w:color w:val="auto"/>
        </w:rPr>
        <w:t>负荷计算表</w:t>
      </w:r>
    </w:p>
    <w:tbl>
      <w:tblPr>
        <w:tblStyle w:val="42"/>
        <w:tblW w:w="4954" w:type="pct"/>
        <w:jc w:val="center"/>
        <w:tblLayout w:type="autofit"/>
        <w:tblCellMar>
          <w:top w:w="0" w:type="dxa"/>
          <w:left w:w="108" w:type="dxa"/>
          <w:bottom w:w="0" w:type="dxa"/>
          <w:right w:w="108" w:type="dxa"/>
        </w:tblCellMar>
      </w:tblPr>
      <w:tblGrid>
        <w:gridCol w:w="532"/>
        <w:gridCol w:w="1370"/>
        <w:gridCol w:w="893"/>
        <w:gridCol w:w="893"/>
        <w:gridCol w:w="709"/>
        <w:gridCol w:w="573"/>
        <w:gridCol w:w="709"/>
        <w:gridCol w:w="928"/>
        <w:gridCol w:w="1068"/>
        <w:gridCol w:w="859"/>
        <w:gridCol w:w="780"/>
      </w:tblGrid>
      <w:tr>
        <w:tblPrEx>
          <w:tblCellMar>
            <w:top w:w="0" w:type="dxa"/>
            <w:left w:w="108" w:type="dxa"/>
            <w:bottom w:w="0" w:type="dxa"/>
            <w:right w:w="108" w:type="dxa"/>
          </w:tblCellMar>
        </w:tblPrEx>
        <w:trPr>
          <w:trHeight w:val="369" w:hRule="atLeast"/>
          <w:tblHeader/>
          <w:jc w:val="center"/>
        </w:trPr>
        <w:tc>
          <w:tcPr>
            <w:tcW w:w="312"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序号</w:t>
            </w:r>
          </w:p>
        </w:tc>
        <w:tc>
          <w:tcPr>
            <w:tcW w:w="761"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名称</w:t>
            </w:r>
          </w:p>
        </w:tc>
        <w:tc>
          <w:tcPr>
            <w:tcW w:w="854" w:type="pct"/>
            <w:gridSpan w:val="2"/>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设备容量</w:t>
            </w:r>
          </w:p>
        </w:tc>
        <w:tc>
          <w:tcPr>
            <w:tcW w:w="406"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需要系数</w:t>
            </w:r>
          </w:p>
        </w:tc>
        <w:tc>
          <w:tcPr>
            <w:tcW w:w="333"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功率因数</w:t>
            </w:r>
          </w:p>
        </w:tc>
        <w:tc>
          <w:tcPr>
            <w:tcW w:w="406"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计算系数</w:t>
            </w:r>
          </w:p>
        </w:tc>
        <w:tc>
          <w:tcPr>
            <w:tcW w:w="1463" w:type="pct"/>
            <w:gridSpan w:val="3"/>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计算负荷</w:t>
            </w:r>
          </w:p>
        </w:tc>
        <w:tc>
          <w:tcPr>
            <w:tcW w:w="461" w:type="pct"/>
            <w:vMerge w:val="restar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备注</w:t>
            </w:r>
          </w:p>
        </w:tc>
      </w:tr>
      <w:tr>
        <w:tblPrEx>
          <w:tblCellMar>
            <w:top w:w="0" w:type="dxa"/>
            <w:left w:w="108" w:type="dxa"/>
            <w:bottom w:w="0" w:type="dxa"/>
            <w:right w:w="108" w:type="dxa"/>
          </w:tblCellMar>
        </w:tblPrEx>
        <w:trPr>
          <w:trHeight w:val="369" w:hRule="atLeast"/>
          <w:tblHeader/>
          <w:jc w:val="center"/>
        </w:trPr>
        <w:tc>
          <w:tcPr>
            <w:tcW w:w="312"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c>
          <w:tcPr>
            <w:tcW w:w="761"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eastAsia="zh-CN"/>
              </w:rPr>
            </w:pPr>
            <w:r>
              <w:rPr>
                <w:rFonts w:hint="eastAsia"/>
                <w:color w:val="auto"/>
                <w:sz w:val="21"/>
                <w:szCs w:val="21"/>
              </w:rPr>
              <w:t>安装容量</w:t>
            </w:r>
            <w:r>
              <w:rPr>
                <w:rFonts w:hint="eastAsia"/>
                <w:color w:val="auto"/>
                <w:sz w:val="21"/>
                <w:szCs w:val="21"/>
                <w:lang w:eastAsia="zh-CN"/>
              </w:rPr>
              <w:t>（</w:t>
            </w:r>
            <w:r>
              <w:rPr>
                <w:rFonts w:hint="eastAsia"/>
                <w:color w:val="auto"/>
                <w:sz w:val="21"/>
                <w:szCs w:val="21"/>
                <w:lang w:val="en-US" w:eastAsia="zh-CN"/>
              </w:rPr>
              <w:t>kw</w:t>
            </w:r>
            <w:r>
              <w:rPr>
                <w:rFonts w:hint="eastAsia"/>
                <w:color w:val="auto"/>
                <w:sz w:val="21"/>
                <w:szCs w:val="21"/>
                <w:lang w:eastAsia="zh-CN"/>
              </w:rPr>
              <w:t>）</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eastAsia="zh-CN"/>
              </w:rPr>
            </w:pPr>
            <w:r>
              <w:rPr>
                <w:rFonts w:hint="eastAsia"/>
                <w:color w:val="auto"/>
                <w:sz w:val="21"/>
                <w:szCs w:val="21"/>
              </w:rPr>
              <w:t>工作容量</w:t>
            </w:r>
            <w:r>
              <w:rPr>
                <w:rFonts w:hint="eastAsia"/>
                <w:color w:val="auto"/>
                <w:sz w:val="21"/>
                <w:szCs w:val="21"/>
                <w:lang w:eastAsia="zh-CN"/>
              </w:rPr>
              <w:t>（</w:t>
            </w:r>
            <w:r>
              <w:rPr>
                <w:rFonts w:hint="eastAsia"/>
                <w:color w:val="auto"/>
                <w:sz w:val="21"/>
                <w:szCs w:val="21"/>
                <w:lang w:val="en-US" w:eastAsia="zh-CN"/>
              </w:rPr>
              <w:t>kw</w:t>
            </w:r>
            <w:r>
              <w:rPr>
                <w:rFonts w:hint="eastAsia"/>
                <w:color w:val="auto"/>
                <w:sz w:val="21"/>
                <w:szCs w:val="21"/>
                <w:lang w:eastAsia="zh-CN"/>
              </w:rPr>
              <w:t>）</w:t>
            </w:r>
          </w:p>
        </w:tc>
        <w:tc>
          <w:tcPr>
            <w:tcW w:w="406"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c>
          <w:tcPr>
            <w:tcW w:w="333"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c>
          <w:tcPr>
            <w:tcW w:w="406"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color w:val="auto"/>
                <w:sz w:val="21"/>
                <w:szCs w:val="21"/>
              </w:rPr>
              <w:t>PJ</w:t>
            </w:r>
          </w:p>
          <w:p>
            <w:pPr>
              <w:pStyle w:val="59"/>
              <w:bidi w:val="0"/>
              <w:rPr>
                <w:color w:val="auto"/>
                <w:sz w:val="21"/>
                <w:szCs w:val="21"/>
              </w:rPr>
            </w:pPr>
            <w:r>
              <w:rPr>
                <w:rFonts w:hint="eastAsia"/>
                <w:color w:val="auto"/>
                <w:sz w:val="21"/>
                <w:szCs w:val="21"/>
              </w:rPr>
              <w:t>（</w:t>
            </w:r>
            <w:r>
              <w:rPr>
                <w:color w:val="auto"/>
                <w:sz w:val="21"/>
                <w:szCs w:val="21"/>
              </w:rPr>
              <w:t>Kw</w:t>
            </w:r>
            <w:r>
              <w:rPr>
                <w:rFonts w:hint="eastAsia"/>
                <w:color w:val="auto"/>
                <w:sz w:val="21"/>
                <w:szCs w:val="21"/>
              </w:rPr>
              <w:t>）</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color w:val="auto"/>
                <w:sz w:val="21"/>
                <w:szCs w:val="21"/>
              </w:rPr>
              <w:t>QJ</w:t>
            </w:r>
          </w:p>
          <w:p>
            <w:pPr>
              <w:pStyle w:val="59"/>
              <w:bidi w:val="0"/>
              <w:rPr>
                <w:color w:val="auto"/>
                <w:sz w:val="21"/>
                <w:szCs w:val="21"/>
              </w:rPr>
            </w:pPr>
            <w:r>
              <w:rPr>
                <w:rFonts w:hint="eastAsia"/>
                <w:color w:val="auto"/>
                <w:sz w:val="21"/>
                <w:szCs w:val="21"/>
              </w:rPr>
              <w:t>（</w:t>
            </w:r>
            <w:r>
              <w:rPr>
                <w:color w:val="auto"/>
                <w:sz w:val="21"/>
                <w:szCs w:val="21"/>
              </w:rPr>
              <w:t>Kvar</w:t>
            </w:r>
            <w:r>
              <w:rPr>
                <w:rFonts w:hint="eastAsia"/>
                <w:color w:val="auto"/>
                <w:sz w:val="21"/>
                <w:szCs w:val="21"/>
              </w:rPr>
              <w:t>）</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color w:val="auto"/>
                <w:sz w:val="21"/>
                <w:szCs w:val="21"/>
              </w:rPr>
              <w:t>SJ</w:t>
            </w:r>
          </w:p>
          <w:p>
            <w:pPr>
              <w:pStyle w:val="59"/>
              <w:bidi w:val="0"/>
              <w:rPr>
                <w:color w:val="auto"/>
                <w:sz w:val="21"/>
                <w:szCs w:val="21"/>
              </w:rPr>
            </w:pPr>
            <w:r>
              <w:rPr>
                <w:color w:val="auto"/>
                <w:sz w:val="21"/>
                <w:szCs w:val="21"/>
              </w:rPr>
              <w:t>(KVA)</w:t>
            </w:r>
          </w:p>
        </w:tc>
        <w:tc>
          <w:tcPr>
            <w:tcW w:w="461" w:type="pct"/>
            <w:vMerge w:val="continue"/>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r>
              <w:rPr>
                <w:rFonts w:hint="eastAsia"/>
                <w:color w:val="auto"/>
                <w:sz w:val="21"/>
                <w:szCs w:val="21"/>
              </w:rPr>
              <w:t>1</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裂解车间</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4000.0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3100.0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2480.0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1860.0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2</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eastAsia="zh-CN"/>
              </w:rPr>
            </w:pPr>
            <w:r>
              <w:rPr>
                <w:rFonts w:hint="eastAsia"/>
                <w:color w:val="auto"/>
                <w:sz w:val="21"/>
                <w:szCs w:val="21"/>
                <w:lang w:val="en-US" w:eastAsia="zh-CN"/>
              </w:rPr>
              <w:t>精馏车间</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300.0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150.0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120.0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90.0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3</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贮罐区</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6.0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2.4</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1.8</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4</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lang w:val="en-US" w:eastAsia="zh-CN"/>
              </w:rPr>
              <w:t>甲类仓库</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12.0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6.0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4.8</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3.6</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6</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消防水泵房</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110.0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55.0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44.0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33.0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7</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丙类仓库</w:t>
            </w:r>
            <w:r>
              <w:rPr>
                <w:rFonts w:hint="eastAsia"/>
                <w:color w:val="auto"/>
                <w:sz w:val="21"/>
                <w:szCs w:val="21"/>
                <w:lang w:val="en-US" w:eastAsia="zh-CN"/>
              </w:rPr>
              <w:t>一</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100.0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80.0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60.0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8</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丙类仓库</w:t>
            </w:r>
            <w:r>
              <w:rPr>
                <w:rFonts w:hint="eastAsia"/>
                <w:color w:val="auto"/>
                <w:sz w:val="21"/>
                <w:szCs w:val="21"/>
                <w:lang w:val="en-US" w:eastAsia="zh-CN"/>
              </w:rPr>
              <w:t>二</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8.0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6.0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9</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eastAsia="zh-CN"/>
              </w:rPr>
            </w:pPr>
            <w:r>
              <w:rPr>
                <w:rFonts w:hint="eastAsia"/>
                <w:color w:val="auto"/>
                <w:sz w:val="21"/>
                <w:szCs w:val="21"/>
                <w:lang w:val="en-US" w:eastAsia="zh-CN"/>
              </w:rPr>
              <w:t>公用工程车间</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300.0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150.0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120.0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90.0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10</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事故应急池</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6.0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3.2</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2.4</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11</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污水处理区域</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16.0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12.0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12</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门卫</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25.8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20.7</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15.5</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13</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照明及其他</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70.0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40.0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14</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lang w:val="en-US" w:eastAsia="zh-CN"/>
              </w:rPr>
              <w:t>中心控制室</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180.0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90.0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72.0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54.0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15</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综合楼</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110.0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53.0</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0.75</w:t>
            </w: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42.4</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31.8</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16</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小计</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5414.0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3816.8</w:t>
            </w: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3053.5</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2290.1</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lang w:val="en-US" w:eastAsia="zh-CN"/>
              </w:rPr>
            </w:pPr>
            <w:r>
              <w:rPr>
                <w:rFonts w:hint="eastAsia"/>
                <w:color w:val="auto"/>
                <w:sz w:val="21"/>
                <w:szCs w:val="21"/>
              </w:rPr>
              <w:t>17</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同期系数0.90</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2748.2</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2061.1</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18</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低压电容补偿后</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2748.2</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2061.1</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3435.2</w:t>
            </w: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19</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变压器损耗</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34.0</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170.0</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20</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折算到10KV侧</w:t>
            </w: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2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333"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06"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p>
        </w:tc>
        <w:tc>
          <w:tcPr>
            <w:tcW w:w="448"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2782.2</w:t>
            </w:r>
          </w:p>
        </w:tc>
        <w:tc>
          <w:tcPr>
            <w:tcW w:w="54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2231.1</w:t>
            </w:r>
          </w:p>
        </w:tc>
        <w:tc>
          <w:tcPr>
            <w:tcW w:w="467"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3566.3</w:t>
            </w: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color w:val="auto"/>
                <w:sz w:val="21"/>
                <w:szCs w:val="21"/>
              </w:rPr>
            </w:pPr>
          </w:p>
        </w:tc>
      </w:tr>
      <w:tr>
        <w:tblPrEx>
          <w:tblCellMar>
            <w:top w:w="0" w:type="dxa"/>
            <w:left w:w="108" w:type="dxa"/>
            <w:bottom w:w="0" w:type="dxa"/>
            <w:right w:w="108" w:type="dxa"/>
          </w:tblCellMar>
        </w:tblPrEx>
        <w:trPr>
          <w:trHeight w:val="369" w:hRule="atLeast"/>
          <w:jc w:val="center"/>
        </w:trPr>
        <w:tc>
          <w:tcPr>
            <w:tcW w:w="312"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lang w:val="en-US" w:eastAsia="zh-CN"/>
              </w:rPr>
              <w:t>21</w:t>
            </w:r>
          </w:p>
        </w:tc>
        <w:tc>
          <w:tcPr>
            <w:tcW w:w="7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变压器负荷率</w:t>
            </w:r>
          </w:p>
        </w:tc>
        <w:tc>
          <w:tcPr>
            <w:tcW w:w="3464" w:type="pct"/>
            <w:gridSpan w:val="8"/>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default"/>
                <w:color w:val="auto"/>
                <w:sz w:val="21"/>
                <w:szCs w:val="21"/>
                <w:lang w:val="en-US" w:eastAsia="zh-CN"/>
              </w:rPr>
            </w:pPr>
            <w:r>
              <w:rPr>
                <w:rFonts w:hint="eastAsia"/>
                <w:color w:val="auto"/>
                <w:sz w:val="21"/>
                <w:szCs w:val="21"/>
              </w:rPr>
              <w:t>选用</w:t>
            </w:r>
            <w:r>
              <w:rPr>
                <w:rFonts w:hint="eastAsia"/>
                <w:color w:val="auto"/>
                <w:sz w:val="21"/>
                <w:szCs w:val="21"/>
                <w:lang w:val="en-US" w:eastAsia="zh-CN"/>
              </w:rPr>
              <w:t>2台2500kva</w:t>
            </w:r>
            <w:r>
              <w:rPr>
                <w:rFonts w:hint="eastAsia"/>
                <w:color w:val="auto"/>
                <w:sz w:val="21"/>
                <w:szCs w:val="21"/>
              </w:rPr>
              <w:t>变压器</w:t>
            </w:r>
            <w:r>
              <w:rPr>
                <w:rFonts w:hint="eastAsia"/>
                <w:color w:val="auto"/>
                <w:sz w:val="21"/>
                <w:szCs w:val="21"/>
                <w:lang w:val="en-US" w:eastAsia="zh-CN"/>
              </w:rPr>
              <w:t>,1台160kva变压器</w:t>
            </w:r>
          </w:p>
        </w:tc>
        <w:tc>
          <w:tcPr>
            <w:tcW w:w="461" w:type="pct"/>
            <w:tcBorders>
              <w:top w:val="single" w:color="auto" w:sz="6" w:space="0"/>
              <w:left w:val="single" w:color="auto" w:sz="6" w:space="0"/>
              <w:bottom w:val="single" w:color="auto" w:sz="6" w:space="0"/>
              <w:right w:val="single" w:color="auto" w:sz="6" w:space="0"/>
            </w:tcBorders>
            <w:noWrap w:val="0"/>
            <w:vAlign w:val="center"/>
          </w:tcPr>
          <w:p>
            <w:pPr>
              <w:pStyle w:val="59"/>
              <w:bidi w:val="0"/>
              <w:rPr>
                <w:rFonts w:hint="eastAsia"/>
                <w:color w:val="auto"/>
                <w:sz w:val="21"/>
                <w:szCs w:val="21"/>
              </w:rPr>
            </w:pPr>
            <w:r>
              <w:rPr>
                <w:rFonts w:hint="eastAsia"/>
                <w:color w:val="auto"/>
                <w:sz w:val="21"/>
                <w:szCs w:val="21"/>
              </w:rPr>
              <w:t>KH＝</w:t>
            </w:r>
            <w:r>
              <w:rPr>
                <w:color w:val="auto"/>
                <w:sz w:val="21"/>
                <w:szCs w:val="21"/>
              </w:rPr>
              <w:t>70</w:t>
            </w:r>
            <w:r>
              <w:rPr>
                <w:rFonts w:hint="eastAsia"/>
                <w:color w:val="auto"/>
                <w:sz w:val="21"/>
                <w:szCs w:val="21"/>
              </w:rPr>
              <w:t>%</w:t>
            </w:r>
          </w:p>
        </w:tc>
      </w:tr>
    </w:tbl>
    <w:p>
      <w:pPr>
        <w:ind w:firstLine="562" w:firstLineChars="200"/>
        <w:jc w:val="left"/>
        <w:rPr>
          <w:b/>
          <w:bCs/>
          <w:color w:val="auto"/>
          <w:sz w:val="28"/>
        </w:rPr>
      </w:pPr>
      <w:r>
        <w:rPr>
          <w:b/>
          <w:bCs/>
          <w:color w:val="auto"/>
          <w:sz w:val="28"/>
        </w:rPr>
        <w:t>3、照明</w:t>
      </w:r>
    </w:p>
    <w:p>
      <w:pPr>
        <w:ind w:firstLine="560" w:firstLineChars="200"/>
        <w:rPr>
          <w:color w:val="auto"/>
          <w:sz w:val="28"/>
        </w:rPr>
      </w:pPr>
      <w:r>
        <w:rPr>
          <w:color w:val="auto"/>
          <w:sz w:val="28"/>
        </w:rPr>
        <w:t>按《建筑照明设计标准》（GB50034-2</w:t>
      </w:r>
      <w:r>
        <w:rPr>
          <w:rFonts w:hint="eastAsia"/>
          <w:color w:val="auto"/>
          <w:sz w:val="28"/>
        </w:rPr>
        <w:t>013</w:t>
      </w:r>
      <w:r>
        <w:rPr>
          <w:color w:val="auto"/>
          <w:sz w:val="28"/>
        </w:rPr>
        <w:t>）及工艺生产要求，依据环境及生产对照度的不同要求，配合选用不同的灯具和光源。</w:t>
      </w:r>
    </w:p>
    <w:p>
      <w:pPr>
        <w:ind w:firstLine="562" w:firstLineChars="200"/>
        <w:rPr>
          <w:rFonts w:hint="eastAsia"/>
          <w:b/>
          <w:bCs/>
          <w:color w:val="auto"/>
          <w:sz w:val="28"/>
          <w:szCs w:val="28"/>
        </w:rPr>
      </w:pPr>
      <w:r>
        <w:rPr>
          <w:b/>
          <w:bCs/>
          <w:color w:val="auto"/>
          <w:sz w:val="28"/>
          <w:szCs w:val="28"/>
        </w:rPr>
        <w:t>4、主要</w:t>
      </w:r>
      <w:r>
        <w:rPr>
          <w:rFonts w:hint="eastAsia"/>
          <w:b/>
          <w:bCs/>
          <w:color w:val="auto"/>
          <w:sz w:val="28"/>
          <w:szCs w:val="28"/>
          <w:lang w:val="en-US" w:eastAsia="zh-CN"/>
        </w:rPr>
        <w:t>供电</w:t>
      </w:r>
      <w:r>
        <w:rPr>
          <w:b/>
          <w:bCs/>
          <w:color w:val="auto"/>
          <w:sz w:val="28"/>
          <w:szCs w:val="28"/>
        </w:rPr>
        <w:t>设备选型</w:t>
      </w:r>
    </w:p>
    <w:p>
      <w:pPr>
        <w:ind w:firstLine="560" w:firstLineChars="200"/>
        <w:rPr>
          <w:rFonts w:hint="eastAsia"/>
          <w:color w:val="auto"/>
          <w:sz w:val="28"/>
          <w:szCs w:val="28"/>
          <w:highlight w:val="none"/>
        </w:rPr>
      </w:pPr>
      <w:r>
        <w:rPr>
          <w:rFonts w:hint="eastAsia"/>
          <w:color w:val="auto"/>
          <w:sz w:val="28"/>
          <w:szCs w:val="28"/>
          <w:highlight w:val="none"/>
        </w:rPr>
        <w:t>电力变压器：</w:t>
      </w:r>
      <w:r>
        <w:rPr>
          <w:rFonts w:hint="eastAsia"/>
          <w:color w:val="auto"/>
          <w:sz w:val="28"/>
          <w:szCs w:val="28"/>
          <w:highlight w:val="none"/>
          <w:lang w:val="en-US" w:eastAsia="zh-CN"/>
        </w:rPr>
        <w:t>2台2500</w:t>
      </w:r>
      <w:r>
        <w:rPr>
          <w:rFonts w:hint="eastAsia"/>
          <w:color w:val="auto"/>
          <w:sz w:val="28"/>
          <w:szCs w:val="28"/>
          <w:highlight w:val="none"/>
        </w:rPr>
        <w:t>KVA变压器，10/0.4KV</w:t>
      </w:r>
      <w:r>
        <w:rPr>
          <w:rFonts w:hint="eastAsia"/>
          <w:color w:val="auto"/>
          <w:sz w:val="28"/>
          <w:szCs w:val="28"/>
          <w:highlight w:val="none"/>
          <w:lang w:eastAsia="zh-CN"/>
        </w:rPr>
        <w:t>；</w:t>
      </w:r>
      <w:r>
        <w:rPr>
          <w:rFonts w:hint="eastAsia"/>
          <w:color w:val="auto"/>
          <w:sz w:val="28"/>
          <w:szCs w:val="28"/>
          <w:highlight w:val="none"/>
          <w:lang w:val="en-US" w:eastAsia="zh-CN"/>
        </w:rPr>
        <w:t>1台160KVA变压器，</w:t>
      </w:r>
      <w:r>
        <w:rPr>
          <w:rFonts w:hint="eastAsia"/>
          <w:color w:val="auto"/>
          <w:sz w:val="28"/>
          <w:szCs w:val="28"/>
          <w:highlight w:val="none"/>
        </w:rPr>
        <w:t>10/0.4KV</w:t>
      </w:r>
    </w:p>
    <w:p>
      <w:pPr>
        <w:ind w:firstLine="560" w:firstLineChars="200"/>
        <w:rPr>
          <w:rFonts w:hint="eastAsia"/>
          <w:color w:val="auto"/>
          <w:sz w:val="28"/>
          <w:szCs w:val="28"/>
          <w:highlight w:val="none"/>
        </w:rPr>
      </w:pPr>
      <w:r>
        <w:rPr>
          <w:rFonts w:hint="eastAsia"/>
          <w:color w:val="auto"/>
          <w:sz w:val="28"/>
          <w:szCs w:val="28"/>
          <w:highlight w:val="none"/>
        </w:rPr>
        <w:t>低压配电柜：MNS型和XL-21型</w:t>
      </w:r>
    </w:p>
    <w:p>
      <w:pPr>
        <w:ind w:firstLine="560" w:firstLineChars="200"/>
        <w:rPr>
          <w:rFonts w:hint="eastAsia"/>
          <w:color w:val="auto"/>
          <w:sz w:val="28"/>
          <w:szCs w:val="28"/>
          <w:highlight w:val="none"/>
        </w:rPr>
      </w:pPr>
      <w:r>
        <w:rPr>
          <w:rFonts w:hint="eastAsia"/>
          <w:color w:val="auto"/>
          <w:sz w:val="28"/>
          <w:szCs w:val="28"/>
          <w:highlight w:val="none"/>
        </w:rPr>
        <w:t>电缆：YJV22-1</w:t>
      </w:r>
      <w:r>
        <w:rPr>
          <w:rFonts w:hint="eastAsia"/>
          <w:color w:val="auto"/>
          <w:sz w:val="28"/>
          <w:szCs w:val="28"/>
          <w:highlight w:val="none"/>
          <w:lang w:val="en-US" w:eastAsia="zh-CN"/>
        </w:rPr>
        <w:t>0</w:t>
      </w:r>
      <w:r>
        <w:rPr>
          <w:rFonts w:hint="eastAsia"/>
          <w:color w:val="auto"/>
          <w:sz w:val="28"/>
          <w:szCs w:val="28"/>
          <w:highlight w:val="none"/>
        </w:rPr>
        <w:t>KV、</w:t>
      </w:r>
      <w:r>
        <w:rPr>
          <w:rFonts w:hint="eastAsia"/>
          <w:color w:val="auto"/>
          <w:sz w:val="28"/>
          <w:szCs w:val="28"/>
        </w:rPr>
        <w:t>YJV22-1KV</w:t>
      </w:r>
      <w:r>
        <w:rPr>
          <w:rFonts w:hint="eastAsia"/>
          <w:color w:val="auto"/>
          <w:sz w:val="28"/>
          <w:szCs w:val="28"/>
          <w:lang w:eastAsia="zh-CN"/>
        </w:rPr>
        <w:t>、</w:t>
      </w:r>
      <w:r>
        <w:rPr>
          <w:rFonts w:hint="eastAsia"/>
          <w:color w:val="auto"/>
          <w:sz w:val="28"/>
          <w:szCs w:val="28"/>
          <w:highlight w:val="none"/>
        </w:rPr>
        <w:t>YJV-1KV、ZR-1KV、ZR-750V等</w:t>
      </w:r>
    </w:p>
    <w:p>
      <w:pPr>
        <w:ind w:firstLine="560" w:firstLineChars="200"/>
        <w:rPr>
          <w:rFonts w:hint="eastAsia"/>
          <w:color w:val="auto"/>
          <w:sz w:val="28"/>
          <w:szCs w:val="28"/>
          <w:highlight w:val="none"/>
        </w:rPr>
      </w:pPr>
      <w:r>
        <w:rPr>
          <w:rFonts w:hint="eastAsia"/>
          <w:color w:val="auto"/>
          <w:sz w:val="28"/>
          <w:szCs w:val="28"/>
          <w:highlight w:val="none"/>
        </w:rPr>
        <w:t>电线：BV-500V</w:t>
      </w:r>
    </w:p>
    <w:p>
      <w:pPr>
        <w:ind w:firstLine="560" w:firstLineChars="200"/>
        <w:rPr>
          <w:rFonts w:hint="eastAsia"/>
          <w:color w:val="auto"/>
          <w:sz w:val="28"/>
          <w:szCs w:val="28"/>
          <w:highlight w:val="none"/>
        </w:rPr>
      </w:pPr>
      <w:r>
        <w:rPr>
          <w:rFonts w:hint="eastAsia"/>
          <w:color w:val="auto"/>
          <w:sz w:val="28"/>
          <w:szCs w:val="28"/>
          <w:highlight w:val="none"/>
        </w:rPr>
        <w:t>照明配电箱：</w:t>
      </w:r>
      <w:r>
        <w:rPr>
          <w:rFonts w:hint="eastAsia"/>
          <w:color w:val="auto"/>
          <w:sz w:val="28"/>
          <w:szCs w:val="28"/>
          <w:highlight w:val="none"/>
          <w:lang w:val="en-US" w:eastAsia="zh-CN"/>
        </w:rPr>
        <w:t>QDB(R)</w:t>
      </w:r>
      <w:r>
        <w:rPr>
          <w:rFonts w:hint="eastAsia"/>
          <w:color w:val="auto"/>
          <w:sz w:val="28"/>
          <w:szCs w:val="28"/>
          <w:highlight w:val="none"/>
        </w:rPr>
        <w:t>型</w:t>
      </w:r>
    </w:p>
    <w:p>
      <w:pPr>
        <w:ind w:firstLine="560" w:firstLineChars="200"/>
        <w:rPr>
          <w:rFonts w:hint="eastAsia"/>
          <w:color w:val="auto"/>
          <w:sz w:val="28"/>
          <w:szCs w:val="28"/>
        </w:rPr>
      </w:pPr>
      <w:r>
        <w:rPr>
          <w:rFonts w:hint="eastAsia"/>
          <w:color w:val="auto"/>
          <w:sz w:val="28"/>
          <w:szCs w:val="28"/>
        </w:rPr>
        <w:t>灯具：荧光灯</w:t>
      </w:r>
    </w:p>
    <w:p>
      <w:pPr>
        <w:ind w:firstLine="560" w:firstLineChars="200"/>
        <w:rPr>
          <w:rFonts w:hint="eastAsia"/>
          <w:color w:val="auto"/>
          <w:sz w:val="28"/>
          <w:szCs w:val="28"/>
        </w:rPr>
      </w:pPr>
      <w:r>
        <w:rPr>
          <w:color w:val="auto"/>
          <w:sz w:val="28"/>
          <w:szCs w:val="28"/>
        </w:rPr>
        <w:t>柴油发电机组：1</w:t>
      </w:r>
      <w:r>
        <w:rPr>
          <w:rFonts w:hint="eastAsia"/>
          <w:color w:val="auto"/>
          <w:sz w:val="28"/>
          <w:szCs w:val="28"/>
        </w:rPr>
        <w:t>台</w:t>
      </w:r>
      <w:r>
        <w:rPr>
          <w:rFonts w:hint="eastAsia"/>
          <w:color w:val="auto"/>
          <w:sz w:val="28"/>
          <w:szCs w:val="28"/>
          <w:lang w:val="en-US" w:eastAsia="zh-CN"/>
        </w:rPr>
        <w:t>200</w:t>
      </w:r>
      <w:r>
        <w:rPr>
          <w:rFonts w:hint="eastAsia"/>
          <w:color w:val="auto"/>
          <w:sz w:val="28"/>
          <w:szCs w:val="28"/>
        </w:rPr>
        <w:t xml:space="preserve">KW </w:t>
      </w:r>
    </w:p>
    <w:p>
      <w:pPr>
        <w:ind w:firstLine="562" w:firstLineChars="200"/>
        <w:rPr>
          <w:rFonts w:hint="eastAsia"/>
          <w:b/>
          <w:bCs/>
          <w:color w:val="auto"/>
          <w:sz w:val="28"/>
          <w:szCs w:val="28"/>
        </w:rPr>
      </w:pPr>
      <w:r>
        <w:rPr>
          <w:rFonts w:hint="eastAsia"/>
          <w:b/>
          <w:bCs/>
          <w:color w:val="auto"/>
          <w:sz w:val="28"/>
          <w:szCs w:val="28"/>
        </w:rPr>
        <w:t>5</w:t>
      </w:r>
      <w:r>
        <w:rPr>
          <w:b/>
          <w:bCs/>
          <w:color w:val="auto"/>
          <w:sz w:val="28"/>
          <w:szCs w:val="28"/>
        </w:rPr>
        <w:t>、生产车间供电及敷设方式</w:t>
      </w:r>
    </w:p>
    <w:p>
      <w:pPr>
        <w:ind w:firstLine="560" w:firstLineChars="200"/>
        <w:rPr>
          <w:color w:val="auto"/>
          <w:sz w:val="28"/>
          <w:szCs w:val="28"/>
        </w:rPr>
      </w:pPr>
      <w:r>
        <w:rPr>
          <w:color w:val="auto"/>
          <w:sz w:val="28"/>
          <w:szCs w:val="28"/>
        </w:rPr>
        <w:t>1）车间供电</w:t>
      </w:r>
    </w:p>
    <w:p>
      <w:pPr>
        <w:ind w:firstLine="560" w:firstLineChars="200"/>
        <w:rPr>
          <w:rFonts w:hint="eastAsia"/>
          <w:color w:val="auto"/>
          <w:sz w:val="28"/>
          <w:szCs w:val="28"/>
        </w:rPr>
      </w:pPr>
      <w:r>
        <w:rPr>
          <w:rFonts w:hint="eastAsia"/>
          <w:color w:val="auto"/>
          <w:sz w:val="28"/>
          <w:szCs w:val="28"/>
        </w:rPr>
        <w:t>在生产车间设置低压配电间，从各自配电装置向有关用电设备放射式供电。现场设置现场控制按钮。</w:t>
      </w:r>
    </w:p>
    <w:p>
      <w:pPr>
        <w:ind w:firstLine="560" w:firstLineChars="200"/>
        <w:rPr>
          <w:rFonts w:hint="eastAsia"/>
          <w:color w:val="auto"/>
          <w:sz w:val="28"/>
          <w:szCs w:val="28"/>
        </w:rPr>
      </w:pPr>
      <w:r>
        <w:rPr>
          <w:rFonts w:hint="eastAsia"/>
          <w:color w:val="auto"/>
          <w:sz w:val="28"/>
          <w:szCs w:val="28"/>
        </w:rPr>
        <w:t>高压电力电缆选用交联聚乙烯电力电缆YJV22-10KV型，动力电力电缆选用YJV22-1KV；YJV-1KV型；控制电缆选用KVV-0.75KV型。电缆在爆炸危险区域均选择阻燃型电缆。</w:t>
      </w:r>
    </w:p>
    <w:p>
      <w:pPr>
        <w:ind w:firstLine="560" w:firstLineChars="200"/>
        <w:rPr>
          <w:color w:val="auto"/>
          <w:sz w:val="28"/>
          <w:szCs w:val="28"/>
        </w:rPr>
      </w:pPr>
      <w:bookmarkStart w:id="218" w:name="_Toc306180267"/>
      <w:bookmarkStart w:id="219" w:name="_Toc309047486"/>
      <w:r>
        <w:rPr>
          <w:color w:val="auto"/>
          <w:sz w:val="28"/>
          <w:szCs w:val="28"/>
        </w:rPr>
        <w:t>2）敷设方式</w:t>
      </w:r>
      <w:bookmarkEnd w:id="218"/>
      <w:bookmarkEnd w:id="219"/>
    </w:p>
    <w:p>
      <w:pPr>
        <w:ind w:firstLine="560" w:firstLineChars="200"/>
        <w:rPr>
          <w:color w:val="auto"/>
          <w:sz w:val="28"/>
        </w:rPr>
      </w:pPr>
      <w:r>
        <w:rPr>
          <w:rFonts w:hint="eastAsia"/>
          <w:color w:val="auto"/>
          <w:sz w:val="28"/>
          <w:szCs w:val="28"/>
        </w:rPr>
        <w:t>在车间内动力电缆沿桥架敷设，然后出桥架穿管引下至用电设备，照明线路穿钢管明敷，有防爆要求的场所按《爆炸危险环境电力装置设计规范》</w:t>
      </w:r>
      <w:r>
        <w:rPr>
          <w:rFonts w:hint="eastAsia"/>
          <w:color w:val="auto"/>
          <w:sz w:val="28"/>
          <w:szCs w:val="28"/>
          <w:lang w:eastAsia="zh-CN"/>
        </w:rPr>
        <w:t>（</w:t>
      </w:r>
      <w:r>
        <w:rPr>
          <w:rFonts w:hint="eastAsia"/>
          <w:color w:val="auto"/>
          <w:sz w:val="28"/>
          <w:szCs w:val="28"/>
        </w:rPr>
        <w:t>GB50058-</w:t>
      </w:r>
      <w:r>
        <w:rPr>
          <w:color w:val="auto"/>
          <w:sz w:val="28"/>
          <w:szCs w:val="28"/>
        </w:rPr>
        <w:t>2014</w:t>
      </w:r>
      <w:r>
        <w:rPr>
          <w:rFonts w:hint="eastAsia"/>
          <w:color w:val="auto"/>
          <w:sz w:val="28"/>
          <w:szCs w:val="28"/>
          <w:lang w:eastAsia="zh-CN"/>
        </w:rPr>
        <w:t>）</w:t>
      </w:r>
      <w:r>
        <w:rPr>
          <w:rFonts w:hint="eastAsia"/>
          <w:color w:val="auto"/>
          <w:sz w:val="28"/>
          <w:szCs w:val="28"/>
        </w:rPr>
        <w:t>及《化工企业静电接地设计规定》</w:t>
      </w:r>
      <w:r>
        <w:rPr>
          <w:rFonts w:hint="eastAsia"/>
          <w:color w:val="auto"/>
          <w:sz w:val="28"/>
          <w:szCs w:val="28"/>
          <w:lang w:eastAsia="zh-CN"/>
        </w:rPr>
        <w:t>（</w:t>
      </w:r>
      <w:r>
        <w:rPr>
          <w:rFonts w:hint="eastAsia"/>
          <w:color w:val="auto"/>
          <w:sz w:val="28"/>
          <w:szCs w:val="28"/>
        </w:rPr>
        <w:t>HGJ28-1990</w:t>
      </w:r>
      <w:r>
        <w:rPr>
          <w:rFonts w:hint="eastAsia"/>
          <w:color w:val="auto"/>
          <w:sz w:val="28"/>
          <w:szCs w:val="28"/>
          <w:lang w:eastAsia="zh-CN"/>
        </w:rPr>
        <w:t>）</w:t>
      </w:r>
      <w:r>
        <w:rPr>
          <w:rFonts w:hint="eastAsia"/>
          <w:color w:val="auto"/>
          <w:sz w:val="28"/>
          <w:szCs w:val="28"/>
        </w:rPr>
        <w:t>等有关规范进行设计。</w:t>
      </w:r>
    </w:p>
    <w:p>
      <w:pPr>
        <w:ind w:firstLine="562" w:firstLineChars="200"/>
        <w:rPr>
          <w:b/>
          <w:bCs/>
          <w:color w:val="auto"/>
          <w:sz w:val="28"/>
          <w:szCs w:val="28"/>
        </w:rPr>
      </w:pPr>
      <w:r>
        <w:rPr>
          <w:rFonts w:hint="eastAsia"/>
          <w:b/>
          <w:bCs/>
          <w:color w:val="auto"/>
          <w:sz w:val="28"/>
          <w:lang w:val="en-US" w:eastAsia="zh-CN"/>
        </w:rPr>
        <w:t>6</w:t>
      </w:r>
      <w:r>
        <w:rPr>
          <w:b/>
          <w:bCs/>
          <w:color w:val="auto"/>
          <w:sz w:val="28"/>
        </w:rPr>
        <w:t>、防雷、防静电接地</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本项目</w:t>
      </w:r>
      <w:r>
        <w:rPr>
          <w:rFonts w:hint="default" w:ascii="Times New Roman" w:hAnsi="Times New Roman" w:cs="Times New Roman"/>
          <w:color w:val="auto"/>
          <w:sz w:val="28"/>
          <w:lang w:val="en-US" w:eastAsia="zh-CN"/>
        </w:rPr>
        <w:t>101裂解车间、102精馏车间、201甲类仓库及307中控室均为二</w:t>
      </w:r>
      <w:r>
        <w:rPr>
          <w:rFonts w:hint="default" w:ascii="Times New Roman" w:hAnsi="Times New Roman" w:cs="Times New Roman"/>
          <w:color w:val="auto"/>
          <w:sz w:val="28"/>
        </w:rPr>
        <w:t>类</w:t>
      </w:r>
      <w:r>
        <w:rPr>
          <w:rFonts w:hint="default" w:ascii="Times New Roman" w:hAnsi="Times New Roman" w:cs="Times New Roman"/>
          <w:color w:val="auto"/>
          <w:sz w:val="28"/>
          <w:lang w:val="en-US" w:eastAsia="zh-CN"/>
        </w:rPr>
        <w:t>防雷</w:t>
      </w:r>
      <w:r>
        <w:rPr>
          <w:rFonts w:hint="default" w:ascii="Times New Roman" w:hAnsi="Times New Roman" w:cs="Times New Roman"/>
          <w:color w:val="auto"/>
          <w:sz w:val="28"/>
        </w:rPr>
        <w:t>建筑物</w:t>
      </w:r>
      <w:r>
        <w:rPr>
          <w:rFonts w:hint="default" w:ascii="Times New Roman" w:hAnsi="Times New Roman" w:cs="Times New Roman"/>
          <w:color w:val="auto"/>
          <w:sz w:val="28"/>
          <w:lang w:val="en-US" w:eastAsia="zh-CN"/>
        </w:rPr>
        <w:t>，其它为三类防雷建筑物。</w:t>
      </w:r>
      <w:r>
        <w:rPr>
          <w:rFonts w:hint="default" w:ascii="Times New Roman" w:hAnsi="Times New Roman" w:cs="Times New Roman"/>
          <w:color w:val="auto"/>
          <w:sz w:val="28"/>
        </w:rPr>
        <w:t>为防直击雷，在二类防雷建筑物上装设接闪带，接闪带网格不大于10×10m。接闪引下线采用构造柱内四对角主筋(直径不小于10)，引下线上与接闪带焊接下与接地扁钢连通。为防感应雷，在建筑物内设备、管道、构件等金属物件就近接到防雷接地装置。</w:t>
      </w:r>
    </w:p>
    <w:p>
      <w:pPr>
        <w:ind w:firstLine="560" w:firstLineChars="200"/>
        <w:rPr>
          <w:rFonts w:hint="eastAsia" w:ascii="宋体" w:hAnsi="宋体"/>
          <w:color w:val="auto"/>
          <w:sz w:val="28"/>
        </w:rPr>
      </w:pPr>
      <w:r>
        <w:rPr>
          <w:rFonts w:hint="default" w:ascii="Times New Roman" w:hAnsi="Times New Roman" w:cs="Times New Roman"/>
          <w:color w:val="auto"/>
          <w:sz w:val="28"/>
        </w:rPr>
        <w:t>第三类防雷建筑物屋面接闪带网格不大于20m×20m或24m×16m。接闪引下线采用构造柱内四对角主筋(直径不小于10)，不少于2根，引下线上与接闪带焊接，下与接地扁钢连通。所有防雷及接地构件均热镀锌</w:t>
      </w:r>
      <w:r>
        <w:rPr>
          <w:rFonts w:hint="eastAsia" w:ascii="宋体" w:hAnsi="宋体"/>
          <w:color w:val="auto"/>
          <w:sz w:val="28"/>
        </w:rPr>
        <w:t>，焊接处采用防腐处理。</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对于露天布置的储罐、容器等金属设备当顶板厚度大于4mm时可不设</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接闪杆保护，但必须与地下接地装置相连。在直径大于1.5m时，其与地下接地装置干线还不少于两处连接。</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为防止雷电电磁脉冲对电子设备的损害，对微机系统，通讯系统等电子设备需采用屏蔽电缆连接，合理布线并采取加装电子避雷器等措施限制侵入电子设备的雷电过电压。仪表系统在现场侧和控制室侧设有防雷击浪涌保护器。设置如下：1)现场的变送器（包括温变）、定位器、有毒可燃气体检测器的AI/AO信号在控制室内和现场均设置防雷击浪涌保护器；2)来自现场的振动、位移、键相、热电阻、热电偶、开关（包括温度、压力、流量、液位、阀位开关）信号在控制室内设置防雷击浪涌保护器；3)来往于现场控制柜的DI/AI/A</w:t>
      </w:r>
      <w:r>
        <w:rPr>
          <w:rFonts w:hint="eastAsia" w:cs="Times New Roman"/>
          <w:color w:val="auto"/>
          <w:sz w:val="28"/>
          <w:lang w:val="en-US" w:eastAsia="zh-CN"/>
        </w:rPr>
        <w:t>O</w:t>
      </w:r>
      <w:r>
        <w:rPr>
          <w:rFonts w:hint="default" w:ascii="Times New Roman" w:hAnsi="Times New Roman" w:cs="Times New Roman"/>
          <w:color w:val="auto"/>
          <w:sz w:val="28"/>
        </w:rPr>
        <w:t>/P</w:t>
      </w:r>
      <w:r>
        <w:rPr>
          <w:rFonts w:hint="eastAsia" w:cs="Times New Roman"/>
          <w:color w:val="auto"/>
          <w:sz w:val="28"/>
          <w:lang w:val="en-US" w:eastAsia="zh-CN"/>
        </w:rPr>
        <w:t>O</w:t>
      </w:r>
      <w:r>
        <w:rPr>
          <w:rFonts w:hint="default" w:ascii="Times New Roman" w:hAnsi="Times New Roman" w:cs="Times New Roman"/>
          <w:color w:val="auto"/>
          <w:sz w:val="28"/>
        </w:rPr>
        <w:t>信号在控制室内设置防雷击浪涌保护器。</w:t>
      </w:r>
    </w:p>
    <w:p>
      <w:pPr>
        <w:ind w:firstLine="560" w:firstLineChars="200"/>
        <w:rPr>
          <w:rFonts w:hint="eastAsia" w:ascii="宋体" w:hAnsi="宋体"/>
          <w:color w:val="auto"/>
          <w:sz w:val="28"/>
        </w:rPr>
      </w:pPr>
      <w:r>
        <w:rPr>
          <w:rFonts w:hint="eastAsia" w:ascii="宋体" w:hAnsi="宋体"/>
          <w:color w:val="auto"/>
          <w:sz w:val="28"/>
        </w:rPr>
        <w:t>2）接地系统</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全厂电气接地系统为各建构筑物内防雷接地、防静电接地、工作接地、保护接地采用联合接地系统。</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该项目拟采用TN-S接地保护方式。采用建筑物基础底部钢筋或敷设-40×4热镀锌扁钢作环型连接体，建筑物柱内基础钢筋作接地极。防雷防静电及电气保护接地均连成一体，组成接地网，接地电阻不大于4欧。人工接地极采用L50×50×5热镀锌角钢，接地极水平间距大于5米。所有设备上的电机均利用专用PE线作接地线。室外设备的金属外壳均需与室外接地干线作可靠连接。</w:t>
      </w:r>
    </w:p>
    <w:p>
      <w:pPr>
        <w:ind w:firstLine="560" w:firstLineChars="200"/>
        <w:rPr>
          <w:rFonts w:hint="eastAsia" w:ascii="宋体" w:hAnsi="宋体"/>
          <w:color w:val="auto"/>
          <w:sz w:val="28"/>
        </w:rPr>
      </w:pPr>
      <w:r>
        <w:rPr>
          <w:rFonts w:hint="eastAsia" w:ascii="宋体" w:hAnsi="宋体"/>
          <w:color w:val="auto"/>
          <w:sz w:val="28"/>
        </w:rPr>
        <w:t xml:space="preserve">正常情况下不带电的电气设备金属外壳均可靠接地。另外，由变电所采用 </w:t>
      </w:r>
      <w:r>
        <w:rPr>
          <w:rFonts w:hint="default" w:ascii="Times New Roman" w:hAnsi="Times New Roman" w:cs="Times New Roman"/>
          <w:color w:val="auto"/>
          <w:sz w:val="28"/>
        </w:rPr>
        <w:t>BVR-500 1×70mm</w:t>
      </w:r>
      <w:r>
        <w:rPr>
          <w:rFonts w:hint="default" w:ascii="Times New Roman" w:hAnsi="Times New Roman" w:cs="Times New Roman"/>
          <w:color w:val="auto"/>
          <w:sz w:val="28"/>
          <w:vertAlign w:val="superscript"/>
        </w:rPr>
        <w:t>2</w:t>
      </w:r>
      <w:r>
        <w:rPr>
          <w:rFonts w:hint="eastAsia" w:ascii="宋体" w:hAnsi="宋体"/>
          <w:color w:val="auto"/>
          <w:sz w:val="28"/>
        </w:rPr>
        <w:t>型铜芯绝缘导线引出一保护接地干线至装置区，电动机操作柱、电动机的保护接地采用</w:t>
      </w:r>
      <w:r>
        <w:rPr>
          <w:rFonts w:hint="default" w:ascii="Times New Roman" w:hAnsi="Times New Roman" w:cs="Times New Roman"/>
          <w:color w:val="auto"/>
          <w:sz w:val="28"/>
        </w:rPr>
        <w:t>BVR</w:t>
      </w:r>
      <w:r>
        <w:rPr>
          <w:rFonts w:hint="eastAsia" w:ascii="宋体" w:hAnsi="宋体"/>
          <w:color w:val="auto"/>
          <w:sz w:val="28"/>
        </w:rPr>
        <w:t>型铜芯绝缘导线作为保护接地支线与该保护接地干线可靠连接；装置内的检修电源箱（插座）、照明配电箱及照明灯具利用其电源线中的一芯作为保护接地线。</w:t>
      </w:r>
    </w:p>
    <w:p>
      <w:pPr>
        <w:ind w:firstLine="560" w:firstLineChars="200"/>
        <w:rPr>
          <w:rFonts w:hint="eastAsia" w:ascii="宋体" w:hAnsi="宋体"/>
          <w:color w:val="auto"/>
          <w:sz w:val="28"/>
        </w:rPr>
      </w:pPr>
      <w:r>
        <w:rPr>
          <w:rFonts w:hint="eastAsia" w:ascii="宋体" w:hAnsi="宋体"/>
          <w:color w:val="auto"/>
          <w:sz w:val="28"/>
        </w:rPr>
        <w:t>仪表接地采用等电位接地方式，仪表控制系统侧设有工作接地和保护接地两个汇流条，汇总后再与电气的接地网络相连接。</w:t>
      </w:r>
    </w:p>
    <w:p>
      <w:pPr>
        <w:ind w:firstLine="560" w:firstLineChars="200"/>
        <w:rPr>
          <w:rFonts w:hint="eastAsia" w:ascii="宋体" w:hAnsi="宋体"/>
          <w:color w:val="auto"/>
          <w:sz w:val="28"/>
        </w:rPr>
      </w:pPr>
      <w:r>
        <w:rPr>
          <w:rFonts w:hint="eastAsia" w:ascii="宋体" w:hAnsi="宋体"/>
          <w:color w:val="auto"/>
          <w:sz w:val="28"/>
        </w:rPr>
        <w:t>现场仪表接线箱、仪表电缆桥架、仪表设备和仪表密封接头的仪表安全接地在现场通过框架直接与电气接地网连接；仪表的信号接地接至仪表信号接地汇流排。</w:t>
      </w:r>
    </w:p>
    <w:p>
      <w:pPr>
        <w:ind w:firstLine="560" w:firstLineChars="200"/>
        <w:rPr>
          <w:rFonts w:hint="eastAsia" w:ascii="宋体" w:hAnsi="宋体"/>
          <w:color w:val="auto"/>
          <w:sz w:val="28"/>
        </w:rPr>
      </w:pPr>
      <w:r>
        <w:rPr>
          <w:rFonts w:hint="eastAsia" w:ascii="宋体" w:hAnsi="宋体"/>
          <w:color w:val="auto"/>
          <w:sz w:val="28"/>
        </w:rPr>
        <w:t>现场仪表的防雷击浪涌保护器与电气的现场防雷电感应的接地排相连。</w:t>
      </w:r>
    </w:p>
    <w:p>
      <w:pPr>
        <w:ind w:firstLine="560" w:firstLineChars="200"/>
        <w:rPr>
          <w:rFonts w:hint="eastAsia" w:ascii="宋体" w:hAnsi="宋体"/>
          <w:color w:val="auto"/>
          <w:sz w:val="28"/>
        </w:rPr>
      </w:pPr>
      <w:r>
        <w:rPr>
          <w:rFonts w:hint="eastAsia" w:ascii="宋体" w:hAnsi="宋体"/>
          <w:color w:val="auto"/>
          <w:sz w:val="28"/>
        </w:rPr>
        <w:t>机柜间内的仪表信号防雷击浪涌保护器的接地线接到工作接地汇总板。机柜间内的仪表供电用防雷击浪涌保护器与电气专业的防雷电感应的接地排相连。</w:t>
      </w:r>
    </w:p>
    <w:p>
      <w:pPr>
        <w:ind w:firstLine="560" w:firstLineChars="200"/>
        <w:rPr>
          <w:rFonts w:hint="eastAsia" w:ascii="宋体" w:hAnsi="宋体"/>
          <w:color w:val="auto"/>
          <w:sz w:val="28"/>
        </w:rPr>
      </w:pPr>
      <w:r>
        <w:rPr>
          <w:rFonts w:hint="eastAsia" w:ascii="宋体" w:hAnsi="宋体"/>
          <w:color w:val="auto"/>
          <w:sz w:val="28"/>
        </w:rPr>
        <w:t>全厂供电线路、全厂路灯电源线路敷设到哪里，接地线就敷设到哪里。</w:t>
      </w:r>
    </w:p>
    <w:p>
      <w:pPr>
        <w:ind w:firstLine="0" w:firstLineChars="0"/>
        <w:rPr>
          <w:rFonts w:hint="eastAsia" w:ascii="宋体" w:hAnsi="宋体"/>
          <w:color w:val="auto"/>
          <w:sz w:val="28"/>
        </w:rPr>
      </w:pPr>
      <w:r>
        <w:rPr>
          <w:rFonts w:hint="eastAsia" w:ascii="宋体" w:hAnsi="宋体"/>
          <w:color w:val="auto"/>
          <w:sz w:val="28"/>
        </w:rPr>
        <w:t>全厂接地网连为一体，接地线与供电线路同路经同方式敷设。电缆沟及直埋敷设线路，通长敷设铜铸钢接地线。接地线过马路、穿越铁路时借用电缆线路的镀锌保护钢管。</w:t>
      </w:r>
    </w:p>
    <w:p>
      <w:pPr>
        <w:ind w:firstLine="560" w:firstLineChars="200"/>
        <w:rPr>
          <w:rFonts w:hint="eastAsia" w:ascii="宋体" w:hAnsi="宋体"/>
          <w:color w:val="auto"/>
          <w:sz w:val="28"/>
        </w:rPr>
      </w:pPr>
      <w:r>
        <w:rPr>
          <w:rFonts w:hint="eastAsia" w:ascii="宋体" w:hAnsi="宋体"/>
          <w:color w:val="auto"/>
          <w:sz w:val="28"/>
        </w:rPr>
        <w:t>电缆栈桥或电缆桥架在分支处和终端处，各支撑槽钢或工字钢连接处采用铜镀钢绞线</w:t>
      </w:r>
      <w:r>
        <w:rPr>
          <w:rFonts w:hint="default" w:ascii="Times New Roman" w:hAnsi="Times New Roman" w:cs="Times New Roman"/>
          <w:color w:val="auto"/>
          <w:sz w:val="28"/>
        </w:rPr>
        <w:t>90mm</w:t>
      </w:r>
      <w:r>
        <w:rPr>
          <w:rFonts w:hint="default" w:ascii="Times New Roman" w:hAnsi="Times New Roman" w:cs="Times New Roman"/>
          <w:color w:val="auto"/>
          <w:sz w:val="28"/>
          <w:vertAlign w:val="superscript"/>
        </w:rPr>
        <w:t xml:space="preserve">2 </w:t>
      </w:r>
      <w:r>
        <w:rPr>
          <w:rFonts w:hint="eastAsia" w:ascii="宋体" w:hAnsi="宋体"/>
          <w:color w:val="auto"/>
          <w:sz w:val="28"/>
        </w:rPr>
        <w:t>接地线连接引下并接至各装置单元接地网。路灯金属灯杆均接地，电缆的铠装金属带作为灯具、灯杆、接线箱等的辅助接地线。</w:t>
      </w:r>
    </w:p>
    <w:p>
      <w:pPr>
        <w:ind w:firstLine="560" w:firstLineChars="200"/>
        <w:rPr>
          <w:rFonts w:hint="eastAsia" w:ascii="宋体" w:hAnsi="宋体"/>
          <w:color w:val="auto"/>
          <w:sz w:val="28"/>
        </w:rPr>
      </w:pPr>
      <w:r>
        <w:rPr>
          <w:rFonts w:hint="eastAsia" w:ascii="宋体" w:hAnsi="宋体"/>
          <w:color w:val="auto"/>
          <w:sz w:val="28"/>
        </w:rPr>
        <w:t>3）电气设备接地</w:t>
      </w:r>
    </w:p>
    <w:p>
      <w:pPr>
        <w:ind w:firstLine="560" w:firstLineChars="200"/>
        <w:rPr>
          <w:rFonts w:hint="eastAsia" w:ascii="宋体" w:hAnsi="宋体"/>
          <w:color w:val="auto"/>
          <w:sz w:val="28"/>
        </w:rPr>
      </w:pPr>
      <w:r>
        <w:rPr>
          <w:rFonts w:hint="eastAsia" w:ascii="宋体" w:hAnsi="宋体"/>
          <w:color w:val="auto"/>
          <w:sz w:val="28"/>
        </w:rPr>
        <w:t>所有室内及室外电气设备的不带电金属外壳及工艺要求接地的非用电</w:t>
      </w:r>
    </w:p>
    <w:p>
      <w:pPr>
        <w:ind w:firstLine="0" w:firstLineChars="0"/>
        <w:rPr>
          <w:rFonts w:hint="eastAsia" w:ascii="宋体" w:hAnsi="宋体"/>
          <w:color w:val="auto"/>
          <w:sz w:val="28"/>
        </w:rPr>
      </w:pPr>
      <w:r>
        <w:rPr>
          <w:rFonts w:hint="eastAsia" w:ascii="宋体" w:hAnsi="宋体"/>
          <w:color w:val="auto"/>
          <w:sz w:val="28"/>
        </w:rPr>
        <w:t>设备可靠接地，电动机采用单独与接地干线相连接的接地支线进行接地，动力配电箱及照明电源箱采用多芯电缆中的 PE 线进行接地，其电缆的保护钢管作为辅助接地线。保护接地线接入汇流排，再引至接地级。为了提高电气设备保护接地的可靠性，保护接地干线在爆炸和火灾危险区域不同方向且不少于两处与接地体连接，并与全厂接地网相连接。</w:t>
      </w:r>
    </w:p>
    <w:p>
      <w:pPr>
        <w:ind w:firstLine="560" w:firstLineChars="200"/>
        <w:rPr>
          <w:rFonts w:hint="eastAsia" w:ascii="宋体" w:hAnsi="宋体"/>
          <w:color w:val="auto"/>
          <w:sz w:val="28"/>
        </w:rPr>
      </w:pPr>
      <w:r>
        <w:rPr>
          <w:rFonts w:hint="eastAsia" w:ascii="宋体" w:hAnsi="宋体"/>
          <w:color w:val="auto"/>
          <w:sz w:val="28"/>
        </w:rPr>
        <w:t>各生产装置区内所有用电设备的外露可导电部分，用单独的保护支线与保护干线（PE)相连或用单独的接地线与接地体相连。保护线及接地线与设备间的连接，保证可靠的电气连接。</w:t>
      </w:r>
    </w:p>
    <w:p>
      <w:pPr>
        <w:ind w:firstLine="560" w:firstLineChars="200"/>
        <w:rPr>
          <w:rFonts w:hint="eastAsia" w:ascii="宋体" w:hAnsi="宋体"/>
          <w:color w:val="auto"/>
          <w:sz w:val="28"/>
        </w:rPr>
      </w:pPr>
      <w:r>
        <w:rPr>
          <w:rFonts w:hint="default" w:ascii="Times New Roman" w:hAnsi="Times New Roman" w:cs="Times New Roman"/>
          <w:color w:val="auto"/>
          <w:sz w:val="28"/>
        </w:rPr>
        <w:t>6kV</w:t>
      </w:r>
      <w:r>
        <w:rPr>
          <w:rFonts w:hint="eastAsia" w:ascii="宋体" w:hAnsi="宋体"/>
          <w:color w:val="auto"/>
          <w:sz w:val="28"/>
        </w:rPr>
        <w:t>及以上变配电所，在每组母线上装设避雷器。避雷器以较短的接地线与配电装置的主接地网连接，同时在其附近装设集中接地装置。变电所接地装置的型式和布置，尽量降低接触电势和跨步电势。</w:t>
      </w:r>
    </w:p>
    <w:p>
      <w:pPr>
        <w:ind w:firstLine="560" w:firstLineChars="200"/>
        <w:rPr>
          <w:rFonts w:hint="eastAsia" w:ascii="宋体" w:hAnsi="宋体"/>
          <w:color w:val="auto"/>
          <w:sz w:val="28"/>
        </w:rPr>
      </w:pPr>
      <w:r>
        <w:rPr>
          <w:rFonts w:hint="eastAsia" w:ascii="宋体" w:hAnsi="宋体"/>
          <w:color w:val="auto"/>
          <w:sz w:val="28"/>
        </w:rPr>
        <w:t>手提式电气设备采用专用的保护接地芯线。移动用电设备的外漏可导电部分与电源的接地系统有可靠的电气连接。</w:t>
      </w:r>
    </w:p>
    <w:p>
      <w:pPr>
        <w:ind w:firstLine="560" w:firstLineChars="200"/>
        <w:rPr>
          <w:rFonts w:hint="eastAsia" w:ascii="宋体" w:hAnsi="宋体"/>
          <w:color w:val="auto"/>
          <w:sz w:val="28"/>
        </w:rPr>
      </w:pPr>
      <w:r>
        <w:rPr>
          <w:rFonts w:hint="eastAsia" w:ascii="宋体" w:hAnsi="宋体"/>
          <w:color w:val="auto"/>
          <w:sz w:val="28"/>
        </w:rPr>
        <w:t>电气系统工作接地、电气设备保护接地、防雷保护和防静电接地各自成为一个系统，然后连接在一起，形成公共接地网。</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安装在工艺管廊上的电缆桥架做可靠接地，桥架之间连接采用绝缘电缆，电缆桥架内敷设的接地干线采用绝缘电缆，装置区管廊(管道和电缆桥架)在始末段分支处以及每隔 30m 处做防静电接地，接地电阻不大于 100Ω。钢制电缆桥架的连接处有良好的电气通路，电缆桥架的首端及每隔 30m 左右的位置与保护接地干线相连。</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为防止感应雷击，在建筑物内的金属物体，（如设备外壳、管道、金属构架等）用接地线连、接到设在建筑物四周地下的接地环路上。对相距 100mm及以下平行敷设的金属管道，每隔 20~30m 另用 16~35mm</w:t>
      </w:r>
      <w:r>
        <w:rPr>
          <w:rFonts w:hint="default" w:ascii="Times New Roman" w:hAnsi="Times New Roman" w:cs="Times New Roman"/>
          <w:color w:val="auto"/>
          <w:sz w:val="28"/>
          <w:vertAlign w:val="superscript"/>
        </w:rPr>
        <w:t xml:space="preserve">2 </w:t>
      </w:r>
      <w:r>
        <w:rPr>
          <w:rFonts w:hint="default" w:ascii="Times New Roman" w:hAnsi="Times New Roman" w:cs="Times New Roman"/>
          <w:color w:val="auto"/>
          <w:sz w:val="28"/>
        </w:rPr>
        <w:t>的铜芯导线跨接一次。</w:t>
      </w:r>
    </w:p>
    <w:p>
      <w:p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仪表及消防控制设备的接地系统设置如DCS及计算机系统、火灾自动报警系统的接地，其接地电阻不大于1Ω。电缆屏蔽接地的电阻不大于10Ω。计算机的保护接地方式同上述电气设备的保护接地，其工作接地按照随机附带的“安装手册及说明”的要求连接。</w:t>
      </w:r>
    </w:p>
    <w:p>
      <w:pPr>
        <w:ind w:firstLine="560" w:firstLineChars="200"/>
        <w:rPr>
          <w:rFonts w:hint="eastAsia" w:ascii="宋体" w:hAnsi="宋体"/>
          <w:color w:val="auto"/>
          <w:sz w:val="28"/>
        </w:rPr>
      </w:pPr>
      <w:r>
        <w:rPr>
          <w:rFonts w:hint="eastAsia" w:ascii="宋体" w:hAnsi="宋体"/>
          <w:color w:val="auto"/>
          <w:sz w:val="28"/>
        </w:rPr>
        <w:t>4）工艺设备接地</w:t>
      </w:r>
    </w:p>
    <w:p>
      <w:pPr>
        <w:ind w:firstLine="560" w:firstLineChars="200"/>
        <w:rPr>
          <w:rFonts w:hint="eastAsia" w:ascii="宋体" w:hAnsi="宋体"/>
          <w:color w:val="auto"/>
          <w:sz w:val="28"/>
        </w:rPr>
      </w:pPr>
      <w:r>
        <w:rPr>
          <w:rFonts w:hint="default" w:ascii="Times New Roman" w:hAnsi="Times New Roman" w:cs="Times New Roman"/>
          <w:color w:val="auto"/>
          <w:sz w:val="28"/>
        </w:rPr>
        <w:t>根据规范的要求凡可能产生静电的工艺设备均装设防静电接地，一般工频接地电阻值不大于 100Ω。单独设置（非利用</w:t>
      </w:r>
      <w:r>
        <w:rPr>
          <w:rFonts w:hint="eastAsia" w:ascii="宋体" w:hAnsi="宋体"/>
          <w:color w:val="auto"/>
          <w:sz w:val="28"/>
        </w:rPr>
        <w:t>建构筑物基础）的接地极埋深至地面</w:t>
      </w:r>
      <w:r>
        <w:rPr>
          <w:rFonts w:hint="default" w:ascii="Times New Roman" w:hAnsi="Times New Roman" w:cs="Times New Roman"/>
          <w:color w:val="auto"/>
          <w:sz w:val="28"/>
        </w:rPr>
        <w:t xml:space="preserve"> 800mm </w:t>
      </w:r>
      <w:r>
        <w:rPr>
          <w:rFonts w:hint="eastAsia" w:ascii="宋体" w:hAnsi="宋体"/>
          <w:color w:val="auto"/>
          <w:sz w:val="28"/>
        </w:rPr>
        <w:t>以下位置，以保证接地电阻，对土壤电阻率很大的装置采用降阻措施,或采用特殊接地装置以保证接地电阻值。</w:t>
      </w:r>
    </w:p>
    <w:p>
      <w:pPr>
        <w:numPr>
          <w:ilvl w:val="0"/>
          <w:numId w:val="0"/>
        </w:numPr>
        <w:ind w:firstLine="560" w:firstLineChars="200"/>
        <w:rPr>
          <w:rFonts w:hint="eastAsia" w:ascii="宋体" w:hAnsi="宋体"/>
          <w:color w:val="auto"/>
          <w:sz w:val="28"/>
        </w:rPr>
      </w:pPr>
      <w:r>
        <w:rPr>
          <w:rFonts w:hint="eastAsia" w:ascii="宋体" w:hAnsi="宋体" w:eastAsia="宋体" w:cs="Times New Roman"/>
          <w:color w:val="auto"/>
          <w:kern w:val="2"/>
          <w:sz w:val="28"/>
          <w:szCs w:val="24"/>
          <w:lang w:val="en-US" w:eastAsia="zh-CN" w:bidi="ar-SA"/>
        </w:rPr>
        <w:t>5）</w:t>
      </w:r>
      <w:r>
        <w:rPr>
          <w:rFonts w:hint="eastAsia" w:ascii="宋体" w:hAnsi="宋体"/>
          <w:color w:val="auto"/>
          <w:sz w:val="28"/>
        </w:rPr>
        <w:t>防静电接地</w:t>
      </w:r>
    </w:p>
    <w:p>
      <w:pPr>
        <w:numPr>
          <w:ilvl w:val="-1"/>
          <w:numId w:val="0"/>
        </w:numPr>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在有爆炸危险环境生产车间内明敷-40×4 镀锌扁钢，作为防静电接地干线。所有金属设备，管道及钢平台扶手均与防静电接地干线作可靠焊接。为防静电室内外一切工艺设备管道及电器设备外壳及接闪杆防直击雷，防雷防静电及电气保护接地均作可靠接地，平行敷设的长金属管道其净距小于100mm 的每隔 20~30m 用金属线连接，交叉净距小于100mm 时交叉处也进行跨接，弯头阀门、法兰盘等在连接处用金属线跨接并与接地网连成闭合回路。罐区装卸区设置静电夹，爆炸危险区域进出口处设置人体静电导除装置。</w:t>
      </w:r>
    </w:p>
    <w:p>
      <w:pPr>
        <w:pStyle w:val="4"/>
        <w:keepNext/>
        <w:keepLines/>
        <w:pageBreakBefore w:val="0"/>
        <w:widowControl w:val="0"/>
        <w:kinsoku/>
        <w:wordWrap/>
        <w:overflowPunct/>
        <w:topLinePunct w:val="0"/>
        <w:autoSpaceDE/>
        <w:autoSpaceDN/>
        <w:bidi w:val="0"/>
        <w:adjustRightInd/>
        <w:snapToGrid/>
        <w:spacing w:before="313" w:beforeLines="100" w:line="240" w:lineRule="auto"/>
        <w:textAlignment w:val="auto"/>
        <w:rPr>
          <w:rFonts w:hint="eastAsia"/>
          <w:color w:val="auto"/>
        </w:rPr>
      </w:pPr>
      <w:bookmarkStart w:id="220" w:name="_Toc13498"/>
      <w:bookmarkStart w:id="221" w:name="_Toc17850"/>
      <w:bookmarkStart w:id="222" w:name="_Toc2402"/>
      <w:bookmarkStart w:id="223" w:name="_Toc1730"/>
      <w:bookmarkStart w:id="224" w:name="_Toc32045"/>
      <w:bookmarkStart w:id="225" w:name="_Toc1376"/>
      <w:bookmarkStart w:id="226" w:name="_Toc8156"/>
      <w:r>
        <w:rPr>
          <w:color w:val="auto"/>
        </w:rPr>
        <w:t>2.</w:t>
      </w:r>
      <w:r>
        <w:rPr>
          <w:rFonts w:hint="eastAsia"/>
          <w:color w:val="auto"/>
        </w:rPr>
        <w:t>8</w:t>
      </w:r>
      <w:r>
        <w:rPr>
          <w:color w:val="auto"/>
        </w:rPr>
        <w:t>.2</w:t>
      </w:r>
      <w:r>
        <w:rPr>
          <w:rFonts w:hint="eastAsia"/>
          <w:color w:val="auto"/>
        </w:rPr>
        <w:t>给排水</w:t>
      </w:r>
      <w:bookmarkEnd w:id="220"/>
      <w:bookmarkEnd w:id="221"/>
      <w:bookmarkEnd w:id="222"/>
      <w:bookmarkEnd w:id="223"/>
      <w:bookmarkEnd w:id="224"/>
      <w:bookmarkEnd w:id="225"/>
      <w:bookmarkEnd w:id="226"/>
    </w:p>
    <w:p>
      <w:pPr>
        <w:ind w:firstLine="544" w:firstLineChars="200"/>
        <w:rPr>
          <w:rFonts w:hint="default" w:eastAsia="宋体"/>
          <w:color w:val="auto"/>
          <w:spacing w:val="-4"/>
          <w:sz w:val="28"/>
          <w:szCs w:val="28"/>
          <w:lang w:val="en-US" w:eastAsia="zh-CN"/>
        </w:rPr>
      </w:pPr>
      <w:r>
        <w:rPr>
          <w:color w:val="auto"/>
          <w:spacing w:val="-4"/>
          <w:sz w:val="28"/>
          <w:szCs w:val="28"/>
        </w:rPr>
        <w:t>1、</w:t>
      </w:r>
      <w:r>
        <w:rPr>
          <w:rFonts w:hint="eastAsia"/>
          <w:color w:val="auto"/>
          <w:spacing w:val="-4"/>
          <w:sz w:val="28"/>
          <w:szCs w:val="28"/>
          <w:lang w:val="en-US" w:eastAsia="zh-CN"/>
        </w:rPr>
        <w:t>给水系统</w:t>
      </w:r>
    </w:p>
    <w:p>
      <w:pPr>
        <w:ind w:firstLine="560" w:firstLineChars="200"/>
        <w:rPr>
          <w:rFonts w:hint="eastAsia"/>
          <w:color w:val="auto"/>
          <w:sz w:val="28"/>
        </w:rPr>
      </w:pPr>
      <w:r>
        <w:rPr>
          <w:rFonts w:hint="eastAsia"/>
          <w:color w:val="auto"/>
          <w:sz w:val="28"/>
          <w:lang w:eastAsia="zh-CN"/>
        </w:rPr>
        <w:t>江西旺达新材料有限公司</w:t>
      </w:r>
      <w:r>
        <w:rPr>
          <w:rFonts w:hint="eastAsia"/>
          <w:color w:val="auto"/>
          <w:sz w:val="28"/>
        </w:rPr>
        <w:t>位于</w:t>
      </w:r>
      <w:r>
        <w:rPr>
          <w:rFonts w:hint="eastAsia"/>
          <w:bCs/>
          <w:color w:val="auto"/>
          <w:sz w:val="28"/>
        </w:rPr>
        <w:t>江西省</w:t>
      </w:r>
      <w:r>
        <w:rPr>
          <w:rFonts w:hint="eastAsia"/>
          <w:bCs/>
          <w:color w:val="auto"/>
          <w:sz w:val="28"/>
          <w:lang w:eastAsia="zh-CN"/>
        </w:rPr>
        <w:t>宜春市</w:t>
      </w:r>
      <w:r>
        <w:rPr>
          <w:rFonts w:hint="eastAsia"/>
          <w:bCs/>
          <w:color w:val="auto"/>
          <w:sz w:val="28"/>
          <w:lang w:val="en-US" w:eastAsia="zh-CN"/>
        </w:rPr>
        <w:t>袁州区</w:t>
      </w:r>
      <w:r>
        <w:rPr>
          <w:rFonts w:hint="eastAsia"/>
          <w:bCs/>
          <w:color w:val="auto"/>
          <w:sz w:val="28"/>
        </w:rPr>
        <w:t>医药化工</w:t>
      </w:r>
      <w:r>
        <w:rPr>
          <w:rFonts w:hint="eastAsia"/>
          <w:bCs/>
          <w:color w:val="auto"/>
          <w:sz w:val="28"/>
          <w:lang w:val="en-US" w:eastAsia="zh-CN"/>
        </w:rPr>
        <w:t>园区</w:t>
      </w:r>
      <w:r>
        <w:rPr>
          <w:rFonts w:hint="eastAsia"/>
          <w:color w:val="auto"/>
          <w:sz w:val="28"/>
        </w:rPr>
        <w:t>，</w:t>
      </w:r>
      <w:r>
        <w:rPr>
          <w:color w:val="auto"/>
          <w:sz w:val="28"/>
        </w:rPr>
        <w:t>利用</w:t>
      </w:r>
      <w:r>
        <w:rPr>
          <w:rFonts w:hint="eastAsia"/>
          <w:color w:val="auto"/>
          <w:sz w:val="28"/>
        </w:rPr>
        <w:t>园区</w:t>
      </w:r>
      <w:r>
        <w:rPr>
          <w:color w:val="auto"/>
          <w:sz w:val="28"/>
        </w:rPr>
        <w:t>已铺设的给水管网作为该项目的供水水源。</w:t>
      </w:r>
      <w:r>
        <w:rPr>
          <w:rFonts w:hint="eastAsia"/>
          <w:color w:val="auto"/>
          <w:sz w:val="28"/>
          <w:lang w:val="en-US" w:eastAsia="zh-CN"/>
        </w:rPr>
        <w:t>园区供水管网主管为DN300，</w:t>
      </w:r>
      <w:r>
        <w:rPr>
          <w:rFonts w:hint="eastAsia"/>
          <w:color w:val="auto"/>
          <w:sz w:val="28"/>
        </w:rPr>
        <w:t>压力</w:t>
      </w:r>
      <w:r>
        <w:rPr>
          <w:rFonts w:hint="eastAsia"/>
          <w:color w:val="auto"/>
          <w:sz w:val="28"/>
          <w:lang w:val="en-US" w:eastAsia="zh-CN"/>
        </w:rPr>
        <w:t>≥</w:t>
      </w:r>
      <w:r>
        <w:rPr>
          <w:rFonts w:hint="eastAsia"/>
          <w:color w:val="auto"/>
          <w:sz w:val="28"/>
        </w:rPr>
        <w:t>0.3MPa</w:t>
      </w:r>
      <w:r>
        <w:rPr>
          <w:rFonts w:hint="eastAsia"/>
          <w:color w:val="auto"/>
          <w:sz w:val="28"/>
          <w:lang w:eastAsia="zh-CN"/>
        </w:rPr>
        <w:t>，</w:t>
      </w:r>
      <w:r>
        <w:rPr>
          <w:rFonts w:hint="eastAsia"/>
          <w:color w:val="auto"/>
          <w:sz w:val="28"/>
          <w:lang w:val="en-US" w:eastAsia="zh-CN"/>
        </w:rPr>
        <w:t>拟接入管径</w:t>
      </w:r>
      <w:r>
        <w:rPr>
          <w:rFonts w:hint="eastAsia"/>
          <w:color w:val="auto"/>
          <w:sz w:val="28"/>
        </w:rPr>
        <w:t>DN</w:t>
      </w:r>
      <w:r>
        <w:rPr>
          <w:rFonts w:hint="eastAsia"/>
          <w:color w:val="auto"/>
          <w:sz w:val="28"/>
          <w:lang w:val="en-US" w:eastAsia="zh-CN"/>
        </w:rPr>
        <w:t>2</w:t>
      </w:r>
      <w:r>
        <w:rPr>
          <w:rFonts w:hint="eastAsia"/>
          <w:color w:val="auto"/>
          <w:sz w:val="28"/>
        </w:rPr>
        <w:t>00</w:t>
      </w:r>
      <w:r>
        <w:rPr>
          <w:rFonts w:hint="eastAsia"/>
          <w:color w:val="auto"/>
          <w:sz w:val="28"/>
          <w:lang w:eastAsia="zh-CN"/>
        </w:rPr>
        <w:t>，</w:t>
      </w:r>
      <w:r>
        <w:rPr>
          <w:rFonts w:hint="eastAsia"/>
          <w:color w:val="auto"/>
          <w:sz w:val="28"/>
          <w:lang w:val="en-US" w:eastAsia="zh-CN"/>
        </w:rPr>
        <w:t>供水能力≥120m</w:t>
      </w:r>
      <w:r>
        <w:rPr>
          <w:rFonts w:hint="eastAsia"/>
          <w:color w:val="auto"/>
          <w:sz w:val="28"/>
          <w:vertAlign w:val="superscript"/>
          <w:lang w:val="en-US" w:eastAsia="zh-CN"/>
        </w:rPr>
        <w:t>3</w:t>
      </w:r>
      <w:r>
        <w:rPr>
          <w:rFonts w:hint="eastAsia"/>
          <w:color w:val="auto"/>
          <w:sz w:val="28"/>
          <w:lang w:val="en-US" w:eastAsia="zh-CN"/>
        </w:rPr>
        <w:t>/h</w:t>
      </w:r>
      <w:r>
        <w:rPr>
          <w:rFonts w:hint="eastAsia"/>
          <w:color w:val="auto"/>
          <w:sz w:val="28"/>
        </w:rPr>
        <w:t>。</w:t>
      </w:r>
    </w:p>
    <w:p>
      <w:pPr>
        <w:ind w:firstLine="560" w:firstLineChars="200"/>
        <w:rPr>
          <w:rFonts w:hint="default" w:eastAsia="宋体"/>
          <w:color w:val="auto"/>
          <w:sz w:val="28"/>
          <w:lang w:val="en-US" w:eastAsia="zh-CN"/>
        </w:rPr>
      </w:pPr>
      <w:r>
        <w:rPr>
          <w:rFonts w:hint="eastAsia"/>
          <w:color w:val="auto"/>
          <w:sz w:val="28"/>
        </w:rPr>
        <w:t>2、</w:t>
      </w:r>
      <w:r>
        <w:rPr>
          <w:rFonts w:hint="eastAsia"/>
          <w:color w:val="auto"/>
          <w:sz w:val="28"/>
          <w:lang w:val="en-US" w:eastAsia="zh-CN"/>
        </w:rPr>
        <w:t>给水方案</w:t>
      </w:r>
    </w:p>
    <w:p>
      <w:pPr>
        <w:ind w:firstLine="560" w:firstLineChars="200"/>
        <w:rPr>
          <w:rFonts w:hint="eastAsia"/>
          <w:color w:val="auto"/>
          <w:sz w:val="28"/>
          <w:lang w:val="en-US" w:eastAsia="zh-CN"/>
        </w:rPr>
      </w:pPr>
      <w:r>
        <w:rPr>
          <w:rFonts w:hint="eastAsia"/>
          <w:color w:val="auto"/>
          <w:sz w:val="28"/>
          <w:lang w:eastAsia="zh-CN"/>
        </w:rPr>
        <w:t>（</w:t>
      </w:r>
      <w:r>
        <w:rPr>
          <w:rFonts w:hint="eastAsia"/>
          <w:color w:val="auto"/>
          <w:sz w:val="28"/>
          <w:lang w:val="en-US" w:eastAsia="zh-CN"/>
        </w:rPr>
        <w:t>1</w:t>
      </w:r>
      <w:r>
        <w:rPr>
          <w:rFonts w:hint="eastAsia"/>
          <w:color w:val="auto"/>
          <w:sz w:val="28"/>
          <w:lang w:eastAsia="zh-CN"/>
        </w:rPr>
        <w:t>）</w:t>
      </w:r>
      <w:r>
        <w:rPr>
          <w:rFonts w:hint="eastAsia"/>
          <w:color w:val="auto"/>
          <w:sz w:val="28"/>
          <w:lang w:val="en-US" w:eastAsia="zh-CN"/>
        </w:rPr>
        <w:t>生产、生活新鲜水</w:t>
      </w:r>
    </w:p>
    <w:p>
      <w:pPr>
        <w:ind w:firstLine="560" w:firstLineChars="200"/>
        <w:rPr>
          <w:rFonts w:hint="eastAsia"/>
          <w:color w:val="auto"/>
          <w:sz w:val="28"/>
          <w:lang w:val="en-US" w:eastAsia="zh-CN"/>
        </w:rPr>
      </w:pPr>
      <w:r>
        <w:rPr>
          <w:rFonts w:hint="eastAsia"/>
          <w:color w:val="auto"/>
          <w:sz w:val="28"/>
        </w:rPr>
        <w:t>该项目生产用水主要</w:t>
      </w:r>
      <w:r>
        <w:rPr>
          <w:rFonts w:hint="eastAsia"/>
          <w:color w:val="auto"/>
          <w:sz w:val="28"/>
          <w:lang w:val="en-US" w:eastAsia="zh-CN"/>
        </w:rPr>
        <w:t>为生产车间的</w:t>
      </w:r>
      <w:r>
        <w:rPr>
          <w:rFonts w:hint="eastAsia"/>
          <w:color w:val="auto"/>
          <w:sz w:val="28"/>
        </w:rPr>
        <w:t>地面和设备冲洗用水</w:t>
      </w:r>
      <w:r>
        <w:rPr>
          <w:rFonts w:hint="eastAsia"/>
          <w:color w:val="auto"/>
          <w:sz w:val="28"/>
          <w:lang w:val="en-US" w:eastAsia="zh-CN"/>
        </w:rPr>
        <w:t>等方面用水，新鲜水最大需求量为62</w:t>
      </w:r>
      <w:r>
        <w:rPr>
          <w:rFonts w:hint="eastAsia"/>
          <w:color w:val="auto"/>
          <w:sz w:val="28"/>
        </w:rPr>
        <w:t>m</w:t>
      </w:r>
      <w:r>
        <w:rPr>
          <w:rFonts w:hint="eastAsia"/>
          <w:color w:val="auto"/>
          <w:sz w:val="28"/>
          <w:vertAlign w:val="superscript"/>
        </w:rPr>
        <w:t>3</w:t>
      </w:r>
      <w:r>
        <w:rPr>
          <w:rFonts w:hint="eastAsia"/>
          <w:color w:val="auto"/>
          <w:sz w:val="28"/>
        </w:rPr>
        <w:t>/d</w:t>
      </w:r>
      <w:r>
        <w:rPr>
          <w:rFonts w:hint="eastAsia"/>
          <w:color w:val="auto"/>
          <w:sz w:val="28"/>
          <w:lang w:eastAsia="zh-CN"/>
        </w:rPr>
        <w:t>，</w:t>
      </w:r>
      <w:r>
        <w:rPr>
          <w:rFonts w:hint="eastAsia"/>
          <w:color w:val="auto"/>
          <w:sz w:val="28"/>
        </w:rPr>
        <w:t>生活用水</w:t>
      </w:r>
      <w:r>
        <w:rPr>
          <w:rFonts w:hint="eastAsia"/>
          <w:color w:val="auto"/>
          <w:sz w:val="28"/>
          <w:lang w:val="en-US" w:eastAsia="zh-CN"/>
        </w:rPr>
        <w:t>2</w:t>
      </w:r>
      <w:r>
        <w:rPr>
          <w:rFonts w:hint="eastAsia"/>
          <w:color w:val="auto"/>
          <w:sz w:val="28"/>
        </w:rPr>
        <w:t>m</w:t>
      </w:r>
      <w:r>
        <w:rPr>
          <w:rFonts w:hint="eastAsia"/>
          <w:color w:val="auto"/>
          <w:sz w:val="28"/>
          <w:vertAlign w:val="superscript"/>
        </w:rPr>
        <w:t>3</w:t>
      </w:r>
      <w:r>
        <w:rPr>
          <w:rFonts w:hint="eastAsia"/>
          <w:color w:val="auto"/>
          <w:sz w:val="28"/>
        </w:rPr>
        <w:t>/d</w:t>
      </w:r>
      <w:r>
        <w:rPr>
          <w:rFonts w:hint="eastAsia"/>
          <w:color w:val="auto"/>
          <w:sz w:val="28"/>
          <w:lang w:eastAsia="zh-CN"/>
        </w:rPr>
        <w:t>，</w:t>
      </w:r>
      <w:r>
        <w:rPr>
          <w:rFonts w:hint="eastAsia"/>
          <w:color w:val="auto"/>
          <w:sz w:val="28"/>
          <w:lang w:val="en-US" w:eastAsia="zh-CN"/>
        </w:rPr>
        <w:t>供水管网能够满足该项目需求。</w:t>
      </w:r>
    </w:p>
    <w:p>
      <w:pPr>
        <w:ind w:firstLine="560" w:firstLineChars="200"/>
        <w:rPr>
          <w:rFonts w:hint="eastAsia"/>
          <w:color w:val="auto"/>
          <w:sz w:val="28"/>
        </w:rPr>
      </w:pPr>
      <w:r>
        <w:rPr>
          <w:rFonts w:hint="eastAsia"/>
          <w:color w:val="auto"/>
          <w:sz w:val="28"/>
          <w:lang w:val="en-US" w:eastAsia="zh-CN"/>
        </w:rPr>
        <w:t>（2）循环水冷却水系统</w:t>
      </w:r>
    </w:p>
    <w:p>
      <w:pPr>
        <w:pStyle w:val="54"/>
        <w:ind w:firstLine="560"/>
        <w:rPr>
          <w:color w:val="auto"/>
        </w:rPr>
      </w:pPr>
      <w:r>
        <w:rPr>
          <w:rFonts w:hint="eastAsia"/>
          <w:color w:val="auto"/>
        </w:rPr>
        <w:t>该项目循环水</w:t>
      </w:r>
      <w:r>
        <w:rPr>
          <w:rFonts w:hint="eastAsia"/>
          <w:color w:val="auto"/>
          <w:lang w:val="en-US" w:eastAsia="zh-CN"/>
        </w:rPr>
        <w:t>最大</w:t>
      </w:r>
      <w:r>
        <w:rPr>
          <w:rFonts w:hint="eastAsia"/>
          <w:color w:val="auto"/>
        </w:rPr>
        <w:t>用量</w:t>
      </w:r>
      <w:r>
        <w:rPr>
          <w:rFonts w:hint="eastAsia"/>
          <w:color w:val="auto"/>
          <w:lang w:val="en-US" w:eastAsia="zh-CN"/>
        </w:rPr>
        <w:t>1000</w:t>
      </w:r>
      <w:r>
        <w:rPr>
          <w:rFonts w:hint="eastAsia"/>
          <w:color w:val="auto"/>
        </w:rPr>
        <w:t>m</w:t>
      </w:r>
      <w:r>
        <w:rPr>
          <w:rFonts w:hint="eastAsia"/>
          <w:color w:val="auto"/>
          <w:vertAlign w:val="superscript"/>
        </w:rPr>
        <w:t>3</w:t>
      </w:r>
      <w:r>
        <w:rPr>
          <w:rFonts w:hint="eastAsia"/>
          <w:color w:val="auto"/>
        </w:rPr>
        <w:t>/</w:t>
      </w:r>
      <w:r>
        <w:rPr>
          <w:color w:val="auto"/>
        </w:rPr>
        <w:t>d</w:t>
      </w:r>
      <w:r>
        <w:rPr>
          <w:rFonts w:hint="eastAsia"/>
          <w:color w:val="auto"/>
        </w:rPr>
        <w:t>，</w:t>
      </w:r>
      <w:r>
        <w:rPr>
          <w:rFonts w:hint="eastAsia"/>
          <w:color w:val="auto"/>
          <w:lang w:val="en-US" w:eastAsia="zh-CN"/>
        </w:rPr>
        <w:t>新建循环水系统，</w:t>
      </w:r>
      <w:r>
        <w:rPr>
          <w:rFonts w:hint="eastAsia"/>
          <w:color w:val="auto"/>
        </w:rPr>
        <w:t>拟设</w:t>
      </w:r>
      <w:r>
        <w:rPr>
          <w:rFonts w:hint="eastAsia"/>
          <w:color w:val="auto"/>
          <w:lang w:val="en-US" w:eastAsia="zh-CN"/>
        </w:rPr>
        <w:t>2</w:t>
      </w:r>
      <w:r>
        <w:rPr>
          <w:rFonts w:hint="eastAsia"/>
          <w:color w:val="auto"/>
        </w:rPr>
        <w:t>台</w:t>
      </w:r>
      <w:r>
        <w:rPr>
          <w:color w:val="auto"/>
        </w:rPr>
        <w:t>75</w:t>
      </w:r>
      <w:r>
        <w:rPr>
          <w:rFonts w:hint="eastAsia"/>
          <w:color w:val="auto"/>
        </w:rPr>
        <w:t>k</w:t>
      </w:r>
      <w:r>
        <w:rPr>
          <w:color w:val="auto"/>
        </w:rPr>
        <w:t>W</w:t>
      </w:r>
      <w:r>
        <w:rPr>
          <w:rFonts w:hint="eastAsia"/>
          <w:color w:val="auto"/>
        </w:rPr>
        <w:t>循环水泵，</w:t>
      </w:r>
      <w:r>
        <w:rPr>
          <w:rFonts w:hint="eastAsia"/>
          <w:color w:val="auto"/>
          <w:lang w:val="en-US" w:eastAsia="zh-CN"/>
        </w:rPr>
        <w:t>1</w:t>
      </w:r>
      <w:r>
        <w:rPr>
          <w:rFonts w:hint="eastAsia"/>
          <w:color w:val="auto"/>
        </w:rPr>
        <w:t>用</w:t>
      </w:r>
      <w:r>
        <w:rPr>
          <w:rFonts w:hint="eastAsia"/>
          <w:color w:val="auto"/>
          <w:lang w:val="en-US" w:eastAsia="zh-CN"/>
        </w:rPr>
        <w:t>1</w:t>
      </w:r>
      <w:r>
        <w:rPr>
          <w:rFonts w:hint="eastAsia"/>
          <w:color w:val="auto"/>
        </w:rPr>
        <w:t>备，单台循环水量</w:t>
      </w:r>
      <w:r>
        <w:rPr>
          <w:color w:val="auto"/>
        </w:rPr>
        <w:t>500</w:t>
      </w:r>
      <w:r>
        <w:rPr>
          <w:rFonts w:hint="eastAsia"/>
          <w:color w:val="auto"/>
        </w:rPr>
        <w:t>t/h，补水</w:t>
      </w:r>
      <w:r>
        <w:rPr>
          <w:rFonts w:hint="eastAsia"/>
          <w:color w:val="auto"/>
          <w:lang w:val="en-US" w:eastAsia="zh-CN"/>
        </w:rPr>
        <w:t>48</w:t>
      </w:r>
      <w:r>
        <w:rPr>
          <w:rFonts w:hint="eastAsia"/>
          <w:color w:val="auto"/>
        </w:rPr>
        <w:t>t</w:t>
      </w:r>
      <w:r>
        <w:rPr>
          <w:rFonts w:hint="eastAsia"/>
          <w:color w:val="auto"/>
          <w:lang w:val="en-US" w:eastAsia="zh-CN"/>
        </w:rPr>
        <w:t>/d</w:t>
      </w:r>
      <w:r>
        <w:rPr>
          <w:rFonts w:hint="eastAsia"/>
          <w:color w:val="auto"/>
        </w:rPr>
        <w:t>，配套</w:t>
      </w:r>
      <w:r>
        <w:rPr>
          <w:color w:val="auto"/>
        </w:rPr>
        <w:t>2</w:t>
      </w:r>
      <w:r>
        <w:rPr>
          <w:rFonts w:hint="eastAsia"/>
          <w:color w:val="auto"/>
        </w:rPr>
        <w:t>台冷却水塔、2台冷却塔循环泵、</w:t>
      </w:r>
      <w:r>
        <w:rPr>
          <w:color w:val="auto"/>
        </w:rPr>
        <w:t>2</w:t>
      </w:r>
      <w:r>
        <w:rPr>
          <w:rFonts w:hint="eastAsia"/>
          <w:color w:val="auto"/>
        </w:rPr>
        <w:t>台冷却风机。</w:t>
      </w:r>
    </w:p>
    <w:p>
      <w:pPr>
        <w:autoSpaceDE w:val="0"/>
        <w:autoSpaceDN w:val="0"/>
        <w:adjustRightInd w:val="0"/>
        <w:ind w:firstLine="560" w:firstLineChars="200"/>
        <w:rPr>
          <w:rFonts w:hint="eastAsia" w:hAnsi="宋体"/>
          <w:color w:val="auto"/>
          <w:sz w:val="28"/>
          <w:szCs w:val="28"/>
          <w:lang w:val="zh-CN"/>
        </w:rPr>
      </w:pPr>
      <w:r>
        <w:rPr>
          <w:rFonts w:hint="eastAsia" w:hAnsi="宋体"/>
          <w:color w:val="auto"/>
          <w:sz w:val="28"/>
          <w:szCs w:val="28"/>
          <w:lang w:val="en-US" w:eastAsia="zh-CN"/>
        </w:rPr>
        <w:t>2</w:t>
      </w:r>
      <w:r>
        <w:rPr>
          <w:rFonts w:hint="eastAsia" w:hAnsi="宋体"/>
          <w:color w:val="auto"/>
          <w:sz w:val="28"/>
          <w:szCs w:val="28"/>
          <w:lang w:val="zh-CN"/>
        </w:rPr>
        <w:t>、排水系统</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为了尽量减少对环境污染，达到国家污水排放要求，节约投资，该公司在建成完善的污水排放系统，污水实行清污分流，根据排水来源及排水水质，排水划分为生产污水排水系统、生活污水排水系统和雨水系统。该项目拟新建</w:t>
      </w:r>
      <w:r>
        <w:rPr>
          <w:rFonts w:hint="eastAsia" w:ascii="Times New Roman" w:hAnsi="Times New Roman"/>
          <w:color w:val="auto"/>
          <w:sz w:val="28"/>
          <w:szCs w:val="28"/>
          <w:lang w:val="en-US" w:eastAsia="zh-CN"/>
        </w:rPr>
        <w:t>一座</w:t>
      </w:r>
      <w:r>
        <w:rPr>
          <w:rFonts w:hint="eastAsia" w:ascii="Times New Roman" w:hAnsi="Times New Roman"/>
          <w:color w:val="auto"/>
          <w:sz w:val="28"/>
          <w:szCs w:val="28"/>
        </w:rPr>
        <w:t>污水处理</w:t>
      </w:r>
      <w:r>
        <w:rPr>
          <w:rFonts w:hint="eastAsia" w:ascii="Times New Roman" w:hAnsi="Times New Roman"/>
          <w:color w:val="auto"/>
          <w:sz w:val="28"/>
          <w:szCs w:val="28"/>
          <w:lang w:val="en-US" w:eastAsia="zh-CN"/>
        </w:rPr>
        <w:t>池（有效容积48m</w:t>
      </w:r>
      <w:r>
        <w:rPr>
          <w:rFonts w:hint="eastAsia" w:ascii="Times New Roman" w:hAnsi="Times New Roman"/>
          <w:color w:val="auto"/>
          <w:sz w:val="28"/>
          <w:szCs w:val="28"/>
          <w:vertAlign w:val="superscript"/>
          <w:lang w:val="en-US" w:eastAsia="zh-CN"/>
        </w:rPr>
        <w:t>3</w:t>
      </w:r>
      <w:r>
        <w:rPr>
          <w:rFonts w:hint="eastAsia" w:ascii="Times New Roman" w:hAnsi="Times New Roman"/>
          <w:color w:val="auto"/>
          <w:sz w:val="28"/>
          <w:szCs w:val="28"/>
          <w:lang w:val="en-US" w:eastAsia="zh-CN"/>
        </w:rPr>
        <w:t>）</w:t>
      </w:r>
      <w:r>
        <w:rPr>
          <w:rFonts w:hint="eastAsia" w:ascii="Times New Roman" w:hAnsi="Times New Roman"/>
          <w:color w:val="auto"/>
          <w:sz w:val="28"/>
          <w:szCs w:val="28"/>
        </w:rPr>
        <w:t>。综合废水经预处理达到</w:t>
      </w:r>
      <w:r>
        <w:rPr>
          <w:rFonts w:hint="eastAsia" w:ascii="Times New Roman" w:hAnsi="Times New Roman"/>
          <w:color w:val="auto"/>
          <w:sz w:val="28"/>
          <w:szCs w:val="28"/>
          <w:lang w:val="en-US" w:eastAsia="zh-CN"/>
        </w:rPr>
        <w:t>宜春经开区</w:t>
      </w:r>
      <w:r>
        <w:rPr>
          <w:rFonts w:hint="eastAsia" w:ascii="Times New Roman" w:hAnsi="Times New Roman"/>
          <w:color w:val="auto"/>
          <w:sz w:val="28"/>
          <w:szCs w:val="28"/>
        </w:rPr>
        <w:t>污水处理厂接管标准，</w:t>
      </w:r>
      <w:r>
        <w:rPr>
          <w:rFonts w:hint="eastAsia" w:ascii="Times New Roman" w:hAnsi="Times New Roman"/>
          <w:color w:val="auto"/>
          <w:sz w:val="28"/>
          <w:szCs w:val="28"/>
          <w:lang w:val="en-US" w:eastAsia="zh-CN"/>
        </w:rPr>
        <w:t>经污水处理厂深度处理，处理后尾水执行《城镇污水处理厂污染物排放标准》（GB18918-2002）中一级 A 标准，最终排入袁河。</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生活污水经化粪池处理后通过吸粪车转走。前期雨水收集至 304 初期雨水池，经厂内污水处理设施处理后排放至园区污水管网。后期雨水通过厂区雨水管网排至</w:t>
      </w:r>
      <w:r>
        <w:rPr>
          <w:rFonts w:hint="eastAsia" w:ascii="Times New Roman" w:hAnsi="Times New Roman"/>
          <w:color w:val="auto"/>
          <w:sz w:val="28"/>
          <w:szCs w:val="28"/>
          <w:lang w:val="en-US" w:eastAsia="zh-CN"/>
        </w:rPr>
        <w:t>市政</w:t>
      </w:r>
      <w:r>
        <w:rPr>
          <w:rFonts w:hint="eastAsia" w:ascii="Times New Roman" w:hAnsi="Times New Roman"/>
          <w:color w:val="auto"/>
          <w:sz w:val="28"/>
          <w:szCs w:val="28"/>
        </w:rPr>
        <w:t>雨水管网，自然排放。</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（1）生产污水排水系统</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该项目产生的废水主要为生活污水、生产过程产生的工艺废水、设备清洗废水及车间地面清洗废水等，其中该项目外排水最大量为9102.8t/a（30.34t/d），拟建污水</w:t>
      </w:r>
      <w:r>
        <w:rPr>
          <w:rFonts w:hint="eastAsia" w:ascii="Times New Roman" w:hAnsi="Times New Roman"/>
          <w:color w:val="auto"/>
          <w:sz w:val="28"/>
          <w:szCs w:val="28"/>
          <w:lang w:val="en-US" w:eastAsia="zh-CN"/>
        </w:rPr>
        <w:t>池</w:t>
      </w:r>
      <w:r>
        <w:rPr>
          <w:rFonts w:hint="eastAsia" w:ascii="Times New Roman" w:hAnsi="Times New Roman"/>
          <w:color w:val="auto"/>
          <w:sz w:val="28"/>
          <w:szCs w:val="28"/>
        </w:rPr>
        <w:t>处理能力 100t/d，满足要求。</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（2）生活污水排水系统</w:t>
      </w:r>
    </w:p>
    <w:p>
      <w:pPr>
        <w:pStyle w:val="25"/>
        <w:ind w:firstLine="560" w:firstLineChars="200"/>
        <w:rPr>
          <w:rFonts w:hint="eastAsia" w:ascii="Times New Roman" w:hAnsi="Times New Roman"/>
          <w:color w:val="auto"/>
          <w:sz w:val="28"/>
          <w:szCs w:val="28"/>
        </w:rPr>
      </w:pPr>
      <w:r>
        <w:rPr>
          <w:rFonts w:hint="default"/>
          <w:color w:val="auto"/>
          <w:sz w:val="28"/>
          <w:szCs w:val="28"/>
          <w:lang w:val="en-US" w:eastAsia="zh-CN"/>
        </w:rPr>
        <w:t>本项目生活废水经化粪池处理后满足宜春经开区污水处理厂接管标准，经污水处理厂深度处理，处理后尾水执行《城镇污水处理厂污染物排放标准》（GB18918-2002）中一级A标准，最终排入袁河。</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（3）事故水收集及雨水排水系统</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车间、罐区、仓库等发生火灾时受污染的消防水收集至 303</w:t>
      </w:r>
      <w:r>
        <w:rPr>
          <w:rFonts w:hint="eastAsia" w:ascii="Times New Roman" w:hAnsi="Times New Roman"/>
          <w:color w:val="auto"/>
          <w:sz w:val="28"/>
          <w:szCs w:val="28"/>
          <w:lang w:eastAsia="zh-CN"/>
        </w:rPr>
        <w:t>事故应急池</w:t>
      </w:r>
      <w:r>
        <w:rPr>
          <w:rFonts w:hint="eastAsia" w:ascii="Times New Roman" w:hAnsi="Times New Roman"/>
          <w:color w:val="auto"/>
          <w:sz w:val="28"/>
          <w:szCs w:val="28"/>
        </w:rPr>
        <w:t>（有效容积</w:t>
      </w:r>
      <w:r>
        <w:rPr>
          <w:rFonts w:hint="eastAsia" w:ascii="Times New Roman" w:hAnsi="Times New Roman"/>
          <w:color w:val="auto"/>
          <w:sz w:val="28"/>
          <w:szCs w:val="28"/>
          <w:lang w:val="en-US" w:eastAsia="zh-CN"/>
        </w:rPr>
        <w:t>593</w:t>
      </w:r>
      <w:r>
        <w:rPr>
          <w:rFonts w:hint="eastAsia" w:ascii="Times New Roman" w:hAnsi="Times New Roman"/>
          <w:color w:val="auto"/>
          <w:sz w:val="28"/>
          <w:szCs w:val="28"/>
        </w:rPr>
        <w:t>m</w:t>
      </w:r>
      <w:r>
        <w:rPr>
          <w:rFonts w:hint="eastAsia" w:ascii="Times New Roman" w:hAnsi="Times New Roman"/>
          <w:color w:val="auto"/>
          <w:sz w:val="28"/>
          <w:szCs w:val="28"/>
          <w:vertAlign w:val="superscript"/>
        </w:rPr>
        <w:t>3</w:t>
      </w:r>
      <w:r>
        <w:rPr>
          <w:rFonts w:hint="eastAsia" w:ascii="Times New Roman" w:hAnsi="Times New Roman"/>
          <w:color w:val="auto"/>
          <w:sz w:val="28"/>
          <w:szCs w:val="28"/>
        </w:rPr>
        <w:t>），事故池的污水经处理达标后排入市政污水管网。</w:t>
      </w:r>
    </w:p>
    <w:p>
      <w:pPr>
        <w:pStyle w:val="25"/>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该项目初期雨水通过收集后进入厂区污水处理</w:t>
      </w:r>
      <w:r>
        <w:rPr>
          <w:rFonts w:hint="eastAsia" w:ascii="Times New Roman" w:hAnsi="Times New Roman"/>
          <w:color w:val="auto"/>
          <w:sz w:val="28"/>
          <w:szCs w:val="28"/>
          <w:lang w:val="en-US" w:eastAsia="zh-CN"/>
        </w:rPr>
        <w:t>池</w:t>
      </w:r>
      <w:r>
        <w:rPr>
          <w:rFonts w:hint="eastAsia" w:ascii="Times New Roman" w:hAnsi="Times New Roman"/>
          <w:color w:val="auto"/>
          <w:sz w:val="28"/>
          <w:szCs w:val="28"/>
        </w:rPr>
        <w:t>进行处理达标后排放。</w:t>
      </w:r>
    </w:p>
    <w:p>
      <w:pPr>
        <w:rPr>
          <w:rFonts w:hint="default" w:ascii="Times New Roman" w:hAnsi="Times New Roman"/>
          <w:color w:val="auto"/>
          <w:sz w:val="28"/>
          <w:szCs w:val="32"/>
          <w:lang w:eastAsia="zh-CN"/>
        </w:rPr>
      </w:pPr>
      <w:r>
        <w:rPr>
          <w:rFonts w:hint="default" w:ascii="Times New Roman" w:hAnsi="Times New Roman"/>
          <w:color w:val="auto"/>
          <w:sz w:val="28"/>
          <w:szCs w:val="32"/>
        </w:rPr>
        <w:t>厂区初期受污染雨水（一般采用历年最大暴雨的前15分钟雨量为初期雨水量）收集后，经厂区雨水管网流入30</w:t>
      </w:r>
      <w:r>
        <w:rPr>
          <w:rFonts w:hint="default" w:ascii="Times New Roman" w:hAnsi="Times New Roman"/>
          <w:color w:val="auto"/>
          <w:sz w:val="28"/>
          <w:szCs w:val="32"/>
          <w:lang w:val="en-US" w:eastAsia="zh-CN"/>
        </w:rPr>
        <w:t>5</w:t>
      </w:r>
      <w:r>
        <w:rPr>
          <w:rFonts w:hint="default" w:ascii="Times New Roman" w:hAnsi="Times New Roman"/>
          <w:color w:val="auto"/>
          <w:sz w:val="28"/>
          <w:szCs w:val="32"/>
        </w:rPr>
        <w:t>初期雨水池（有效容积</w:t>
      </w:r>
      <w:r>
        <w:rPr>
          <w:rFonts w:hint="eastAsia"/>
          <w:color w:val="auto"/>
          <w:sz w:val="28"/>
          <w:szCs w:val="32"/>
          <w:lang w:val="en-US" w:eastAsia="zh-CN"/>
        </w:rPr>
        <w:t>345</w:t>
      </w:r>
      <w:r>
        <w:rPr>
          <w:rFonts w:hint="default" w:ascii="Times New Roman" w:hAnsi="Times New Roman"/>
          <w:color w:val="auto"/>
          <w:sz w:val="28"/>
          <w:szCs w:val="32"/>
        </w:rPr>
        <w:t>m</w:t>
      </w:r>
      <w:r>
        <w:rPr>
          <w:rFonts w:hint="default" w:ascii="Times New Roman" w:hAnsi="Times New Roman"/>
          <w:color w:val="auto"/>
          <w:sz w:val="28"/>
          <w:szCs w:val="32"/>
          <w:vertAlign w:val="superscript"/>
        </w:rPr>
        <w:t>3</w:t>
      </w:r>
      <w:r>
        <w:rPr>
          <w:rFonts w:hint="default" w:ascii="Times New Roman" w:hAnsi="Times New Roman"/>
          <w:color w:val="auto"/>
          <w:sz w:val="28"/>
          <w:szCs w:val="32"/>
        </w:rPr>
        <w:t>）。后期雨水通过厂内经雨水支管汇集雨水干管就近排入厂外园区排水管网</w:t>
      </w:r>
      <w:r>
        <w:rPr>
          <w:rFonts w:hint="default" w:ascii="Times New Roman" w:hAnsi="Times New Roman"/>
          <w:color w:val="auto"/>
          <w:sz w:val="28"/>
          <w:szCs w:val="32"/>
          <w:lang w:eastAsia="zh-CN"/>
        </w:rPr>
        <w:t>。</w:t>
      </w:r>
      <w:bookmarkStart w:id="227" w:name="_Toc4515"/>
      <w:bookmarkStart w:id="228" w:name="_Toc11409"/>
      <w:bookmarkStart w:id="229" w:name="_Toc10234"/>
    </w:p>
    <w:p>
      <w:pPr>
        <w:pStyle w:val="4"/>
        <w:rPr>
          <w:rFonts w:hint="eastAsia"/>
          <w:color w:val="auto"/>
        </w:rPr>
      </w:pPr>
      <w:bookmarkStart w:id="230" w:name="_Toc4448"/>
      <w:bookmarkStart w:id="231" w:name="_Toc2548"/>
      <w:bookmarkStart w:id="232" w:name="_Toc31726"/>
      <w:bookmarkStart w:id="233" w:name="_Toc18160"/>
      <w:r>
        <w:rPr>
          <w:color w:val="auto"/>
        </w:rPr>
        <w:t>2.</w:t>
      </w:r>
      <w:r>
        <w:rPr>
          <w:rFonts w:hint="eastAsia"/>
          <w:color w:val="auto"/>
        </w:rPr>
        <w:t>8</w:t>
      </w:r>
      <w:r>
        <w:rPr>
          <w:color w:val="auto"/>
        </w:rPr>
        <w:t>.</w:t>
      </w:r>
      <w:r>
        <w:rPr>
          <w:rFonts w:hint="eastAsia"/>
          <w:color w:val="auto"/>
        </w:rPr>
        <w:t>3蒸汽</w:t>
      </w:r>
      <w:bookmarkEnd w:id="227"/>
      <w:bookmarkEnd w:id="228"/>
      <w:bookmarkEnd w:id="229"/>
      <w:bookmarkEnd w:id="230"/>
      <w:bookmarkEnd w:id="231"/>
      <w:bookmarkEnd w:id="232"/>
      <w:bookmarkEnd w:id="233"/>
    </w:p>
    <w:p>
      <w:pPr>
        <w:ind w:firstLine="560" w:firstLineChars="200"/>
        <w:rPr>
          <w:rFonts w:hint="eastAsia"/>
          <w:bCs/>
          <w:color w:val="auto"/>
          <w:sz w:val="28"/>
          <w:szCs w:val="28"/>
          <w:lang w:val="en-US" w:eastAsia="zh-CN"/>
        </w:rPr>
      </w:pPr>
      <w:r>
        <w:rPr>
          <w:rFonts w:hint="eastAsia"/>
          <w:b w:val="0"/>
          <w:bCs w:val="0"/>
          <w:color w:val="auto"/>
          <w:sz w:val="28"/>
          <w:szCs w:val="24"/>
          <w:highlight w:val="none"/>
          <w:lang w:val="en-US" w:eastAsia="zh-CN"/>
        </w:rPr>
        <w:t>该项目用热属于间断性用热，主要用热形式为蒸汽；该项目蒸汽热源依托园区供给，供汽压力为1.2MPa、250℃的蒸汽，园区蒸汽供应能力每小时供气26 吨；项目平均用汽负荷为3.5t/h，蒸汽供应满足该项目需求。</w:t>
      </w:r>
    </w:p>
    <w:p>
      <w:pPr>
        <w:pStyle w:val="4"/>
        <w:bidi w:val="0"/>
        <w:rPr>
          <w:rFonts w:hint="default"/>
          <w:color w:val="auto"/>
          <w:lang w:val="en-US" w:eastAsia="zh-CN"/>
        </w:rPr>
      </w:pPr>
      <w:bookmarkStart w:id="234" w:name="_Toc28257"/>
      <w:bookmarkStart w:id="235" w:name="_Toc4385"/>
      <w:bookmarkStart w:id="236" w:name="_Toc14290"/>
      <w:bookmarkStart w:id="237" w:name="_Toc1471"/>
      <w:bookmarkStart w:id="238" w:name="_Toc7802"/>
      <w:bookmarkStart w:id="239" w:name="_Toc4714"/>
      <w:bookmarkStart w:id="240" w:name="_Toc19382"/>
      <w:r>
        <w:rPr>
          <w:rFonts w:hint="eastAsia"/>
          <w:color w:val="auto"/>
          <w:lang w:val="en-US" w:eastAsia="zh-CN"/>
        </w:rPr>
        <w:t>2.8.4压缩空气、氮气</w:t>
      </w:r>
      <w:bookmarkEnd w:id="234"/>
      <w:bookmarkEnd w:id="235"/>
      <w:bookmarkEnd w:id="236"/>
      <w:bookmarkEnd w:id="237"/>
      <w:bookmarkEnd w:id="238"/>
      <w:bookmarkEnd w:id="239"/>
      <w:bookmarkEnd w:id="240"/>
    </w:p>
    <w:p>
      <w:pPr>
        <w:pStyle w:val="54"/>
        <w:ind w:firstLine="560"/>
        <w:rPr>
          <w:color w:val="auto"/>
          <w:highlight w:val="none"/>
        </w:rPr>
      </w:pPr>
      <w:r>
        <w:rPr>
          <w:color w:val="auto"/>
          <w:highlight w:val="none"/>
        </w:rPr>
        <w:t>拟建项目需用压缩空气和保护氮气，</w:t>
      </w:r>
      <w:r>
        <w:rPr>
          <w:rFonts w:hint="eastAsia"/>
          <w:color w:val="auto"/>
          <w:highlight w:val="none"/>
        </w:rPr>
        <w:t>拟在</w:t>
      </w:r>
      <w:r>
        <w:rPr>
          <w:rFonts w:hint="eastAsia"/>
          <w:color w:val="auto"/>
          <w:highlight w:val="none"/>
          <w:lang w:val="en-US" w:eastAsia="zh-CN"/>
        </w:rPr>
        <w:t>306公用工程间设置</w:t>
      </w:r>
      <w:r>
        <w:rPr>
          <w:rFonts w:hint="eastAsia"/>
          <w:color w:val="auto"/>
          <w:highlight w:val="none"/>
        </w:rPr>
        <w:t>的空压制氮间中设置</w:t>
      </w:r>
      <w:r>
        <w:rPr>
          <w:color w:val="auto"/>
          <w:highlight w:val="none"/>
        </w:rPr>
        <w:t>2台</w:t>
      </w:r>
      <w:r>
        <w:rPr>
          <w:rFonts w:hint="eastAsia"/>
          <w:color w:val="auto"/>
          <w:highlight w:val="none"/>
        </w:rPr>
        <w:t>3.6m</w:t>
      </w:r>
      <w:r>
        <w:rPr>
          <w:rFonts w:hint="eastAsia"/>
          <w:color w:val="auto"/>
          <w:highlight w:val="none"/>
          <w:vertAlign w:val="superscript"/>
        </w:rPr>
        <w:t>3</w:t>
      </w:r>
      <w:r>
        <w:rPr>
          <w:rFonts w:hint="eastAsia"/>
          <w:color w:val="auto"/>
          <w:highlight w:val="none"/>
        </w:rPr>
        <w:t>/min、排气压力0.8MPa</w:t>
      </w:r>
      <w:r>
        <w:rPr>
          <w:color w:val="auto"/>
          <w:highlight w:val="none"/>
        </w:rPr>
        <w:t>的</w:t>
      </w:r>
      <w:r>
        <w:rPr>
          <w:rFonts w:hint="eastAsia"/>
          <w:color w:val="auto"/>
          <w:highlight w:val="none"/>
        </w:rPr>
        <w:t>螺杆空气压缩机（</w:t>
      </w:r>
      <w:r>
        <w:rPr>
          <w:color w:val="auto"/>
          <w:highlight w:val="none"/>
        </w:rPr>
        <w:t>1</w:t>
      </w:r>
      <w:r>
        <w:rPr>
          <w:rFonts w:hint="eastAsia"/>
          <w:color w:val="auto"/>
          <w:highlight w:val="none"/>
        </w:rPr>
        <w:t>用1备）</w:t>
      </w:r>
      <w:r>
        <w:rPr>
          <w:color w:val="auto"/>
          <w:highlight w:val="none"/>
        </w:rPr>
        <w:t>和</w:t>
      </w:r>
      <w:r>
        <w:rPr>
          <w:rFonts w:hint="eastAsia"/>
          <w:color w:val="auto"/>
          <w:highlight w:val="none"/>
        </w:rPr>
        <w:t>2台</w:t>
      </w:r>
      <w:r>
        <w:rPr>
          <w:color w:val="auto"/>
          <w:highlight w:val="none"/>
        </w:rPr>
        <w:t>1</w:t>
      </w:r>
      <w:r>
        <w:rPr>
          <w:rFonts w:hint="eastAsia"/>
          <w:color w:val="auto"/>
          <w:highlight w:val="none"/>
        </w:rPr>
        <w:t>Nm</w:t>
      </w:r>
      <w:r>
        <w:rPr>
          <w:rFonts w:hint="eastAsia"/>
          <w:color w:val="auto"/>
          <w:highlight w:val="none"/>
          <w:vertAlign w:val="superscript"/>
        </w:rPr>
        <w:t>3</w:t>
      </w:r>
      <w:r>
        <w:rPr>
          <w:rFonts w:hint="eastAsia"/>
          <w:color w:val="auto"/>
          <w:highlight w:val="none"/>
        </w:rPr>
        <w:t>/min制氮机组（</w:t>
      </w:r>
      <w:r>
        <w:rPr>
          <w:color w:val="auto"/>
          <w:highlight w:val="none"/>
        </w:rPr>
        <w:t>1</w:t>
      </w:r>
      <w:r>
        <w:rPr>
          <w:rFonts w:hint="eastAsia"/>
          <w:color w:val="auto"/>
          <w:highlight w:val="none"/>
        </w:rPr>
        <w:t>用1备），</w:t>
      </w:r>
      <w:r>
        <w:rPr>
          <w:color w:val="auto"/>
          <w:highlight w:val="none"/>
        </w:rPr>
        <w:t>以满足项目工艺要求。</w:t>
      </w:r>
    </w:p>
    <w:p>
      <w:pPr>
        <w:pStyle w:val="54"/>
        <w:ind w:firstLine="560"/>
        <w:rPr>
          <w:rFonts w:hint="eastAsia"/>
          <w:color w:val="auto"/>
          <w:highlight w:val="none"/>
        </w:rPr>
      </w:pPr>
      <w:r>
        <w:rPr>
          <w:rFonts w:hint="eastAsia"/>
          <w:color w:val="auto"/>
          <w:highlight w:val="none"/>
        </w:rPr>
        <w:t>该项目压缩空气主要用于仪表用气，项目压缩空气最大需求总量为</w:t>
      </w:r>
      <w:r>
        <w:rPr>
          <w:rFonts w:hint="eastAsia"/>
          <w:color w:val="auto"/>
          <w:highlight w:val="none"/>
          <w:lang w:val="en-US" w:eastAsia="zh-CN"/>
        </w:rPr>
        <w:t>8</w:t>
      </w:r>
      <w:r>
        <w:rPr>
          <w:rFonts w:hint="eastAsia"/>
          <w:color w:val="auto"/>
          <w:highlight w:val="none"/>
        </w:rPr>
        <w:t>m</w:t>
      </w:r>
      <w:r>
        <w:rPr>
          <w:rFonts w:hint="eastAsia"/>
          <w:color w:val="auto"/>
          <w:highlight w:val="none"/>
          <w:vertAlign w:val="superscript"/>
        </w:rPr>
        <w:t>3</w:t>
      </w:r>
      <w:r>
        <w:rPr>
          <w:rFonts w:hint="eastAsia"/>
          <w:color w:val="auto"/>
          <w:highlight w:val="none"/>
        </w:rPr>
        <w:t>/h，拟设</w:t>
      </w:r>
      <w:r>
        <w:rPr>
          <w:color w:val="auto"/>
          <w:highlight w:val="none"/>
        </w:rPr>
        <w:t>2</w:t>
      </w:r>
      <w:r>
        <w:rPr>
          <w:rFonts w:hint="eastAsia"/>
          <w:color w:val="auto"/>
          <w:highlight w:val="none"/>
        </w:rPr>
        <w:t>台</w:t>
      </w:r>
      <w:r>
        <w:rPr>
          <w:color w:val="auto"/>
          <w:highlight w:val="none"/>
        </w:rPr>
        <w:t>3</w:t>
      </w:r>
      <w:r>
        <w:rPr>
          <w:rFonts w:hint="eastAsia"/>
          <w:color w:val="auto"/>
          <w:highlight w:val="none"/>
        </w:rPr>
        <w:t>m</w:t>
      </w:r>
      <w:r>
        <w:rPr>
          <w:color w:val="auto"/>
          <w:highlight w:val="none"/>
          <w:vertAlign w:val="superscript"/>
        </w:rPr>
        <w:t>3</w:t>
      </w:r>
      <w:r>
        <w:rPr>
          <w:rFonts w:hint="eastAsia"/>
          <w:color w:val="auto"/>
          <w:highlight w:val="none"/>
        </w:rPr>
        <w:t>压缩空气储罐，能够满足压缩空气需求。</w:t>
      </w:r>
    </w:p>
    <w:p>
      <w:pPr>
        <w:pStyle w:val="54"/>
        <w:ind w:firstLine="560"/>
        <w:rPr>
          <w:color w:val="auto"/>
          <w:highlight w:val="yellow"/>
        </w:rPr>
      </w:pPr>
      <w:r>
        <w:rPr>
          <w:rFonts w:hint="eastAsia"/>
          <w:color w:val="auto"/>
          <w:highlight w:val="none"/>
        </w:rPr>
        <w:t>该项目使用的氮气，主要用于装置反应釜的置换及储罐的氮封。项目拟在3</w:t>
      </w:r>
      <w:r>
        <w:rPr>
          <w:color w:val="auto"/>
          <w:highlight w:val="none"/>
        </w:rPr>
        <w:t>0</w:t>
      </w:r>
      <w:r>
        <w:rPr>
          <w:rFonts w:hint="eastAsia"/>
          <w:color w:val="auto"/>
          <w:highlight w:val="none"/>
          <w:lang w:val="en-US" w:eastAsia="zh-CN"/>
        </w:rPr>
        <w:t>6</w:t>
      </w:r>
      <w:r>
        <w:rPr>
          <w:rFonts w:hint="eastAsia"/>
          <w:color w:val="auto"/>
          <w:highlight w:val="none"/>
        </w:rPr>
        <w:t>公用工程间的空压制氮间设2台</w:t>
      </w:r>
      <w:r>
        <w:rPr>
          <w:color w:val="auto"/>
          <w:highlight w:val="none"/>
        </w:rPr>
        <w:t>1</w:t>
      </w:r>
      <w:r>
        <w:rPr>
          <w:rFonts w:hint="eastAsia"/>
          <w:color w:val="auto"/>
          <w:highlight w:val="none"/>
        </w:rPr>
        <w:t>Nm</w:t>
      </w:r>
      <w:r>
        <w:rPr>
          <w:rFonts w:hint="eastAsia"/>
          <w:color w:val="auto"/>
          <w:highlight w:val="none"/>
          <w:vertAlign w:val="superscript"/>
        </w:rPr>
        <w:t>3</w:t>
      </w:r>
      <w:r>
        <w:rPr>
          <w:rFonts w:hint="eastAsia"/>
          <w:color w:val="auto"/>
          <w:highlight w:val="none"/>
        </w:rPr>
        <w:t>/min制氮机组（</w:t>
      </w:r>
      <w:r>
        <w:rPr>
          <w:color w:val="auto"/>
          <w:highlight w:val="none"/>
        </w:rPr>
        <w:t>1</w:t>
      </w:r>
      <w:r>
        <w:rPr>
          <w:rFonts w:hint="eastAsia"/>
          <w:color w:val="auto"/>
          <w:highlight w:val="none"/>
        </w:rPr>
        <w:t>用1备），</w:t>
      </w:r>
      <w:r>
        <w:rPr>
          <w:color w:val="auto"/>
          <w:highlight w:val="none"/>
        </w:rPr>
        <w:t>2</w:t>
      </w:r>
      <w:r>
        <w:rPr>
          <w:rFonts w:hint="eastAsia"/>
          <w:color w:val="auto"/>
          <w:highlight w:val="none"/>
        </w:rPr>
        <w:t>台</w:t>
      </w:r>
      <w:r>
        <w:rPr>
          <w:color w:val="auto"/>
          <w:highlight w:val="none"/>
        </w:rPr>
        <w:t>3</w:t>
      </w:r>
      <w:r>
        <w:rPr>
          <w:rFonts w:hint="eastAsia"/>
          <w:color w:val="auto"/>
          <w:highlight w:val="none"/>
        </w:rPr>
        <w:t>m</w:t>
      </w:r>
      <w:r>
        <w:rPr>
          <w:color w:val="auto"/>
          <w:highlight w:val="none"/>
          <w:vertAlign w:val="superscript"/>
        </w:rPr>
        <w:t>3</w:t>
      </w:r>
      <w:r>
        <w:rPr>
          <w:rFonts w:hint="eastAsia"/>
          <w:color w:val="auto"/>
          <w:highlight w:val="none"/>
        </w:rPr>
        <w:t>氮气储罐，该项目氮气平均需求量</w:t>
      </w:r>
      <w:r>
        <w:rPr>
          <w:color w:val="auto"/>
          <w:highlight w:val="none"/>
        </w:rPr>
        <w:t>0.6</w:t>
      </w:r>
      <w:r>
        <w:rPr>
          <w:rFonts w:hint="eastAsia"/>
          <w:color w:val="auto"/>
          <w:highlight w:val="none"/>
        </w:rPr>
        <w:t>Nm</w:t>
      </w:r>
      <w:r>
        <w:rPr>
          <w:rFonts w:hint="eastAsia"/>
          <w:color w:val="auto"/>
          <w:highlight w:val="none"/>
          <w:vertAlign w:val="superscript"/>
        </w:rPr>
        <w:t>3</w:t>
      </w:r>
      <w:r>
        <w:rPr>
          <w:rFonts w:hint="eastAsia"/>
          <w:color w:val="auto"/>
          <w:highlight w:val="none"/>
        </w:rPr>
        <w:t>/min，能够满足氮气用量需求。</w:t>
      </w:r>
    </w:p>
    <w:p>
      <w:pPr>
        <w:pStyle w:val="4"/>
        <w:bidi w:val="0"/>
        <w:rPr>
          <w:rFonts w:hint="default"/>
          <w:color w:val="auto"/>
          <w:lang w:val="en-US" w:eastAsia="zh-CN"/>
        </w:rPr>
      </w:pPr>
      <w:bookmarkStart w:id="241" w:name="_Toc6583"/>
      <w:bookmarkStart w:id="242" w:name="_Toc27849"/>
      <w:bookmarkStart w:id="243" w:name="_Toc5583"/>
      <w:bookmarkStart w:id="244" w:name="_Toc30868"/>
      <w:bookmarkStart w:id="245" w:name="_Toc4390"/>
      <w:bookmarkStart w:id="246" w:name="_Toc20679"/>
      <w:bookmarkStart w:id="247" w:name="_Toc22780"/>
      <w:r>
        <w:rPr>
          <w:rFonts w:hint="eastAsia"/>
          <w:color w:val="auto"/>
          <w:lang w:val="en-US" w:eastAsia="zh-CN"/>
        </w:rPr>
        <w:t>2.8.5冷冻站</w:t>
      </w:r>
      <w:bookmarkEnd w:id="241"/>
      <w:bookmarkEnd w:id="242"/>
      <w:bookmarkEnd w:id="243"/>
    </w:p>
    <w:p>
      <w:pPr>
        <w:pStyle w:val="54"/>
        <w:ind w:firstLine="560"/>
        <w:rPr>
          <w:color w:val="auto"/>
        </w:rPr>
      </w:pPr>
      <w:r>
        <w:rPr>
          <w:rFonts w:hint="eastAsia"/>
          <w:color w:val="auto"/>
        </w:rPr>
        <w:t>该项目新建冷冻</w:t>
      </w:r>
      <w:r>
        <w:rPr>
          <w:rFonts w:hint="eastAsia"/>
          <w:color w:val="auto"/>
          <w:lang w:val="en-US" w:eastAsia="zh-CN"/>
        </w:rPr>
        <w:t>间</w:t>
      </w:r>
      <w:r>
        <w:rPr>
          <w:rFonts w:hint="eastAsia"/>
          <w:color w:val="auto"/>
        </w:rPr>
        <w:t>，拟设置在3</w:t>
      </w:r>
      <w:r>
        <w:rPr>
          <w:color w:val="auto"/>
        </w:rPr>
        <w:t>0</w:t>
      </w:r>
      <w:r>
        <w:rPr>
          <w:rFonts w:hint="eastAsia"/>
          <w:color w:val="auto"/>
          <w:lang w:val="en-US" w:eastAsia="zh-CN"/>
        </w:rPr>
        <w:t>6</w:t>
      </w:r>
      <w:r>
        <w:rPr>
          <w:rFonts w:hint="eastAsia"/>
          <w:color w:val="auto"/>
        </w:rPr>
        <w:t>公用工程间一单独隔间内，拟设置</w:t>
      </w:r>
      <w:r>
        <w:rPr>
          <w:rFonts w:hint="eastAsia"/>
          <w:color w:val="auto"/>
          <w:lang w:val="en-US" w:eastAsia="zh-CN"/>
        </w:rPr>
        <w:t>4</w:t>
      </w:r>
      <w:r>
        <w:rPr>
          <w:rFonts w:hint="eastAsia"/>
          <w:color w:val="auto"/>
        </w:rPr>
        <w:t>台</w:t>
      </w:r>
      <w:r>
        <w:rPr>
          <w:rFonts w:hint="eastAsia"/>
          <w:color w:val="auto"/>
          <w:lang w:val="en-US" w:eastAsia="zh-CN"/>
        </w:rPr>
        <w:t>Q=14.03m</w:t>
      </w:r>
      <w:r>
        <w:rPr>
          <w:rFonts w:hint="eastAsia"/>
          <w:color w:val="auto"/>
          <w:vertAlign w:val="superscript"/>
          <w:lang w:val="en-US" w:eastAsia="zh-CN"/>
        </w:rPr>
        <w:t>3</w:t>
      </w:r>
      <w:r>
        <w:rPr>
          <w:rFonts w:hint="eastAsia"/>
          <w:color w:val="auto"/>
          <w:lang w:val="en-US" w:eastAsia="zh-CN"/>
        </w:rPr>
        <w:t>/h水冷式冷水机（P=22.5kw）</w:t>
      </w:r>
      <w:r>
        <w:rPr>
          <w:rFonts w:hint="eastAsia"/>
          <w:color w:val="auto"/>
        </w:rPr>
        <w:t>，</w:t>
      </w:r>
      <w:r>
        <w:rPr>
          <w:rFonts w:hint="eastAsia"/>
          <w:color w:val="auto"/>
          <w:lang w:val="en-US" w:eastAsia="zh-CN"/>
        </w:rPr>
        <w:t>两用两</w:t>
      </w:r>
      <w:r>
        <w:rPr>
          <w:rFonts w:hint="eastAsia"/>
          <w:color w:val="auto"/>
        </w:rPr>
        <w:t>备，为生产装置提供</w:t>
      </w:r>
      <w:r>
        <w:rPr>
          <w:rFonts w:hint="eastAsia"/>
          <w:color w:val="auto"/>
          <w:lang w:val="en-US" w:eastAsia="zh-CN"/>
        </w:rPr>
        <w:t>5</w:t>
      </w:r>
      <w:r>
        <w:rPr>
          <w:rFonts w:hint="eastAsia"/>
          <w:color w:val="auto"/>
        </w:rPr>
        <w:t>℃冷冻水。该项目</w:t>
      </w:r>
      <w:r>
        <w:rPr>
          <w:rFonts w:hint="eastAsia"/>
          <w:color w:val="auto"/>
          <w:lang w:val="en-US" w:eastAsia="zh-CN"/>
        </w:rPr>
        <w:t>5</w:t>
      </w:r>
      <w:r>
        <w:rPr>
          <w:rFonts w:hint="eastAsia"/>
          <w:color w:val="auto"/>
        </w:rPr>
        <w:t>℃冷冻水</w:t>
      </w:r>
      <w:r>
        <w:rPr>
          <w:rFonts w:hint="eastAsia"/>
          <w:color w:val="auto"/>
          <w:lang w:val="en-US" w:eastAsia="zh-CN"/>
        </w:rPr>
        <w:t>使用量约为20m</w:t>
      </w:r>
      <w:r>
        <w:rPr>
          <w:rFonts w:hint="eastAsia"/>
          <w:color w:val="auto"/>
          <w:vertAlign w:val="superscript"/>
          <w:lang w:val="en-US" w:eastAsia="zh-CN"/>
        </w:rPr>
        <w:t>3</w:t>
      </w:r>
      <w:r>
        <w:rPr>
          <w:rFonts w:hint="eastAsia"/>
          <w:color w:val="auto"/>
          <w:lang w:val="en-US" w:eastAsia="zh-CN"/>
        </w:rPr>
        <w:t>/h</w:t>
      </w:r>
      <w:r>
        <w:rPr>
          <w:rFonts w:hint="eastAsia"/>
          <w:color w:val="auto"/>
        </w:rPr>
        <w:t>。</w:t>
      </w:r>
    </w:p>
    <w:p>
      <w:pPr>
        <w:pStyle w:val="4"/>
        <w:bidi w:val="0"/>
        <w:rPr>
          <w:rFonts w:hint="eastAsia"/>
          <w:color w:val="auto"/>
          <w:lang w:val="en-US" w:eastAsia="zh-CN"/>
        </w:rPr>
      </w:pPr>
      <w:bookmarkStart w:id="248" w:name="_Toc9053"/>
      <w:bookmarkStart w:id="249" w:name="_Toc625"/>
      <w:bookmarkStart w:id="250" w:name="_Toc12440"/>
      <w:r>
        <w:rPr>
          <w:rFonts w:hint="eastAsia"/>
          <w:color w:val="auto"/>
          <w:lang w:val="en-US" w:eastAsia="zh-CN"/>
        </w:rPr>
        <w:t>2.8.6通风</w:t>
      </w:r>
      <w:bookmarkEnd w:id="244"/>
      <w:bookmarkEnd w:id="245"/>
      <w:bookmarkEnd w:id="246"/>
      <w:bookmarkEnd w:id="247"/>
      <w:bookmarkEnd w:id="248"/>
      <w:bookmarkEnd w:id="249"/>
      <w:bookmarkEnd w:id="250"/>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bCs/>
          <w:color w:val="auto"/>
          <w:sz w:val="28"/>
          <w:szCs w:val="28"/>
        </w:rPr>
      </w:pPr>
      <w:bookmarkStart w:id="251" w:name="_Toc326909915"/>
      <w:bookmarkStart w:id="252" w:name="_Toc345576773"/>
      <w:r>
        <w:rPr>
          <w:rFonts w:hint="eastAsia" w:hAnsi="宋体"/>
          <w:bCs/>
          <w:color w:val="auto"/>
          <w:sz w:val="28"/>
          <w:szCs w:val="28"/>
          <w:lang w:val="en-US" w:eastAsia="zh-CN"/>
        </w:rPr>
        <w:t>101裂解车间为半敞开式厂房，采用自然通风，102精馏车间为敞开式厂房，采用自然通风，201甲类仓库拟</w:t>
      </w:r>
      <w:r>
        <w:rPr>
          <w:rFonts w:hint="eastAsia" w:hAnsi="宋体"/>
          <w:bCs/>
          <w:color w:val="auto"/>
          <w:sz w:val="28"/>
          <w:szCs w:val="28"/>
        </w:rPr>
        <w:t>设防爆型</w:t>
      </w:r>
      <w:r>
        <w:rPr>
          <w:rFonts w:hint="eastAsia" w:hAnsi="宋体"/>
          <w:bCs/>
          <w:color w:val="auto"/>
          <w:sz w:val="28"/>
          <w:szCs w:val="28"/>
          <w:lang w:val="en-US" w:eastAsia="zh-CN"/>
        </w:rPr>
        <w:t>排</w:t>
      </w:r>
      <w:r>
        <w:rPr>
          <w:rFonts w:hint="eastAsia" w:hAnsi="宋体"/>
          <w:bCs/>
          <w:color w:val="auto"/>
          <w:sz w:val="28"/>
          <w:szCs w:val="28"/>
        </w:rPr>
        <w:t>风机进行全面排风，以稀释车间</w:t>
      </w:r>
      <w:r>
        <w:rPr>
          <w:rFonts w:hint="eastAsia" w:hAnsi="宋体"/>
          <w:bCs/>
          <w:color w:val="auto"/>
          <w:sz w:val="28"/>
          <w:szCs w:val="28"/>
          <w:lang w:eastAsia="zh-CN"/>
        </w:rPr>
        <w:t>、</w:t>
      </w:r>
      <w:r>
        <w:rPr>
          <w:rFonts w:hint="eastAsia" w:hAnsi="宋体"/>
          <w:bCs/>
          <w:color w:val="auto"/>
          <w:sz w:val="28"/>
          <w:szCs w:val="28"/>
          <w:lang w:val="en-US" w:eastAsia="zh-CN"/>
        </w:rPr>
        <w:t>仓库</w:t>
      </w:r>
      <w:r>
        <w:rPr>
          <w:rFonts w:hint="eastAsia" w:hAnsi="宋体"/>
          <w:bCs/>
          <w:color w:val="auto"/>
          <w:sz w:val="28"/>
          <w:szCs w:val="28"/>
        </w:rPr>
        <w:t>内空气中危险介质的浓度</w:t>
      </w:r>
      <w:r>
        <w:rPr>
          <w:rFonts w:hAnsi="宋体"/>
          <w:bCs/>
          <w:color w:val="auto"/>
          <w:sz w:val="28"/>
          <w:szCs w:val="28"/>
        </w:rPr>
        <w:t>。</w:t>
      </w:r>
      <w:r>
        <w:rPr>
          <w:rFonts w:hint="eastAsia" w:hAnsi="宋体"/>
          <w:bCs/>
          <w:color w:val="auto"/>
          <w:sz w:val="28"/>
          <w:szCs w:val="28"/>
        </w:rPr>
        <w:t>按照规范该生产区域事故通风要求换气次数为≥12次/h，</w:t>
      </w:r>
      <w:r>
        <w:rPr>
          <w:rFonts w:hint="eastAsia" w:hAnsi="宋体"/>
          <w:bCs/>
          <w:color w:val="auto"/>
          <w:sz w:val="28"/>
          <w:szCs w:val="28"/>
          <w:lang w:val="en-US" w:eastAsia="zh-CN"/>
        </w:rPr>
        <w:t>并根据相关规定和实际情况确定有效的排风方式和排风口位置</w:t>
      </w:r>
      <w:r>
        <w:rPr>
          <w:rFonts w:hint="eastAsia" w:hAnsi="宋体"/>
          <w:bCs/>
          <w:color w:val="auto"/>
          <w:sz w:val="28"/>
          <w:szCs w:val="28"/>
        </w:rPr>
        <w:t>。</w:t>
      </w:r>
    </w:p>
    <w:bookmarkEnd w:id="251"/>
    <w:bookmarkEnd w:id="252"/>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bCs/>
          <w:color w:val="auto"/>
          <w:sz w:val="28"/>
          <w:szCs w:val="28"/>
        </w:rPr>
      </w:pPr>
      <w:r>
        <w:rPr>
          <w:rFonts w:hAnsi="宋体"/>
          <w:bCs/>
          <w:color w:val="auto"/>
          <w:sz w:val="28"/>
          <w:szCs w:val="28"/>
        </w:rPr>
        <w:t>车间保持良好通风，降低车间内温度，夏季可设置防爆型移动式风扇进行降温，配备防暑降温用品。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bCs/>
          <w:color w:val="auto"/>
          <w:sz w:val="28"/>
          <w:szCs w:val="28"/>
        </w:rPr>
      </w:pPr>
      <w:r>
        <w:rPr>
          <w:rFonts w:hint="eastAsia" w:hAnsi="宋体"/>
          <w:bCs/>
          <w:color w:val="auto"/>
          <w:sz w:val="28"/>
          <w:szCs w:val="28"/>
        </w:rPr>
        <w:t>其它动力房的通风考虑机械通风；机械排风，自然补风；风机选用边墙轴流风机，在侧墙上部设置边墙轴流风机进行排风。</w:t>
      </w:r>
    </w:p>
    <w:p>
      <w:pPr>
        <w:pStyle w:val="4"/>
        <w:bidi w:val="0"/>
        <w:rPr>
          <w:color w:val="auto"/>
        </w:rPr>
      </w:pPr>
      <w:bookmarkStart w:id="253" w:name="_Toc32379"/>
      <w:bookmarkStart w:id="254" w:name="_Toc9013"/>
      <w:bookmarkStart w:id="255" w:name="_Toc18675"/>
      <w:bookmarkStart w:id="256" w:name="_Toc8666"/>
      <w:bookmarkStart w:id="257" w:name="_Toc2985"/>
      <w:bookmarkStart w:id="258" w:name="_Toc3589"/>
      <w:bookmarkStart w:id="259" w:name="_Toc7992"/>
      <w:r>
        <w:rPr>
          <w:color w:val="auto"/>
        </w:rPr>
        <w:t>2.</w:t>
      </w:r>
      <w:r>
        <w:rPr>
          <w:rFonts w:hint="eastAsia"/>
          <w:color w:val="auto"/>
        </w:rPr>
        <w:t>8</w:t>
      </w:r>
      <w:r>
        <w:rPr>
          <w:color w:val="auto"/>
        </w:rPr>
        <w:t>.</w:t>
      </w:r>
      <w:r>
        <w:rPr>
          <w:rFonts w:hint="eastAsia"/>
          <w:color w:val="auto"/>
          <w:lang w:val="en-US" w:eastAsia="zh-CN"/>
        </w:rPr>
        <w:t>7</w:t>
      </w:r>
      <w:r>
        <w:rPr>
          <w:rFonts w:hint="eastAsia"/>
          <w:color w:val="auto"/>
        </w:rPr>
        <w:t>电讯</w:t>
      </w:r>
      <w:bookmarkEnd w:id="253"/>
      <w:bookmarkEnd w:id="254"/>
      <w:bookmarkEnd w:id="255"/>
      <w:bookmarkEnd w:id="256"/>
      <w:bookmarkEnd w:id="257"/>
      <w:bookmarkEnd w:id="258"/>
      <w:bookmarkEnd w:id="259"/>
    </w:p>
    <w:p>
      <w:pPr>
        <w:ind w:firstLine="560" w:firstLineChars="200"/>
        <w:jc w:val="left"/>
        <w:rPr>
          <w:rFonts w:hint="eastAsia"/>
          <w:color w:val="auto"/>
          <w:szCs w:val="28"/>
        </w:rPr>
      </w:pPr>
      <w:r>
        <w:rPr>
          <w:rFonts w:hint="eastAsia"/>
          <w:color w:val="auto"/>
          <w:szCs w:val="28"/>
        </w:rPr>
        <w:t>电话系统拟从当地电信部门引入光纤通信设施，该公司中控室设置行政电话、调度电话，为方便巡视操作联络，设防爆无线对讲机。</w:t>
      </w:r>
    </w:p>
    <w:p>
      <w:pPr>
        <w:bidi w:val="0"/>
        <w:ind w:firstLine="560" w:firstLineChars="200"/>
        <w:rPr>
          <w:color w:val="auto"/>
          <w:highlight w:val="none"/>
        </w:rPr>
      </w:pPr>
      <w:r>
        <w:rPr>
          <w:rFonts w:hint="eastAsia"/>
          <w:color w:val="auto"/>
          <w:highlight w:val="none"/>
        </w:rPr>
        <w:t>1）生产扩音对讲系统</w:t>
      </w:r>
    </w:p>
    <w:p>
      <w:pPr>
        <w:bidi w:val="0"/>
        <w:ind w:firstLine="560" w:firstLineChars="200"/>
        <w:rPr>
          <w:color w:val="auto"/>
          <w:highlight w:val="yellow"/>
        </w:rPr>
      </w:pPr>
      <w:r>
        <w:rPr>
          <w:rFonts w:hint="eastAsia"/>
          <w:color w:val="auto"/>
          <w:highlight w:val="none"/>
        </w:rPr>
        <w:t>该项目拟设一套主机扩音对讲设备。生产扩音对讲电话系统与火灾报警及可燃气体泄漏报警系统等系统联网，当生产装置出现火警、可燃、有毒气体泄漏等事故时，生产扩音对讲电话系统可用于事故信息广播。交换机、配线柜等主控设备拟设置在中控室的电信机柜间内。</w:t>
      </w:r>
    </w:p>
    <w:p>
      <w:pPr>
        <w:bidi w:val="0"/>
        <w:ind w:firstLine="560" w:firstLineChars="200"/>
        <w:rPr>
          <w:color w:val="auto"/>
          <w:highlight w:val="none"/>
        </w:rPr>
      </w:pPr>
      <w:r>
        <w:rPr>
          <w:rFonts w:hint="eastAsia"/>
          <w:color w:val="auto"/>
          <w:highlight w:val="none"/>
        </w:rPr>
        <w:t>2）可燃气体报警系统</w:t>
      </w:r>
    </w:p>
    <w:p>
      <w:pPr>
        <w:bidi w:val="0"/>
        <w:ind w:firstLine="560" w:firstLineChars="200"/>
        <w:rPr>
          <w:color w:val="auto"/>
          <w:highlight w:val="none"/>
        </w:rPr>
      </w:pPr>
      <w:r>
        <w:rPr>
          <w:rFonts w:hint="eastAsia"/>
          <w:color w:val="auto"/>
          <w:highlight w:val="none"/>
        </w:rPr>
        <w:t>该项目拟按照现行规范要求，在有可能散发可燃气体的建构筑物及场所设置可燃气体检测仪，且现场设置声光报警，并设超限报警，并与车间、仓库内的防爆型风机联锁，以确保生产安全和操作人员身体健康。报警信号引至中控室可燃气体报警盘，报警盘具有显示、报警、记录、打印功能，记录时间不低于</w:t>
      </w:r>
      <w:r>
        <w:rPr>
          <w:color w:val="auto"/>
          <w:highlight w:val="none"/>
        </w:rPr>
        <w:t>30</w:t>
      </w:r>
      <w:r>
        <w:rPr>
          <w:rFonts w:hint="eastAsia"/>
          <w:color w:val="auto"/>
          <w:highlight w:val="none"/>
        </w:rPr>
        <w:t>天。</w:t>
      </w:r>
    </w:p>
    <w:p>
      <w:pPr>
        <w:pStyle w:val="4"/>
        <w:bidi w:val="0"/>
        <w:rPr>
          <w:rFonts w:hint="eastAsia"/>
          <w:color w:val="auto"/>
          <w:lang w:val="en-US" w:eastAsia="zh-CN"/>
        </w:rPr>
      </w:pPr>
      <w:bookmarkStart w:id="260" w:name="_Toc5988"/>
      <w:bookmarkStart w:id="261" w:name="_Toc7257"/>
      <w:bookmarkStart w:id="262" w:name="_Toc4944"/>
      <w:bookmarkStart w:id="263" w:name="_Toc9245"/>
      <w:bookmarkStart w:id="264" w:name="_Toc31294"/>
      <w:bookmarkStart w:id="265" w:name="_Toc16015"/>
      <w:r>
        <w:rPr>
          <w:rFonts w:hint="eastAsia"/>
          <w:color w:val="auto"/>
          <w:lang w:val="en-US" w:eastAsia="zh-CN"/>
        </w:rPr>
        <w:t>2.8.8火灾自动报警及监控</w:t>
      </w:r>
      <w:bookmarkEnd w:id="260"/>
      <w:bookmarkEnd w:id="261"/>
      <w:bookmarkEnd w:id="262"/>
      <w:bookmarkEnd w:id="263"/>
      <w:bookmarkEnd w:id="264"/>
      <w:bookmarkEnd w:id="265"/>
    </w:p>
    <w:p>
      <w:pPr>
        <w:ind w:firstLine="560" w:firstLineChars="200"/>
        <w:jc w:val="left"/>
        <w:rPr>
          <w:rFonts w:hint="default" w:eastAsia="宋体"/>
          <w:color w:val="auto"/>
          <w:szCs w:val="28"/>
          <w:lang w:val="en-US" w:eastAsia="zh-CN"/>
        </w:rPr>
      </w:pPr>
      <w:r>
        <w:rPr>
          <w:rFonts w:hint="default" w:eastAsia="宋体"/>
          <w:color w:val="auto"/>
          <w:szCs w:val="28"/>
          <w:lang w:val="en-US" w:eastAsia="zh-CN"/>
        </w:rPr>
        <w:t>1）火灾自动报警系统</w:t>
      </w:r>
    </w:p>
    <w:p>
      <w:pPr>
        <w:ind w:firstLine="560" w:firstLineChars="200"/>
        <w:jc w:val="left"/>
        <w:rPr>
          <w:rFonts w:hint="default" w:eastAsia="宋体"/>
          <w:color w:val="auto"/>
          <w:szCs w:val="28"/>
          <w:lang w:val="en-US" w:eastAsia="zh-CN"/>
        </w:rPr>
      </w:pPr>
      <w:r>
        <w:rPr>
          <w:rFonts w:hint="default" w:eastAsia="宋体"/>
          <w:color w:val="auto"/>
          <w:szCs w:val="28"/>
          <w:lang w:val="en-US" w:eastAsia="zh-CN"/>
        </w:rPr>
        <w:t>项目拟在甲类车间、</w:t>
      </w:r>
      <w:r>
        <w:rPr>
          <w:rFonts w:hint="eastAsia"/>
          <w:color w:val="auto"/>
          <w:szCs w:val="28"/>
          <w:lang w:val="en-US" w:eastAsia="zh-CN"/>
        </w:rPr>
        <w:t>甲</w:t>
      </w:r>
      <w:r>
        <w:rPr>
          <w:rFonts w:hint="default" w:eastAsia="宋体"/>
          <w:color w:val="auto"/>
          <w:szCs w:val="28"/>
          <w:lang w:val="en-US" w:eastAsia="zh-CN"/>
        </w:rPr>
        <w:t>类仓库、公用工程间、中控室、罐区设置火灾自动报警系统。消防控制室拟设置在中控室内，火灾报警系统设置成由火灾报警控制器组成的对等的火灾报警控制网络。每台火灾报警控制器由控制盘、消防广播/电话主机、火灾探测器、手动报警按钮、消防广播扬声器、声光报警器等组成；每台火灾报警控制器以光缆连接，消防值班室的火灾报警控制器设置在控制中心。</w:t>
      </w:r>
    </w:p>
    <w:p>
      <w:pPr>
        <w:ind w:firstLine="560" w:firstLineChars="200"/>
        <w:jc w:val="left"/>
        <w:rPr>
          <w:rFonts w:hint="default" w:eastAsia="宋体"/>
          <w:color w:val="auto"/>
          <w:szCs w:val="28"/>
          <w:lang w:val="en-US" w:eastAsia="zh-CN"/>
        </w:rPr>
      </w:pPr>
      <w:r>
        <w:rPr>
          <w:rFonts w:hint="default" w:eastAsia="宋体"/>
          <w:color w:val="auto"/>
          <w:szCs w:val="28"/>
          <w:lang w:val="en-US" w:eastAsia="zh-CN"/>
        </w:rPr>
        <w:t>2）电视监视系统</w:t>
      </w:r>
    </w:p>
    <w:p>
      <w:pPr>
        <w:ind w:firstLine="560" w:firstLineChars="200"/>
        <w:jc w:val="left"/>
        <w:rPr>
          <w:rFonts w:hint="default" w:eastAsia="宋体"/>
          <w:color w:val="auto"/>
          <w:szCs w:val="28"/>
          <w:lang w:val="en-US" w:eastAsia="zh-CN"/>
        </w:rPr>
      </w:pPr>
      <w:r>
        <w:rPr>
          <w:rFonts w:hint="default" w:eastAsia="宋体"/>
          <w:color w:val="auto"/>
          <w:szCs w:val="28"/>
          <w:lang w:val="en-US" w:eastAsia="zh-CN"/>
        </w:rPr>
        <w:t>以中控室为中心设置电视监视系统，系统由摄像机、主控制器和监视终端组成，系统选用全数字设备。拟在厂区各个大门、中控室、罐区、甲类车间重点岗位、</w:t>
      </w:r>
      <w:r>
        <w:rPr>
          <w:rFonts w:hint="eastAsia"/>
          <w:color w:val="auto"/>
          <w:szCs w:val="28"/>
          <w:lang w:val="en-US" w:eastAsia="zh-CN"/>
        </w:rPr>
        <w:t>甲</w:t>
      </w:r>
      <w:r>
        <w:rPr>
          <w:rFonts w:hint="default" w:eastAsia="宋体"/>
          <w:color w:val="auto"/>
          <w:szCs w:val="28"/>
          <w:lang w:val="en-US" w:eastAsia="zh-CN"/>
        </w:rPr>
        <w:t>类仓库场所设置视频监控摄像头。在中控室的操作间设置一套拼接大屏显示设备。大屏的控制设备柜设在大屏背后，大屏操作站设置在操作间的操作台。</w:t>
      </w:r>
    </w:p>
    <w:p>
      <w:pPr>
        <w:pStyle w:val="4"/>
        <w:bidi w:val="0"/>
        <w:rPr>
          <w:rFonts w:hint="eastAsia"/>
          <w:color w:val="auto"/>
          <w:lang w:val="en-US" w:eastAsia="zh-CN"/>
        </w:rPr>
      </w:pPr>
      <w:bookmarkStart w:id="266" w:name="_Toc30744"/>
      <w:bookmarkStart w:id="267" w:name="_Toc10394"/>
      <w:bookmarkStart w:id="268" w:name="_Toc28482"/>
      <w:bookmarkStart w:id="269" w:name="_Toc26226"/>
      <w:bookmarkStart w:id="270" w:name="_Toc29079"/>
      <w:bookmarkStart w:id="271" w:name="_Toc10797"/>
      <w:r>
        <w:rPr>
          <w:rFonts w:hint="eastAsia"/>
          <w:color w:val="auto"/>
          <w:lang w:val="en-US" w:eastAsia="zh-CN"/>
        </w:rPr>
        <w:t>2.8.9消防</w:t>
      </w:r>
      <w:bookmarkEnd w:id="266"/>
      <w:bookmarkEnd w:id="267"/>
      <w:bookmarkEnd w:id="268"/>
      <w:bookmarkEnd w:id="269"/>
      <w:bookmarkEnd w:id="270"/>
      <w:bookmarkEnd w:id="271"/>
    </w:p>
    <w:p>
      <w:pPr>
        <w:pStyle w:val="54"/>
        <w:ind w:firstLine="560"/>
        <w:rPr>
          <w:rFonts w:hint="default" w:eastAsia="宋体"/>
          <w:color w:val="auto"/>
          <w:lang w:val="en-US" w:eastAsia="zh-CN"/>
        </w:rPr>
      </w:pPr>
      <w:r>
        <w:rPr>
          <w:rFonts w:hint="eastAsia"/>
          <w:color w:val="auto"/>
        </w:rPr>
        <w:t>1</w:t>
      </w:r>
      <w:r>
        <w:rPr>
          <w:color w:val="auto"/>
        </w:rPr>
        <w:t>.</w:t>
      </w:r>
      <w:r>
        <w:rPr>
          <w:rFonts w:hint="eastAsia"/>
          <w:color w:val="auto"/>
          <w:lang w:val="en-US" w:eastAsia="zh-CN"/>
        </w:rPr>
        <w:t>消防给水</w:t>
      </w:r>
    </w:p>
    <w:p>
      <w:pPr>
        <w:pStyle w:val="54"/>
        <w:ind w:firstLine="560"/>
        <w:rPr>
          <w:color w:val="auto"/>
        </w:rPr>
      </w:pPr>
      <w:r>
        <w:rPr>
          <w:rFonts w:hint="eastAsia"/>
          <w:color w:val="auto"/>
        </w:rPr>
        <w:t>该</w:t>
      </w:r>
      <w:r>
        <w:rPr>
          <w:rFonts w:hint="eastAsia"/>
          <w:color w:val="auto"/>
          <w:lang w:val="en-US" w:eastAsia="zh-CN"/>
        </w:rPr>
        <w:t>项目</w:t>
      </w:r>
      <w:r>
        <w:rPr>
          <w:rFonts w:hint="eastAsia"/>
          <w:color w:val="auto"/>
        </w:rPr>
        <w:t>占地面积为</w:t>
      </w:r>
      <w:r>
        <w:rPr>
          <w:rFonts w:hint="eastAsia"/>
          <w:color w:val="auto"/>
          <w:lang w:val="en-US" w:eastAsia="zh-CN"/>
        </w:rPr>
        <w:t>28.1亩</w:t>
      </w:r>
      <w:r>
        <w:rPr>
          <w:rFonts w:hint="eastAsia"/>
          <w:color w:val="auto"/>
        </w:rPr>
        <w:t>，小于1</w:t>
      </w:r>
      <w:r>
        <w:rPr>
          <w:color w:val="auto"/>
        </w:rPr>
        <w:t>00</w:t>
      </w:r>
      <w:r>
        <w:rPr>
          <w:rFonts w:hint="eastAsia"/>
          <w:color w:val="auto"/>
        </w:rPr>
        <w:t>hm</w:t>
      </w:r>
      <w:r>
        <w:rPr>
          <w:rFonts w:hint="eastAsia"/>
          <w:color w:val="auto"/>
          <w:vertAlign w:val="superscript"/>
        </w:rPr>
        <w:t>2</w:t>
      </w:r>
      <w:r>
        <w:rPr>
          <w:rFonts w:hint="eastAsia"/>
          <w:color w:val="auto"/>
        </w:rPr>
        <w:t>（1000000m</w:t>
      </w:r>
      <w:r>
        <w:rPr>
          <w:rFonts w:hint="eastAsia"/>
          <w:color w:val="auto"/>
          <w:vertAlign w:val="superscript"/>
        </w:rPr>
        <w:t>2</w:t>
      </w:r>
      <w:r>
        <w:rPr>
          <w:rFonts w:hint="eastAsia"/>
          <w:color w:val="auto"/>
        </w:rPr>
        <w:t>），</w:t>
      </w:r>
      <w:r>
        <w:rPr>
          <w:rFonts w:hint="eastAsia"/>
          <w:color w:val="auto"/>
          <w:lang w:val="en-US" w:eastAsia="zh-CN"/>
        </w:rPr>
        <w:t>且附近居住区人数小于1.5万人，</w:t>
      </w:r>
      <w:r>
        <w:rPr>
          <w:rFonts w:hint="eastAsia"/>
          <w:color w:val="auto"/>
        </w:rPr>
        <w:t>依据《消防给水及消火栓系统技术规范》3.1.1，该</w:t>
      </w:r>
      <w:r>
        <w:rPr>
          <w:rFonts w:hint="eastAsia"/>
          <w:color w:val="auto"/>
          <w:lang w:val="en-US" w:eastAsia="zh-CN"/>
        </w:rPr>
        <w:t>项目</w:t>
      </w:r>
      <w:r>
        <w:rPr>
          <w:rFonts w:hint="eastAsia"/>
          <w:color w:val="auto"/>
        </w:rPr>
        <w:t>消防水系统按同一时间内的一次火灾进行设计，综合各生产装置场所的消防要求，消防给水按最不利原则确定。</w:t>
      </w:r>
    </w:p>
    <w:p>
      <w:pPr>
        <w:pStyle w:val="25"/>
        <w:numPr>
          <w:ilvl w:val="0"/>
          <w:numId w:val="0"/>
        </w:numPr>
        <w:ind w:firstLine="560" w:firstLineChars="200"/>
        <w:rPr>
          <w:rFonts w:ascii="Times New Roman" w:hAnsi="Times New Roman"/>
          <w:color w:val="auto"/>
          <w:sz w:val="28"/>
          <w:szCs w:val="28"/>
        </w:rPr>
      </w:pPr>
      <w:r>
        <w:rPr>
          <w:rFonts w:hint="eastAsia"/>
          <w:color w:val="auto"/>
          <w:sz w:val="28"/>
          <w:szCs w:val="28"/>
        </w:rPr>
        <w:t>依据《消防给水及消火栓系统技术规范》3.3.2，该项目中新建的生产车间、仓库、罐区消防用水量最大的为</w:t>
      </w:r>
      <w:r>
        <w:rPr>
          <w:color w:val="auto"/>
          <w:sz w:val="28"/>
          <w:szCs w:val="28"/>
        </w:rPr>
        <w:t>20</w:t>
      </w:r>
      <w:r>
        <w:rPr>
          <w:rFonts w:hint="eastAsia"/>
          <w:color w:val="auto"/>
          <w:sz w:val="28"/>
          <w:szCs w:val="28"/>
          <w:lang w:val="en-US" w:eastAsia="zh-CN"/>
        </w:rPr>
        <w:t>4丙类仓库二</w:t>
      </w:r>
      <w:r>
        <w:rPr>
          <w:rFonts w:hint="eastAsia"/>
          <w:color w:val="auto"/>
          <w:sz w:val="28"/>
          <w:szCs w:val="28"/>
        </w:rPr>
        <w:t>，火灾危险类别为</w:t>
      </w:r>
      <w:r>
        <w:rPr>
          <w:rFonts w:hint="eastAsia"/>
          <w:color w:val="auto"/>
          <w:sz w:val="28"/>
          <w:szCs w:val="28"/>
          <w:lang w:val="en-US" w:eastAsia="zh-CN"/>
        </w:rPr>
        <w:t>丙</w:t>
      </w:r>
      <w:r>
        <w:rPr>
          <w:rFonts w:hint="eastAsia"/>
          <w:color w:val="auto"/>
          <w:sz w:val="28"/>
          <w:szCs w:val="28"/>
        </w:rPr>
        <w:t>类，</w:t>
      </w:r>
      <w:r>
        <w:rPr>
          <w:rFonts w:ascii="Times New Roman" w:hAnsi="Times New Roman"/>
          <w:color w:val="auto"/>
          <w:sz w:val="28"/>
          <w:szCs w:val="28"/>
        </w:rPr>
        <w:t>根据《</w:t>
      </w:r>
      <w:r>
        <w:rPr>
          <w:rFonts w:hint="eastAsia" w:ascii="Times New Roman" w:hAnsi="Times New Roman"/>
          <w:color w:val="auto"/>
          <w:sz w:val="28"/>
          <w:szCs w:val="28"/>
        </w:rPr>
        <w:t>消防给水及消火栓系统技术规范</w:t>
      </w:r>
      <w:r>
        <w:rPr>
          <w:rFonts w:ascii="Times New Roman" w:hAnsi="Times New Roman"/>
          <w:color w:val="auto"/>
          <w:sz w:val="28"/>
          <w:szCs w:val="28"/>
        </w:rPr>
        <w:t>》第</w:t>
      </w:r>
      <w:r>
        <w:rPr>
          <w:rFonts w:hint="eastAsia" w:ascii="Times New Roman" w:hAnsi="Times New Roman"/>
          <w:color w:val="auto"/>
          <w:sz w:val="28"/>
          <w:szCs w:val="28"/>
        </w:rPr>
        <w:t>3</w:t>
      </w:r>
      <w:r>
        <w:rPr>
          <w:rFonts w:ascii="Times New Roman" w:hAnsi="Times New Roman"/>
          <w:color w:val="auto"/>
          <w:sz w:val="28"/>
          <w:szCs w:val="28"/>
        </w:rPr>
        <w:t>.</w:t>
      </w:r>
      <w:r>
        <w:rPr>
          <w:rFonts w:hint="eastAsia" w:ascii="Times New Roman" w:hAnsi="Times New Roman"/>
          <w:color w:val="auto"/>
          <w:sz w:val="28"/>
          <w:szCs w:val="28"/>
        </w:rPr>
        <w:t>3</w:t>
      </w:r>
      <w:r>
        <w:rPr>
          <w:rFonts w:ascii="Times New Roman" w:hAnsi="Times New Roman"/>
          <w:color w:val="auto"/>
          <w:sz w:val="28"/>
          <w:szCs w:val="28"/>
        </w:rPr>
        <w:t>.2条，其室外消火栓用水量为</w:t>
      </w:r>
      <w:r>
        <w:rPr>
          <w:rFonts w:hint="eastAsia" w:ascii="Times New Roman" w:hAnsi="Times New Roman"/>
          <w:color w:val="auto"/>
          <w:sz w:val="28"/>
          <w:szCs w:val="28"/>
          <w:lang w:val="en-US" w:eastAsia="zh-CN"/>
        </w:rPr>
        <w:t>2</w:t>
      </w:r>
      <w:r>
        <w:rPr>
          <w:rFonts w:hint="eastAsia" w:ascii="Times New Roman" w:hAnsi="Times New Roman"/>
          <w:color w:val="auto"/>
          <w:sz w:val="28"/>
          <w:szCs w:val="28"/>
        </w:rPr>
        <w:t>5</w:t>
      </w:r>
      <w:r>
        <w:rPr>
          <w:rFonts w:ascii="Times New Roman" w:hAnsi="Times New Roman"/>
          <w:color w:val="auto"/>
          <w:sz w:val="28"/>
          <w:szCs w:val="28"/>
        </w:rPr>
        <w:t>L/s，根据《</w:t>
      </w:r>
      <w:r>
        <w:rPr>
          <w:rFonts w:hint="eastAsia" w:ascii="Times New Roman" w:hAnsi="Times New Roman"/>
          <w:color w:val="auto"/>
          <w:sz w:val="28"/>
          <w:szCs w:val="28"/>
        </w:rPr>
        <w:t>消防给水及消火栓系统技术规范</w:t>
      </w:r>
      <w:r>
        <w:rPr>
          <w:rFonts w:ascii="Times New Roman" w:hAnsi="Times New Roman"/>
          <w:color w:val="auto"/>
          <w:sz w:val="28"/>
          <w:szCs w:val="28"/>
        </w:rPr>
        <w:t>》第</w:t>
      </w:r>
      <w:r>
        <w:rPr>
          <w:rFonts w:hint="eastAsia" w:ascii="Times New Roman" w:hAnsi="Times New Roman"/>
          <w:color w:val="auto"/>
          <w:sz w:val="28"/>
          <w:szCs w:val="28"/>
        </w:rPr>
        <w:t>3</w:t>
      </w:r>
      <w:r>
        <w:rPr>
          <w:rFonts w:ascii="Times New Roman" w:hAnsi="Times New Roman"/>
          <w:color w:val="auto"/>
          <w:sz w:val="28"/>
          <w:szCs w:val="28"/>
        </w:rPr>
        <w:t>.</w:t>
      </w:r>
      <w:r>
        <w:rPr>
          <w:rFonts w:hint="eastAsia" w:ascii="Times New Roman" w:hAnsi="Times New Roman"/>
          <w:color w:val="auto"/>
          <w:sz w:val="28"/>
          <w:szCs w:val="28"/>
        </w:rPr>
        <w:t>5</w:t>
      </w:r>
      <w:r>
        <w:rPr>
          <w:rFonts w:ascii="Times New Roman" w:hAnsi="Times New Roman"/>
          <w:color w:val="auto"/>
          <w:sz w:val="28"/>
          <w:szCs w:val="28"/>
        </w:rPr>
        <w:t>.2条</w:t>
      </w:r>
      <w:r>
        <w:rPr>
          <w:rFonts w:hint="eastAsia" w:ascii="Times New Roman" w:hAnsi="Times New Roman"/>
          <w:color w:val="auto"/>
          <w:sz w:val="28"/>
          <w:szCs w:val="28"/>
        </w:rPr>
        <w:t>，其室内消火栓</w:t>
      </w:r>
      <w:r>
        <w:rPr>
          <w:rFonts w:ascii="Times New Roman" w:hAnsi="Times New Roman"/>
          <w:color w:val="auto"/>
          <w:sz w:val="28"/>
          <w:szCs w:val="28"/>
        </w:rPr>
        <w:t>用水量为</w:t>
      </w:r>
      <w:r>
        <w:rPr>
          <w:rFonts w:hint="eastAsia" w:ascii="Times New Roman" w:hAnsi="Times New Roman"/>
          <w:color w:val="auto"/>
          <w:sz w:val="28"/>
          <w:szCs w:val="28"/>
        </w:rPr>
        <w:t>2</w:t>
      </w:r>
      <w:r>
        <w:rPr>
          <w:rFonts w:hint="eastAsia" w:ascii="Times New Roman" w:hAnsi="Times New Roman"/>
          <w:color w:val="auto"/>
          <w:sz w:val="28"/>
          <w:szCs w:val="28"/>
          <w:lang w:val="en-US" w:eastAsia="zh-CN"/>
        </w:rPr>
        <w:t>5</w:t>
      </w:r>
      <w:r>
        <w:rPr>
          <w:rFonts w:ascii="Times New Roman" w:hAnsi="Times New Roman"/>
          <w:color w:val="auto"/>
          <w:sz w:val="28"/>
          <w:szCs w:val="28"/>
        </w:rPr>
        <w:t>L/s，总消火栓用水量为</w:t>
      </w:r>
      <w:r>
        <w:rPr>
          <w:rFonts w:hint="eastAsia" w:ascii="Times New Roman" w:hAnsi="Times New Roman"/>
          <w:color w:val="auto"/>
          <w:sz w:val="28"/>
          <w:szCs w:val="28"/>
          <w:lang w:val="en-US" w:eastAsia="zh-CN"/>
        </w:rPr>
        <w:t>50</w:t>
      </w:r>
      <w:r>
        <w:rPr>
          <w:rFonts w:ascii="Times New Roman" w:hAnsi="Times New Roman"/>
          <w:color w:val="auto"/>
          <w:sz w:val="28"/>
          <w:szCs w:val="28"/>
        </w:rPr>
        <w:t>L/s，火灾延续时间</w:t>
      </w:r>
      <w:r>
        <w:rPr>
          <w:rFonts w:hint="eastAsia" w:ascii="Times New Roman" w:hAnsi="Times New Roman"/>
          <w:color w:val="auto"/>
          <w:sz w:val="28"/>
          <w:szCs w:val="28"/>
        </w:rPr>
        <w:t>3</w:t>
      </w:r>
      <w:r>
        <w:rPr>
          <w:rFonts w:ascii="Times New Roman" w:hAnsi="Times New Roman"/>
          <w:color w:val="auto"/>
          <w:sz w:val="28"/>
          <w:szCs w:val="28"/>
        </w:rPr>
        <w:t>小时，消防用水量为V=0.0</w:t>
      </w:r>
      <w:r>
        <w:rPr>
          <w:rFonts w:hint="eastAsia" w:ascii="Times New Roman" w:hAnsi="Times New Roman"/>
          <w:color w:val="auto"/>
          <w:sz w:val="28"/>
          <w:szCs w:val="28"/>
          <w:lang w:val="en-US" w:eastAsia="zh-CN"/>
        </w:rPr>
        <w:t>5</w:t>
      </w:r>
      <w:r>
        <w:rPr>
          <w:rFonts w:ascii="Times New Roman" w:hAnsi="Times New Roman"/>
          <w:color w:val="auto"/>
          <w:sz w:val="28"/>
          <w:szCs w:val="28"/>
        </w:rPr>
        <w:t>×3600×</w:t>
      </w:r>
      <w:r>
        <w:rPr>
          <w:rFonts w:hint="eastAsia" w:ascii="Times New Roman" w:hAnsi="Times New Roman"/>
          <w:color w:val="auto"/>
          <w:sz w:val="28"/>
          <w:szCs w:val="28"/>
        </w:rPr>
        <w:t>3</w:t>
      </w:r>
      <w:r>
        <w:rPr>
          <w:rFonts w:ascii="Times New Roman" w:hAnsi="Times New Roman"/>
          <w:color w:val="auto"/>
          <w:sz w:val="28"/>
          <w:szCs w:val="28"/>
        </w:rPr>
        <w:t>=</w:t>
      </w:r>
      <w:r>
        <w:rPr>
          <w:rFonts w:hint="eastAsia" w:ascii="Times New Roman" w:hAnsi="Times New Roman"/>
          <w:color w:val="auto"/>
          <w:sz w:val="28"/>
          <w:szCs w:val="28"/>
          <w:lang w:val="en-US" w:eastAsia="zh-CN"/>
        </w:rPr>
        <w:t>540</w:t>
      </w:r>
      <w:r>
        <w:rPr>
          <w:rFonts w:ascii="Times New Roman" w:hAnsi="Times New Roman"/>
          <w:color w:val="auto"/>
          <w:sz w:val="28"/>
          <w:szCs w:val="28"/>
        </w:rPr>
        <w:t>m</w:t>
      </w:r>
      <w:r>
        <w:rPr>
          <w:rFonts w:ascii="Times New Roman" w:hAnsi="Times New Roman"/>
          <w:color w:val="auto"/>
          <w:sz w:val="28"/>
          <w:szCs w:val="28"/>
          <w:vertAlign w:val="superscript"/>
        </w:rPr>
        <w:t>3</w:t>
      </w:r>
      <w:r>
        <w:rPr>
          <w:rFonts w:ascii="Times New Roman" w:hAnsi="Times New Roman"/>
          <w:color w:val="auto"/>
          <w:sz w:val="28"/>
          <w:szCs w:val="28"/>
        </w:rPr>
        <w:t>。</w:t>
      </w:r>
    </w:p>
    <w:p>
      <w:pPr>
        <w:pStyle w:val="54"/>
        <w:ind w:firstLine="560"/>
        <w:rPr>
          <w:color w:val="auto"/>
        </w:rPr>
      </w:pPr>
      <w:r>
        <w:rPr>
          <w:rFonts w:hint="eastAsia"/>
          <w:color w:val="auto"/>
        </w:rPr>
        <w:t>罐区消防用水量：依据《消防给水及消火栓系统技术规范》3.</w:t>
      </w:r>
      <w:r>
        <w:rPr>
          <w:color w:val="auto"/>
        </w:rPr>
        <w:t>4</w:t>
      </w:r>
      <w:r>
        <w:rPr>
          <w:rFonts w:hint="eastAsia"/>
          <w:color w:val="auto"/>
        </w:rPr>
        <w:t>.2，罐区移动式冷却水流量：</w:t>
      </w:r>
      <w:r>
        <w:rPr>
          <w:rFonts w:hint="eastAsia"/>
          <w:color w:val="auto"/>
          <w:lang w:val="en-US" w:eastAsia="zh-CN"/>
        </w:rPr>
        <w:t>4.3</w:t>
      </w:r>
      <w:r>
        <w:rPr>
          <w:rFonts w:hint="eastAsia"/>
          <w:color w:val="auto"/>
        </w:rPr>
        <w:t>×3</w:t>
      </w:r>
      <w:r>
        <w:rPr>
          <w:color w:val="auto"/>
        </w:rPr>
        <w:t>.14</w:t>
      </w:r>
      <w:r>
        <w:rPr>
          <w:rFonts w:hint="eastAsia"/>
          <w:color w:val="auto"/>
        </w:rPr>
        <w:t>×0</w:t>
      </w:r>
      <w:r>
        <w:rPr>
          <w:color w:val="auto"/>
        </w:rPr>
        <w:t>.8+</w:t>
      </w:r>
      <w:r>
        <w:rPr>
          <w:rFonts w:hint="eastAsia"/>
          <w:color w:val="auto"/>
          <w:lang w:val="en-US" w:eastAsia="zh-CN"/>
        </w:rPr>
        <w:t>3×4.3</w:t>
      </w:r>
      <w:r>
        <w:rPr>
          <w:rFonts w:hint="eastAsia"/>
          <w:color w:val="auto"/>
        </w:rPr>
        <w:t>×3</w:t>
      </w:r>
      <w:r>
        <w:rPr>
          <w:color w:val="auto"/>
        </w:rPr>
        <w:t>.14</w:t>
      </w:r>
      <w:r>
        <w:rPr>
          <w:rFonts w:hint="eastAsia"/>
          <w:color w:val="auto"/>
        </w:rPr>
        <w:t>×0</w:t>
      </w:r>
      <w:r>
        <w:rPr>
          <w:color w:val="auto"/>
        </w:rPr>
        <w:t>.</w:t>
      </w:r>
      <w:r>
        <w:rPr>
          <w:rFonts w:hint="eastAsia"/>
          <w:color w:val="auto"/>
          <w:lang w:val="en-US" w:eastAsia="zh-CN"/>
        </w:rPr>
        <w:t>8</w:t>
      </w:r>
      <w:r>
        <w:rPr>
          <w:rFonts w:hint="eastAsia"/>
          <w:color w:val="auto"/>
        </w:rPr>
        <w:t>÷</w:t>
      </w:r>
      <w:r>
        <w:rPr>
          <w:color w:val="auto"/>
        </w:rPr>
        <w:t>2</w:t>
      </w:r>
      <w:r>
        <w:rPr>
          <w:rFonts w:hint="eastAsia"/>
          <w:color w:val="auto"/>
        </w:rPr>
        <w:t>≈</w:t>
      </w:r>
      <w:r>
        <w:rPr>
          <w:rFonts w:hint="eastAsia"/>
          <w:color w:val="auto"/>
          <w:lang w:val="en-US" w:eastAsia="zh-CN"/>
        </w:rPr>
        <w:t>2</w:t>
      </w:r>
      <w:r>
        <w:rPr>
          <w:color w:val="auto"/>
        </w:rPr>
        <w:t>7</w:t>
      </w:r>
      <w:r>
        <w:rPr>
          <w:rFonts w:hint="eastAsia"/>
          <w:color w:val="auto"/>
        </w:rPr>
        <w:t>L/s＞1</w:t>
      </w:r>
      <w:r>
        <w:rPr>
          <w:color w:val="auto"/>
        </w:rPr>
        <w:t>5</w:t>
      </w:r>
      <w:r>
        <w:rPr>
          <w:rFonts w:hint="eastAsia"/>
          <w:color w:val="auto"/>
        </w:rPr>
        <w:t>L/s，罐区火灾延续时间按</w:t>
      </w:r>
      <w:r>
        <w:rPr>
          <w:color w:val="auto"/>
        </w:rPr>
        <w:t>4</w:t>
      </w:r>
      <w:r>
        <w:rPr>
          <w:rFonts w:hint="eastAsia"/>
          <w:color w:val="auto"/>
        </w:rPr>
        <w:t>小时计算；依据《泡沫灭火系统技术标准》</w:t>
      </w:r>
      <w:r>
        <w:rPr>
          <w:color w:val="auto"/>
        </w:rPr>
        <w:t>GB50151-2021</w:t>
      </w:r>
      <w:r>
        <w:rPr>
          <w:rFonts w:hint="eastAsia"/>
          <w:color w:val="auto"/>
        </w:rPr>
        <w:t>，消防水量为：</w:t>
      </w:r>
      <w:r>
        <w:rPr>
          <w:rFonts w:hint="eastAsia"/>
          <w:color w:val="auto"/>
          <w:lang w:val="en-US" w:eastAsia="zh-CN"/>
        </w:rPr>
        <w:t>27</w:t>
      </w:r>
      <w:r>
        <w:rPr>
          <w:rFonts w:hint="eastAsia"/>
          <w:color w:val="auto"/>
        </w:rPr>
        <w:t>×3</w:t>
      </w:r>
      <w:r>
        <w:rPr>
          <w:color w:val="auto"/>
        </w:rPr>
        <w:t>.6</w:t>
      </w:r>
      <w:r>
        <w:rPr>
          <w:rFonts w:hint="eastAsia"/>
          <w:color w:val="auto"/>
        </w:rPr>
        <w:t>×4</w:t>
      </w:r>
      <w:r>
        <w:rPr>
          <w:color w:val="auto"/>
        </w:rPr>
        <w:t>+</w:t>
      </w:r>
      <w:r>
        <w:rPr>
          <w:rFonts w:hint="eastAsia"/>
          <w:color w:val="auto"/>
          <w:lang w:val="en-US" w:eastAsia="zh-CN"/>
        </w:rPr>
        <w:t>4.8</w:t>
      </w:r>
      <w:r>
        <w:rPr>
          <w:rFonts w:hint="eastAsia"/>
          <w:color w:val="auto"/>
        </w:rPr>
        <w:t>×</w:t>
      </w:r>
      <w:r>
        <w:rPr>
          <w:rFonts w:hint="eastAsia"/>
          <w:color w:val="auto"/>
          <w:lang w:val="en-US" w:eastAsia="zh-CN"/>
        </w:rPr>
        <w:t>447.27</w:t>
      </w:r>
      <w:r>
        <w:rPr>
          <w:rFonts w:hint="eastAsia"/>
          <w:color w:val="auto"/>
        </w:rPr>
        <w:t>×</w:t>
      </w:r>
      <w:r>
        <w:rPr>
          <w:color w:val="auto"/>
        </w:rPr>
        <w:t>30</w:t>
      </w:r>
      <w:r>
        <w:rPr>
          <w:rFonts w:hint="eastAsia"/>
          <w:color w:val="auto"/>
        </w:rPr>
        <w:t>÷1</w:t>
      </w:r>
      <w:r>
        <w:rPr>
          <w:color w:val="auto"/>
        </w:rPr>
        <w:t>000</w:t>
      </w:r>
      <w:r>
        <w:rPr>
          <w:rFonts w:hint="eastAsia"/>
          <w:color w:val="auto"/>
        </w:rPr>
        <w:t>≈</w:t>
      </w:r>
      <w:r>
        <w:rPr>
          <w:rFonts w:hint="eastAsia"/>
          <w:color w:val="auto"/>
          <w:highlight w:val="none"/>
          <w:lang w:val="en-US" w:eastAsia="zh-CN"/>
        </w:rPr>
        <w:t>453.2</w:t>
      </w:r>
      <w:r>
        <w:rPr>
          <w:rFonts w:hint="eastAsia"/>
          <w:color w:val="auto"/>
          <w:highlight w:val="none"/>
        </w:rPr>
        <w:t>m</w:t>
      </w:r>
      <w:r>
        <w:rPr>
          <w:color w:val="auto"/>
          <w:highlight w:val="none"/>
          <w:vertAlign w:val="superscript"/>
        </w:rPr>
        <w:t>3</w:t>
      </w:r>
      <w:r>
        <w:rPr>
          <w:rFonts w:hint="eastAsia"/>
          <w:color w:val="auto"/>
          <w:highlight w:val="none"/>
        </w:rPr>
        <w:t>。</w:t>
      </w:r>
    </w:p>
    <w:p>
      <w:pPr>
        <w:pStyle w:val="53"/>
        <w:rPr>
          <w:color w:val="auto"/>
        </w:rPr>
      </w:pPr>
      <w:r>
        <w:rPr>
          <w:rFonts w:hint="eastAsia"/>
          <w:color w:val="auto"/>
        </w:rPr>
        <w:t>表2</w:t>
      </w:r>
      <w:r>
        <w:rPr>
          <w:color w:val="auto"/>
        </w:rPr>
        <w:t xml:space="preserve">.7-1 </w:t>
      </w:r>
      <w:r>
        <w:rPr>
          <w:rFonts w:hint="eastAsia"/>
          <w:color w:val="auto"/>
        </w:rPr>
        <w:t xml:space="preserve"> 各建构筑物消防水量一览表</w:t>
      </w:r>
    </w:p>
    <w:tbl>
      <w:tblPr>
        <w:tblStyle w:val="42"/>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5"/>
        <w:gridCol w:w="1529"/>
        <w:gridCol w:w="939"/>
        <w:gridCol w:w="716"/>
        <w:gridCol w:w="1608"/>
        <w:gridCol w:w="1110"/>
        <w:gridCol w:w="915"/>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vMerge w:val="restart"/>
            <w:shd w:val="clear" w:color="auto" w:fill="auto"/>
            <w:vAlign w:val="center"/>
          </w:tcPr>
          <w:p>
            <w:pPr>
              <w:pStyle w:val="344"/>
              <w:jc w:val="center"/>
              <w:rPr>
                <w:b/>
                <w:color w:val="auto"/>
                <w:sz w:val="21"/>
                <w:szCs w:val="21"/>
              </w:rPr>
            </w:pPr>
            <w:r>
              <w:rPr>
                <w:rFonts w:hint="eastAsia"/>
                <w:b/>
                <w:color w:val="auto"/>
                <w:sz w:val="21"/>
                <w:szCs w:val="21"/>
              </w:rPr>
              <w:t>建构筑物名称</w:t>
            </w:r>
          </w:p>
        </w:tc>
        <w:tc>
          <w:tcPr>
            <w:tcW w:w="1529" w:type="dxa"/>
            <w:vMerge w:val="restart"/>
            <w:shd w:val="clear" w:color="auto" w:fill="auto"/>
            <w:vAlign w:val="center"/>
          </w:tcPr>
          <w:p>
            <w:pPr>
              <w:pStyle w:val="344"/>
              <w:jc w:val="center"/>
              <w:rPr>
                <w:b/>
                <w:color w:val="auto"/>
                <w:sz w:val="21"/>
                <w:szCs w:val="21"/>
              </w:rPr>
            </w:pPr>
            <w:r>
              <w:rPr>
                <w:rFonts w:hint="eastAsia"/>
                <w:b/>
                <w:color w:val="auto"/>
                <w:sz w:val="21"/>
                <w:szCs w:val="21"/>
              </w:rPr>
              <w:t>室外消火栓/移动式冷却水</w:t>
            </w:r>
          </w:p>
        </w:tc>
        <w:tc>
          <w:tcPr>
            <w:tcW w:w="939" w:type="dxa"/>
            <w:vMerge w:val="restart"/>
            <w:shd w:val="clear" w:color="auto" w:fill="auto"/>
            <w:vAlign w:val="center"/>
          </w:tcPr>
          <w:p>
            <w:pPr>
              <w:pStyle w:val="344"/>
              <w:jc w:val="center"/>
              <w:rPr>
                <w:b/>
                <w:color w:val="auto"/>
                <w:sz w:val="21"/>
                <w:szCs w:val="21"/>
              </w:rPr>
            </w:pPr>
            <w:r>
              <w:rPr>
                <w:rFonts w:hint="eastAsia"/>
                <w:b/>
                <w:color w:val="auto"/>
                <w:sz w:val="21"/>
                <w:szCs w:val="21"/>
              </w:rPr>
              <w:t>室内消火栓</w:t>
            </w:r>
          </w:p>
        </w:tc>
        <w:tc>
          <w:tcPr>
            <w:tcW w:w="716" w:type="dxa"/>
            <w:vMerge w:val="restart"/>
            <w:shd w:val="clear" w:color="auto" w:fill="auto"/>
            <w:vAlign w:val="center"/>
          </w:tcPr>
          <w:p>
            <w:pPr>
              <w:pStyle w:val="344"/>
              <w:jc w:val="center"/>
              <w:rPr>
                <w:b/>
                <w:color w:val="auto"/>
                <w:sz w:val="21"/>
                <w:szCs w:val="21"/>
              </w:rPr>
            </w:pPr>
            <w:r>
              <w:rPr>
                <w:rFonts w:hint="eastAsia"/>
                <w:b/>
                <w:color w:val="auto"/>
                <w:sz w:val="21"/>
                <w:szCs w:val="21"/>
              </w:rPr>
              <w:t>火灾延续时间</w:t>
            </w:r>
          </w:p>
        </w:tc>
        <w:tc>
          <w:tcPr>
            <w:tcW w:w="3633" w:type="dxa"/>
            <w:gridSpan w:val="3"/>
            <w:shd w:val="clear" w:color="auto" w:fill="auto"/>
            <w:vAlign w:val="center"/>
          </w:tcPr>
          <w:p>
            <w:pPr>
              <w:pStyle w:val="344"/>
              <w:jc w:val="center"/>
              <w:rPr>
                <w:b/>
                <w:color w:val="auto"/>
                <w:sz w:val="21"/>
                <w:szCs w:val="21"/>
              </w:rPr>
            </w:pPr>
            <w:r>
              <w:rPr>
                <w:rFonts w:hint="eastAsia"/>
                <w:b/>
                <w:color w:val="auto"/>
                <w:sz w:val="21"/>
                <w:szCs w:val="21"/>
              </w:rPr>
              <w:t>泡沫灭火系统</w:t>
            </w:r>
          </w:p>
        </w:tc>
        <w:tc>
          <w:tcPr>
            <w:tcW w:w="922" w:type="dxa"/>
            <w:vMerge w:val="restart"/>
            <w:shd w:val="clear" w:color="auto" w:fill="auto"/>
            <w:vAlign w:val="center"/>
          </w:tcPr>
          <w:p>
            <w:pPr>
              <w:pStyle w:val="344"/>
              <w:jc w:val="center"/>
              <w:rPr>
                <w:b/>
                <w:color w:val="auto"/>
                <w:sz w:val="21"/>
                <w:szCs w:val="21"/>
              </w:rPr>
            </w:pPr>
            <w:r>
              <w:rPr>
                <w:rFonts w:hint="eastAsia"/>
                <w:b/>
                <w:color w:val="auto"/>
                <w:sz w:val="21"/>
                <w:szCs w:val="21"/>
              </w:rPr>
              <w:t>消防水量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vMerge w:val="continue"/>
            <w:shd w:val="clear" w:color="auto" w:fill="auto"/>
            <w:vAlign w:val="center"/>
          </w:tcPr>
          <w:p>
            <w:pPr>
              <w:pStyle w:val="344"/>
              <w:jc w:val="center"/>
              <w:rPr>
                <w:b/>
                <w:color w:val="auto"/>
                <w:sz w:val="21"/>
                <w:szCs w:val="21"/>
              </w:rPr>
            </w:pPr>
          </w:p>
        </w:tc>
        <w:tc>
          <w:tcPr>
            <w:tcW w:w="1529" w:type="dxa"/>
            <w:vMerge w:val="continue"/>
            <w:shd w:val="clear" w:color="auto" w:fill="auto"/>
            <w:vAlign w:val="center"/>
          </w:tcPr>
          <w:p>
            <w:pPr>
              <w:pStyle w:val="344"/>
              <w:jc w:val="center"/>
              <w:rPr>
                <w:b/>
                <w:color w:val="auto"/>
                <w:sz w:val="21"/>
                <w:szCs w:val="21"/>
              </w:rPr>
            </w:pPr>
          </w:p>
        </w:tc>
        <w:tc>
          <w:tcPr>
            <w:tcW w:w="939" w:type="dxa"/>
            <w:vMerge w:val="continue"/>
            <w:shd w:val="clear" w:color="auto" w:fill="auto"/>
            <w:vAlign w:val="center"/>
          </w:tcPr>
          <w:p>
            <w:pPr>
              <w:pStyle w:val="344"/>
              <w:jc w:val="center"/>
              <w:rPr>
                <w:b/>
                <w:color w:val="auto"/>
                <w:sz w:val="21"/>
                <w:szCs w:val="21"/>
              </w:rPr>
            </w:pPr>
          </w:p>
        </w:tc>
        <w:tc>
          <w:tcPr>
            <w:tcW w:w="716" w:type="dxa"/>
            <w:vMerge w:val="continue"/>
            <w:shd w:val="clear" w:color="auto" w:fill="auto"/>
            <w:vAlign w:val="center"/>
          </w:tcPr>
          <w:p>
            <w:pPr>
              <w:pStyle w:val="344"/>
              <w:jc w:val="center"/>
              <w:rPr>
                <w:b/>
                <w:color w:val="auto"/>
                <w:sz w:val="21"/>
                <w:szCs w:val="21"/>
              </w:rPr>
            </w:pPr>
          </w:p>
        </w:tc>
        <w:tc>
          <w:tcPr>
            <w:tcW w:w="1608" w:type="dxa"/>
            <w:shd w:val="clear" w:color="auto" w:fill="auto"/>
            <w:vAlign w:val="center"/>
          </w:tcPr>
          <w:p>
            <w:pPr>
              <w:pStyle w:val="344"/>
              <w:jc w:val="center"/>
              <w:rPr>
                <w:b/>
                <w:color w:val="auto"/>
                <w:sz w:val="21"/>
                <w:szCs w:val="21"/>
              </w:rPr>
            </w:pPr>
            <w:r>
              <w:rPr>
                <w:rFonts w:hint="eastAsia"/>
                <w:b/>
                <w:color w:val="auto"/>
                <w:sz w:val="21"/>
                <w:szCs w:val="21"/>
              </w:rPr>
              <w:t>喷水强度</w:t>
            </w:r>
          </w:p>
        </w:tc>
        <w:tc>
          <w:tcPr>
            <w:tcW w:w="1110" w:type="dxa"/>
            <w:shd w:val="clear" w:color="auto" w:fill="auto"/>
            <w:vAlign w:val="center"/>
          </w:tcPr>
          <w:p>
            <w:pPr>
              <w:pStyle w:val="344"/>
              <w:jc w:val="center"/>
              <w:rPr>
                <w:rFonts w:hint="default"/>
                <w:b/>
                <w:color w:val="auto"/>
                <w:sz w:val="21"/>
                <w:szCs w:val="21"/>
              </w:rPr>
            </w:pPr>
            <w:r>
              <w:rPr>
                <w:rFonts w:hint="eastAsia"/>
                <w:b/>
                <w:color w:val="auto"/>
                <w:sz w:val="21"/>
                <w:szCs w:val="21"/>
                <w:lang w:val="en-US" w:eastAsia="zh-CN"/>
              </w:rPr>
              <w:t>保护范围</w:t>
            </w:r>
          </w:p>
        </w:tc>
        <w:tc>
          <w:tcPr>
            <w:tcW w:w="915" w:type="dxa"/>
            <w:shd w:val="clear" w:color="auto" w:fill="auto"/>
            <w:vAlign w:val="center"/>
          </w:tcPr>
          <w:p>
            <w:pPr>
              <w:pStyle w:val="344"/>
              <w:jc w:val="center"/>
              <w:rPr>
                <w:b/>
                <w:color w:val="auto"/>
                <w:sz w:val="21"/>
                <w:szCs w:val="21"/>
              </w:rPr>
            </w:pPr>
            <w:r>
              <w:rPr>
                <w:rFonts w:hint="eastAsia"/>
                <w:b/>
                <w:color w:val="auto"/>
                <w:sz w:val="21"/>
                <w:szCs w:val="21"/>
              </w:rPr>
              <w:t>火灾延续时间</w:t>
            </w:r>
          </w:p>
        </w:tc>
        <w:tc>
          <w:tcPr>
            <w:tcW w:w="922" w:type="dxa"/>
            <w:vMerge w:val="continue"/>
            <w:shd w:val="clear" w:color="auto" w:fill="auto"/>
            <w:vAlign w:val="center"/>
          </w:tcPr>
          <w:p>
            <w:pPr>
              <w:pStyle w:val="344"/>
              <w:jc w:val="center"/>
              <w:rPr>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color w:val="auto"/>
                <w:sz w:val="21"/>
                <w:szCs w:val="21"/>
              </w:rPr>
            </w:pPr>
            <w:r>
              <w:rPr>
                <w:rFonts w:hint="eastAsia"/>
                <w:color w:val="auto"/>
                <w:sz w:val="21"/>
                <w:szCs w:val="21"/>
              </w:rPr>
              <w:t>101</w:t>
            </w:r>
            <w:r>
              <w:rPr>
                <w:rFonts w:hint="eastAsia"/>
                <w:color w:val="auto"/>
                <w:sz w:val="21"/>
                <w:szCs w:val="21"/>
                <w:lang w:val="en-US" w:eastAsia="zh-CN"/>
              </w:rPr>
              <w:t>裂解</w:t>
            </w:r>
            <w:r>
              <w:rPr>
                <w:rFonts w:hint="eastAsia"/>
                <w:color w:val="auto"/>
                <w:sz w:val="21"/>
                <w:szCs w:val="21"/>
              </w:rPr>
              <w:t>车间</w:t>
            </w:r>
          </w:p>
        </w:tc>
        <w:tc>
          <w:tcPr>
            <w:tcW w:w="1529" w:type="dxa"/>
            <w:shd w:val="clear" w:color="auto" w:fill="auto"/>
            <w:vAlign w:val="center"/>
          </w:tcPr>
          <w:p>
            <w:pPr>
              <w:pStyle w:val="344"/>
              <w:jc w:val="center"/>
              <w:rPr>
                <w:color w:val="auto"/>
                <w:sz w:val="21"/>
                <w:szCs w:val="21"/>
              </w:rPr>
            </w:pPr>
            <w:r>
              <w:rPr>
                <w:rFonts w:hint="eastAsia"/>
                <w:color w:val="auto"/>
                <w:sz w:val="21"/>
                <w:szCs w:val="21"/>
                <w:lang w:val="en-US" w:eastAsia="zh-CN"/>
              </w:rPr>
              <w:t>25</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color w:val="auto"/>
                <w:sz w:val="21"/>
                <w:szCs w:val="21"/>
              </w:rPr>
            </w:pPr>
            <w:r>
              <w:rPr>
                <w:rFonts w:hint="eastAsia"/>
                <w:color w:val="auto"/>
                <w:sz w:val="21"/>
                <w:szCs w:val="21"/>
                <w:lang w:val="en-US" w:eastAsia="zh-CN"/>
              </w:rPr>
              <w:t>1</w:t>
            </w:r>
            <w:r>
              <w:rPr>
                <w:color w:val="auto"/>
                <w:sz w:val="21"/>
                <w:szCs w:val="21"/>
              </w:rPr>
              <w:t>0L/</w:t>
            </w:r>
            <w:r>
              <w:rPr>
                <w:rFonts w:hint="eastAsia"/>
                <w:color w:val="auto"/>
                <w:sz w:val="21"/>
                <w:szCs w:val="21"/>
              </w:rPr>
              <w:t>s</w:t>
            </w:r>
          </w:p>
        </w:tc>
        <w:tc>
          <w:tcPr>
            <w:tcW w:w="716" w:type="dxa"/>
            <w:shd w:val="clear" w:color="auto" w:fill="auto"/>
            <w:vAlign w:val="center"/>
          </w:tcPr>
          <w:p>
            <w:pPr>
              <w:pStyle w:val="344"/>
              <w:jc w:val="center"/>
              <w:rPr>
                <w:color w:val="auto"/>
                <w:sz w:val="21"/>
                <w:szCs w:val="21"/>
              </w:rPr>
            </w:pPr>
            <w:r>
              <w:rPr>
                <w:color w:val="auto"/>
                <w:sz w:val="21"/>
                <w:szCs w:val="21"/>
              </w:rPr>
              <w:t>3</w:t>
            </w:r>
            <w:r>
              <w:rPr>
                <w:rFonts w:hint="eastAsia"/>
                <w:color w:val="auto"/>
                <w:sz w:val="21"/>
                <w:szCs w:val="21"/>
              </w:rPr>
              <w:t>h</w:t>
            </w:r>
          </w:p>
        </w:tc>
        <w:tc>
          <w:tcPr>
            <w:tcW w:w="1608" w:type="dxa"/>
            <w:shd w:val="clear" w:color="auto" w:fill="auto"/>
            <w:vAlign w:val="center"/>
          </w:tcPr>
          <w:p>
            <w:pPr>
              <w:pStyle w:val="344"/>
              <w:jc w:val="center"/>
              <w:rPr>
                <w:color w:val="auto"/>
                <w:sz w:val="21"/>
                <w:szCs w:val="21"/>
              </w:rPr>
            </w:pPr>
            <w:r>
              <w:rPr>
                <w:rFonts w:hint="eastAsia"/>
                <w:color w:val="auto"/>
                <w:sz w:val="21"/>
                <w:szCs w:val="21"/>
              </w:rPr>
              <w:t>/</w:t>
            </w:r>
          </w:p>
        </w:tc>
        <w:tc>
          <w:tcPr>
            <w:tcW w:w="1110" w:type="dxa"/>
            <w:shd w:val="clear" w:color="auto" w:fill="auto"/>
            <w:vAlign w:val="center"/>
          </w:tcPr>
          <w:p>
            <w:pPr>
              <w:pStyle w:val="344"/>
              <w:jc w:val="center"/>
              <w:rPr>
                <w:color w:val="auto"/>
                <w:sz w:val="21"/>
                <w:szCs w:val="21"/>
              </w:rPr>
            </w:pPr>
            <w:r>
              <w:rPr>
                <w:rFonts w:hint="eastAsia"/>
                <w:color w:val="auto"/>
                <w:sz w:val="21"/>
                <w:szCs w:val="21"/>
              </w:rPr>
              <w:t>/</w:t>
            </w:r>
          </w:p>
        </w:tc>
        <w:tc>
          <w:tcPr>
            <w:tcW w:w="915" w:type="dxa"/>
            <w:shd w:val="clear" w:color="auto" w:fill="auto"/>
            <w:vAlign w:val="center"/>
          </w:tcPr>
          <w:p>
            <w:pPr>
              <w:pStyle w:val="344"/>
              <w:jc w:val="center"/>
              <w:rPr>
                <w:color w:val="auto"/>
                <w:sz w:val="21"/>
                <w:szCs w:val="21"/>
              </w:rPr>
            </w:pPr>
            <w:r>
              <w:rPr>
                <w:rFonts w:hint="eastAsia"/>
                <w:color w:val="auto"/>
                <w:sz w:val="21"/>
                <w:szCs w:val="21"/>
              </w:rPr>
              <w:t>/</w:t>
            </w:r>
          </w:p>
        </w:tc>
        <w:tc>
          <w:tcPr>
            <w:tcW w:w="922" w:type="dxa"/>
            <w:shd w:val="clear" w:color="auto" w:fill="auto"/>
            <w:vAlign w:val="center"/>
          </w:tcPr>
          <w:p>
            <w:pPr>
              <w:pStyle w:val="344"/>
              <w:jc w:val="center"/>
              <w:rPr>
                <w:rFonts w:hint="default"/>
                <w:color w:val="auto"/>
                <w:sz w:val="21"/>
                <w:szCs w:val="21"/>
              </w:rPr>
            </w:pPr>
            <w:r>
              <w:rPr>
                <w:rFonts w:hint="eastAsia"/>
                <w:color w:val="auto"/>
                <w:sz w:val="21"/>
                <w:szCs w:val="21"/>
                <w:lang w:val="en-US"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color w:val="auto"/>
                <w:sz w:val="21"/>
                <w:szCs w:val="21"/>
              </w:rPr>
            </w:pPr>
            <w:r>
              <w:rPr>
                <w:rFonts w:hint="eastAsia"/>
                <w:color w:val="auto"/>
                <w:sz w:val="21"/>
                <w:szCs w:val="21"/>
                <w:lang w:eastAsia="zh-CN"/>
              </w:rPr>
              <w:t>1</w:t>
            </w:r>
            <w:r>
              <w:rPr>
                <w:rFonts w:hint="eastAsia"/>
                <w:color w:val="auto"/>
                <w:sz w:val="21"/>
                <w:szCs w:val="21"/>
                <w:lang w:val="en-US" w:eastAsia="zh-CN"/>
              </w:rPr>
              <w:t>02精馏车间</w:t>
            </w:r>
          </w:p>
        </w:tc>
        <w:tc>
          <w:tcPr>
            <w:tcW w:w="1529" w:type="dxa"/>
            <w:shd w:val="clear" w:color="auto" w:fill="auto"/>
            <w:vAlign w:val="center"/>
          </w:tcPr>
          <w:p>
            <w:pPr>
              <w:pStyle w:val="344"/>
              <w:jc w:val="center"/>
              <w:rPr>
                <w:color w:val="auto"/>
                <w:sz w:val="21"/>
                <w:szCs w:val="21"/>
              </w:rPr>
            </w:pPr>
            <w:r>
              <w:rPr>
                <w:rFonts w:hint="eastAsia"/>
                <w:color w:val="auto"/>
                <w:sz w:val="21"/>
                <w:szCs w:val="21"/>
                <w:lang w:val="en-US" w:eastAsia="zh-CN"/>
              </w:rPr>
              <w:t>20</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color w:val="auto"/>
                <w:sz w:val="21"/>
                <w:szCs w:val="21"/>
              </w:rPr>
            </w:pPr>
            <w:r>
              <w:rPr>
                <w:color w:val="auto"/>
                <w:sz w:val="21"/>
                <w:szCs w:val="21"/>
              </w:rPr>
              <w:t>10L/</w:t>
            </w:r>
            <w:r>
              <w:rPr>
                <w:rFonts w:hint="eastAsia"/>
                <w:color w:val="auto"/>
                <w:sz w:val="21"/>
                <w:szCs w:val="21"/>
              </w:rPr>
              <w:t>s</w:t>
            </w:r>
          </w:p>
        </w:tc>
        <w:tc>
          <w:tcPr>
            <w:tcW w:w="716" w:type="dxa"/>
            <w:shd w:val="clear" w:color="auto" w:fill="auto"/>
            <w:vAlign w:val="center"/>
          </w:tcPr>
          <w:p>
            <w:pPr>
              <w:pStyle w:val="344"/>
              <w:jc w:val="center"/>
              <w:rPr>
                <w:color w:val="auto"/>
                <w:sz w:val="21"/>
                <w:szCs w:val="21"/>
              </w:rPr>
            </w:pPr>
            <w:r>
              <w:rPr>
                <w:rFonts w:hint="eastAsia"/>
                <w:color w:val="auto"/>
                <w:sz w:val="21"/>
                <w:szCs w:val="21"/>
                <w:lang w:eastAsia="zh-CN"/>
              </w:rPr>
              <w:t>3</w:t>
            </w:r>
            <w:r>
              <w:rPr>
                <w:rFonts w:hint="eastAsia"/>
                <w:color w:val="auto"/>
                <w:sz w:val="21"/>
                <w:szCs w:val="21"/>
              </w:rPr>
              <w:t>h</w:t>
            </w:r>
          </w:p>
        </w:tc>
        <w:tc>
          <w:tcPr>
            <w:tcW w:w="1608" w:type="dxa"/>
            <w:shd w:val="clear" w:color="auto" w:fill="auto"/>
            <w:vAlign w:val="center"/>
          </w:tcPr>
          <w:p>
            <w:pPr>
              <w:pStyle w:val="344"/>
              <w:jc w:val="center"/>
              <w:rPr>
                <w:color w:val="auto"/>
                <w:sz w:val="21"/>
                <w:szCs w:val="21"/>
              </w:rPr>
            </w:pPr>
            <w:r>
              <w:rPr>
                <w:rFonts w:hint="eastAsia"/>
                <w:color w:val="auto"/>
                <w:sz w:val="21"/>
                <w:szCs w:val="21"/>
              </w:rPr>
              <w:t>/</w:t>
            </w:r>
          </w:p>
        </w:tc>
        <w:tc>
          <w:tcPr>
            <w:tcW w:w="1110" w:type="dxa"/>
            <w:shd w:val="clear" w:color="auto" w:fill="auto"/>
            <w:vAlign w:val="center"/>
          </w:tcPr>
          <w:p>
            <w:pPr>
              <w:pStyle w:val="344"/>
              <w:jc w:val="center"/>
              <w:rPr>
                <w:color w:val="auto"/>
                <w:sz w:val="21"/>
                <w:szCs w:val="21"/>
              </w:rPr>
            </w:pPr>
            <w:r>
              <w:rPr>
                <w:rFonts w:hint="eastAsia"/>
                <w:color w:val="auto"/>
                <w:sz w:val="21"/>
                <w:szCs w:val="21"/>
              </w:rPr>
              <w:t>/</w:t>
            </w:r>
          </w:p>
        </w:tc>
        <w:tc>
          <w:tcPr>
            <w:tcW w:w="915" w:type="dxa"/>
            <w:shd w:val="clear" w:color="auto" w:fill="auto"/>
            <w:vAlign w:val="center"/>
          </w:tcPr>
          <w:p>
            <w:pPr>
              <w:pStyle w:val="344"/>
              <w:jc w:val="center"/>
              <w:rPr>
                <w:color w:val="auto"/>
                <w:sz w:val="21"/>
                <w:szCs w:val="21"/>
              </w:rPr>
            </w:pPr>
            <w:r>
              <w:rPr>
                <w:rFonts w:hint="eastAsia"/>
                <w:color w:val="auto"/>
                <w:sz w:val="21"/>
                <w:szCs w:val="21"/>
              </w:rPr>
              <w:t>/</w:t>
            </w:r>
          </w:p>
        </w:tc>
        <w:tc>
          <w:tcPr>
            <w:tcW w:w="922" w:type="dxa"/>
            <w:shd w:val="clear" w:color="auto" w:fill="auto"/>
            <w:vAlign w:val="center"/>
          </w:tcPr>
          <w:p>
            <w:pPr>
              <w:pStyle w:val="344"/>
              <w:jc w:val="center"/>
              <w:rPr>
                <w:rFonts w:hint="default"/>
                <w:color w:val="auto"/>
                <w:sz w:val="21"/>
                <w:szCs w:val="21"/>
              </w:rPr>
            </w:pPr>
            <w:r>
              <w:rPr>
                <w:rFonts w:hint="eastAsia"/>
                <w:color w:val="auto"/>
                <w:sz w:val="21"/>
                <w:szCs w:val="21"/>
                <w:lang w:val="en-US" w:eastAsia="zh-CN"/>
              </w:rPr>
              <w:t>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rFonts w:hint="eastAsia"/>
                <w:color w:val="auto"/>
                <w:sz w:val="21"/>
                <w:szCs w:val="21"/>
              </w:rPr>
            </w:pPr>
            <w:r>
              <w:rPr>
                <w:rFonts w:hint="eastAsia"/>
                <w:color w:val="auto"/>
                <w:sz w:val="21"/>
                <w:szCs w:val="21"/>
              </w:rPr>
              <w:t>2</w:t>
            </w:r>
            <w:r>
              <w:rPr>
                <w:color w:val="auto"/>
                <w:sz w:val="21"/>
                <w:szCs w:val="21"/>
              </w:rPr>
              <w:t>0</w:t>
            </w:r>
            <w:r>
              <w:rPr>
                <w:rFonts w:hint="eastAsia"/>
                <w:color w:val="auto"/>
                <w:sz w:val="21"/>
                <w:szCs w:val="21"/>
                <w:lang w:eastAsia="zh-CN"/>
              </w:rPr>
              <w:t>1</w:t>
            </w:r>
            <w:r>
              <w:rPr>
                <w:rFonts w:hint="eastAsia"/>
                <w:color w:val="auto"/>
                <w:sz w:val="21"/>
                <w:szCs w:val="21"/>
              </w:rPr>
              <w:t>甲类</w:t>
            </w:r>
            <w:r>
              <w:rPr>
                <w:rFonts w:hint="eastAsia"/>
                <w:color w:val="auto"/>
                <w:sz w:val="21"/>
                <w:szCs w:val="21"/>
                <w:lang w:val="en-US" w:eastAsia="zh-CN"/>
              </w:rPr>
              <w:t>仓库</w:t>
            </w:r>
          </w:p>
        </w:tc>
        <w:tc>
          <w:tcPr>
            <w:tcW w:w="1529" w:type="dxa"/>
            <w:shd w:val="clear" w:color="auto" w:fill="auto"/>
            <w:vAlign w:val="center"/>
          </w:tcPr>
          <w:p>
            <w:pPr>
              <w:pStyle w:val="344"/>
              <w:jc w:val="center"/>
              <w:rPr>
                <w:color w:val="auto"/>
                <w:sz w:val="21"/>
                <w:szCs w:val="21"/>
              </w:rPr>
            </w:pPr>
            <w:r>
              <w:rPr>
                <w:rFonts w:hint="eastAsia"/>
                <w:color w:val="auto"/>
                <w:sz w:val="21"/>
                <w:szCs w:val="21"/>
                <w:lang w:eastAsia="zh-CN"/>
              </w:rPr>
              <w:t>1</w:t>
            </w:r>
            <w:r>
              <w:rPr>
                <w:rFonts w:hint="eastAsia"/>
                <w:color w:val="auto"/>
                <w:sz w:val="21"/>
                <w:szCs w:val="21"/>
                <w:lang w:val="en-US" w:eastAsia="zh-CN"/>
              </w:rPr>
              <w:t>5</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color w:val="auto"/>
                <w:sz w:val="21"/>
                <w:szCs w:val="21"/>
              </w:rPr>
            </w:pPr>
            <w:r>
              <w:rPr>
                <w:color w:val="auto"/>
                <w:sz w:val="21"/>
                <w:szCs w:val="21"/>
              </w:rPr>
              <w:t>10L/</w:t>
            </w:r>
            <w:r>
              <w:rPr>
                <w:rFonts w:hint="eastAsia"/>
                <w:color w:val="auto"/>
                <w:sz w:val="21"/>
                <w:szCs w:val="21"/>
              </w:rPr>
              <w:t>s</w:t>
            </w:r>
          </w:p>
        </w:tc>
        <w:tc>
          <w:tcPr>
            <w:tcW w:w="716" w:type="dxa"/>
            <w:shd w:val="clear" w:color="auto" w:fill="auto"/>
            <w:vAlign w:val="center"/>
          </w:tcPr>
          <w:p>
            <w:pPr>
              <w:pStyle w:val="344"/>
              <w:jc w:val="center"/>
              <w:rPr>
                <w:color w:val="auto"/>
                <w:sz w:val="21"/>
                <w:szCs w:val="21"/>
              </w:rPr>
            </w:pPr>
            <w:r>
              <w:rPr>
                <w:rFonts w:hint="eastAsia"/>
                <w:color w:val="auto"/>
                <w:sz w:val="21"/>
                <w:szCs w:val="21"/>
                <w:lang w:eastAsia="zh-CN"/>
              </w:rPr>
              <w:t>3</w:t>
            </w:r>
            <w:r>
              <w:rPr>
                <w:rFonts w:hint="eastAsia"/>
                <w:color w:val="auto"/>
                <w:sz w:val="21"/>
                <w:szCs w:val="21"/>
              </w:rPr>
              <w:t>h</w:t>
            </w:r>
          </w:p>
        </w:tc>
        <w:tc>
          <w:tcPr>
            <w:tcW w:w="1608" w:type="dxa"/>
            <w:shd w:val="clear" w:color="auto" w:fill="auto"/>
            <w:vAlign w:val="center"/>
          </w:tcPr>
          <w:p>
            <w:pPr>
              <w:pStyle w:val="344"/>
              <w:jc w:val="center"/>
              <w:rPr>
                <w:color w:val="auto"/>
                <w:sz w:val="21"/>
                <w:szCs w:val="21"/>
              </w:rPr>
            </w:pPr>
            <w:r>
              <w:rPr>
                <w:rFonts w:hint="eastAsia"/>
                <w:color w:val="auto"/>
                <w:sz w:val="21"/>
                <w:szCs w:val="21"/>
              </w:rPr>
              <w:t>/</w:t>
            </w:r>
          </w:p>
        </w:tc>
        <w:tc>
          <w:tcPr>
            <w:tcW w:w="1110" w:type="dxa"/>
            <w:shd w:val="clear" w:color="auto" w:fill="auto"/>
            <w:vAlign w:val="center"/>
          </w:tcPr>
          <w:p>
            <w:pPr>
              <w:pStyle w:val="344"/>
              <w:jc w:val="center"/>
              <w:rPr>
                <w:color w:val="auto"/>
                <w:sz w:val="21"/>
                <w:szCs w:val="21"/>
                <w:highlight w:val="yellow"/>
              </w:rPr>
            </w:pPr>
            <w:r>
              <w:rPr>
                <w:rFonts w:hint="eastAsia"/>
                <w:color w:val="auto"/>
                <w:sz w:val="21"/>
                <w:szCs w:val="21"/>
              </w:rPr>
              <w:t>/</w:t>
            </w:r>
          </w:p>
        </w:tc>
        <w:tc>
          <w:tcPr>
            <w:tcW w:w="915" w:type="dxa"/>
            <w:shd w:val="clear" w:color="auto" w:fill="auto"/>
            <w:vAlign w:val="center"/>
          </w:tcPr>
          <w:p>
            <w:pPr>
              <w:pStyle w:val="344"/>
              <w:jc w:val="center"/>
              <w:rPr>
                <w:color w:val="auto"/>
                <w:sz w:val="21"/>
                <w:szCs w:val="21"/>
                <w:highlight w:val="yellow"/>
              </w:rPr>
            </w:pPr>
            <w:r>
              <w:rPr>
                <w:rFonts w:hint="eastAsia"/>
                <w:color w:val="auto"/>
                <w:sz w:val="21"/>
                <w:szCs w:val="21"/>
              </w:rPr>
              <w:t>/</w:t>
            </w:r>
          </w:p>
        </w:tc>
        <w:tc>
          <w:tcPr>
            <w:tcW w:w="922" w:type="dxa"/>
            <w:shd w:val="clear" w:color="auto" w:fill="auto"/>
            <w:vAlign w:val="center"/>
          </w:tcPr>
          <w:p>
            <w:pPr>
              <w:pStyle w:val="344"/>
              <w:jc w:val="center"/>
              <w:rPr>
                <w:rFonts w:hint="default"/>
                <w:color w:val="auto"/>
                <w:sz w:val="21"/>
                <w:szCs w:val="21"/>
              </w:rPr>
            </w:pPr>
            <w:r>
              <w:rPr>
                <w:rFonts w:hint="eastAsia"/>
                <w:color w:val="auto"/>
                <w:sz w:val="21"/>
                <w:szCs w:val="21"/>
                <w:lang w:val="en-US" w:eastAsia="zh-CN"/>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rFonts w:hint="eastAsia"/>
                <w:color w:val="auto"/>
                <w:sz w:val="21"/>
                <w:szCs w:val="21"/>
              </w:rPr>
            </w:pPr>
            <w:r>
              <w:rPr>
                <w:rFonts w:hint="eastAsia"/>
                <w:color w:val="auto"/>
                <w:sz w:val="21"/>
                <w:szCs w:val="21"/>
              </w:rPr>
              <w:t>2</w:t>
            </w:r>
            <w:r>
              <w:rPr>
                <w:color w:val="auto"/>
                <w:sz w:val="21"/>
                <w:szCs w:val="21"/>
              </w:rPr>
              <w:t>0</w:t>
            </w:r>
            <w:r>
              <w:rPr>
                <w:rFonts w:hint="eastAsia"/>
                <w:color w:val="auto"/>
                <w:sz w:val="21"/>
                <w:szCs w:val="21"/>
                <w:lang w:eastAsia="zh-CN"/>
              </w:rPr>
              <w:t>2</w:t>
            </w:r>
            <w:r>
              <w:rPr>
                <w:rFonts w:hint="eastAsia"/>
                <w:color w:val="auto"/>
                <w:sz w:val="21"/>
                <w:szCs w:val="21"/>
                <w:lang w:val="en-US" w:eastAsia="zh-CN"/>
              </w:rPr>
              <w:t>丙</w:t>
            </w:r>
            <w:r>
              <w:rPr>
                <w:rFonts w:hint="eastAsia"/>
                <w:color w:val="auto"/>
                <w:sz w:val="21"/>
                <w:szCs w:val="21"/>
              </w:rPr>
              <w:t>类仓库</w:t>
            </w:r>
            <w:r>
              <w:rPr>
                <w:rFonts w:hint="eastAsia"/>
                <w:color w:val="auto"/>
                <w:sz w:val="21"/>
                <w:szCs w:val="21"/>
                <w:lang w:val="en-US" w:eastAsia="zh-CN"/>
              </w:rPr>
              <w:t>一</w:t>
            </w:r>
          </w:p>
        </w:tc>
        <w:tc>
          <w:tcPr>
            <w:tcW w:w="1529" w:type="dxa"/>
            <w:shd w:val="clear" w:color="auto" w:fill="auto"/>
            <w:vAlign w:val="center"/>
          </w:tcPr>
          <w:p>
            <w:pPr>
              <w:pStyle w:val="344"/>
              <w:jc w:val="center"/>
              <w:rPr>
                <w:color w:val="auto"/>
                <w:sz w:val="21"/>
                <w:szCs w:val="21"/>
              </w:rPr>
            </w:pPr>
            <w:r>
              <w:rPr>
                <w:rFonts w:hint="eastAsia"/>
                <w:color w:val="auto"/>
                <w:sz w:val="21"/>
                <w:szCs w:val="21"/>
                <w:lang w:eastAsia="zh-CN"/>
              </w:rPr>
              <w:t>1</w:t>
            </w:r>
            <w:r>
              <w:rPr>
                <w:color w:val="auto"/>
                <w:sz w:val="21"/>
                <w:szCs w:val="21"/>
              </w:rPr>
              <w:t>5L/</w:t>
            </w:r>
            <w:r>
              <w:rPr>
                <w:rFonts w:hint="eastAsia"/>
                <w:color w:val="auto"/>
                <w:sz w:val="21"/>
                <w:szCs w:val="21"/>
              </w:rPr>
              <w:t>s</w:t>
            </w:r>
          </w:p>
        </w:tc>
        <w:tc>
          <w:tcPr>
            <w:tcW w:w="939" w:type="dxa"/>
            <w:shd w:val="clear" w:color="auto" w:fill="auto"/>
            <w:vAlign w:val="center"/>
          </w:tcPr>
          <w:p>
            <w:pPr>
              <w:pStyle w:val="344"/>
              <w:jc w:val="center"/>
              <w:rPr>
                <w:color w:val="auto"/>
                <w:sz w:val="21"/>
                <w:szCs w:val="21"/>
              </w:rPr>
            </w:pPr>
            <w:r>
              <w:rPr>
                <w:color w:val="auto"/>
                <w:sz w:val="21"/>
                <w:szCs w:val="21"/>
              </w:rPr>
              <w:t>10L/</w:t>
            </w:r>
            <w:r>
              <w:rPr>
                <w:rFonts w:hint="eastAsia"/>
                <w:color w:val="auto"/>
                <w:sz w:val="21"/>
                <w:szCs w:val="21"/>
              </w:rPr>
              <w:t>s</w:t>
            </w:r>
          </w:p>
        </w:tc>
        <w:tc>
          <w:tcPr>
            <w:tcW w:w="716" w:type="dxa"/>
            <w:shd w:val="clear" w:color="auto" w:fill="auto"/>
            <w:vAlign w:val="center"/>
          </w:tcPr>
          <w:p>
            <w:pPr>
              <w:pStyle w:val="344"/>
              <w:jc w:val="center"/>
              <w:rPr>
                <w:color w:val="auto"/>
                <w:sz w:val="21"/>
                <w:szCs w:val="21"/>
              </w:rPr>
            </w:pPr>
            <w:r>
              <w:rPr>
                <w:color w:val="auto"/>
                <w:sz w:val="21"/>
                <w:szCs w:val="21"/>
              </w:rPr>
              <w:t>3</w:t>
            </w:r>
            <w:r>
              <w:rPr>
                <w:rFonts w:hint="eastAsia"/>
                <w:color w:val="auto"/>
                <w:sz w:val="21"/>
                <w:szCs w:val="21"/>
              </w:rPr>
              <w:t>h</w:t>
            </w:r>
          </w:p>
        </w:tc>
        <w:tc>
          <w:tcPr>
            <w:tcW w:w="1608" w:type="dxa"/>
            <w:shd w:val="clear" w:color="auto" w:fill="auto"/>
            <w:vAlign w:val="center"/>
          </w:tcPr>
          <w:p>
            <w:pPr>
              <w:pStyle w:val="344"/>
              <w:jc w:val="center"/>
              <w:rPr>
                <w:color w:val="auto"/>
                <w:sz w:val="21"/>
                <w:szCs w:val="21"/>
              </w:rPr>
            </w:pPr>
            <w:r>
              <w:rPr>
                <w:rFonts w:hint="eastAsia"/>
                <w:color w:val="auto"/>
                <w:sz w:val="21"/>
                <w:szCs w:val="21"/>
              </w:rPr>
              <w:t>/</w:t>
            </w:r>
          </w:p>
        </w:tc>
        <w:tc>
          <w:tcPr>
            <w:tcW w:w="1110" w:type="dxa"/>
            <w:shd w:val="clear" w:color="auto" w:fill="auto"/>
            <w:vAlign w:val="center"/>
          </w:tcPr>
          <w:p>
            <w:pPr>
              <w:pStyle w:val="344"/>
              <w:jc w:val="center"/>
              <w:rPr>
                <w:color w:val="auto"/>
                <w:sz w:val="21"/>
                <w:szCs w:val="21"/>
              </w:rPr>
            </w:pPr>
            <w:r>
              <w:rPr>
                <w:rFonts w:hint="eastAsia"/>
                <w:color w:val="auto"/>
                <w:sz w:val="21"/>
                <w:szCs w:val="21"/>
              </w:rPr>
              <w:t>/</w:t>
            </w:r>
          </w:p>
        </w:tc>
        <w:tc>
          <w:tcPr>
            <w:tcW w:w="915" w:type="dxa"/>
            <w:shd w:val="clear" w:color="auto" w:fill="auto"/>
            <w:vAlign w:val="center"/>
          </w:tcPr>
          <w:p>
            <w:pPr>
              <w:pStyle w:val="344"/>
              <w:jc w:val="center"/>
              <w:rPr>
                <w:color w:val="auto"/>
                <w:sz w:val="21"/>
                <w:szCs w:val="21"/>
              </w:rPr>
            </w:pPr>
            <w:r>
              <w:rPr>
                <w:rFonts w:hint="eastAsia"/>
                <w:color w:val="auto"/>
                <w:sz w:val="21"/>
                <w:szCs w:val="21"/>
              </w:rPr>
              <w:t>/</w:t>
            </w:r>
          </w:p>
        </w:tc>
        <w:tc>
          <w:tcPr>
            <w:tcW w:w="922" w:type="dxa"/>
            <w:shd w:val="clear" w:color="auto" w:fill="auto"/>
            <w:vAlign w:val="center"/>
          </w:tcPr>
          <w:p>
            <w:pPr>
              <w:pStyle w:val="344"/>
              <w:jc w:val="center"/>
              <w:rPr>
                <w:rFonts w:hint="default"/>
                <w:color w:val="auto"/>
                <w:sz w:val="21"/>
                <w:szCs w:val="21"/>
              </w:rPr>
            </w:pPr>
            <w:r>
              <w:rPr>
                <w:rFonts w:hint="eastAsia"/>
                <w:color w:val="auto"/>
                <w:sz w:val="21"/>
                <w:szCs w:val="21"/>
                <w:lang w:val="en-US" w:eastAsia="zh-CN"/>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203罐区</w:t>
            </w:r>
          </w:p>
        </w:tc>
        <w:tc>
          <w:tcPr>
            <w:tcW w:w="1529" w:type="dxa"/>
            <w:shd w:val="clear" w:color="auto" w:fill="auto"/>
            <w:vAlign w:val="center"/>
          </w:tcPr>
          <w:p>
            <w:pPr>
              <w:pStyle w:val="344"/>
              <w:jc w:val="center"/>
              <w:rPr>
                <w:color w:val="auto"/>
                <w:sz w:val="21"/>
                <w:szCs w:val="21"/>
              </w:rPr>
            </w:pPr>
            <w:r>
              <w:rPr>
                <w:rFonts w:hint="eastAsia"/>
                <w:color w:val="auto"/>
                <w:sz w:val="21"/>
                <w:szCs w:val="21"/>
                <w:lang w:val="en-US" w:eastAsia="zh-CN"/>
              </w:rPr>
              <w:t>27</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rFonts w:hint="eastAsia" w:eastAsia="宋体"/>
                <w:color w:val="auto"/>
                <w:sz w:val="21"/>
                <w:szCs w:val="21"/>
                <w:lang w:val="en-US" w:eastAsia="zh-CN"/>
              </w:rPr>
            </w:pPr>
            <w:r>
              <w:rPr>
                <w:rFonts w:hint="eastAsia"/>
                <w:color w:val="auto"/>
                <w:sz w:val="21"/>
                <w:szCs w:val="21"/>
                <w:lang w:val="en-US" w:eastAsia="zh-CN"/>
              </w:rPr>
              <w:t>/</w:t>
            </w:r>
          </w:p>
        </w:tc>
        <w:tc>
          <w:tcPr>
            <w:tcW w:w="716"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4h</w:t>
            </w:r>
          </w:p>
        </w:tc>
        <w:tc>
          <w:tcPr>
            <w:tcW w:w="1608" w:type="dxa"/>
            <w:shd w:val="clear" w:color="auto" w:fill="auto"/>
            <w:vAlign w:val="center"/>
          </w:tcPr>
          <w:p>
            <w:pPr>
              <w:pStyle w:val="344"/>
              <w:jc w:val="center"/>
              <w:rPr>
                <w:rFonts w:hint="eastAsia"/>
                <w:color w:val="auto"/>
                <w:sz w:val="21"/>
                <w:szCs w:val="21"/>
              </w:rPr>
            </w:pPr>
            <w:r>
              <w:rPr>
                <w:rFonts w:hint="eastAsia"/>
                <w:color w:val="auto"/>
                <w:sz w:val="21"/>
                <w:szCs w:val="21"/>
                <w:lang w:val="en-US" w:eastAsia="zh-CN"/>
              </w:rPr>
              <w:t>0.8</w:t>
            </w:r>
            <w:r>
              <w:rPr>
                <w:color w:val="auto"/>
                <w:sz w:val="21"/>
                <w:szCs w:val="21"/>
              </w:rPr>
              <w:t>L/(</w:t>
            </w:r>
            <w:r>
              <w:rPr>
                <w:rFonts w:hint="eastAsia"/>
                <w:color w:val="auto"/>
                <w:sz w:val="21"/>
                <w:szCs w:val="21"/>
                <w:lang w:val="en-US" w:eastAsia="zh-CN"/>
              </w:rPr>
              <w:t>s</w:t>
            </w:r>
            <w:r>
              <w:rPr>
                <w:rFonts w:hint="eastAsia"/>
                <w:color w:val="auto"/>
                <w:sz w:val="21"/>
                <w:szCs w:val="21"/>
              </w:rPr>
              <w:t>·m</w:t>
            </w:r>
            <w:r>
              <w:rPr>
                <w:color w:val="auto"/>
                <w:sz w:val="21"/>
                <w:szCs w:val="21"/>
                <w:vertAlign w:val="superscript"/>
              </w:rPr>
              <w:t>2</w:t>
            </w:r>
            <w:r>
              <w:rPr>
                <w:color w:val="auto"/>
                <w:sz w:val="21"/>
                <w:szCs w:val="21"/>
              </w:rPr>
              <w:t>)</w:t>
            </w:r>
          </w:p>
        </w:tc>
        <w:tc>
          <w:tcPr>
            <w:tcW w:w="1110" w:type="dxa"/>
            <w:shd w:val="clear" w:color="auto" w:fill="auto"/>
            <w:vAlign w:val="center"/>
          </w:tcPr>
          <w:p>
            <w:pPr>
              <w:pStyle w:val="344"/>
              <w:jc w:val="center"/>
              <w:rPr>
                <w:rFonts w:hint="eastAsia" w:ascii="Times New Roman" w:hAnsi="Times New Roman" w:eastAsia="宋体" w:cs="Times New Roman"/>
                <w:color w:val="auto"/>
                <w:sz w:val="21"/>
                <w:szCs w:val="21"/>
                <w:highlight w:val="yellow"/>
                <w:lang w:val="en-US" w:eastAsia="zh-CN" w:bidi="ar-SA"/>
              </w:rPr>
            </w:pPr>
            <w:r>
              <w:rPr>
                <w:rFonts w:hint="eastAsia"/>
                <w:color w:val="auto"/>
                <w:sz w:val="21"/>
                <w:szCs w:val="21"/>
                <w:highlight w:val="none"/>
                <w:lang w:val="en-US" w:eastAsia="zh-CN"/>
              </w:rPr>
              <w:t>447.27</w:t>
            </w:r>
            <w:r>
              <w:rPr>
                <w:rFonts w:hint="eastAsia"/>
                <w:color w:val="auto"/>
                <w:sz w:val="21"/>
                <w:szCs w:val="21"/>
                <w:highlight w:val="none"/>
              </w:rPr>
              <w:t>m</w:t>
            </w:r>
            <w:r>
              <w:rPr>
                <w:color w:val="auto"/>
                <w:sz w:val="21"/>
                <w:szCs w:val="21"/>
                <w:highlight w:val="none"/>
                <w:vertAlign w:val="superscript"/>
              </w:rPr>
              <w:t>2</w:t>
            </w:r>
          </w:p>
        </w:tc>
        <w:tc>
          <w:tcPr>
            <w:tcW w:w="915" w:type="dxa"/>
            <w:shd w:val="clear" w:color="auto" w:fill="auto"/>
            <w:vAlign w:val="center"/>
          </w:tcPr>
          <w:p>
            <w:pPr>
              <w:pStyle w:val="344"/>
              <w:jc w:val="center"/>
              <w:rPr>
                <w:rFonts w:hint="eastAsia" w:ascii="Times New Roman" w:hAnsi="Times New Roman" w:eastAsia="宋体" w:cs="Times New Roman"/>
                <w:color w:val="auto"/>
                <w:sz w:val="21"/>
                <w:szCs w:val="21"/>
                <w:highlight w:val="yellow"/>
                <w:lang w:val="en-US" w:eastAsia="zh-CN" w:bidi="ar-SA"/>
              </w:rPr>
            </w:pPr>
            <w:r>
              <w:rPr>
                <w:color w:val="auto"/>
                <w:sz w:val="21"/>
                <w:szCs w:val="21"/>
                <w:highlight w:val="none"/>
              </w:rPr>
              <w:t>30</w:t>
            </w:r>
            <w:r>
              <w:rPr>
                <w:rFonts w:hint="eastAsia"/>
                <w:color w:val="auto"/>
                <w:sz w:val="21"/>
                <w:szCs w:val="21"/>
                <w:highlight w:val="none"/>
              </w:rPr>
              <w:t>min</w:t>
            </w:r>
          </w:p>
        </w:tc>
        <w:tc>
          <w:tcPr>
            <w:tcW w:w="922" w:type="dxa"/>
            <w:shd w:val="clear" w:color="auto" w:fill="auto"/>
            <w:vAlign w:val="center"/>
          </w:tcPr>
          <w:p>
            <w:pPr>
              <w:pStyle w:val="344"/>
              <w:jc w:val="center"/>
              <w:rPr>
                <w:rFonts w:hint="default" w:eastAsia="宋体"/>
                <w:color w:val="auto"/>
                <w:sz w:val="21"/>
                <w:szCs w:val="21"/>
                <w:highlight w:val="yellow"/>
                <w:lang w:val="en-US" w:eastAsia="zh-CN"/>
              </w:rPr>
            </w:pPr>
            <w:r>
              <w:rPr>
                <w:rFonts w:hint="eastAsia"/>
                <w:color w:val="auto"/>
                <w:sz w:val="21"/>
                <w:szCs w:val="21"/>
                <w:highlight w:val="none"/>
                <w:lang w:val="en-US" w:eastAsia="zh-CN"/>
              </w:rPr>
              <w:t>453.2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204丙类仓库二</w:t>
            </w:r>
          </w:p>
        </w:tc>
        <w:tc>
          <w:tcPr>
            <w:tcW w:w="1529"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25</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25L/s</w:t>
            </w:r>
          </w:p>
        </w:tc>
        <w:tc>
          <w:tcPr>
            <w:tcW w:w="716"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3h</w:t>
            </w:r>
          </w:p>
        </w:tc>
        <w:tc>
          <w:tcPr>
            <w:tcW w:w="1608" w:type="dxa"/>
            <w:shd w:val="clear" w:color="auto" w:fill="auto"/>
            <w:vAlign w:val="center"/>
          </w:tcPr>
          <w:p>
            <w:pPr>
              <w:pStyle w:val="344"/>
              <w:jc w:val="center"/>
              <w:rPr>
                <w:rFonts w:hint="eastAsia"/>
                <w:color w:val="auto"/>
                <w:sz w:val="21"/>
                <w:szCs w:val="21"/>
              </w:rPr>
            </w:pPr>
            <w:r>
              <w:rPr>
                <w:rFonts w:hint="eastAsia"/>
                <w:color w:val="auto"/>
                <w:sz w:val="21"/>
                <w:szCs w:val="21"/>
              </w:rPr>
              <w:t>/</w:t>
            </w:r>
          </w:p>
        </w:tc>
        <w:tc>
          <w:tcPr>
            <w:tcW w:w="1110" w:type="dxa"/>
            <w:shd w:val="clear" w:color="auto" w:fill="auto"/>
            <w:vAlign w:val="center"/>
          </w:tcPr>
          <w:p>
            <w:pPr>
              <w:pStyle w:val="344"/>
              <w:jc w:val="center"/>
              <w:rPr>
                <w:rFonts w:hint="eastAsia"/>
                <w:color w:val="auto"/>
                <w:sz w:val="21"/>
                <w:szCs w:val="21"/>
              </w:rPr>
            </w:pPr>
            <w:r>
              <w:rPr>
                <w:rFonts w:hint="eastAsia"/>
                <w:color w:val="auto"/>
                <w:sz w:val="21"/>
                <w:szCs w:val="21"/>
              </w:rPr>
              <w:t>/</w:t>
            </w:r>
          </w:p>
        </w:tc>
        <w:tc>
          <w:tcPr>
            <w:tcW w:w="915" w:type="dxa"/>
            <w:shd w:val="clear" w:color="auto" w:fill="auto"/>
            <w:vAlign w:val="center"/>
          </w:tcPr>
          <w:p>
            <w:pPr>
              <w:pStyle w:val="344"/>
              <w:jc w:val="center"/>
              <w:rPr>
                <w:rFonts w:hint="eastAsia"/>
                <w:color w:val="auto"/>
                <w:sz w:val="21"/>
                <w:szCs w:val="21"/>
              </w:rPr>
            </w:pPr>
            <w:r>
              <w:rPr>
                <w:rFonts w:hint="eastAsia"/>
                <w:color w:val="auto"/>
                <w:sz w:val="21"/>
                <w:szCs w:val="21"/>
              </w:rPr>
              <w:t>/</w:t>
            </w:r>
          </w:p>
        </w:tc>
        <w:tc>
          <w:tcPr>
            <w:tcW w:w="922" w:type="dxa"/>
            <w:shd w:val="clear" w:color="auto" w:fill="auto"/>
            <w:vAlign w:val="center"/>
          </w:tcPr>
          <w:p>
            <w:pPr>
              <w:pStyle w:val="344"/>
              <w:jc w:val="center"/>
              <w:rPr>
                <w:rFonts w:hint="default" w:eastAsia="宋体"/>
                <w:color w:val="auto"/>
                <w:sz w:val="21"/>
                <w:szCs w:val="21"/>
                <w:lang w:val="en-US" w:eastAsia="zh-CN"/>
              </w:rPr>
            </w:pPr>
            <w:r>
              <w:rPr>
                <w:rFonts w:hint="eastAsia"/>
                <w:color w:val="auto"/>
                <w:sz w:val="21"/>
                <w:szCs w:val="21"/>
                <w:lang w:val="en-US" w:eastAsia="zh-CN"/>
              </w:rPr>
              <w:t>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5" w:type="dxa"/>
            <w:shd w:val="clear" w:color="auto" w:fill="auto"/>
            <w:vAlign w:val="center"/>
          </w:tcPr>
          <w:p>
            <w:pPr>
              <w:pStyle w:val="344"/>
              <w:jc w:val="center"/>
              <w:rPr>
                <w:rFonts w:hint="eastAsia"/>
                <w:color w:val="auto"/>
                <w:sz w:val="21"/>
                <w:szCs w:val="21"/>
              </w:rPr>
            </w:pPr>
            <w:r>
              <w:rPr>
                <w:rFonts w:hint="eastAsia"/>
                <w:color w:val="auto"/>
                <w:sz w:val="21"/>
                <w:szCs w:val="21"/>
                <w:lang w:eastAsia="zh-CN"/>
              </w:rPr>
              <w:t>306公用工程间</w:t>
            </w:r>
          </w:p>
        </w:tc>
        <w:tc>
          <w:tcPr>
            <w:tcW w:w="1529" w:type="dxa"/>
            <w:shd w:val="clear" w:color="auto" w:fill="auto"/>
            <w:vAlign w:val="center"/>
          </w:tcPr>
          <w:p>
            <w:pPr>
              <w:pStyle w:val="344"/>
              <w:jc w:val="center"/>
              <w:rPr>
                <w:color w:val="auto"/>
                <w:sz w:val="21"/>
                <w:szCs w:val="21"/>
              </w:rPr>
            </w:pPr>
            <w:r>
              <w:rPr>
                <w:rFonts w:hint="eastAsia"/>
                <w:color w:val="auto"/>
                <w:sz w:val="21"/>
                <w:szCs w:val="21"/>
                <w:lang w:eastAsia="zh-CN"/>
              </w:rPr>
              <w:t>1</w:t>
            </w:r>
            <w:r>
              <w:rPr>
                <w:rFonts w:hint="eastAsia"/>
                <w:color w:val="auto"/>
                <w:sz w:val="21"/>
                <w:szCs w:val="21"/>
                <w:lang w:val="en-US" w:eastAsia="zh-CN"/>
              </w:rPr>
              <w:t>5</w:t>
            </w:r>
            <w:r>
              <w:rPr>
                <w:color w:val="auto"/>
                <w:sz w:val="21"/>
                <w:szCs w:val="21"/>
              </w:rPr>
              <w:t>L/</w:t>
            </w:r>
            <w:r>
              <w:rPr>
                <w:rFonts w:hint="eastAsia"/>
                <w:color w:val="auto"/>
                <w:sz w:val="21"/>
                <w:szCs w:val="21"/>
              </w:rPr>
              <w:t>s</w:t>
            </w:r>
          </w:p>
        </w:tc>
        <w:tc>
          <w:tcPr>
            <w:tcW w:w="939" w:type="dxa"/>
            <w:shd w:val="clear" w:color="auto" w:fill="auto"/>
            <w:vAlign w:val="center"/>
          </w:tcPr>
          <w:p>
            <w:pPr>
              <w:pStyle w:val="344"/>
              <w:jc w:val="center"/>
              <w:rPr>
                <w:color w:val="auto"/>
                <w:sz w:val="21"/>
                <w:szCs w:val="21"/>
              </w:rPr>
            </w:pPr>
            <w:r>
              <w:rPr>
                <w:color w:val="auto"/>
                <w:sz w:val="21"/>
                <w:szCs w:val="21"/>
              </w:rPr>
              <w:t>10L/</w:t>
            </w:r>
            <w:r>
              <w:rPr>
                <w:rFonts w:hint="eastAsia"/>
                <w:color w:val="auto"/>
                <w:sz w:val="21"/>
                <w:szCs w:val="21"/>
              </w:rPr>
              <w:t>s</w:t>
            </w:r>
          </w:p>
        </w:tc>
        <w:tc>
          <w:tcPr>
            <w:tcW w:w="716" w:type="dxa"/>
            <w:shd w:val="clear" w:color="auto" w:fill="auto"/>
            <w:vAlign w:val="center"/>
          </w:tcPr>
          <w:p>
            <w:pPr>
              <w:pStyle w:val="344"/>
              <w:jc w:val="center"/>
              <w:rPr>
                <w:color w:val="auto"/>
                <w:sz w:val="21"/>
                <w:szCs w:val="21"/>
              </w:rPr>
            </w:pPr>
            <w:r>
              <w:rPr>
                <w:color w:val="auto"/>
                <w:sz w:val="21"/>
                <w:szCs w:val="21"/>
              </w:rPr>
              <w:t>3</w:t>
            </w:r>
            <w:r>
              <w:rPr>
                <w:rFonts w:hint="eastAsia"/>
                <w:color w:val="auto"/>
                <w:sz w:val="21"/>
                <w:szCs w:val="21"/>
              </w:rPr>
              <w:t>h</w:t>
            </w:r>
          </w:p>
        </w:tc>
        <w:tc>
          <w:tcPr>
            <w:tcW w:w="1608" w:type="dxa"/>
            <w:shd w:val="clear" w:color="auto" w:fill="auto"/>
            <w:vAlign w:val="center"/>
          </w:tcPr>
          <w:p>
            <w:pPr>
              <w:pStyle w:val="344"/>
              <w:jc w:val="center"/>
              <w:rPr>
                <w:color w:val="auto"/>
                <w:sz w:val="21"/>
                <w:szCs w:val="21"/>
              </w:rPr>
            </w:pPr>
            <w:r>
              <w:rPr>
                <w:rFonts w:hint="eastAsia"/>
                <w:color w:val="auto"/>
                <w:sz w:val="21"/>
                <w:szCs w:val="21"/>
              </w:rPr>
              <w:t>/</w:t>
            </w:r>
          </w:p>
        </w:tc>
        <w:tc>
          <w:tcPr>
            <w:tcW w:w="1110" w:type="dxa"/>
            <w:shd w:val="clear" w:color="auto" w:fill="auto"/>
            <w:vAlign w:val="center"/>
          </w:tcPr>
          <w:p>
            <w:pPr>
              <w:pStyle w:val="344"/>
              <w:jc w:val="center"/>
              <w:rPr>
                <w:color w:val="auto"/>
                <w:sz w:val="21"/>
                <w:szCs w:val="21"/>
              </w:rPr>
            </w:pPr>
            <w:r>
              <w:rPr>
                <w:rFonts w:hint="eastAsia"/>
                <w:color w:val="auto"/>
                <w:sz w:val="21"/>
                <w:szCs w:val="21"/>
              </w:rPr>
              <w:t>/</w:t>
            </w:r>
          </w:p>
        </w:tc>
        <w:tc>
          <w:tcPr>
            <w:tcW w:w="915" w:type="dxa"/>
            <w:shd w:val="clear" w:color="auto" w:fill="auto"/>
            <w:vAlign w:val="center"/>
          </w:tcPr>
          <w:p>
            <w:pPr>
              <w:pStyle w:val="344"/>
              <w:jc w:val="center"/>
              <w:rPr>
                <w:color w:val="auto"/>
                <w:sz w:val="21"/>
                <w:szCs w:val="21"/>
              </w:rPr>
            </w:pPr>
            <w:r>
              <w:rPr>
                <w:rFonts w:hint="eastAsia"/>
                <w:color w:val="auto"/>
                <w:sz w:val="21"/>
                <w:szCs w:val="21"/>
              </w:rPr>
              <w:t>/</w:t>
            </w:r>
          </w:p>
        </w:tc>
        <w:tc>
          <w:tcPr>
            <w:tcW w:w="922" w:type="dxa"/>
            <w:shd w:val="clear" w:color="auto" w:fill="auto"/>
            <w:vAlign w:val="center"/>
          </w:tcPr>
          <w:p>
            <w:pPr>
              <w:pStyle w:val="344"/>
              <w:jc w:val="center"/>
              <w:rPr>
                <w:rFonts w:hint="default"/>
                <w:color w:val="auto"/>
                <w:sz w:val="21"/>
                <w:szCs w:val="21"/>
              </w:rPr>
            </w:pPr>
            <w:r>
              <w:rPr>
                <w:rFonts w:hint="eastAsia"/>
                <w:color w:val="auto"/>
                <w:sz w:val="21"/>
                <w:szCs w:val="21"/>
                <w:lang w:val="en-US" w:eastAsia="zh-CN"/>
              </w:rPr>
              <w:t>270</w:t>
            </w:r>
          </w:p>
        </w:tc>
      </w:tr>
    </w:tbl>
    <w:p>
      <w:pPr>
        <w:pStyle w:val="54"/>
        <w:ind w:firstLine="560"/>
        <w:rPr>
          <w:color w:val="auto"/>
        </w:rPr>
      </w:pPr>
      <w:r>
        <w:rPr>
          <w:rFonts w:hint="eastAsia"/>
          <w:color w:val="auto"/>
        </w:rPr>
        <w:t>综上可知，该项目消防水最少需求量为</w:t>
      </w:r>
      <w:r>
        <w:rPr>
          <w:rFonts w:hint="eastAsia"/>
          <w:color w:val="auto"/>
          <w:highlight w:val="none"/>
          <w:lang w:eastAsia="zh-CN"/>
        </w:rPr>
        <w:t>5</w:t>
      </w:r>
      <w:r>
        <w:rPr>
          <w:rFonts w:hint="eastAsia"/>
          <w:color w:val="auto"/>
          <w:highlight w:val="none"/>
          <w:lang w:val="en-US" w:eastAsia="zh-CN"/>
        </w:rPr>
        <w:t>40</w:t>
      </w:r>
      <w:r>
        <w:rPr>
          <w:rFonts w:hint="eastAsia"/>
          <w:color w:val="auto"/>
          <w:highlight w:val="none"/>
        </w:rPr>
        <w:t>m</w:t>
      </w:r>
      <w:r>
        <w:rPr>
          <w:color w:val="auto"/>
          <w:highlight w:val="none"/>
          <w:vertAlign w:val="superscript"/>
        </w:rPr>
        <w:t>3</w:t>
      </w:r>
      <w:r>
        <w:rPr>
          <w:rFonts w:hint="eastAsia"/>
          <w:color w:val="auto"/>
        </w:rPr>
        <w:t>。</w:t>
      </w:r>
      <w:r>
        <w:rPr>
          <w:rFonts w:hint="eastAsia"/>
          <w:color w:val="auto"/>
          <w:lang w:val="en-US" w:eastAsia="zh-CN"/>
        </w:rPr>
        <w:t>拟</w:t>
      </w:r>
      <w:r>
        <w:rPr>
          <w:rFonts w:hint="eastAsia" w:ascii="Times New Roman" w:hAnsi="Times New Roman"/>
          <w:color w:val="auto"/>
          <w:sz w:val="28"/>
          <w:szCs w:val="28"/>
          <w:highlight w:val="none"/>
        </w:rPr>
        <w:t>新建</w:t>
      </w:r>
      <w:r>
        <w:rPr>
          <w:rFonts w:hint="eastAsia"/>
          <w:color w:val="auto"/>
          <w:sz w:val="28"/>
          <w:szCs w:val="28"/>
          <w:highlight w:val="none"/>
          <w:lang w:val="en-US" w:eastAsia="zh-CN"/>
        </w:rPr>
        <w:t>2</w:t>
      </w:r>
      <w:r>
        <w:rPr>
          <w:rFonts w:hint="eastAsia" w:ascii="Times New Roman" w:hAnsi="Times New Roman"/>
          <w:color w:val="auto"/>
          <w:sz w:val="28"/>
          <w:szCs w:val="28"/>
          <w:highlight w:val="none"/>
          <w:lang w:val="en-US" w:eastAsia="zh-CN"/>
        </w:rPr>
        <w:t>座</w:t>
      </w:r>
      <w:r>
        <w:rPr>
          <w:rFonts w:hint="eastAsia"/>
          <w:color w:val="auto"/>
          <w:sz w:val="28"/>
          <w:szCs w:val="28"/>
          <w:highlight w:val="none"/>
          <w:lang w:val="en-US" w:eastAsia="zh-CN"/>
        </w:rPr>
        <w:t>占地面积76.97m</w:t>
      </w:r>
      <w:r>
        <w:rPr>
          <w:rFonts w:hint="eastAsia"/>
          <w:color w:val="auto"/>
          <w:sz w:val="28"/>
          <w:szCs w:val="28"/>
          <w:highlight w:val="none"/>
          <w:vertAlign w:val="superscript"/>
          <w:lang w:val="en-US" w:eastAsia="zh-CN"/>
        </w:rPr>
        <w:t>2</w:t>
      </w:r>
      <w:r>
        <w:rPr>
          <w:rFonts w:hint="eastAsia"/>
          <w:color w:val="auto"/>
          <w:sz w:val="28"/>
          <w:szCs w:val="28"/>
          <w:highlight w:val="none"/>
          <w:lang w:val="en-US" w:eastAsia="zh-CN"/>
        </w:rPr>
        <w:t>，高9m的</w:t>
      </w:r>
      <w:r>
        <w:rPr>
          <w:rFonts w:hint="eastAsia" w:ascii="Times New Roman" w:hAnsi="Times New Roman"/>
          <w:color w:val="auto"/>
          <w:sz w:val="28"/>
          <w:szCs w:val="28"/>
          <w:highlight w:val="none"/>
        </w:rPr>
        <w:t>消防水</w:t>
      </w:r>
      <w:r>
        <w:rPr>
          <w:rFonts w:hint="eastAsia"/>
          <w:color w:val="auto"/>
          <w:sz w:val="28"/>
          <w:szCs w:val="28"/>
          <w:highlight w:val="none"/>
          <w:lang w:val="en-US" w:eastAsia="zh-CN"/>
        </w:rPr>
        <w:t>罐</w:t>
      </w:r>
      <w:r>
        <w:rPr>
          <w:rFonts w:hint="eastAsia"/>
          <w:color w:val="auto"/>
        </w:rPr>
        <w:t>，设置D</w:t>
      </w:r>
      <w:r>
        <w:rPr>
          <w:color w:val="auto"/>
        </w:rPr>
        <w:t>N100</w:t>
      </w:r>
      <w:r>
        <w:rPr>
          <w:rFonts w:hint="eastAsia"/>
          <w:color w:val="auto"/>
        </w:rPr>
        <w:t>管道进行补水，补水量≥3</w:t>
      </w:r>
      <w:r>
        <w:rPr>
          <w:color w:val="auto"/>
        </w:rPr>
        <w:t>0</w:t>
      </w:r>
      <w:r>
        <w:rPr>
          <w:rFonts w:hint="eastAsia"/>
          <w:color w:val="auto"/>
        </w:rPr>
        <w:t>m</w:t>
      </w:r>
      <w:r>
        <w:rPr>
          <w:color w:val="auto"/>
          <w:vertAlign w:val="superscript"/>
        </w:rPr>
        <w:t>3</w:t>
      </w:r>
      <w:r>
        <w:rPr>
          <w:color w:val="auto"/>
        </w:rPr>
        <w:t>/</w:t>
      </w:r>
      <w:r>
        <w:rPr>
          <w:rFonts w:hint="eastAsia"/>
          <w:color w:val="auto"/>
        </w:rPr>
        <w:t>h，消防水量可以满足要求。拟在消防</w:t>
      </w:r>
      <w:r>
        <w:rPr>
          <w:rFonts w:hint="eastAsia"/>
          <w:color w:val="auto"/>
          <w:lang w:val="en-US" w:eastAsia="zh-CN"/>
        </w:rPr>
        <w:t>泵房</w:t>
      </w:r>
      <w:r>
        <w:rPr>
          <w:rFonts w:hint="eastAsia"/>
          <w:color w:val="auto"/>
        </w:rPr>
        <w:t>设置两台消防水泵，型号</w:t>
      </w:r>
      <w:r>
        <w:rPr>
          <w:rFonts w:hint="eastAsia" w:ascii="Times New Roman" w:hAnsi="Times New Roman"/>
          <w:color w:val="auto"/>
          <w:sz w:val="28"/>
          <w:szCs w:val="28"/>
          <w:highlight w:val="none"/>
          <w:lang w:val="en-US" w:eastAsia="zh-CN"/>
        </w:rPr>
        <w:t>XBD7/150W</w:t>
      </w:r>
      <w:r>
        <w:rPr>
          <w:rFonts w:hint="eastAsia" w:ascii="Times New Roman" w:hAnsi="Times New Roman"/>
          <w:color w:val="auto"/>
          <w:sz w:val="28"/>
          <w:szCs w:val="28"/>
          <w:highlight w:val="none"/>
        </w:rPr>
        <w:t>，</w:t>
      </w:r>
      <w:r>
        <w:rPr>
          <w:rFonts w:hint="eastAsia" w:ascii="Times New Roman" w:hAnsi="Times New Roman"/>
          <w:color w:val="auto"/>
          <w:sz w:val="28"/>
          <w:szCs w:val="28"/>
          <w:highlight w:val="none"/>
          <w:lang w:val="en-US" w:eastAsia="zh-CN"/>
        </w:rPr>
        <w:t>Q</w:t>
      </w:r>
      <w:r>
        <w:rPr>
          <w:rFonts w:hint="eastAsia" w:ascii="Times New Roman" w:hAnsi="Times New Roman"/>
          <w:color w:val="auto"/>
          <w:sz w:val="28"/>
          <w:szCs w:val="28"/>
          <w:highlight w:val="none"/>
        </w:rPr>
        <w:t>=</w:t>
      </w:r>
      <w:r>
        <w:rPr>
          <w:rFonts w:hint="eastAsia" w:ascii="Times New Roman" w:hAnsi="Times New Roman"/>
          <w:color w:val="auto"/>
          <w:sz w:val="28"/>
          <w:szCs w:val="28"/>
          <w:highlight w:val="none"/>
          <w:lang w:val="en-US" w:eastAsia="zh-CN"/>
        </w:rPr>
        <w:t>50L/S</w:t>
      </w:r>
      <w:r>
        <w:rPr>
          <w:rFonts w:hint="eastAsia" w:asciiTheme="minorEastAsia" w:hAnsiTheme="minorEastAsia" w:eastAsiaTheme="minorEastAsia" w:cstheme="minorEastAsia"/>
          <w:color w:val="auto"/>
          <w:sz w:val="28"/>
          <w:szCs w:val="28"/>
          <w:highlight w:val="none"/>
          <w:lang w:val="en-US" w:eastAsia="zh-CN"/>
        </w:rPr>
        <w:t>，</w:t>
      </w:r>
      <w:r>
        <w:rPr>
          <w:rFonts w:hint="eastAsia" w:ascii="Times New Roman" w:hAnsi="Times New Roman"/>
          <w:color w:val="auto"/>
          <w:sz w:val="28"/>
          <w:szCs w:val="28"/>
          <w:highlight w:val="none"/>
          <w:lang w:val="en-US" w:eastAsia="zh-CN"/>
        </w:rPr>
        <w:t>N=55KW</w:t>
      </w:r>
      <w:r>
        <w:rPr>
          <w:rFonts w:hint="eastAsia"/>
          <w:color w:val="auto"/>
        </w:rPr>
        <w:t>，一用一备。</w:t>
      </w:r>
    </w:p>
    <w:p>
      <w:pPr>
        <w:pStyle w:val="54"/>
        <w:ind w:firstLine="560"/>
        <w:rPr>
          <w:color w:val="auto"/>
        </w:rPr>
      </w:pPr>
      <w:r>
        <w:rPr>
          <w:rFonts w:hint="eastAsia"/>
          <w:color w:val="auto"/>
        </w:rPr>
        <w:t>厂区室外消防管网成环状，按间距不大于120m设置室外消火栓（SS100/65-1.0），保护半径&lt;150m。各单体室内均设置室内消火栓，间距&lt;30m，保证有二支水枪的水柱到达室内任何部位，室内消防管道与厂区环状消防管网连接，部分单体按照规范要求，设置水泵结合器。</w:t>
      </w:r>
    </w:p>
    <w:p>
      <w:pPr>
        <w:ind w:firstLine="560" w:firstLineChars="200"/>
        <w:rPr>
          <w:rFonts w:hint="eastAsia"/>
          <w:color w:val="auto"/>
          <w:lang w:val="en-US" w:eastAsia="zh-CN"/>
        </w:rPr>
      </w:pPr>
      <w:r>
        <w:rPr>
          <w:rFonts w:hint="eastAsia"/>
          <w:color w:val="auto"/>
          <w:lang w:val="en-US" w:eastAsia="zh-CN"/>
        </w:rPr>
        <w:t>2、小型灭火器配置</w:t>
      </w:r>
    </w:p>
    <w:p>
      <w:pPr>
        <w:ind w:firstLine="560" w:firstLineChars="200"/>
        <w:rPr>
          <w:rFonts w:hint="eastAsia"/>
          <w:color w:val="auto"/>
          <w:lang w:val="en-US" w:eastAsia="zh-CN"/>
        </w:rPr>
      </w:pPr>
      <w:r>
        <w:rPr>
          <w:rFonts w:hint="eastAsia"/>
          <w:color w:val="auto"/>
          <w:lang w:val="en-US" w:eastAsia="zh-CN"/>
        </w:rPr>
        <w:t>在各车间、仓库、罐区、办公楼、中控室等建筑设置手提式或推车式磷酸铵盐干粉灭火器若干具，用于扑救小型火灾；罐区配备推车式抗水溶型泡沫灭火器；配电间、机柜间等设置手提式二氧化碳灭火器若干，用于扑救电气火灾。</w:t>
      </w:r>
    </w:p>
    <w:p>
      <w:pPr>
        <w:ind w:firstLine="560" w:firstLineChars="200"/>
        <w:rPr>
          <w:rFonts w:hint="default"/>
          <w:color w:val="auto"/>
          <w:lang w:val="en-US" w:eastAsia="zh-CN"/>
        </w:rPr>
      </w:pPr>
      <w:r>
        <w:rPr>
          <w:rFonts w:hint="eastAsia"/>
          <w:color w:val="auto"/>
          <w:lang w:val="en-US" w:eastAsia="zh-CN"/>
        </w:rPr>
        <w:t>3、</w:t>
      </w:r>
      <w:r>
        <w:rPr>
          <w:rFonts w:hint="default"/>
          <w:color w:val="auto"/>
          <w:lang w:val="en-US" w:eastAsia="zh-CN"/>
        </w:rPr>
        <w:t>事故池</w:t>
      </w:r>
    </w:p>
    <w:p>
      <w:pPr>
        <w:ind w:firstLine="560" w:firstLineChars="200"/>
        <w:rPr>
          <w:rFonts w:hint="default"/>
          <w:color w:val="auto"/>
          <w:lang w:val="en-US" w:eastAsia="zh-CN"/>
        </w:rPr>
      </w:pPr>
      <w:r>
        <w:rPr>
          <w:rFonts w:hint="default"/>
          <w:color w:val="auto"/>
          <w:lang w:val="en-US" w:eastAsia="zh-CN"/>
        </w:rPr>
        <w:t>该项目新建303事故</w:t>
      </w:r>
      <w:r>
        <w:rPr>
          <w:rFonts w:hint="eastAsia"/>
          <w:color w:val="auto"/>
          <w:lang w:val="en-US" w:eastAsia="zh-CN"/>
        </w:rPr>
        <w:t>应急</w:t>
      </w:r>
      <w:r>
        <w:rPr>
          <w:rFonts w:hint="default"/>
          <w:color w:val="auto"/>
          <w:lang w:val="en-US" w:eastAsia="zh-CN"/>
        </w:rPr>
        <w:t>池，容积</w:t>
      </w:r>
      <w:r>
        <w:rPr>
          <w:rFonts w:hint="eastAsia"/>
          <w:color w:val="auto"/>
          <w:highlight w:val="none"/>
          <w:lang w:val="en-US" w:eastAsia="zh-CN"/>
        </w:rPr>
        <w:t>500</w:t>
      </w:r>
      <w:r>
        <w:rPr>
          <w:rFonts w:hint="default"/>
          <w:color w:val="auto"/>
          <w:highlight w:val="none"/>
          <w:lang w:val="en-US" w:eastAsia="zh-CN"/>
        </w:rPr>
        <w:t>m</w:t>
      </w:r>
      <w:r>
        <w:rPr>
          <w:rFonts w:hint="default"/>
          <w:color w:val="auto"/>
          <w:highlight w:val="none"/>
          <w:vertAlign w:val="superscript"/>
          <w:lang w:val="en-US" w:eastAsia="zh-CN"/>
        </w:rPr>
        <w:t>3</w:t>
      </w:r>
      <w:r>
        <w:rPr>
          <w:rFonts w:hint="default"/>
          <w:color w:val="auto"/>
          <w:lang w:val="en-US" w:eastAsia="zh-CN"/>
        </w:rPr>
        <w:t>。车间、罐区、仓库等发生火灾时受污染的消防水，项目一次火灾最大消防水量为</w:t>
      </w:r>
      <w:r>
        <w:rPr>
          <w:rFonts w:hint="eastAsia"/>
          <w:color w:val="auto"/>
          <w:lang w:val="en-US" w:eastAsia="zh-CN"/>
        </w:rPr>
        <w:t>540</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，罐区最大储罐容积为</w:t>
      </w:r>
      <w:r>
        <w:rPr>
          <w:rFonts w:hint="eastAsia"/>
          <w:color w:val="auto"/>
          <w:lang w:val="en-US" w:eastAsia="zh-CN"/>
        </w:rPr>
        <w:t>80</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，罐区防火堤可满足单个储罐泄漏收集要求，事故应急池可满足消防废水收集要求。</w:t>
      </w:r>
    </w:p>
    <w:p>
      <w:pPr>
        <w:ind w:firstLine="560" w:firstLineChars="200"/>
        <w:rPr>
          <w:rFonts w:hint="default"/>
          <w:color w:val="auto"/>
          <w:lang w:val="en-US" w:eastAsia="zh-CN"/>
        </w:rPr>
      </w:pPr>
      <w:r>
        <w:rPr>
          <w:rFonts w:hint="eastAsia"/>
          <w:color w:val="auto"/>
          <w:lang w:val="en-US" w:eastAsia="zh-CN"/>
        </w:rPr>
        <w:t>4、</w:t>
      </w:r>
      <w:r>
        <w:rPr>
          <w:rFonts w:hint="default"/>
          <w:color w:val="auto"/>
          <w:lang w:val="en-US" w:eastAsia="zh-CN"/>
        </w:rPr>
        <w:t>外部救援</w:t>
      </w:r>
    </w:p>
    <w:p>
      <w:pPr>
        <w:ind w:firstLine="560" w:firstLineChars="200"/>
        <w:rPr>
          <w:rFonts w:hint="default"/>
          <w:color w:val="auto"/>
          <w:lang w:val="en-US" w:eastAsia="zh-CN"/>
        </w:rPr>
      </w:pPr>
      <w:r>
        <w:rPr>
          <w:rFonts w:hint="default"/>
          <w:color w:val="auto"/>
          <w:lang w:val="en-US" w:eastAsia="zh-CN"/>
        </w:rPr>
        <w:t>该公司位于江西省</w:t>
      </w:r>
      <w:r>
        <w:rPr>
          <w:rFonts w:hint="eastAsia"/>
          <w:color w:val="auto"/>
          <w:lang w:val="en-US" w:eastAsia="zh-CN"/>
        </w:rPr>
        <w:t>宜春市袁州区医药工业园</w:t>
      </w:r>
      <w:r>
        <w:rPr>
          <w:rFonts w:hint="default"/>
          <w:color w:val="auto"/>
          <w:lang w:val="en-US" w:eastAsia="zh-CN"/>
        </w:rPr>
        <w:t>，交通便利，距离</w:t>
      </w:r>
      <w:r>
        <w:rPr>
          <w:rFonts w:hint="eastAsia"/>
          <w:color w:val="auto"/>
          <w:lang w:val="en-US" w:eastAsia="zh-CN"/>
        </w:rPr>
        <w:t>市区</w:t>
      </w:r>
      <w:r>
        <w:rPr>
          <w:rFonts w:hint="default"/>
          <w:color w:val="auto"/>
          <w:lang w:val="en-US" w:eastAsia="zh-CN"/>
        </w:rPr>
        <w:t>较近，一旦发生火灾，公司可以依靠</w:t>
      </w:r>
      <w:r>
        <w:rPr>
          <w:rFonts w:hint="eastAsia"/>
          <w:color w:val="auto"/>
          <w:lang w:val="en-US" w:eastAsia="zh-CN"/>
        </w:rPr>
        <w:t>宜春市袁州区消防救援大</w:t>
      </w:r>
      <w:r>
        <w:rPr>
          <w:rFonts w:hint="default"/>
          <w:color w:val="auto"/>
          <w:lang w:val="en-US" w:eastAsia="zh-CN"/>
        </w:rPr>
        <w:t>队的消防力量。</w:t>
      </w:r>
    </w:p>
    <w:p>
      <w:pPr>
        <w:pStyle w:val="4"/>
        <w:bidi w:val="0"/>
        <w:rPr>
          <w:rFonts w:hint="eastAsia"/>
          <w:color w:val="auto"/>
        </w:rPr>
      </w:pPr>
      <w:bookmarkStart w:id="272" w:name="_Toc2362"/>
      <w:bookmarkStart w:id="273" w:name="_Toc632"/>
      <w:bookmarkStart w:id="274" w:name="_Toc26687"/>
      <w:bookmarkStart w:id="275" w:name="_Toc18453"/>
      <w:bookmarkStart w:id="276" w:name="_Toc3292"/>
      <w:bookmarkStart w:id="277" w:name="_Toc3040"/>
      <w:bookmarkStart w:id="278" w:name="_Toc27700"/>
      <w:r>
        <w:rPr>
          <w:color w:val="auto"/>
        </w:rPr>
        <w:t>2.</w:t>
      </w:r>
      <w:r>
        <w:rPr>
          <w:rFonts w:hint="eastAsia"/>
          <w:color w:val="auto"/>
        </w:rPr>
        <w:t>8</w:t>
      </w:r>
      <w:r>
        <w:rPr>
          <w:color w:val="auto"/>
        </w:rPr>
        <w:t>.</w:t>
      </w:r>
      <w:r>
        <w:rPr>
          <w:rFonts w:hint="eastAsia"/>
          <w:color w:val="auto"/>
          <w:lang w:val="en-US" w:eastAsia="zh-CN"/>
        </w:rPr>
        <w:t>10</w:t>
      </w:r>
      <w:r>
        <w:rPr>
          <w:rFonts w:hint="eastAsia"/>
          <w:color w:val="auto"/>
        </w:rPr>
        <w:t>检维修</w:t>
      </w:r>
      <w:bookmarkEnd w:id="272"/>
      <w:bookmarkEnd w:id="273"/>
      <w:bookmarkEnd w:id="274"/>
      <w:bookmarkEnd w:id="275"/>
      <w:bookmarkEnd w:id="276"/>
      <w:bookmarkEnd w:id="277"/>
      <w:bookmarkEnd w:id="278"/>
    </w:p>
    <w:p>
      <w:pPr>
        <w:ind w:firstLine="560" w:firstLineChars="200"/>
        <w:rPr>
          <w:rFonts w:hint="eastAsia"/>
          <w:color w:val="auto"/>
          <w:sz w:val="28"/>
          <w:szCs w:val="28"/>
        </w:rPr>
      </w:pPr>
      <w:r>
        <w:rPr>
          <w:rFonts w:hint="eastAsia"/>
          <w:color w:val="auto"/>
          <w:sz w:val="28"/>
          <w:szCs w:val="28"/>
        </w:rPr>
        <w:t>利用公司的维修人员进行一般性维修，大型检修委托</w:t>
      </w:r>
      <w:r>
        <w:rPr>
          <w:rFonts w:hint="eastAsia"/>
          <w:color w:val="auto"/>
          <w:sz w:val="28"/>
          <w:szCs w:val="28"/>
          <w:lang w:val="en-US" w:eastAsia="zh-CN"/>
        </w:rPr>
        <w:t>有资质</w:t>
      </w:r>
      <w:r>
        <w:rPr>
          <w:rFonts w:hint="eastAsia"/>
          <w:color w:val="auto"/>
          <w:sz w:val="28"/>
          <w:szCs w:val="28"/>
        </w:rPr>
        <w:t>外单位进行。</w:t>
      </w:r>
    </w:p>
    <w:p>
      <w:pPr>
        <w:pStyle w:val="3"/>
        <w:bidi w:val="0"/>
        <w:rPr>
          <w:rFonts w:hint="eastAsia"/>
          <w:color w:val="auto"/>
          <w:lang w:val="en-US" w:eastAsia="zh-CN"/>
        </w:rPr>
      </w:pPr>
      <w:bookmarkStart w:id="279" w:name="_Toc30311"/>
      <w:bookmarkStart w:id="280" w:name="_Toc20187"/>
      <w:bookmarkStart w:id="281" w:name="_Toc5813"/>
      <w:bookmarkStart w:id="282" w:name="_Toc23374"/>
      <w:bookmarkStart w:id="283" w:name="_Toc1597"/>
      <w:bookmarkStart w:id="284" w:name="_Toc5354"/>
      <w:bookmarkStart w:id="285" w:name="_Toc18656"/>
      <w:r>
        <w:rPr>
          <w:rFonts w:hint="eastAsia"/>
          <w:color w:val="auto"/>
          <w:lang w:val="en-US" w:eastAsia="zh-CN"/>
        </w:rPr>
        <w:t>2.9三废处理</w:t>
      </w:r>
      <w:bookmarkEnd w:id="279"/>
      <w:bookmarkEnd w:id="280"/>
      <w:bookmarkEnd w:id="281"/>
      <w:bookmarkEnd w:id="282"/>
      <w:bookmarkEnd w:id="283"/>
      <w:bookmarkEnd w:id="284"/>
      <w:bookmarkEnd w:id="285"/>
    </w:p>
    <w:p>
      <w:pPr>
        <w:bidi w:val="0"/>
        <w:rPr>
          <w:rFonts w:hint="eastAsia"/>
          <w:color w:val="auto"/>
          <w:lang w:val="en-US" w:eastAsia="zh-CN"/>
        </w:rPr>
      </w:pPr>
      <w:r>
        <w:rPr>
          <w:rFonts w:hint="eastAsia"/>
          <w:color w:val="auto"/>
          <w:lang w:val="en-US" w:eastAsia="zh-CN"/>
        </w:rPr>
        <w:t xml:space="preserve">    1、废气</w:t>
      </w:r>
    </w:p>
    <w:p>
      <w:pPr>
        <w:bidi w:val="0"/>
        <w:ind w:firstLine="560" w:firstLineChars="200"/>
        <w:rPr>
          <w:rFonts w:hint="eastAsia" w:cs="Times New Roman"/>
          <w:color w:val="auto"/>
          <w:highlight w:val="none"/>
          <w:lang w:val="en-US" w:eastAsia="zh-CN"/>
        </w:rPr>
      </w:pPr>
      <w:r>
        <w:rPr>
          <w:rFonts w:hint="eastAsia" w:cs="Times New Roman"/>
          <w:color w:val="auto"/>
          <w:highlight w:val="none"/>
          <w:lang w:val="en-US" w:eastAsia="zh-CN"/>
        </w:rPr>
        <w:t>项目全厂配备2套废气处理设备，共设置2根排气筒（DA001、DA002），分别排放生产废气，具体如下：</w:t>
      </w:r>
    </w:p>
    <w:p>
      <w:pPr>
        <w:bidi w:val="0"/>
        <w:ind w:firstLine="560" w:firstLineChars="200"/>
        <w:rPr>
          <w:rFonts w:hint="eastAsia" w:cs="Times New Roman"/>
          <w:color w:val="auto"/>
          <w:highlight w:val="none"/>
          <w:lang w:val="en-US" w:eastAsia="zh-CN"/>
        </w:rPr>
      </w:pPr>
      <w:r>
        <w:rPr>
          <w:rFonts w:hint="eastAsia" w:cs="Times New Roman"/>
          <w:color w:val="auto"/>
          <w:highlight w:val="none"/>
          <w:lang w:val="en-US" w:eastAsia="zh-CN"/>
        </w:rPr>
        <w:t>DA001:排放破碎废气，高15m；</w:t>
      </w:r>
    </w:p>
    <w:p>
      <w:pPr>
        <w:bidi w:val="0"/>
        <w:ind w:firstLine="560" w:firstLineChars="200"/>
        <w:rPr>
          <w:rFonts w:hint="eastAsia" w:ascii="宋体" w:hAnsi="宋体" w:cs="宋体"/>
          <w:color w:val="auto"/>
          <w:highlight w:val="none"/>
          <w:lang w:val="en-US" w:eastAsia="zh-CN"/>
        </w:rPr>
      </w:pPr>
      <w:r>
        <w:rPr>
          <w:rFonts w:hint="eastAsia" w:cs="Times New Roman"/>
          <w:color w:val="auto"/>
          <w:highlight w:val="none"/>
          <w:lang w:val="en-US" w:eastAsia="zh-CN"/>
        </w:rPr>
        <w:t>DA002:排放裂解未凝气、精馏未凝气、储罐大小呼吸废气、TO燃烧废气，高15m。</w:t>
      </w:r>
    </w:p>
    <w:p>
      <w:pPr>
        <w:bidi w:val="0"/>
        <w:ind w:firstLine="560" w:firstLineChars="200"/>
        <w:rPr>
          <w:rFonts w:hint="eastAsia" w:ascii="宋体" w:hAnsi="宋体" w:eastAsia="宋体" w:cs="宋体"/>
          <w:color w:val="auto"/>
          <w:sz w:val="28"/>
          <w:szCs w:val="28"/>
          <w:highlight w:val="none"/>
          <w:lang w:eastAsia="zh-CN"/>
        </w:rPr>
      </w:pPr>
      <w:r>
        <w:rPr>
          <w:rFonts w:hint="eastAsia" w:cs="Times New Roman"/>
          <w:color w:val="auto"/>
          <w:highlight w:val="none"/>
          <w:lang w:val="en-US" w:eastAsia="zh-CN"/>
        </w:rPr>
        <w:t>该项目拟</w:t>
      </w:r>
      <w:r>
        <w:rPr>
          <w:rFonts w:hint="default" w:ascii="Times New Roman" w:hAnsi="Times New Roman" w:cs="Times New Roman"/>
          <w:color w:val="auto"/>
          <w:highlight w:val="none"/>
          <w:lang w:val="en-US" w:eastAsia="zh-CN"/>
        </w:rPr>
        <w:t>在裂解炉上方设置集气罩，将进料及除渣过程中逸散出来的有机废气采用集气罩收集后与裂解未凝气体及精馏未凝气体一同经一套冷凝器冷凝后再送往TO设备。</w:t>
      </w:r>
      <w:r>
        <w:rPr>
          <w:rFonts w:ascii="宋体" w:hAnsi="宋体" w:eastAsia="宋体" w:cs="宋体"/>
          <w:color w:val="auto"/>
          <w:sz w:val="28"/>
          <w:szCs w:val="28"/>
          <w:highlight w:val="none"/>
        </w:rPr>
        <w:t>另外要求工作人员在投料及除渣完毕后立即盖上裂解炉盖，尽量缩短投料及除渣时间，并加强裂解车间的机械通风及厂区绿化，加快无组织进料及除渣废气于车间内的扩散</w:t>
      </w:r>
      <w:r>
        <w:rPr>
          <w:rFonts w:hint="eastAsia" w:ascii="宋体" w:hAnsi="宋体" w:eastAsia="宋体" w:cs="宋体"/>
          <w:color w:val="auto"/>
          <w:sz w:val="28"/>
          <w:szCs w:val="28"/>
          <w:highlight w:val="none"/>
          <w:lang w:eastAsia="zh-CN"/>
        </w:rPr>
        <w:t>。</w:t>
      </w:r>
    </w:p>
    <w:p>
      <w:pPr>
        <w:bidi w:val="0"/>
        <w:ind w:firstLine="56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裂解工序的废气在进料和除渣时会有0.1%的废气以无组织形式排放，其他时候裂 解和精馏工序设备都是密闭的，废气通过与设备连接的管道收集。</w:t>
      </w:r>
    </w:p>
    <w:p>
      <w:pPr>
        <w:bidi w:val="0"/>
        <w:ind w:firstLine="56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项目储罐区废气经管道收集后</w:t>
      </w:r>
      <w:r>
        <w:rPr>
          <w:rFonts w:hint="eastAsia" w:cs="Times New Roman"/>
          <w:color w:val="auto"/>
          <w:highlight w:val="none"/>
          <w:lang w:val="en-US" w:eastAsia="zh-CN"/>
        </w:rPr>
        <w:t>引至TO炉焚烧</w:t>
      </w:r>
      <w:r>
        <w:rPr>
          <w:rFonts w:hint="default" w:ascii="Times New Roman" w:hAnsi="Times New Roman" w:cs="Times New Roman"/>
          <w:color w:val="auto"/>
          <w:highlight w:val="none"/>
          <w:lang w:val="en-US" w:eastAsia="zh-CN"/>
        </w:rPr>
        <w:t>，有少部分未收集废气以无组织形式排放</w:t>
      </w:r>
      <w:r>
        <w:rPr>
          <w:rFonts w:hint="eastAsia" w:cs="Times New Roman"/>
          <w:color w:val="auto"/>
          <w:highlight w:val="none"/>
          <w:lang w:val="en-US" w:eastAsia="zh-CN"/>
        </w:rPr>
        <w:t>。</w:t>
      </w:r>
    </w:p>
    <w:p>
      <w:pPr>
        <w:bidi w:val="0"/>
        <w:ind w:firstLine="560" w:firstLineChars="200"/>
        <w:rPr>
          <w:rFonts w:hint="eastAsia"/>
          <w:color w:val="auto"/>
          <w:lang w:val="en-US" w:eastAsia="zh-CN"/>
        </w:rPr>
      </w:pPr>
      <w:r>
        <w:rPr>
          <w:rFonts w:hint="eastAsia"/>
          <w:color w:val="auto"/>
          <w:lang w:val="en-US" w:eastAsia="zh-CN"/>
        </w:rPr>
        <w:t>2、废水</w:t>
      </w:r>
    </w:p>
    <w:p>
      <w:pPr>
        <w:bidi w:val="0"/>
        <w:ind w:firstLine="560" w:firstLineChars="200"/>
        <w:rPr>
          <w:rFonts w:hint="default"/>
          <w:color w:val="auto"/>
          <w:lang w:val="en-US" w:eastAsia="zh-CN"/>
        </w:rPr>
      </w:pPr>
      <w:r>
        <w:rPr>
          <w:rFonts w:hint="default"/>
          <w:color w:val="auto"/>
          <w:lang w:val="en-US" w:eastAsia="zh-CN"/>
        </w:rPr>
        <w:t>本项目生活废水经化粪池处理后满足宜春经开区污水处理厂接管标准，经污水处理厂深度处理，处理后尾水执行《城镇污水处理厂污染物排放标准》（GB18918-2002）中一级A标准，最终排入袁河。</w:t>
      </w:r>
    </w:p>
    <w:p>
      <w:pPr>
        <w:bidi w:val="0"/>
        <w:ind w:firstLine="560" w:firstLineChars="200"/>
        <w:rPr>
          <w:rFonts w:hint="default"/>
          <w:color w:val="auto"/>
          <w:lang w:val="en-US" w:eastAsia="zh-CN"/>
        </w:rPr>
      </w:pPr>
      <w:r>
        <w:rPr>
          <w:rFonts w:hint="default"/>
          <w:color w:val="auto"/>
          <w:lang w:val="en-US" w:eastAsia="zh-CN"/>
        </w:rPr>
        <w:t>本项目已位于</w:t>
      </w:r>
      <w:r>
        <w:rPr>
          <w:rFonts w:hint="eastAsia"/>
          <w:color w:val="auto"/>
          <w:lang w:val="en-US" w:eastAsia="zh-CN"/>
        </w:rPr>
        <w:t>宜春经开区</w:t>
      </w:r>
      <w:r>
        <w:rPr>
          <w:rFonts w:hint="default"/>
          <w:color w:val="auto"/>
          <w:lang w:val="en-US" w:eastAsia="zh-CN"/>
        </w:rPr>
        <w:t>污水处理厂服务范围内，项目废水可纳入该污水处理厂处理，本项目废水排放占污水处理厂设计处理能力的 0.0096%，生活废水水质相对简单对污水处理厂的负荷影响较小。因此，项目废水依托宜春经开区污水处理厂处理可行。在废水排放口应设置转换阀，当发生废水事故性排放时，可关闭阀门，防止废水超标排放。循环水由于设备失灵管道破裂等原因造成泄漏后应立即停止生产，关闭全厂排雨水管道出口总阀，采用沙袋堵住出口，将废水引至雨水处理池进行处理。</w:t>
      </w:r>
    </w:p>
    <w:p>
      <w:pPr>
        <w:numPr>
          <w:ilvl w:val="0"/>
          <w:numId w:val="0"/>
        </w:numPr>
        <w:bidi w:val="0"/>
        <w:ind w:firstLine="560" w:firstLineChars="200"/>
        <w:rPr>
          <w:rFonts w:hint="default"/>
          <w:color w:val="auto"/>
          <w:highlight w:val="none"/>
          <w:lang w:val="en-US" w:eastAsia="zh-CN"/>
        </w:rPr>
      </w:pPr>
      <w:bookmarkStart w:id="286" w:name="_Toc19216"/>
      <w:bookmarkStart w:id="287" w:name="_Toc26795"/>
      <w:bookmarkStart w:id="288" w:name="_Toc25256"/>
      <w:bookmarkStart w:id="289" w:name="_Toc23379"/>
      <w:bookmarkStart w:id="290" w:name="_Toc7627"/>
      <w:bookmarkStart w:id="291" w:name="_Toc19368"/>
      <w:r>
        <w:rPr>
          <w:rFonts w:hint="eastAsia" w:ascii="Times New Roman" w:hAnsi="Times New Roman" w:eastAsia="宋体" w:cs="Times New Roman"/>
          <w:color w:val="auto"/>
          <w:kern w:val="2"/>
          <w:sz w:val="28"/>
          <w:szCs w:val="24"/>
          <w:highlight w:val="none"/>
          <w:lang w:val="en-US" w:eastAsia="zh-CN" w:bidi="ar-SA"/>
        </w:rPr>
        <w:t>3、</w:t>
      </w:r>
      <w:r>
        <w:rPr>
          <w:rFonts w:hint="eastAsia"/>
          <w:color w:val="auto"/>
          <w:highlight w:val="none"/>
          <w:lang w:val="en-US" w:eastAsia="zh-CN"/>
        </w:rPr>
        <w:t>固废</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 xml:space="preserve">项目固体废弃物主要是工业固体废物和生活垃圾。 </w:t>
      </w:r>
    </w:p>
    <w:p>
      <w:pPr>
        <w:numPr>
          <w:ilvl w:val="0"/>
          <w:numId w:val="5"/>
        </w:numPr>
        <w:bidi w:val="0"/>
        <w:ind w:firstLine="560" w:firstLineChars="200"/>
        <w:rPr>
          <w:rFonts w:hint="default"/>
          <w:color w:val="auto"/>
          <w:highlight w:val="none"/>
          <w:lang w:val="en-US" w:eastAsia="zh-CN"/>
        </w:rPr>
      </w:pPr>
      <w:r>
        <w:rPr>
          <w:rFonts w:hint="default"/>
          <w:color w:val="auto"/>
          <w:highlight w:val="none"/>
          <w:lang w:val="en-US" w:eastAsia="zh-CN"/>
        </w:rPr>
        <w:t xml:space="preserve">一般工业固体废物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主要来源于生产过程中S1除尘布袋收集的粉尘、S2除尘废布袋、S3分拣杂物。</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①收集的粉尘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根据工程分析，</w:t>
      </w:r>
      <w:r>
        <w:rPr>
          <w:rFonts w:hint="eastAsia"/>
          <w:color w:val="auto"/>
          <w:highlight w:val="none"/>
          <w:lang w:val="en-US" w:eastAsia="zh-CN"/>
        </w:rPr>
        <w:t>该</w:t>
      </w:r>
      <w:r>
        <w:rPr>
          <w:rFonts w:hint="default"/>
          <w:color w:val="auto"/>
          <w:highlight w:val="none"/>
          <w:lang w:val="en-US" w:eastAsia="zh-CN"/>
        </w:rPr>
        <w:t xml:space="preserve">项目除尘布袋收集的粉尘约7.34t/a。收集后外售处理。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②除尘废布袋</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除尘废布袋由生产厂家回收，正常使用情况下布袋除尘器中布袋的更换周期约为2年一换，根据建设单位提供的设备资料，布袋除尘器内布袋条数总计为288个。则平均年产生废布袋144个。</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③分拣杂物</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项目外购的亚克力板表面有纸塑包装、标签等，在挑选过程由人工剥离，该过程会产生一定量的挑拣杂物，其产生量约为221.95t/a。收集后统一外售给废品回收站。 </w:t>
      </w:r>
    </w:p>
    <w:p>
      <w:pPr>
        <w:numPr>
          <w:ilvl w:val="0"/>
          <w:numId w:val="5"/>
        </w:numPr>
        <w:bidi w:val="0"/>
        <w:ind w:firstLine="560" w:firstLineChars="200"/>
        <w:rPr>
          <w:rFonts w:hint="default"/>
          <w:color w:val="auto"/>
          <w:highlight w:val="none"/>
          <w:lang w:val="en-US" w:eastAsia="zh-CN"/>
        </w:rPr>
      </w:pPr>
      <w:r>
        <w:rPr>
          <w:rFonts w:hint="default"/>
          <w:color w:val="auto"/>
          <w:highlight w:val="none"/>
          <w:lang w:val="en-US" w:eastAsia="zh-CN"/>
        </w:rPr>
        <w:t>生活垃圾：</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本项目员工共计</w:t>
      </w:r>
      <w:r>
        <w:rPr>
          <w:rFonts w:hint="eastAsia"/>
          <w:color w:val="auto"/>
          <w:highlight w:val="none"/>
          <w:lang w:val="en-US" w:eastAsia="zh-CN"/>
        </w:rPr>
        <w:t>30</w:t>
      </w:r>
      <w:r>
        <w:rPr>
          <w:rFonts w:hint="default"/>
          <w:color w:val="auto"/>
          <w:highlight w:val="none"/>
          <w:lang w:val="en-US" w:eastAsia="zh-CN"/>
        </w:rPr>
        <w:t xml:space="preserve">人，生活垃圾按人均垃圾量1.0kg/（人·d）估算，则生活垃圾产生量9t/a。生活垃圾分类收集后，由环卫部门统一清运处置。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（3）危险废物</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①裂解残渣 </w:t>
      </w:r>
    </w:p>
    <w:p>
      <w:pPr>
        <w:bidi w:val="0"/>
        <w:ind w:firstLine="560" w:firstLineChars="200"/>
        <w:rPr>
          <w:rFonts w:hint="default"/>
          <w:color w:val="auto"/>
          <w:highlight w:val="none"/>
          <w:lang w:val="en-US" w:eastAsia="zh-CN"/>
        </w:rPr>
      </w:pPr>
      <w:r>
        <w:rPr>
          <w:rFonts w:hint="default"/>
          <w:color w:val="auto"/>
          <w:highlight w:val="none"/>
          <w:lang w:val="en-US" w:eastAsia="zh-CN"/>
        </w:rPr>
        <w:t>根据物料平衡分析可知，项目裂解炉裂解过程中将产生一定量的残渣，产生量约为109.83t/a，据查《国家危险废物名录（2021年版）》，裂解残渣属于"HW11精（蒸） 馏残渣"中非特定行业900-013-11其他化工生产过程（不包括以生物质为主要原料的 加工过程）中精馏、蒸馏和热解工艺产生的高沸点釜底残余物。裂解残渣收集后暂存在</w:t>
      </w:r>
      <w:r>
        <w:rPr>
          <w:rFonts w:hint="eastAsia"/>
          <w:color w:val="auto"/>
          <w:highlight w:val="none"/>
          <w:lang w:val="en-US" w:eastAsia="zh-CN"/>
        </w:rPr>
        <w:t>甲类仓库危废间</w:t>
      </w:r>
      <w:r>
        <w:rPr>
          <w:rFonts w:hint="default"/>
          <w:color w:val="auto"/>
          <w:highlight w:val="none"/>
          <w:lang w:val="en-US" w:eastAsia="zh-CN"/>
        </w:rPr>
        <w:t>储存桶中，并委托有相应资质的单位处置。</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②废矿物油 </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废物类别：HW08废矿物油与含矿物油废物，废物代码：900-249-08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项目在设备维护、维修过程中产生的废矿物油约为0.02t/a，定期交由有资质的单位综合利用。</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③废油桶 </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废物类别：HW08废矿物油与含矿物油废物，废物代码：900-249-08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项目产生的废矿物油包装桶约为0.01t/a，定期交由有资质的单位综合利用。</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④精馏残液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项目废甲酯罐收集的精馏残液约1790.99t/a</w:t>
      </w:r>
      <w:r>
        <w:rPr>
          <w:rFonts w:hint="eastAsia"/>
          <w:color w:val="auto"/>
          <w:highlight w:val="none"/>
          <w:lang w:val="en-US" w:eastAsia="zh-CN"/>
        </w:rPr>
        <w:t>，</w:t>
      </w:r>
      <w:r>
        <w:rPr>
          <w:rFonts w:hint="default"/>
          <w:color w:val="auto"/>
          <w:highlight w:val="none"/>
          <w:lang w:val="en-US" w:eastAsia="zh-CN"/>
        </w:rPr>
        <w:t>精馏残液</w:t>
      </w:r>
      <w:r>
        <w:rPr>
          <w:rFonts w:hint="eastAsia"/>
          <w:color w:val="auto"/>
          <w:highlight w:val="none"/>
          <w:lang w:val="en-US" w:eastAsia="zh-CN"/>
        </w:rPr>
        <w:t>（主要成分：聚甲基丙烯酸甲酯、2-甲基5亚甲基己二酸二甲酯、环己烯（烷）二甲酸二甲酯类、环戊烯（烷）二甲酸二甲酯类等），精馏残液作为燃料油供TO炉，TO炉预估年消耗燃料油200~1500t/a</w:t>
      </w:r>
      <w:r>
        <w:rPr>
          <w:rFonts w:hint="default"/>
          <w:color w:val="auto"/>
          <w:highlight w:val="none"/>
          <w:lang w:val="en-US" w:eastAsia="zh-CN"/>
        </w:rPr>
        <w:t>。裂解炉残渣</w:t>
      </w:r>
      <w:r>
        <w:rPr>
          <w:rFonts w:hint="eastAsia"/>
          <w:color w:val="auto"/>
          <w:highlight w:val="none"/>
          <w:lang w:val="en-US" w:eastAsia="zh-CN"/>
        </w:rPr>
        <w:t>（主要成分：硬脂酸、邻苯二甲酸二丁酯）</w:t>
      </w:r>
      <w:r>
        <w:rPr>
          <w:rFonts w:hint="default"/>
          <w:color w:val="auto"/>
          <w:highlight w:val="none"/>
          <w:lang w:val="en-US" w:eastAsia="zh-CN"/>
        </w:rPr>
        <w:t>委托具有危险固废处置资质的单位进行处理。</w:t>
      </w:r>
    </w:p>
    <w:p>
      <w:pPr>
        <w:bidi w:val="0"/>
        <w:ind w:firstLine="560" w:firstLineChars="200"/>
        <w:rPr>
          <w:rFonts w:hint="default"/>
          <w:color w:val="auto"/>
          <w:highlight w:val="yellow"/>
          <w:lang w:val="en-US" w:eastAsia="zh-CN"/>
        </w:rPr>
      </w:pPr>
      <w:r>
        <w:rPr>
          <w:rFonts w:hint="default"/>
          <w:color w:val="auto"/>
          <w:highlight w:val="none"/>
          <w:lang w:val="en-US" w:eastAsia="zh-CN"/>
        </w:rPr>
        <w:t>生活垃圾委托环卫部门处置。</w:t>
      </w:r>
    </w:p>
    <w:p>
      <w:pPr>
        <w:pStyle w:val="3"/>
        <w:bidi w:val="0"/>
        <w:rPr>
          <w:color w:val="auto"/>
        </w:rPr>
      </w:pPr>
      <w:bookmarkStart w:id="292" w:name="_Toc23907"/>
      <w:r>
        <w:rPr>
          <w:color w:val="auto"/>
        </w:rPr>
        <w:t>2.</w:t>
      </w:r>
      <w:r>
        <w:rPr>
          <w:rFonts w:hint="eastAsia"/>
          <w:color w:val="auto"/>
          <w:lang w:val="en-US" w:eastAsia="zh-CN"/>
        </w:rPr>
        <w:t>10</w:t>
      </w:r>
      <w:r>
        <w:rPr>
          <w:color w:val="auto"/>
        </w:rPr>
        <w:t>组织机构及人员组成</w:t>
      </w:r>
      <w:bookmarkEnd w:id="286"/>
      <w:bookmarkEnd w:id="287"/>
      <w:bookmarkEnd w:id="288"/>
      <w:bookmarkEnd w:id="289"/>
      <w:bookmarkEnd w:id="290"/>
      <w:bookmarkEnd w:id="291"/>
      <w:bookmarkEnd w:id="292"/>
    </w:p>
    <w:p>
      <w:pPr>
        <w:ind w:firstLine="560" w:firstLineChars="200"/>
        <w:rPr>
          <w:rFonts w:hint="eastAsia" w:hAnsi="宋体"/>
          <w:bCs/>
          <w:color w:val="auto"/>
          <w:sz w:val="28"/>
          <w:szCs w:val="28"/>
        </w:rPr>
      </w:pPr>
      <w:r>
        <w:rPr>
          <w:rFonts w:hint="eastAsia" w:hAnsi="宋体"/>
          <w:bCs/>
          <w:color w:val="auto"/>
          <w:sz w:val="28"/>
          <w:szCs w:val="28"/>
        </w:rPr>
        <w:t>1、组织机构</w:t>
      </w:r>
    </w:p>
    <w:p>
      <w:pPr>
        <w:ind w:firstLine="560" w:firstLineChars="200"/>
        <w:rPr>
          <w:rFonts w:hint="eastAsia" w:hAnsi="宋体"/>
          <w:bCs/>
          <w:color w:val="auto"/>
          <w:sz w:val="28"/>
          <w:szCs w:val="28"/>
        </w:rPr>
      </w:pPr>
      <w:r>
        <w:rPr>
          <w:rFonts w:hint="eastAsia" w:hAnsi="宋体"/>
          <w:bCs/>
          <w:color w:val="auto"/>
          <w:sz w:val="28"/>
          <w:szCs w:val="28"/>
          <w:lang w:eastAsia="zh-CN"/>
        </w:rPr>
        <w:t>该项目为江西旺达新材料有限公司建设工程，建成投产后，将借鉴国内的先进管理模式。采用可靠的工艺和自动化控制，确保全厂安全运行。</w:t>
      </w:r>
      <w:r>
        <w:rPr>
          <w:rFonts w:hint="eastAsia" w:hAnsi="宋体"/>
          <w:bCs/>
          <w:color w:val="auto"/>
          <w:sz w:val="28"/>
          <w:szCs w:val="28"/>
        </w:rPr>
        <w:t>建立一套完整的工厂体制和组织机构，采用公司、车间、班组三级管理。</w:t>
      </w:r>
    </w:p>
    <w:p>
      <w:pPr>
        <w:ind w:firstLine="560" w:firstLineChars="200"/>
        <w:rPr>
          <w:rFonts w:hint="eastAsia" w:hAnsi="宋体"/>
          <w:bCs/>
          <w:color w:val="auto"/>
          <w:sz w:val="28"/>
          <w:szCs w:val="28"/>
        </w:rPr>
      </w:pPr>
      <w:r>
        <w:rPr>
          <w:rFonts w:hint="eastAsia" w:hAnsi="宋体"/>
          <w:bCs/>
          <w:color w:val="auto"/>
          <w:sz w:val="28"/>
          <w:szCs w:val="28"/>
        </w:rPr>
        <w:t>该公司办公场所</w:t>
      </w:r>
      <w:r>
        <w:rPr>
          <w:rFonts w:hint="eastAsia" w:hAnsi="宋体"/>
          <w:bCs/>
          <w:color w:val="auto"/>
          <w:sz w:val="28"/>
          <w:szCs w:val="28"/>
          <w:lang w:val="en-US" w:eastAsia="zh-CN"/>
        </w:rPr>
        <w:t>为该项目401综合</w:t>
      </w:r>
      <w:r>
        <w:rPr>
          <w:rFonts w:hint="eastAsia" w:hAnsi="宋体"/>
          <w:bCs/>
          <w:color w:val="auto"/>
          <w:sz w:val="28"/>
          <w:szCs w:val="28"/>
        </w:rPr>
        <w:t>楼，公司拟设置办公室、销售部、供应部、生产部、财务部、质保部、研发部等部门，主要管理人员招收具有多年的领导与管理经验的人员。</w:t>
      </w:r>
    </w:p>
    <w:p>
      <w:pPr>
        <w:autoSpaceDE w:val="0"/>
        <w:autoSpaceDN w:val="0"/>
        <w:adjustRightInd w:val="0"/>
        <w:ind w:firstLine="560" w:firstLineChars="200"/>
        <w:jc w:val="left"/>
        <w:rPr>
          <w:color w:val="auto"/>
          <w:kern w:val="0"/>
          <w:sz w:val="28"/>
          <w:szCs w:val="28"/>
        </w:rPr>
      </w:pPr>
      <w:bookmarkStart w:id="293" w:name="_Toc130178476"/>
      <w:r>
        <w:rPr>
          <w:rFonts w:hint="eastAsia"/>
          <w:color w:val="auto"/>
          <w:kern w:val="0"/>
          <w:sz w:val="28"/>
          <w:szCs w:val="28"/>
        </w:rPr>
        <w:t>2、</w:t>
      </w:r>
      <w:r>
        <w:rPr>
          <w:rFonts w:hint="eastAsia" w:cs="宋体"/>
          <w:color w:val="auto"/>
          <w:kern w:val="0"/>
          <w:sz w:val="28"/>
          <w:szCs w:val="28"/>
        </w:rPr>
        <w:t>生产班制及定员</w:t>
      </w:r>
    </w:p>
    <w:bookmarkEnd w:id="293"/>
    <w:p>
      <w:pPr>
        <w:ind w:firstLine="560" w:firstLineChars="200"/>
        <w:rPr>
          <w:rFonts w:hint="eastAsia"/>
          <w:snapToGrid w:val="0"/>
          <w:color w:val="auto"/>
          <w:kern w:val="0"/>
          <w:sz w:val="28"/>
          <w:szCs w:val="28"/>
          <w:highlight w:val="none"/>
          <w:lang w:eastAsia="zh-CN"/>
        </w:rPr>
      </w:pPr>
      <w:r>
        <w:rPr>
          <w:snapToGrid w:val="0"/>
          <w:color w:val="auto"/>
          <w:kern w:val="0"/>
          <w:sz w:val="28"/>
          <w:szCs w:val="28"/>
          <w:highlight w:val="none"/>
        </w:rPr>
        <w:t>生产车间按岗位操作定员编制，生产管理按管理岗位定员编制。</w:t>
      </w:r>
      <w:r>
        <w:rPr>
          <w:rFonts w:hint="eastAsia"/>
          <w:snapToGrid w:val="0"/>
          <w:color w:val="auto"/>
          <w:kern w:val="0"/>
          <w:sz w:val="28"/>
          <w:szCs w:val="28"/>
          <w:highlight w:val="none"/>
        </w:rPr>
        <w:t>该项目</w:t>
      </w:r>
      <w:r>
        <w:rPr>
          <w:snapToGrid w:val="0"/>
          <w:color w:val="auto"/>
          <w:kern w:val="0"/>
          <w:sz w:val="28"/>
          <w:szCs w:val="28"/>
          <w:highlight w:val="none"/>
        </w:rPr>
        <w:t>定员为</w:t>
      </w:r>
      <w:r>
        <w:rPr>
          <w:rFonts w:hint="eastAsia"/>
          <w:snapToGrid w:val="0"/>
          <w:color w:val="auto"/>
          <w:kern w:val="0"/>
          <w:sz w:val="28"/>
          <w:szCs w:val="28"/>
          <w:highlight w:val="none"/>
          <w:lang w:val="en-US" w:eastAsia="zh-CN"/>
        </w:rPr>
        <w:t>55</w:t>
      </w:r>
      <w:r>
        <w:rPr>
          <w:snapToGrid w:val="0"/>
          <w:color w:val="auto"/>
          <w:kern w:val="0"/>
          <w:sz w:val="28"/>
          <w:szCs w:val="28"/>
          <w:highlight w:val="none"/>
        </w:rPr>
        <w:t>人，</w:t>
      </w:r>
      <w:r>
        <w:rPr>
          <w:rFonts w:hint="eastAsia"/>
          <w:snapToGrid w:val="0"/>
          <w:color w:val="auto"/>
          <w:kern w:val="0"/>
          <w:sz w:val="28"/>
          <w:szCs w:val="28"/>
          <w:highlight w:val="none"/>
        </w:rPr>
        <w:t>其中</w:t>
      </w:r>
      <w:r>
        <w:rPr>
          <w:rFonts w:hint="eastAsia"/>
          <w:snapToGrid w:val="0"/>
          <w:color w:val="auto"/>
          <w:kern w:val="0"/>
          <w:sz w:val="28"/>
          <w:szCs w:val="28"/>
          <w:highlight w:val="none"/>
          <w:lang w:val="en-US" w:eastAsia="zh-CN"/>
        </w:rPr>
        <w:t>工人24，技术及管理人员21人</w:t>
      </w:r>
      <w:r>
        <w:rPr>
          <w:rFonts w:hint="eastAsia"/>
          <w:snapToGrid w:val="0"/>
          <w:color w:val="auto"/>
          <w:kern w:val="0"/>
          <w:sz w:val="28"/>
          <w:szCs w:val="28"/>
          <w:highlight w:val="none"/>
          <w:lang w:eastAsia="zh-CN"/>
        </w:rPr>
        <w:t>。</w:t>
      </w:r>
    </w:p>
    <w:p>
      <w:pPr>
        <w:ind w:firstLine="560" w:firstLineChars="200"/>
        <w:rPr>
          <w:rFonts w:hint="eastAsia"/>
          <w:color w:val="auto"/>
          <w:sz w:val="28"/>
          <w:highlight w:val="none"/>
        </w:rPr>
      </w:pPr>
      <w:r>
        <w:rPr>
          <w:rFonts w:hint="eastAsia"/>
          <w:snapToGrid w:val="0"/>
          <w:color w:val="auto"/>
          <w:kern w:val="0"/>
          <w:sz w:val="28"/>
          <w:szCs w:val="28"/>
          <w:highlight w:val="none"/>
        </w:rPr>
        <w:t>根据国家制定的工业卫生和劳动保护等条文规定，并参考国内同类型企业现行合理的工作班次制度要求。该项目</w:t>
      </w:r>
      <w:r>
        <w:rPr>
          <w:rFonts w:hint="eastAsia"/>
          <w:snapToGrid w:val="0"/>
          <w:color w:val="auto"/>
          <w:kern w:val="0"/>
          <w:sz w:val="28"/>
          <w:szCs w:val="28"/>
          <w:highlight w:val="none"/>
          <w:lang w:val="en-US" w:eastAsia="zh-CN"/>
        </w:rPr>
        <w:t>实行四班三倒运转工作制，每班8小时。对于其他生产部门及辅助生产的重要部门，如供电、供水等实行三班工作制，每班工作 8 小时。其他工种可考虑两班或一班工作制，每班工作8 小时。年工作300日</w:t>
      </w:r>
      <w:r>
        <w:rPr>
          <w:rFonts w:hint="eastAsia"/>
          <w:snapToGrid w:val="0"/>
          <w:color w:val="auto"/>
          <w:kern w:val="0"/>
          <w:sz w:val="28"/>
          <w:szCs w:val="28"/>
          <w:highlight w:val="none"/>
        </w:rPr>
        <w:t>。</w:t>
      </w:r>
    </w:p>
    <w:p>
      <w:pPr>
        <w:ind w:firstLine="560" w:firstLineChars="200"/>
        <w:rPr>
          <w:rFonts w:hint="eastAsia"/>
          <w:color w:val="auto"/>
          <w:sz w:val="28"/>
        </w:rPr>
      </w:pPr>
      <w:r>
        <w:rPr>
          <w:rFonts w:hint="eastAsia"/>
          <w:color w:val="auto"/>
          <w:sz w:val="28"/>
        </w:rPr>
        <w:t>3、人员培训情况</w:t>
      </w:r>
    </w:p>
    <w:p>
      <w:pPr>
        <w:ind w:firstLine="560" w:firstLineChars="200"/>
        <w:rPr>
          <w:color w:val="auto"/>
          <w:sz w:val="28"/>
          <w:szCs w:val="28"/>
        </w:rPr>
      </w:pPr>
      <w:r>
        <w:rPr>
          <w:color w:val="auto"/>
          <w:sz w:val="28"/>
          <w:szCs w:val="28"/>
        </w:rPr>
        <w:t>在</w:t>
      </w:r>
      <w:r>
        <w:rPr>
          <w:rFonts w:hint="eastAsia"/>
          <w:color w:val="auto"/>
          <w:sz w:val="28"/>
          <w:szCs w:val="28"/>
        </w:rPr>
        <w:t>项目</w:t>
      </w:r>
      <w:r>
        <w:rPr>
          <w:color w:val="auto"/>
          <w:sz w:val="28"/>
          <w:szCs w:val="28"/>
        </w:rPr>
        <w:t>投产前聘请一些安全、技术及生产专家对技术和生产操作人员进行全面的培训；特种设备操作工除招收部分持证人员外，其余人员送往</w:t>
      </w:r>
      <w:r>
        <w:rPr>
          <w:rFonts w:hint="eastAsia"/>
          <w:color w:val="auto"/>
          <w:sz w:val="28"/>
          <w:szCs w:val="28"/>
        </w:rPr>
        <w:t>安监</w:t>
      </w:r>
      <w:r>
        <w:rPr>
          <w:color w:val="auto"/>
          <w:sz w:val="28"/>
          <w:szCs w:val="28"/>
        </w:rPr>
        <w:t>部门进行专业技能培训，并要求通过考核取得特种设备操作证，确保持证上岗；运转设备的培训由供货方在设备调试阶段一并解决；主要技术人员、生产操作人员及设备维修人员提前招收进厂，参加工程安装的全过程，以利试车投产及装置生产的正常运转。</w:t>
      </w:r>
    </w:p>
    <w:p>
      <w:pPr>
        <w:ind w:firstLine="560" w:firstLineChars="200"/>
        <w:rPr>
          <w:color w:val="auto"/>
          <w:sz w:val="28"/>
          <w:szCs w:val="28"/>
        </w:rPr>
      </w:pPr>
      <w:r>
        <w:rPr>
          <w:color w:val="auto"/>
          <w:sz w:val="28"/>
          <w:szCs w:val="28"/>
        </w:rPr>
        <w:t>采取国内培训、自行培训相结合的方法。对关键技术岗位的主要技术人员和管理人员可安排到先进企业进行考察培训。国内培训可将生产车间操作工人派往国内有类似生产工艺的化学工业企业的相应岗位进行产前技术培训，所有培训人员考试合格后，持证上岗，并需定期进行再培训及考核。</w:t>
      </w:r>
    </w:p>
    <w:p>
      <w:pPr>
        <w:bidi w:val="0"/>
        <w:rPr>
          <w:color w:val="auto"/>
        </w:rPr>
      </w:pPr>
    </w:p>
    <w:p>
      <w:pPr>
        <w:bidi w:val="0"/>
        <w:rPr>
          <w:color w:val="auto"/>
        </w:rPr>
      </w:pPr>
    </w:p>
    <w:p>
      <w:pPr>
        <w:bidi w:val="0"/>
        <w:rPr>
          <w:color w:val="auto"/>
        </w:rPr>
      </w:pPr>
    </w:p>
    <w:p>
      <w:pPr>
        <w:pStyle w:val="2"/>
        <w:rPr>
          <w:color w:val="auto"/>
        </w:rPr>
      </w:pPr>
      <w:bookmarkStart w:id="294" w:name="_Toc2215"/>
      <w:bookmarkStart w:id="295" w:name="_Toc12793"/>
      <w:bookmarkStart w:id="296" w:name="_Toc27126"/>
      <w:bookmarkStart w:id="297" w:name="_Toc10869"/>
      <w:bookmarkStart w:id="298" w:name="_Toc15024"/>
      <w:bookmarkStart w:id="299" w:name="_Toc15966"/>
      <w:bookmarkStart w:id="300" w:name="_Toc20983"/>
      <w:r>
        <w:rPr>
          <w:rFonts w:hint="default" w:ascii="Times New Roman" w:hAnsi="Times New Roman" w:cs="Times New Roman"/>
          <w:color w:val="auto"/>
          <w:sz w:val="32"/>
          <w:szCs w:val="48"/>
        </w:rPr>
        <w:t>3</w:t>
      </w:r>
      <w:r>
        <w:rPr>
          <w:rFonts w:hint="eastAsia" w:ascii="黑体" w:eastAsia="黑体"/>
          <w:color w:val="auto"/>
          <w:sz w:val="32"/>
          <w:szCs w:val="32"/>
        </w:rPr>
        <w:t>危险、有害因素的辨识结果及依据说明</w:t>
      </w:r>
      <w:bookmarkEnd w:id="294"/>
      <w:bookmarkEnd w:id="295"/>
      <w:bookmarkEnd w:id="296"/>
      <w:bookmarkEnd w:id="297"/>
      <w:bookmarkEnd w:id="298"/>
      <w:bookmarkEnd w:id="299"/>
      <w:bookmarkEnd w:id="300"/>
    </w:p>
    <w:p>
      <w:pPr>
        <w:pStyle w:val="3"/>
        <w:keepNext/>
        <w:keepLines/>
        <w:pageBreakBefore w:val="0"/>
        <w:widowControl w:val="0"/>
        <w:tabs>
          <w:tab w:val="clear" w:pos="3465"/>
        </w:tabs>
        <w:kinsoku/>
        <w:wordWrap/>
        <w:overflowPunct/>
        <w:topLinePunct w:val="0"/>
        <w:autoSpaceDE/>
        <w:autoSpaceDN/>
        <w:bidi w:val="0"/>
        <w:adjustRightInd/>
        <w:snapToGrid/>
        <w:spacing w:before="0" w:after="0" w:line="240" w:lineRule="auto"/>
        <w:textAlignment w:val="auto"/>
        <w:rPr>
          <w:rFonts w:hint="eastAsia"/>
          <w:color w:val="auto"/>
          <w:szCs w:val="28"/>
        </w:rPr>
      </w:pPr>
      <w:bookmarkStart w:id="301" w:name="_Toc23033"/>
      <w:bookmarkStart w:id="302" w:name="_Toc13042"/>
      <w:bookmarkStart w:id="303" w:name="_Toc22274"/>
      <w:bookmarkStart w:id="304" w:name="_Toc15799"/>
      <w:bookmarkStart w:id="305" w:name="_Toc20881"/>
      <w:bookmarkStart w:id="306" w:name="_Toc7066"/>
      <w:bookmarkStart w:id="307" w:name="_Toc6304"/>
      <w:r>
        <w:rPr>
          <w:rFonts w:hint="eastAsia"/>
          <w:color w:val="auto"/>
          <w:szCs w:val="28"/>
        </w:rPr>
        <w:t>3.1 危险物质的辨识结果及依据</w:t>
      </w:r>
      <w:bookmarkEnd w:id="301"/>
      <w:bookmarkEnd w:id="302"/>
      <w:bookmarkEnd w:id="303"/>
      <w:bookmarkEnd w:id="304"/>
      <w:bookmarkEnd w:id="305"/>
      <w:bookmarkEnd w:id="306"/>
    </w:p>
    <w:bookmarkEnd w:id="307"/>
    <w:p>
      <w:pPr>
        <w:bidi w:val="0"/>
        <w:ind w:firstLine="560" w:firstLineChars="200"/>
        <w:rPr>
          <w:rFonts w:hint="eastAsia"/>
          <w:color w:val="auto"/>
        </w:rPr>
      </w:pPr>
      <w:r>
        <w:rPr>
          <w:color w:val="auto"/>
        </w:rPr>
        <w:t>该项目涉及物料有</w:t>
      </w:r>
      <w:r>
        <w:rPr>
          <w:rFonts w:hint="eastAsia"/>
          <w:color w:val="auto"/>
        </w:rPr>
        <w:t>：</w:t>
      </w:r>
    </w:p>
    <w:p>
      <w:pPr>
        <w:bidi w:val="0"/>
        <w:ind w:firstLine="560" w:firstLineChars="200"/>
        <w:rPr>
          <w:rFonts w:hint="eastAsia"/>
          <w:color w:val="auto"/>
        </w:rPr>
      </w:pPr>
      <w:r>
        <w:rPr>
          <w:rFonts w:hint="eastAsia"/>
          <w:color w:val="auto"/>
          <w:lang w:val="en-US" w:eastAsia="zh-CN"/>
        </w:rPr>
        <w:t>1、</w:t>
      </w:r>
      <w:r>
        <w:rPr>
          <w:rFonts w:hint="eastAsia"/>
          <w:color w:val="auto"/>
        </w:rPr>
        <w:t>原料：有机玻璃</w:t>
      </w:r>
      <w:r>
        <w:rPr>
          <w:rFonts w:hint="eastAsia"/>
          <w:color w:val="auto"/>
          <w:lang w:val="en-US" w:eastAsia="zh-CN"/>
        </w:rPr>
        <w:t>废料（聚甲基丙烯酸甲酯）</w:t>
      </w:r>
      <w:r>
        <w:rPr>
          <w:rFonts w:hint="eastAsia"/>
          <w:color w:val="auto"/>
        </w:rPr>
        <w:t>。</w:t>
      </w:r>
    </w:p>
    <w:p>
      <w:pPr>
        <w:bidi w:val="0"/>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、辅料：阻聚剂（对苯二酚）</w:t>
      </w:r>
    </w:p>
    <w:p>
      <w:pPr>
        <w:bidi w:val="0"/>
        <w:ind w:firstLine="560" w:firstLineChars="200"/>
        <w:rPr>
          <w:rFonts w:hint="eastAsia"/>
          <w:color w:val="auto"/>
        </w:rPr>
      </w:pPr>
      <w:r>
        <w:rPr>
          <w:rFonts w:hint="eastAsia"/>
          <w:color w:val="auto"/>
          <w:lang w:val="en-US" w:eastAsia="zh-CN"/>
        </w:rPr>
        <w:t>3</w:t>
      </w:r>
      <w:r>
        <w:rPr>
          <w:color w:val="auto"/>
        </w:rPr>
        <w:t>、产品</w:t>
      </w:r>
      <w:r>
        <w:rPr>
          <w:rFonts w:hint="eastAsia"/>
          <w:color w:val="auto"/>
        </w:rPr>
        <w:t>：甲基丙烯酸甲酯</w:t>
      </w:r>
      <w:r>
        <w:rPr>
          <w:rFonts w:hint="eastAsia"/>
          <w:color w:val="auto"/>
          <w:lang w:val="en-US" w:eastAsia="zh-CN"/>
        </w:rPr>
        <w:t>精单体</w:t>
      </w:r>
      <w:r>
        <w:rPr>
          <w:rFonts w:hint="eastAsia"/>
          <w:color w:val="auto"/>
        </w:rPr>
        <w:t>。</w:t>
      </w:r>
    </w:p>
    <w:p>
      <w:pPr>
        <w:bidi w:val="0"/>
        <w:ind w:firstLine="560" w:firstLineChars="200"/>
        <w:rPr>
          <w:rFonts w:hint="eastAsia"/>
          <w:color w:val="auto"/>
          <w:lang w:val="en-US" w:eastAsia="zh-CN"/>
        </w:rPr>
      </w:pPr>
      <w:r>
        <w:rPr>
          <w:rFonts w:hint="eastAsia"/>
          <w:color w:val="auto"/>
          <w:lang w:val="en-US" w:eastAsia="zh-CN"/>
        </w:rPr>
        <w:t>4</w:t>
      </w:r>
      <w:r>
        <w:rPr>
          <w:rFonts w:hint="eastAsia"/>
          <w:color w:val="auto"/>
        </w:rPr>
        <w:t>、中间产品：甲基丙烯酸甲酯</w:t>
      </w:r>
      <w:r>
        <w:rPr>
          <w:rFonts w:hint="eastAsia"/>
          <w:color w:val="auto"/>
          <w:lang w:val="en-US" w:eastAsia="zh-CN"/>
        </w:rPr>
        <w:t>粗单体。</w:t>
      </w:r>
    </w:p>
    <w:p>
      <w:pPr>
        <w:bidi w:val="0"/>
        <w:ind w:firstLine="560" w:firstLineChars="200"/>
        <w:rPr>
          <w:rFonts w:hint="eastAsia"/>
          <w:color w:val="auto"/>
        </w:rPr>
      </w:pPr>
      <w:r>
        <w:rPr>
          <w:rFonts w:hint="eastAsia"/>
          <w:color w:val="auto"/>
          <w:lang w:val="en-US" w:eastAsia="zh-CN"/>
        </w:rPr>
        <w:t>5</w:t>
      </w:r>
      <w:r>
        <w:rPr>
          <w:rFonts w:hint="eastAsia"/>
          <w:color w:val="auto"/>
        </w:rPr>
        <w:t>、副产物</w:t>
      </w:r>
      <w:r>
        <w:rPr>
          <w:rFonts w:hint="eastAsia"/>
          <w:color w:val="auto"/>
          <w:lang w:eastAsia="zh-CN"/>
        </w:rPr>
        <w:t>（</w:t>
      </w:r>
      <w:r>
        <w:rPr>
          <w:rFonts w:hint="eastAsia"/>
          <w:color w:val="auto"/>
          <w:lang w:val="en-US" w:eastAsia="zh-CN"/>
        </w:rPr>
        <w:t>未凝气</w:t>
      </w:r>
      <w:r>
        <w:rPr>
          <w:rFonts w:hint="eastAsia"/>
          <w:color w:val="auto"/>
          <w:lang w:eastAsia="zh-CN"/>
        </w:rPr>
        <w:t>）</w:t>
      </w:r>
      <w:r>
        <w:rPr>
          <w:rFonts w:hint="eastAsia"/>
          <w:color w:val="auto"/>
        </w:rPr>
        <w:t>：</w:t>
      </w:r>
      <w:r>
        <w:rPr>
          <w:rFonts w:hint="eastAsia"/>
          <w:color w:val="auto"/>
          <w:lang w:val="en-US" w:eastAsia="zh-CN"/>
        </w:rPr>
        <w:t>甲基丙烯酸甲酯、</w:t>
      </w:r>
      <w:r>
        <w:rPr>
          <w:rFonts w:hint="eastAsia"/>
          <w:color w:val="auto"/>
        </w:rPr>
        <w:t>甲醇、甲基丙烯酸、丙烯酸</w:t>
      </w:r>
      <w:r>
        <w:rPr>
          <w:rFonts w:hint="eastAsia"/>
          <w:color w:val="auto"/>
          <w:lang w:val="en-US" w:eastAsia="zh-CN"/>
        </w:rPr>
        <w:t>甲酯等</w:t>
      </w:r>
      <w:r>
        <w:rPr>
          <w:rFonts w:hint="eastAsia"/>
          <w:color w:val="auto"/>
        </w:rPr>
        <w:t>（少量，直接通入尾气</w:t>
      </w:r>
      <w:r>
        <w:rPr>
          <w:color w:val="auto"/>
        </w:rPr>
        <w:t>处理系统</w:t>
      </w:r>
      <w:r>
        <w:rPr>
          <w:rFonts w:hint="eastAsia"/>
          <w:color w:val="auto"/>
        </w:rPr>
        <w:t>）</w:t>
      </w:r>
    </w:p>
    <w:p>
      <w:pPr>
        <w:bidi w:val="0"/>
        <w:ind w:firstLine="560" w:firstLineChars="200"/>
        <w:rPr>
          <w:rFonts w:hint="default"/>
          <w:color w:val="auto"/>
          <w:highlight w:val="yellow"/>
          <w:lang w:val="en-US" w:eastAsia="zh-CN"/>
        </w:rPr>
      </w:pPr>
      <w:r>
        <w:rPr>
          <w:rFonts w:hint="eastAsia"/>
          <w:color w:val="auto"/>
          <w:lang w:val="en-US" w:eastAsia="zh-CN"/>
        </w:rPr>
        <w:t>6、精馏残液：</w:t>
      </w:r>
      <w:r>
        <w:rPr>
          <w:rFonts w:hint="eastAsia"/>
          <w:color w:val="auto"/>
          <w:highlight w:val="none"/>
          <w:lang w:val="en-US" w:eastAsia="zh-CN"/>
        </w:rPr>
        <w:t>聚甲基丙烯酸甲酯、2-甲基5亚甲基己二酸二甲酯、环己烯（烷）二甲酸二甲酯类、环戊烯（烷）二甲酸二甲酯类等</w:t>
      </w:r>
      <w:r>
        <w:rPr>
          <w:rFonts w:hint="default"/>
          <w:color w:val="auto"/>
          <w:highlight w:val="none"/>
          <w:lang w:val="en-US" w:eastAsia="zh-CN"/>
        </w:rPr>
        <w:t>。</w:t>
      </w:r>
    </w:p>
    <w:p>
      <w:pPr>
        <w:bidi w:val="0"/>
        <w:ind w:firstLine="560" w:firstLineChars="200"/>
        <w:rPr>
          <w:rFonts w:hint="default"/>
          <w:color w:val="auto"/>
          <w:highlight w:val="yellow"/>
          <w:lang w:val="en-US" w:eastAsia="zh-CN"/>
        </w:rPr>
      </w:pPr>
      <w:r>
        <w:rPr>
          <w:rFonts w:hint="eastAsia"/>
          <w:color w:val="auto"/>
          <w:lang w:val="en-US" w:eastAsia="zh-CN"/>
        </w:rPr>
        <w:t>7、</w:t>
      </w:r>
      <w:r>
        <w:rPr>
          <w:rFonts w:hint="default"/>
          <w:color w:val="auto"/>
          <w:lang w:val="en-US" w:eastAsia="zh-CN"/>
        </w:rPr>
        <w:t>裂解炉残渣</w:t>
      </w:r>
      <w:r>
        <w:rPr>
          <w:rFonts w:hint="eastAsia"/>
          <w:color w:val="auto"/>
          <w:lang w:val="en-US" w:eastAsia="zh-CN"/>
        </w:rPr>
        <w:t>（主要成分：硬脂酸、邻苯二甲酸二丁酯）</w:t>
      </w:r>
    </w:p>
    <w:p>
      <w:pPr>
        <w:bidi w:val="0"/>
        <w:ind w:firstLine="560" w:firstLineChars="200"/>
        <w:rPr>
          <w:rFonts w:hint="eastAsia"/>
          <w:color w:val="auto"/>
          <w:lang w:val="en-US" w:eastAsia="zh-CN"/>
        </w:rPr>
      </w:pPr>
      <w:r>
        <w:rPr>
          <w:rFonts w:hint="eastAsia"/>
          <w:color w:val="auto"/>
          <w:lang w:val="en-US" w:eastAsia="zh-CN"/>
        </w:rPr>
        <w:t>8、柴油发电机燃料：柴油</w:t>
      </w:r>
    </w:p>
    <w:p>
      <w:pPr>
        <w:bidi w:val="0"/>
        <w:ind w:firstLine="560" w:firstLineChars="200"/>
        <w:rPr>
          <w:rFonts w:hint="eastAsia" w:ascii="宋体" w:hAnsi="宋体" w:eastAsia="宋体" w:cs="宋体"/>
          <w:color w:val="auto"/>
          <w:lang w:val="en-US" w:eastAsia="zh-CN"/>
        </w:rPr>
      </w:pPr>
      <w:r>
        <w:rPr>
          <w:rFonts w:hint="eastAsia" w:ascii="宋体" w:hAnsi="宋体" w:cs="宋体"/>
          <w:color w:val="auto"/>
          <w:lang w:val="en-US" w:eastAsia="zh-CN"/>
        </w:rPr>
        <w:t>9</w:t>
      </w:r>
      <w:r>
        <w:rPr>
          <w:rFonts w:hint="eastAsia" w:ascii="宋体" w:hAnsi="宋体" w:eastAsia="宋体" w:cs="宋体"/>
          <w:color w:val="auto"/>
          <w:lang w:val="en-US" w:eastAsia="zh-CN"/>
        </w:rPr>
        <w:t>、氮封</w:t>
      </w:r>
      <w:r>
        <w:rPr>
          <w:rFonts w:hint="eastAsia" w:ascii="宋体" w:hAnsi="宋体" w:cs="宋体"/>
          <w:color w:val="auto"/>
          <w:lang w:val="en-US" w:eastAsia="zh-CN"/>
        </w:rPr>
        <w:t>气体</w:t>
      </w:r>
      <w:r>
        <w:rPr>
          <w:rFonts w:hint="eastAsia" w:ascii="宋体" w:hAnsi="宋体" w:eastAsia="宋体" w:cs="宋体"/>
          <w:color w:val="auto"/>
          <w:lang w:val="en-US" w:eastAsia="zh-CN"/>
        </w:rPr>
        <w:t>：氮气</w:t>
      </w:r>
      <w:r>
        <w:rPr>
          <w:rFonts w:hint="eastAsia" w:ascii="宋体" w:hAnsi="宋体" w:cs="宋体"/>
          <w:color w:val="auto"/>
          <w:lang w:val="en-US" w:eastAsia="zh-CN"/>
        </w:rPr>
        <w:t>（压缩的）</w:t>
      </w:r>
      <w:r>
        <w:rPr>
          <w:rFonts w:hint="eastAsia" w:ascii="宋体" w:hAnsi="宋体" w:eastAsia="宋体" w:cs="宋体"/>
          <w:color w:val="auto"/>
          <w:lang w:val="en-US" w:eastAsia="zh-CN"/>
        </w:rPr>
        <w:t>。</w:t>
      </w:r>
    </w:p>
    <w:p>
      <w:pPr>
        <w:pStyle w:val="4"/>
        <w:rPr>
          <w:rFonts w:hint="default" w:eastAsia="宋体"/>
          <w:color w:val="auto"/>
          <w:lang w:val="en-US" w:eastAsia="zh-CN"/>
        </w:rPr>
      </w:pPr>
      <w:bookmarkStart w:id="308" w:name="_Toc12429"/>
      <w:bookmarkStart w:id="309" w:name="_Toc3003"/>
      <w:bookmarkStart w:id="310" w:name="_Toc10416"/>
      <w:bookmarkStart w:id="311" w:name="_Toc231"/>
      <w:bookmarkStart w:id="312" w:name="_Toc22681"/>
      <w:bookmarkStart w:id="313" w:name="_Toc31953"/>
      <w:r>
        <w:rPr>
          <w:rFonts w:hint="eastAsia"/>
          <w:color w:val="auto"/>
          <w:lang w:val="en-US" w:eastAsia="zh-CN"/>
        </w:rPr>
        <w:t>3.1.1危险化学品</w:t>
      </w:r>
      <w:bookmarkEnd w:id="308"/>
      <w:bookmarkEnd w:id="309"/>
      <w:bookmarkEnd w:id="310"/>
      <w:bookmarkEnd w:id="311"/>
      <w:bookmarkEnd w:id="312"/>
      <w:bookmarkEnd w:id="313"/>
    </w:p>
    <w:p>
      <w:pPr>
        <w:bidi w:val="0"/>
        <w:ind w:firstLine="560" w:firstLineChars="200"/>
        <w:rPr>
          <w:rFonts w:hint="eastAsia"/>
          <w:color w:val="auto"/>
        </w:rPr>
      </w:pPr>
      <w:r>
        <w:rPr>
          <w:rFonts w:hint="eastAsia"/>
          <w:color w:val="auto"/>
          <w:lang w:val="en-US" w:eastAsia="zh-CN"/>
        </w:rPr>
        <w:t>根据</w:t>
      </w:r>
      <w:r>
        <w:rPr>
          <w:rFonts w:hint="eastAsia"/>
          <w:color w:val="auto"/>
        </w:rPr>
        <w:t>《危险化学品目录》</w:t>
      </w:r>
      <w:r>
        <w:rPr>
          <w:rFonts w:hint="eastAsia"/>
          <w:color w:val="auto"/>
          <w:lang w:eastAsia="zh-CN"/>
        </w:rPr>
        <w:t>（</w:t>
      </w:r>
      <w:r>
        <w:rPr>
          <w:rFonts w:hint="eastAsia"/>
          <w:color w:val="auto"/>
          <w:lang w:val="en-US" w:eastAsia="zh-CN"/>
        </w:rPr>
        <w:t>2022年调整版</w:t>
      </w:r>
      <w:r>
        <w:rPr>
          <w:rFonts w:hint="eastAsia"/>
          <w:color w:val="auto"/>
        </w:rPr>
        <w:t>）</w:t>
      </w:r>
      <w:r>
        <w:rPr>
          <w:rFonts w:hint="eastAsia"/>
          <w:color w:val="auto"/>
          <w:lang w:eastAsia="zh-CN"/>
        </w:rPr>
        <w:t>，</w:t>
      </w:r>
      <w:r>
        <w:rPr>
          <w:rFonts w:hint="eastAsia"/>
          <w:color w:val="auto"/>
          <w:lang w:val="en-US" w:eastAsia="zh-CN"/>
        </w:rPr>
        <w:t>该项目涉及的危险化学品为</w:t>
      </w:r>
      <w:r>
        <w:rPr>
          <w:rFonts w:hint="eastAsia"/>
          <w:color w:val="auto"/>
        </w:rPr>
        <w:t>：</w:t>
      </w:r>
      <w:r>
        <w:rPr>
          <w:rFonts w:hint="eastAsia"/>
          <w:color w:val="auto"/>
        </w:rPr>
        <w:t>甲基丙烯酸甲酯（MMA）</w:t>
      </w:r>
      <w:r>
        <w:rPr>
          <w:rFonts w:hint="eastAsia"/>
          <w:color w:val="auto"/>
          <w:lang w:eastAsia="zh-CN"/>
        </w:rPr>
        <w:t>、</w:t>
      </w:r>
      <w:r>
        <w:rPr>
          <w:rFonts w:hint="eastAsia"/>
          <w:color w:val="auto"/>
          <w:lang w:val="en-US" w:eastAsia="zh-CN"/>
        </w:rPr>
        <w:t>对苯二酚（阻聚剂）、甲醇、甲基丙烯酸、丙烯酸甲酯、柴油</w:t>
      </w:r>
      <w:r>
        <w:rPr>
          <w:rFonts w:hint="eastAsia"/>
          <w:color w:val="auto"/>
        </w:rPr>
        <w:t>。</w:t>
      </w:r>
    </w:p>
    <w:p>
      <w:pPr>
        <w:bidi w:val="0"/>
        <w:ind w:firstLine="560" w:firstLineChars="200"/>
        <w:rPr>
          <w:rFonts w:hint="default" w:eastAsia="宋体"/>
          <w:color w:val="auto"/>
          <w:szCs w:val="28"/>
          <w:lang w:val="en-US" w:eastAsia="zh-CN"/>
        </w:rPr>
      </w:pPr>
      <w:r>
        <w:rPr>
          <w:rFonts w:hint="eastAsia"/>
          <w:color w:val="auto"/>
          <w:lang w:val="en-US" w:eastAsia="zh-CN"/>
        </w:rPr>
        <w:t>危险化学品及危险性类别见下表。危险化学品的理化性质及相关信息见附录A。</w:t>
      </w:r>
    </w:p>
    <w:p>
      <w:pPr>
        <w:pStyle w:val="53"/>
        <w:bidi w:val="0"/>
        <w:rPr>
          <w:rFonts w:hint="eastAsia"/>
          <w:color w:val="auto"/>
        </w:rPr>
      </w:pPr>
    </w:p>
    <w:p>
      <w:pPr>
        <w:pStyle w:val="53"/>
        <w:bidi w:val="0"/>
        <w:rPr>
          <w:rFonts w:hint="eastAsia"/>
          <w:color w:val="auto"/>
        </w:rPr>
      </w:pPr>
    </w:p>
    <w:p>
      <w:pPr>
        <w:pStyle w:val="53"/>
        <w:bidi w:val="0"/>
        <w:rPr>
          <w:rFonts w:hint="default" w:eastAsia="宋体"/>
          <w:color w:val="auto"/>
          <w:lang w:val="en-US" w:eastAsia="zh-CN"/>
        </w:rPr>
      </w:pPr>
      <w:r>
        <w:rPr>
          <w:rFonts w:hint="eastAsia"/>
          <w:color w:val="auto"/>
        </w:rPr>
        <w:t>表3.1-1</w:t>
      </w:r>
      <w:r>
        <w:rPr>
          <w:rFonts w:hint="eastAsia"/>
          <w:color w:val="auto"/>
          <w:lang w:val="en-US" w:eastAsia="zh-CN"/>
        </w:rPr>
        <w:t>危险化学品及危险性类别一览表</w:t>
      </w:r>
    </w:p>
    <w:tbl>
      <w:tblPr>
        <w:tblStyle w:val="42"/>
        <w:tblW w:w="509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79"/>
        <w:gridCol w:w="973"/>
        <w:gridCol w:w="702"/>
        <w:gridCol w:w="1177"/>
        <w:gridCol w:w="645"/>
        <w:gridCol w:w="646"/>
        <w:gridCol w:w="1195"/>
        <w:gridCol w:w="659"/>
        <w:gridCol w:w="30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473" w:type="dxa"/>
            <w:noWrap w:val="0"/>
            <w:vAlign w:val="center"/>
          </w:tcPr>
          <w:p>
            <w:pPr>
              <w:pStyle w:val="59"/>
              <w:bidi w:val="0"/>
              <w:jc w:val="center"/>
              <w:rPr>
                <w:color w:val="auto"/>
              </w:rPr>
            </w:pPr>
            <w:r>
              <w:rPr>
                <w:color w:val="auto"/>
              </w:rPr>
              <w:t>序号</w:t>
            </w:r>
          </w:p>
        </w:tc>
        <w:tc>
          <w:tcPr>
            <w:tcW w:w="961" w:type="dxa"/>
            <w:noWrap w:val="0"/>
            <w:vAlign w:val="center"/>
          </w:tcPr>
          <w:p>
            <w:pPr>
              <w:pStyle w:val="59"/>
              <w:bidi w:val="0"/>
              <w:jc w:val="center"/>
              <w:rPr>
                <w:color w:val="auto"/>
              </w:rPr>
            </w:pPr>
            <w:r>
              <w:rPr>
                <w:color w:val="auto"/>
              </w:rPr>
              <w:t>名称</w:t>
            </w:r>
          </w:p>
        </w:tc>
        <w:tc>
          <w:tcPr>
            <w:tcW w:w="694" w:type="dxa"/>
            <w:noWrap w:val="0"/>
            <w:vAlign w:val="center"/>
          </w:tcPr>
          <w:p>
            <w:pPr>
              <w:pStyle w:val="59"/>
              <w:bidi w:val="0"/>
              <w:jc w:val="center"/>
              <w:rPr>
                <w:rFonts w:hint="eastAsia"/>
                <w:color w:val="auto"/>
                <w:lang w:val="en-US" w:eastAsia="zh-CN"/>
              </w:rPr>
            </w:pPr>
            <w:r>
              <w:rPr>
                <w:rFonts w:hint="eastAsia"/>
                <w:color w:val="auto"/>
                <w:lang w:val="en-US" w:eastAsia="zh-CN"/>
              </w:rPr>
              <w:t>目录</w:t>
            </w:r>
          </w:p>
          <w:p>
            <w:pPr>
              <w:pStyle w:val="59"/>
              <w:bidi w:val="0"/>
              <w:jc w:val="center"/>
              <w:rPr>
                <w:rFonts w:hint="default" w:eastAsia="宋体"/>
                <w:color w:val="auto"/>
                <w:lang w:val="en-US" w:eastAsia="zh-CN"/>
              </w:rPr>
            </w:pPr>
            <w:r>
              <w:rPr>
                <w:rFonts w:hint="eastAsia"/>
                <w:color w:val="auto"/>
                <w:lang w:val="en-US" w:eastAsia="zh-CN"/>
              </w:rPr>
              <w:t>序号</w:t>
            </w:r>
          </w:p>
        </w:tc>
        <w:tc>
          <w:tcPr>
            <w:tcW w:w="1163" w:type="dxa"/>
            <w:noWrap w:val="0"/>
            <w:vAlign w:val="center"/>
          </w:tcPr>
          <w:p>
            <w:pPr>
              <w:pStyle w:val="59"/>
              <w:bidi w:val="0"/>
              <w:jc w:val="center"/>
              <w:rPr>
                <w:color w:val="auto"/>
              </w:rPr>
            </w:pPr>
            <w:r>
              <w:rPr>
                <w:color w:val="auto"/>
              </w:rPr>
              <w:t>CAS号</w:t>
            </w:r>
          </w:p>
        </w:tc>
        <w:tc>
          <w:tcPr>
            <w:tcW w:w="637"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color w:val="auto"/>
              </w:rPr>
            </w:pPr>
            <w:r>
              <w:rPr>
                <w:color w:val="auto"/>
              </w:rPr>
              <w:t>沸点</w:t>
            </w:r>
            <w:r>
              <w:rPr>
                <w:rFonts w:hint="eastAsia"/>
                <w:color w:val="auto"/>
                <w:lang w:eastAsia="zh-CN"/>
              </w:rPr>
              <w:t>（</w:t>
            </w:r>
            <w:r>
              <w:rPr>
                <w:color w:val="auto"/>
              </w:rPr>
              <w:t>℃</w:t>
            </w:r>
            <w:r>
              <w:rPr>
                <w:rFonts w:hint="eastAsia"/>
                <w:color w:val="auto"/>
                <w:lang w:eastAsia="zh-CN"/>
              </w:rPr>
              <w:t>）</w:t>
            </w:r>
          </w:p>
        </w:tc>
        <w:tc>
          <w:tcPr>
            <w:tcW w:w="638"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color w:val="auto"/>
              </w:rPr>
            </w:pPr>
            <w:r>
              <w:rPr>
                <w:color w:val="auto"/>
              </w:rPr>
              <w:t>闪点</w:t>
            </w:r>
            <w:r>
              <w:rPr>
                <w:rFonts w:hint="eastAsia"/>
                <w:color w:val="auto"/>
                <w:lang w:eastAsia="zh-CN"/>
              </w:rPr>
              <w:t>（</w:t>
            </w:r>
            <w:r>
              <w:rPr>
                <w:color w:val="auto"/>
              </w:rPr>
              <w:t>℃</w:t>
            </w:r>
            <w:r>
              <w:rPr>
                <w:rFonts w:hint="eastAsia"/>
                <w:color w:val="auto"/>
                <w:lang w:eastAsia="zh-CN"/>
              </w:rPr>
              <w:t>）</w:t>
            </w:r>
          </w:p>
        </w:tc>
        <w:tc>
          <w:tcPr>
            <w:tcW w:w="1181"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color w:val="auto"/>
              </w:rPr>
            </w:pPr>
            <w:r>
              <w:rPr>
                <w:color w:val="auto"/>
              </w:rPr>
              <w:t>爆炸极限</w:t>
            </w:r>
          </w:p>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color w:val="auto"/>
              </w:rPr>
            </w:pPr>
            <w:r>
              <w:rPr>
                <w:color w:val="auto"/>
              </w:rPr>
              <w:t>（v%）</w:t>
            </w:r>
          </w:p>
        </w:tc>
        <w:tc>
          <w:tcPr>
            <w:tcW w:w="651" w:type="dxa"/>
            <w:noWrap w:val="0"/>
            <w:vAlign w:val="center"/>
          </w:tcPr>
          <w:p>
            <w:pPr>
              <w:pStyle w:val="59"/>
              <w:bidi w:val="0"/>
              <w:jc w:val="center"/>
              <w:rPr>
                <w:color w:val="auto"/>
              </w:rPr>
            </w:pPr>
            <w:r>
              <w:rPr>
                <w:color w:val="auto"/>
              </w:rPr>
              <w:t>火险</w:t>
            </w:r>
          </w:p>
          <w:p>
            <w:pPr>
              <w:pStyle w:val="59"/>
              <w:bidi w:val="0"/>
              <w:jc w:val="center"/>
              <w:rPr>
                <w:color w:val="auto"/>
              </w:rPr>
            </w:pPr>
            <w:r>
              <w:rPr>
                <w:color w:val="auto"/>
              </w:rPr>
              <w:t>类别</w:t>
            </w:r>
          </w:p>
        </w:tc>
        <w:tc>
          <w:tcPr>
            <w:tcW w:w="3056" w:type="dxa"/>
            <w:noWrap w:val="0"/>
            <w:vAlign w:val="center"/>
          </w:tcPr>
          <w:p>
            <w:pPr>
              <w:pStyle w:val="59"/>
              <w:bidi w:val="0"/>
              <w:jc w:val="center"/>
              <w:rPr>
                <w:rFonts w:hint="default"/>
                <w:color w:val="auto"/>
                <w:lang w:val="en-US" w:eastAsia="zh-CN"/>
              </w:rPr>
            </w:pPr>
            <w:r>
              <w:rPr>
                <w:color w:val="auto"/>
              </w:rPr>
              <w:t>危险</w:t>
            </w:r>
            <w:r>
              <w:rPr>
                <w:rFonts w:hint="eastAsia"/>
                <w:color w:val="auto"/>
                <w:lang w:val="en-US" w:eastAsia="zh-CN"/>
              </w:rPr>
              <w:t>性类别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color w:val="auto"/>
              </w:rPr>
            </w:pPr>
            <w:r>
              <w:rPr>
                <w:color w:val="auto"/>
              </w:rPr>
              <w:t>1</w:t>
            </w:r>
          </w:p>
        </w:tc>
        <w:tc>
          <w:tcPr>
            <w:tcW w:w="961" w:type="dxa"/>
            <w:noWrap w:val="0"/>
            <w:vAlign w:val="center"/>
          </w:tcPr>
          <w:p>
            <w:pPr>
              <w:pStyle w:val="59"/>
              <w:bidi w:val="0"/>
              <w:jc w:val="center"/>
              <w:rPr>
                <w:color w:val="auto"/>
              </w:rPr>
            </w:pPr>
            <w:r>
              <w:rPr>
                <w:color w:val="auto"/>
              </w:rPr>
              <w:t>甲基丙烯酸甲酯</w:t>
            </w:r>
          </w:p>
        </w:tc>
        <w:tc>
          <w:tcPr>
            <w:tcW w:w="694" w:type="dxa"/>
            <w:noWrap w:val="0"/>
            <w:vAlign w:val="center"/>
          </w:tcPr>
          <w:p>
            <w:pPr>
              <w:pStyle w:val="59"/>
              <w:bidi w:val="0"/>
              <w:jc w:val="center"/>
              <w:rPr>
                <w:rFonts w:hint="default" w:eastAsia="宋体"/>
                <w:color w:val="auto"/>
                <w:lang w:val="en-US" w:eastAsia="zh-CN"/>
              </w:rPr>
            </w:pPr>
            <w:r>
              <w:rPr>
                <w:rFonts w:hint="eastAsia"/>
                <w:color w:val="auto"/>
                <w:lang w:val="en-US" w:eastAsia="zh-CN"/>
              </w:rPr>
              <w:t>1105</w:t>
            </w:r>
          </w:p>
        </w:tc>
        <w:tc>
          <w:tcPr>
            <w:tcW w:w="1163" w:type="dxa"/>
            <w:noWrap w:val="0"/>
            <w:vAlign w:val="center"/>
          </w:tcPr>
          <w:p>
            <w:pPr>
              <w:pStyle w:val="59"/>
              <w:bidi w:val="0"/>
              <w:jc w:val="center"/>
              <w:rPr>
                <w:color w:val="auto"/>
              </w:rPr>
            </w:pPr>
            <w:r>
              <w:rPr>
                <w:color w:val="auto"/>
              </w:rPr>
              <w:t>80-62-6</w:t>
            </w:r>
          </w:p>
        </w:tc>
        <w:tc>
          <w:tcPr>
            <w:tcW w:w="637" w:type="dxa"/>
            <w:noWrap w:val="0"/>
            <w:vAlign w:val="center"/>
          </w:tcPr>
          <w:p>
            <w:pPr>
              <w:pStyle w:val="59"/>
              <w:bidi w:val="0"/>
              <w:jc w:val="center"/>
              <w:rPr>
                <w:color w:val="auto"/>
              </w:rPr>
            </w:pPr>
            <w:r>
              <w:rPr>
                <w:color w:val="auto"/>
              </w:rPr>
              <w:t>101</w:t>
            </w:r>
          </w:p>
        </w:tc>
        <w:tc>
          <w:tcPr>
            <w:tcW w:w="638" w:type="dxa"/>
            <w:noWrap w:val="0"/>
            <w:vAlign w:val="center"/>
          </w:tcPr>
          <w:p>
            <w:pPr>
              <w:pStyle w:val="59"/>
              <w:bidi w:val="0"/>
              <w:jc w:val="center"/>
              <w:rPr>
                <w:color w:val="auto"/>
              </w:rPr>
            </w:pPr>
            <w:r>
              <w:rPr>
                <w:color w:val="auto"/>
              </w:rPr>
              <w:t>10</w:t>
            </w:r>
          </w:p>
        </w:tc>
        <w:tc>
          <w:tcPr>
            <w:tcW w:w="1181" w:type="dxa"/>
            <w:noWrap w:val="0"/>
            <w:vAlign w:val="center"/>
          </w:tcPr>
          <w:p>
            <w:pPr>
              <w:pStyle w:val="59"/>
              <w:bidi w:val="0"/>
              <w:ind w:firstLine="0" w:firstLineChars="0"/>
              <w:jc w:val="center"/>
              <w:rPr>
                <w:color w:val="auto"/>
              </w:rPr>
            </w:pPr>
            <w:r>
              <w:rPr>
                <w:color w:val="auto"/>
              </w:rPr>
              <w:t>2.12~12.5</w:t>
            </w:r>
          </w:p>
        </w:tc>
        <w:tc>
          <w:tcPr>
            <w:tcW w:w="651" w:type="dxa"/>
            <w:noWrap w:val="0"/>
            <w:vAlign w:val="center"/>
          </w:tcPr>
          <w:p>
            <w:pPr>
              <w:pStyle w:val="59"/>
              <w:bidi w:val="0"/>
              <w:jc w:val="center"/>
              <w:rPr>
                <w:color w:val="auto"/>
              </w:rPr>
            </w:pPr>
            <w:r>
              <w:rPr>
                <w:color w:val="auto"/>
              </w:rPr>
              <w:t>甲</w:t>
            </w:r>
          </w:p>
        </w:tc>
        <w:tc>
          <w:tcPr>
            <w:tcW w:w="3056" w:type="dxa"/>
            <w:noWrap w:val="0"/>
            <w:vAlign w:val="center"/>
          </w:tcPr>
          <w:p>
            <w:pPr>
              <w:pStyle w:val="59"/>
              <w:bidi w:val="0"/>
              <w:jc w:val="left"/>
              <w:rPr>
                <w:color w:val="auto"/>
              </w:rPr>
            </w:pPr>
            <w:r>
              <w:rPr>
                <w:color w:val="auto"/>
              </w:rPr>
              <w:t xml:space="preserve">易燃液体,类别2 </w:t>
            </w:r>
          </w:p>
          <w:p>
            <w:pPr>
              <w:pStyle w:val="59"/>
              <w:bidi w:val="0"/>
              <w:jc w:val="left"/>
              <w:rPr>
                <w:color w:val="auto"/>
              </w:rPr>
            </w:pPr>
            <w:r>
              <w:rPr>
                <w:color w:val="auto"/>
              </w:rPr>
              <w:t xml:space="preserve">皮肤腐蚀/刺激,类别2 </w:t>
            </w:r>
          </w:p>
          <w:p>
            <w:pPr>
              <w:pStyle w:val="59"/>
              <w:bidi w:val="0"/>
              <w:jc w:val="left"/>
              <w:rPr>
                <w:color w:val="auto"/>
              </w:rPr>
            </w:pPr>
            <w:r>
              <w:rPr>
                <w:color w:val="auto"/>
              </w:rPr>
              <w:t xml:space="preserve">皮肤致敏物,类别1 </w:t>
            </w:r>
          </w:p>
          <w:p>
            <w:pPr>
              <w:pStyle w:val="59"/>
              <w:bidi w:val="0"/>
              <w:jc w:val="left"/>
              <w:rPr>
                <w:color w:val="auto"/>
              </w:rPr>
            </w:pPr>
            <w:r>
              <w:rPr>
                <w:color w:val="auto"/>
              </w:rPr>
              <w:t>特异性靶器官毒性-一次接触,</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color w:val="auto"/>
              </w:rPr>
            </w:pPr>
            <w:r>
              <w:rPr>
                <w:color w:val="auto"/>
              </w:rPr>
              <w:t>类别3 （呼吸道刺激）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rFonts w:hint="eastAsia"/>
                <w:color w:val="auto"/>
                <w:lang w:val="en-US" w:eastAsia="zh-CN"/>
              </w:rPr>
            </w:pPr>
            <w:r>
              <w:rPr>
                <w:rFonts w:hint="eastAsia"/>
                <w:color w:val="auto"/>
                <w:lang w:val="en-US" w:eastAsia="zh-CN"/>
              </w:rPr>
              <w:t>2</w:t>
            </w:r>
          </w:p>
        </w:tc>
        <w:tc>
          <w:tcPr>
            <w:tcW w:w="961" w:type="dxa"/>
            <w:noWrap w:val="0"/>
            <w:vAlign w:val="center"/>
          </w:tcPr>
          <w:p>
            <w:pPr>
              <w:pStyle w:val="59"/>
              <w:bidi w:val="0"/>
              <w:jc w:val="center"/>
              <w:rPr>
                <w:rFonts w:hint="eastAsia"/>
                <w:color w:val="auto"/>
                <w:lang w:val="en-US" w:eastAsia="zh-CN"/>
              </w:rPr>
            </w:pPr>
            <w:r>
              <w:rPr>
                <w:rFonts w:hint="eastAsia"/>
                <w:color w:val="auto"/>
                <w:lang w:val="en-US" w:eastAsia="zh-CN"/>
              </w:rPr>
              <w:t>对苯二酚</w:t>
            </w:r>
          </w:p>
        </w:tc>
        <w:tc>
          <w:tcPr>
            <w:tcW w:w="694"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58</w:t>
            </w:r>
          </w:p>
        </w:tc>
        <w:tc>
          <w:tcPr>
            <w:tcW w:w="1163"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123-31-9</w:t>
            </w:r>
          </w:p>
        </w:tc>
        <w:tc>
          <w:tcPr>
            <w:tcW w:w="637" w:type="dxa"/>
            <w:noWrap w:val="0"/>
            <w:vAlign w:val="center"/>
          </w:tcPr>
          <w:p>
            <w:pPr>
              <w:pStyle w:val="59"/>
              <w:bidi w:val="0"/>
              <w:jc w:val="center"/>
              <w:rPr>
                <w:rFonts w:hint="default"/>
                <w:color w:val="auto"/>
                <w:lang w:val="en-US" w:eastAsia="zh-CN"/>
              </w:rPr>
            </w:pPr>
            <w:r>
              <w:rPr>
                <w:rFonts w:hint="eastAsia"/>
                <w:color w:val="auto"/>
                <w:lang w:val="en-US" w:eastAsia="zh-CN"/>
              </w:rPr>
              <w:t>285</w:t>
            </w:r>
          </w:p>
        </w:tc>
        <w:tc>
          <w:tcPr>
            <w:tcW w:w="638" w:type="dxa"/>
            <w:noWrap w:val="0"/>
            <w:vAlign w:val="center"/>
          </w:tcPr>
          <w:p>
            <w:pPr>
              <w:pStyle w:val="59"/>
              <w:bidi w:val="0"/>
              <w:jc w:val="center"/>
              <w:rPr>
                <w:rFonts w:hint="default"/>
                <w:color w:val="auto"/>
                <w:lang w:val="en-US" w:eastAsia="zh-CN"/>
              </w:rPr>
            </w:pPr>
            <w:r>
              <w:rPr>
                <w:rFonts w:hint="eastAsia"/>
                <w:color w:val="auto"/>
                <w:lang w:val="en-US" w:eastAsia="zh-CN"/>
              </w:rPr>
              <w:t>165</w:t>
            </w:r>
          </w:p>
        </w:tc>
        <w:tc>
          <w:tcPr>
            <w:tcW w:w="1181" w:type="dxa"/>
            <w:noWrap w:val="0"/>
            <w:vAlign w:val="center"/>
          </w:tcPr>
          <w:p>
            <w:pPr>
              <w:pStyle w:val="59"/>
              <w:bidi w:val="0"/>
              <w:jc w:val="center"/>
              <w:rPr>
                <w:rFonts w:hint="eastAsia"/>
                <w:color w:val="auto"/>
                <w:lang w:val="en-US" w:eastAsia="zh-CN"/>
              </w:rPr>
            </w:pPr>
            <w:r>
              <w:rPr>
                <w:rFonts w:hint="eastAsia"/>
                <w:color w:val="auto"/>
                <w:lang w:val="en-US" w:eastAsia="zh-CN"/>
              </w:rPr>
              <w:t>-</w:t>
            </w:r>
          </w:p>
        </w:tc>
        <w:tc>
          <w:tcPr>
            <w:tcW w:w="651" w:type="dxa"/>
            <w:noWrap w:val="0"/>
            <w:vAlign w:val="center"/>
          </w:tcPr>
          <w:p>
            <w:pPr>
              <w:pStyle w:val="59"/>
              <w:bidi w:val="0"/>
              <w:jc w:val="center"/>
              <w:rPr>
                <w:rFonts w:hint="eastAsia"/>
                <w:color w:val="auto"/>
                <w:lang w:val="en-US" w:eastAsia="zh-CN"/>
              </w:rPr>
            </w:pPr>
            <w:r>
              <w:rPr>
                <w:rFonts w:hint="eastAsia"/>
                <w:color w:val="auto"/>
                <w:lang w:val="en-US" w:eastAsia="zh-CN"/>
              </w:rPr>
              <w:t>丙</w:t>
            </w:r>
          </w:p>
        </w:tc>
        <w:tc>
          <w:tcPr>
            <w:tcW w:w="3056" w:type="dxa"/>
            <w:noWrap w:val="0"/>
            <w:vAlign w:val="center"/>
          </w:tcPr>
          <w:p>
            <w:pPr>
              <w:pStyle w:val="59"/>
              <w:bidi w:val="0"/>
              <w:jc w:val="left"/>
              <w:rPr>
                <w:color w:val="auto"/>
              </w:rPr>
            </w:pPr>
            <w:r>
              <w:rPr>
                <w:color w:val="auto"/>
              </w:rPr>
              <w:t xml:space="preserve">严重眼损伤/眼刺激,类别1 </w:t>
            </w:r>
          </w:p>
          <w:p>
            <w:pPr>
              <w:pStyle w:val="59"/>
              <w:bidi w:val="0"/>
              <w:jc w:val="left"/>
              <w:rPr>
                <w:color w:val="auto"/>
              </w:rPr>
            </w:pPr>
            <w:r>
              <w:rPr>
                <w:color w:val="auto"/>
              </w:rPr>
              <w:t xml:space="preserve">皮肤致敏物,类别1 </w:t>
            </w:r>
          </w:p>
          <w:p>
            <w:pPr>
              <w:pStyle w:val="59"/>
              <w:bidi w:val="0"/>
              <w:jc w:val="left"/>
              <w:rPr>
                <w:color w:val="auto"/>
              </w:rPr>
            </w:pPr>
            <w:r>
              <w:rPr>
                <w:color w:val="auto"/>
              </w:rPr>
              <w:t xml:space="preserve">生殖细胞致突变性,类别2 </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color w:val="auto"/>
              </w:rPr>
            </w:pPr>
            <w:r>
              <w:rPr>
                <w:color w:val="auto"/>
              </w:rPr>
              <w:t xml:space="preserve">危害水生环境-急性危害,类别1 </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lang w:val="en-US" w:eastAsia="zh-CN"/>
              </w:rPr>
            </w:pPr>
            <w:r>
              <w:rPr>
                <w:color w:val="auto"/>
              </w:rPr>
              <w:t>危害水生环境-长期危害,类别1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rFonts w:hint="default"/>
                <w:color w:val="auto"/>
                <w:lang w:val="en-US" w:eastAsia="zh-CN"/>
              </w:rPr>
            </w:pPr>
            <w:r>
              <w:rPr>
                <w:rFonts w:hint="eastAsia"/>
                <w:color w:val="auto"/>
                <w:lang w:val="en-US" w:eastAsia="zh-CN"/>
              </w:rPr>
              <w:t>3</w:t>
            </w:r>
          </w:p>
        </w:tc>
        <w:tc>
          <w:tcPr>
            <w:tcW w:w="961" w:type="dxa"/>
            <w:noWrap w:val="0"/>
            <w:vAlign w:val="center"/>
          </w:tcPr>
          <w:p>
            <w:pPr>
              <w:pStyle w:val="59"/>
              <w:bidi w:val="0"/>
              <w:jc w:val="center"/>
              <w:rPr>
                <w:rFonts w:hint="default"/>
                <w:color w:val="auto"/>
                <w:lang w:val="en-US" w:eastAsia="zh-CN"/>
              </w:rPr>
            </w:pPr>
            <w:r>
              <w:rPr>
                <w:rFonts w:hint="eastAsia"/>
                <w:color w:val="auto"/>
                <w:lang w:val="en-US" w:eastAsia="zh-CN"/>
              </w:rPr>
              <w:t>甲醇</w:t>
            </w:r>
          </w:p>
        </w:tc>
        <w:tc>
          <w:tcPr>
            <w:tcW w:w="694" w:type="dxa"/>
            <w:noWrap w:val="0"/>
            <w:vAlign w:val="center"/>
          </w:tcPr>
          <w:p>
            <w:pPr>
              <w:pStyle w:val="59"/>
              <w:bidi w:val="0"/>
              <w:jc w:val="center"/>
              <w:rPr>
                <w:rFonts w:hint="default"/>
                <w:color w:val="auto"/>
                <w:lang w:val="en-US" w:eastAsia="zh-CN"/>
              </w:rPr>
            </w:pPr>
            <w:r>
              <w:rPr>
                <w:rFonts w:hint="eastAsia"/>
                <w:color w:val="auto"/>
                <w:lang w:val="en-US" w:eastAsia="zh-CN"/>
              </w:rPr>
              <w:t>1022</w:t>
            </w:r>
          </w:p>
        </w:tc>
        <w:tc>
          <w:tcPr>
            <w:tcW w:w="1163" w:type="dxa"/>
            <w:noWrap w:val="0"/>
            <w:vAlign w:val="center"/>
          </w:tcPr>
          <w:p>
            <w:pPr>
              <w:pStyle w:val="59"/>
              <w:bidi w:val="0"/>
              <w:jc w:val="center"/>
              <w:rPr>
                <w:rFonts w:hint="default"/>
                <w:color w:val="auto"/>
                <w:lang w:val="en-US" w:eastAsia="zh-CN"/>
              </w:rPr>
            </w:pPr>
            <w:r>
              <w:rPr>
                <w:rFonts w:hint="eastAsia"/>
                <w:color w:val="auto"/>
                <w:lang w:val="en-US" w:eastAsia="zh-CN"/>
              </w:rPr>
              <w:t>1022</w:t>
            </w:r>
          </w:p>
        </w:tc>
        <w:tc>
          <w:tcPr>
            <w:tcW w:w="637"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64.7</w:t>
            </w:r>
          </w:p>
        </w:tc>
        <w:tc>
          <w:tcPr>
            <w:tcW w:w="638" w:type="dxa"/>
            <w:noWrap w:val="0"/>
            <w:vAlign w:val="center"/>
          </w:tcPr>
          <w:p>
            <w:pPr>
              <w:pStyle w:val="59"/>
              <w:bidi w:val="0"/>
              <w:jc w:val="center"/>
              <w:rPr>
                <w:rFonts w:hint="default"/>
                <w:color w:val="auto"/>
                <w:lang w:val="en-US" w:eastAsia="zh-CN"/>
              </w:rPr>
            </w:pPr>
            <w:r>
              <w:rPr>
                <w:rFonts w:hint="eastAsia"/>
                <w:color w:val="auto"/>
                <w:lang w:val="en-US" w:eastAsia="zh-CN"/>
              </w:rPr>
              <w:t>12</w:t>
            </w:r>
          </w:p>
        </w:tc>
        <w:tc>
          <w:tcPr>
            <w:tcW w:w="1181"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6~36.5</w:t>
            </w:r>
          </w:p>
        </w:tc>
        <w:tc>
          <w:tcPr>
            <w:tcW w:w="651" w:type="dxa"/>
            <w:noWrap w:val="0"/>
            <w:vAlign w:val="center"/>
          </w:tcPr>
          <w:p>
            <w:pPr>
              <w:pStyle w:val="59"/>
              <w:bidi w:val="0"/>
              <w:jc w:val="center"/>
              <w:rPr>
                <w:rFonts w:hint="default"/>
                <w:color w:val="auto"/>
                <w:lang w:val="en-US" w:eastAsia="zh-CN"/>
              </w:rPr>
            </w:pPr>
            <w:r>
              <w:rPr>
                <w:rFonts w:hint="eastAsia"/>
                <w:color w:val="auto"/>
                <w:lang w:val="en-US" w:eastAsia="zh-CN"/>
              </w:rPr>
              <w:t>甲</w:t>
            </w:r>
          </w:p>
        </w:tc>
        <w:tc>
          <w:tcPr>
            <w:tcW w:w="3056" w:type="dxa"/>
            <w:noWrap w:val="0"/>
            <w:vAlign w:val="center"/>
          </w:tcPr>
          <w:p>
            <w:pPr>
              <w:pStyle w:val="59"/>
              <w:bidi w:val="0"/>
              <w:jc w:val="left"/>
              <w:rPr>
                <w:rFonts w:hint="eastAsia"/>
                <w:color w:val="auto"/>
              </w:rPr>
            </w:pPr>
            <w:r>
              <w:rPr>
                <w:rFonts w:hint="eastAsia"/>
                <w:color w:val="auto"/>
              </w:rPr>
              <w:t>易燃液体,类别2</w:t>
            </w:r>
          </w:p>
          <w:p>
            <w:pPr>
              <w:pStyle w:val="59"/>
              <w:bidi w:val="0"/>
              <w:jc w:val="left"/>
              <w:rPr>
                <w:rFonts w:hint="eastAsia"/>
                <w:color w:val="auto"/>
              </w:rPr>
            </w:pPr>
            <w:r>
              <w:rPr>
                <w:rFonts w:hint="eastAsia"/>
                <w:color w:val="auto"/>
              </w:rPr>
              <w:t>急性毒性-经口,类别3*</w:t>
            </w:r>
          </w:p>
          <w:p>
            <w:pPr>
              <w:pStyle w:val="59"/>
              <w:bidi w:val="0"/>
              <w:jc w:val="left"/>
              <w:rPr>
                <w:rFonts w:hint="eastAsia"/>
                <w:color w:val="auto"/>
              </w:rPr>
            </w:pPr>
            <w:r>
              <w:rPr>
                <w:rFonts w:hint="eastAsia"/>
                <w:color w:val="auto"/>
              </w:rPr>
              <w:t>急性毒性-经皮,类别3*</w:t>
            </w:r>
          </w:p>
          <w:p>
            <w:pPr>
              <w:pStyle w:val="59"/>
              <w:bidi w:val="0"/>
              <w:jc w:val="left"/>
              <w:rPr>
                <w:rFonts w:hint="eastAsia"/>
                <w:color w:val="auto"/>
              </w:rPr>
            </w:pPr>
            <w:r>
              <w:rPr>
                <w:rFonts w:hint="eastAsia"/>
                <w:color w:val="auto"/>
              </w:rPr>
              <w:t>急性毒性-吸入,类别3*</w:t>
            </w:r>
          </w:p>
          <w:p>
            <w:pPr>
              <w:pStyle w:val="59"/>
              <w:bidi w:val="0"/>
              <w:jc w:val="left"/>
              <w:rPr>
                <w:rFonts w:hint="eastAsia"/>
                <w:color w:val="auto"/>
              </w:rPr>
            </w:pPr>
            <w:r>
              <w:rPr>
                <w:rFonts w:hint="eastAsia"/>
                <w:color w:val="auto"/>
              </w:rPr>
              <w:t>特异性靶器官毒性-一次接触,</w:t>
            </w:r>
          </w:p>
          <w:p>
            <w:pPr>
              <w:pStyle w:val="59"/>
              <w:bidi w:val="0"/>
              <w:jc w:val="left"/>
              <w:rPr>
                <w:color w:val="auto"/>
              </w:rPr>
            </w:pPr>
            <w:r>
              <w:rPr>
                <w:rFonts w:hint="eastAsia"/>
                <w:color w:val="auto"/>
              </w:rPr>
              <w:t>类别1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9" w:hRule="atLeast"/>
          <w:jc w:val="center"/>
        </w:trPr>
        <w:tc>
          <w:tcPr>
            <w:tcW w:w="473" w:type="dxa"/>
            <w:noWrap w:val="0"/>
            <w:vAlign w:val="center"/>
          </w:tcPr>
          <w:p>
            <w:pPr>
              <w:pStyle w:val="59"/>
              <w:bidi w:val="0"/>
              <w:rPr>
                <w:rFonts w:hint="default"/>
                <w:color w:val="auto"/>
                <w:lang w:val="en-US" w:eastAsia="zh-CN"/>
              </w:rPr>
            </w:pPr>
            <w:r>
              <w:rPr>
                <w:rFonts w:hint="eastAsia"/>
                <w:color w:val="auto"/>
                <w:lang w:val="en-US" w:eastAsia="zh-CN"/>
              </w:rPr>
              <w:t>4</w:t>
            </w:r>
          </w:p>
        </w:tc>
        <w:tc>
          <w:tcPr>
            <w:tcW w:w="961" w:type="dxa"/>
            <w:noWrap w:val="0"/>
            <w:vAlign w:val="center"/>
          </w:tcPr>
          <w:p>
            <w:pPr>
              <w:pStyle w:val="59"/>
              <w:bidi w:val="0"/>
              <w:jc w:val="center"/>
              <w:rPr>
                <w:rFonts w:hint="default"/>
                <w:color w:val="auto"/>
                <w:lang w:val="en-US" w:eastAsia="zh-CN"/>
              </w:rPr>
            </w:pPr>
            <w:r>
              <w:rPr>
                <w:rFonts w:hint="eastAsia"/>
                <w:color w:val="auto"/>
                <w:lang w:val="en-US" w:eastAsia="zh-CN"/>
              </w:rPr>
              <w:t>甲基丙烯酸</w:t>
            </w:r>
          </w:p>
        </w:tc>
        <w:tc>
          <w:tcPr>
            <w:tcW w:w="694" w:type="dxa"/>
            <w:noWrap w:val="0"/>
            <w:vAlign w:val="center"/>
          </w:tcPr>
          <w:p>
            <w:pPr>
              <w:pStyle w:val="59"/>
              <w:bidi w:val="0"/>
              <w:jc w:val="center"/>
              <w:rPr>
                <w:rFonts w:hint="default"/>
                <w:color w:val="auto"/>
                <w:lang w:val="en-US" w:eastAsia="zh-CN"/>
              </w:rPr>
            </w:pPr>
            <w:r>
              <w:rPr>
                <w:rFonts w:hint="eastAsia"/>
                <w:color w:val="auto"/>
                <w:lang w:val="en-US" w:eastAsia="zh-CN"/>
              </w:rPr>
              <w:t>1103</w:t>
            </w:r>
          </w:p>
        </w:tc>
        <w:tc>
          <w:tcPr>
            <w:tcW w:w="1163" w:type="dxa"/>
            <w:noWrap w:val="0"/>
            <w:vAlign w:val="center"/>
          </w:tcPr>
          <w:p>
            <w:pPr>
              <w:pStyle w:val="59"/>
              <w:bidi w:val="0"/>
              <w:jc w:val="center"/>
              <w:rPr>
                <w:rFonts w:hint="default"/>
                <w:color w:val="auto"/>
                <w:lang w:val="en-US" w:eastAsia="zh-CN"/>
              </w:rPr>
            </w:pPr>
            <w:r>
              <w:rPr>
                <w:rFonts w:hint="eastAsia"/>
                <w:color w:val="auto"/>
                <w:lang w:val="en-US" w:eastAsia="zh-CN"/>
              </w:rPr>
              <w:t>79-41-4</w:t>
            </w:r>
          </w:p>
        </w:tc>
        <w:tc>
          <w:tcPr>
            <w:tcW w:w="637"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eastAsia"/>
                <w:color w:val="auto"/>
                <w:lang w:val="en-US" w:eastAsia="zh-CN"/>
              </w:rPr>
            </w:pPr>
            <w:r>
              <w:rPr>
                <w:rFonts w:hint="eastAsia"/>
                <w:color w:val="auto"/>
                <w:lang w:val="en-US" w:eastAsia="zh-CN"/>
              </w:rPr>
              <w:t>160~</w:t>
            </w:r>
          </w:p>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163</w:t>
            </w:r>
          </w:p>
        </w:tc>
        <w:tc>
          <w:tcPr>
            <w:tcW w:w="638" w:type="dxa"/>
            <w:noWrap w:val="0"/>
            <w:vAlign w:val="center"/>
          </w:tcPr>
          <w:p>
            <w:pPr>
              <w:pStyle w:val="59"/>
              <w:bidi w:val="0"/>
              <w:jc w:val="center"/>
              <w:rPr>
                <w:rFonts w:hint="default"/>
                <w:color w:val="auto"/>
                <w:lang w:val="en-US" w:eastAsia="zh-CN"/>
              </w:rPr>
            </w:pPr>
            <w:r>
              <w:rPr>
                <w:rFonts w:hint="eastAsia"/>
                <w:color w:val="auto"/>
                <w:lang w:val="en-US" w:eastAsia="zh-CN"/>
              </w:rPr>
              <w:t>77</w:t>
            </w:r>
          </w:p>
        </w:tc>
        <w:tc>
          <w:tcPr>
            <w:tcW w:w="1181"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1.6~8.8</w:t>
            </w:r>
          </w:p>
        </w:tc>
        <w:tc>
          <w:tcPr>
            <w:tcW w:w="651" w:type="dxa"/>
            <w:noWrap w:val="0"/>
            <w:vAlign w:val="center"/>
          </w:tcPr>
          <w:p>
            <w:pPr>
              <w:pStyle w:val="59"/>
              <w:bidi w:val="0"/>
              <w:jc w:val="center"/>
              <w:rPr>
                <w:rFonts w:hint="default"/>
                <w:color w:val="auto"/>
                <w:lang w:val="en-US" w:eastAsia="zh-CN"/>
              </w:rPr>
            </w:pPr>
            <w:r>
              <w:rPr>
                <w:rFonts w:hint="eastAsia"/>
                <w:color w:val="auto"/>
                <w:lang w:val="en-US" w:eastAsia="zh-CN"/>
              </w:rPr>
              <w:t>丙</w:t>
            </w:r>
          </w:p>
        </w:tc>
        <w:tc>
          <w:tcPr>
            <w:tcW w:w="3056" w:type="dxa"/>
            <w:noWrap w:val="0"/>
            <w:vAlign w:val="center"/>
          </w:tcPr>
          <w:p>
            <w:pPr>
              <w:pStyle w:val="59"/>
              <w:bidi w:val="0"/>
              <w:jc w:val="left"/>
              <w:rPr>
                <w:rFonts w:hint="eastAsia"/>
                <w:color w:val="auto"/>
              </w:rPr>
            </w:pPr>
            <w:r>
              <w:rPr>
                <w:rFonts w:hint="eastAsia"/>
                <w:color w:val="auto"/>
              </w:rPr>
              <w:t>皮肤腐蚀/刺激,类别1A</w:t>
            </w:r>
          </w:p>
          <w:p>
            <w:pPr>
              <w:pStyle w:val="59"/>
              <w:bidi w:val="0"/>
              <w:jc w:val="left"/>
              <w:rPr>
                <w:rFonts w:hint="eastAsia"/>
                <w:color w:val="auto"/>
              </w:rPr>
            </w:pPr>
            <w:r>
              <w:rPr>
                <w:rFonts w:hint="eastAsia"/>
                <w:color w:val="auto"/>
              </w:rPr>
              <w:t>严重眼损伤/眼刺激,类别1</w:t>
            </w:r>
          </w:p>
          <w:p>
            <w:pPr>
              <w:pStyle w:val="59"/>
              <w:bidi w:val="0"/>
              <w:jc w:val="left"/>
              <w:rPr>
                <w:rFonts w:hint="eastAsia"/>
                <w:color w:val="auto"/>
              </w:rPr>
            </w:pPr>
            <w:r>
              <w:rPr>
                <w:rFonts w:hint="eastAsia"/>
                <w:color w:val="auto"/>
              </w:rPr>
              <w:t>特异性靶器官毒性-一次接触</w:t>
            </w:r>
          </w:p>
          <w:p>
            <w:pPr>
              <w:pStyle w:val="59"/>
              <w:bidi w:val="0"/>
              <w:jc w:val="left"/>
              <w:rPr>
                <w:rFonts w:hint="eastAsia"/>
                <w:color w:val="auto"/>
              </w:rPr>
            </w:pPr>
            <w:r>
              <w:rPr>
                <w:rFonts w:hint="eastAsia"/>
                <w:color w:val="auto"/>
              </w:rPr>
              <w:t>类别3(呼吸道刺激)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rFonts w:hint="default"/>
                <w:color w:val="auto"/>
                <w:lang w:val="en-US" w:eastAsia="zh-CN"/>
              </w:rPr>
            </w:pPr>
            <w:r>
              <w:rPr>
                <w:rFonts w:hint="eastAsia"/>
                <w:color w:val="auto"/>
                <w:lang w:val="en-US" w:eastAsia="zh-CN"/>
              </w:rPr>
              <w:t>5</w:t>
            </w:r>
          </w:p>
        </w:tc>
        <w:tc>
          <w:tcPr>
            <w:tcW w:w="961" w:type="dxa"/>
            <w:noWrap w:val="0"/>
            <w:vAlign w:val="center"/>
          </w:tcPr>
          <w:p>
            <w:pPr>
              <w:pStyle w:val="59"/>
              <w:bidi w:val="0"/>
              <w:jc w:val="center"/>
              <w:rPr>
                <w:rFonts w:hint="default"/>
                <w:color w:val="auto"/>
                <w:lang w:val="en-US" w:eastAsia="zh-CN"/>
              </w:rPr>
            </w:pPr>
            <w:r>
              <w:rPr>
                <w:rFonts w:hint="eastAsia"/>
                <w:color w:val="auto"/>
                <w:lang w:val="en-US" w:eastAsia="zh-CN"/>
              </w:rPr>
              <w:t>丙烯酸甲酯</w:t>
            </w:r>
          </w:p>
        </w:tc>
        <w:tc>
          <w:tcPr>
            <w:tcW w:w="694" w:type="dxa"/>
            <w:noWrap w:val="0"/>
            <w:vAlign w:val="center"/>
          </w:tcPr>
          <w:p>
            <w:pPr>
              <w:pStyle w:val="59"/>
              <w:bidi w:val="0"/>
              <w:jc w:val="center"/>
              <w:rPr>
                <w:rFonts w:hint="default"/>
                <w:color w:val="auto"/>
                <w:lang w:val="en-US" w:eastAsia="zh-CN"/>
              </w:rPr>
            </w:pPr>
            <w:r>
              <w:rPr>
                <w:rFonts w:hint="eastAsia"/>
                <w:color w:val="auto"/>
                <w:lang w:val="en-US" w:eastAsia="zh-CN"/>
              </w:rPr>
              <w:t>147</w:t>
            </w:r>
          </w:p>
        </w:tc>
        <w:tc>
          <w:tcPr>
            <w:tcW w:w="1163" w:type="dxa"/>
            <w:noWrap w:val="0"/>
            <w:vAlign w:val="center"/>
          </w:tcPr>
          <w:p>
            <w:pPr>
              <w:pStyle w:val="59"/>
              <w:bidi w:val="0"/>
              <w:jc w:val="center"/>
              <w:rPr>
                <w:rFonts w:hint="default"/>
                <w:color w:val="auto"/>
                <w:lang w:val="en-US" w:eastAsia="zh-CN"/>
              </w:rPr>
            </w:pPr>
            <w:r>
              <w:rPr>
                <w:rFonts w:hint="eastAsia"/>
                <w:color w:val="auto"/>
                <w:lang w:val="en-US" w:eastAsia="zh-CN"/>
              </w:rPr>
              <w:t>96-33-3</w:t>
            </w:r>
          </w:p>
        </w:tc>
        <w:tc>
          <w:tcPr>
            <w:tcW w:w="637"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80</w:t>
            </w:r>
          </w:p>
        </w:tc>
        <w:tc>
          <w:tcPr>
            <w:tcW w:w="638" w:type="dxa"/>
            <w:noWrap w:val="0"/>
            <w:vAlign w:val="center"/>
          </w:tcPr>
          <w:p>
            <w:pPr>
              <w:pStyle w:val="59"/>
              <w:bidi w:val="0"/>
              <w:jc w:val="center"/>
              <w:rPr>
                <w:rFonts w:hint="default"/>
                <w:color w:val="auto"/>
                <w:lang w:val="en-US" w:eastAsia="zh-CN"/>
              </w:rPr>
            </w:pPr>
            <w:r>
              <w:rPr>
                <w:rFonts w:hint="eastAsia"/>
                <w:color w:val="auto"/>
                <w:lang w:val="en-US" w:eastAsia="zh-CN"/>
              </w:rPr>
              <w:t>-1</w:t>
            </w:r>
          </w:p>
        </w:tc>
        <w:tc>
          <w:tcPr>
            <w:tcW w:w="1181"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2.8~25</w:t>
            </w:r>
          </w:p>
        </w:tc>
        <w:tc>
          <w:tcPr>
            <w:tcW w:w="651" w:type="dxa"/>
            <w:noWrap w:val="0"/>
            <w:vAlign w:val="center"/>
          </w:tcPr>
          <w:p>
            <w:pPr>
              <w:pStyle w:val="59"/>
              <w:bidi w:val="0"/>
              <w:jc w:val="center"/>
              <w:rPr>
                <w:rFonts w:hint="default"/>
                <w:color w:val="auto"/>
                <w:lang w:val="en-US" w:eastAsia="zh-CN"/>
              </w:rPr>
            </w:pPr>
            <w:r>
              <w:rPr>
                <w:rFonts w:hint="eastAsia"/>
                <w:color w:val="auto"/>
                <w:lang w:val="en-US" w:eastAsia="zh-CN"/>
              </w:rPr>
              <w:t>甲</w:t>
            </w:r>
          </w:p>
        </w:tc>
        <w:tc>
          <w:tcPr>
            <w:tcW w:w="3056"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易燃液体,类别2</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皮肤腐蚀/刺激,类别2</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严重眼损伤/眼刺激,类别2</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皮肤致敏物,类别1</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特异性靶器官毒性-一次接触,</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类别3呼吸道刺激)</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危害水生环境-急性危害,类别2</w:t>
            </w:r>
          </w:p>
          <w:p>
            <w:pPr>
              <w:pStyle w:val="59"/>
              <w:keepNext w:val="0"/>
              <w:keepLines w:val="0"/>
              <w:pageBreakBefore w:val="0"/>
              <w:widowControl w:val="0"/>
              <w:kinsoku/>
              <w:wordWrap/>
              <w:overflowPunct/>
              <w:topLinePunct w:val="0"/>
              <w:autoSpaceDE/>
              <w:autoSpaceDN/>
              <w:bidi w:val="0"/>
              <w:adjustRightInd w:val="0"/>
              <w:snapToGrid w:val="0"/>
              <w:ind w:left="0" w:leftChars="0" w:right="0" w:rightChars="0"/>
              <w:jc w:val="left"/>
              <w:textAlignment w:val="auto"/>
              <w:rPr>
                <w:rFonts w:hint="eastAsia"/>
                <w:color w:val="auto"/>
              </w:rPr>
            </w:pPr>
            <w:r>
              <w:rPr>
                <w:rFonts w:hint="eastAsia"/>
                <w:color w:val="auto"/>
              </w:rPr>
              <w:t>危害水生环境-长期危害,类别3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rFonts w:hint="default"/>
                <w:color w:val="auto"/>
                <w:lang w:val="en-US" w:eastAsia="zh-CN"/>
              </w:rPr>
            </w:pPr>
            <w:r>
              <w:rPr>
                <w:rFonts w:hint="eastAsia"/>
                <w:color w:val="auto"/>
                <w:lang w:val="en-US" w:eastAsia="zh-CN"/>
              </w:rPr>
              <w:t>6</w:t>
            </w:r>
          </w:p>
        </w:tc>
        <w:tc>
          <w:tcPr>
            <w:tcW w:w="961" w:type="dxa"/>
            <w:noWrap w:val="0"/>
            <w:vAlign w:val="center"/>
          </w:tcPr>
          <w:p>
            <w:pPr>
              <w:pStyle w:val="59"/>
              <w:bidi w:val="0"/>
              <w:jc w:val="center"/>
              <w:rPr>
                <w:rFonts w:hint="default"/>
                <w:color w:val="auto"/>
                <w:lang w:val="en-US" w:eastAsia="zh-CN"/>
              </w:rPr>
            </w:pPr>
            <w:r>
              <w:rPr>
                <w:rFonts w:hint="eastAsia"/>
                <w:color w:val="auto"/>
                <w:lang w:val="en-US" w:eastAsia="zh-CN"/>
              </w:rPr>
              <w:t>柴油</w:t>
            </w:r>
          </w:p>
        </w:tc>
        <w:tc>
          <w:tcPr>
            <w:tcW w:w="694" w:type="dxa"/>
            <w:noWrap w:val="0"/>
            <w:vAlign w:val="center"/>
          </w:tcPr>
          <w:p>
            <w:pPr>
              <w:pStyle w:val="59"/>
              <w:bidi w:val="0"/>
              <w:jc w:val="center"/>
              <w:rPr>
                <w:rFonts w:hint="default"/>
                <w:color w:val="auto"/>
                <w:lang w:val="en-US" w:eastAsia="zh-CN"/>
              </w:rPr>
            </w:pPr>
            <w:r>
              <w:rPr>
                <w:rFonts w:hint="eastAsia"/>
                <w:color w:val="auto"/>
                <w:lang w:val="en-US" w:eastAsia="zh-CN"/>
              </w:rPr>
              <w:t>1674</w:t>
            </w:r>
          </w:p>
        </w:tc>
        <w:tc>
          <w:tcPr>
            <w:tcW w:w="1163"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default"/>
                <w:color w:val="auto"/>
                <w:lang w:val="en-US" w:eastAsia="zh-CN"/>
              </w:rPr>
              <w:t>68334-30-5</w:t>
            </w:r>
          </w:p>
        </w:tc>
        <w:tc>
          <w:tcPr>
            <w:tcW w:w="637" w:type="dxa"/>
            <w:noWrap w:val="0"/>
            <w:vAlign w:val="center"/>
          </w:tcPr>
          <w:p>
            <w:pPr>
              <w:pStyle w:val="59"/>
              <w:bidi w:val="0"/>
              <w:jc w:val="center"/>
              <w:rPr>
                <w:rFonts w:hint="eastAsia"/>
                <w:color w:val="auto"/>
                <w:lang w:val="en-US" w:eastAsia="zh-CN"/>
              </w:rPr>
            </w:pPr>
            <w:r>
              <w:rPr>
                <w:rFonts w:hint="eastAsia"/>
                <w:color w:val="auto"/>
                <w:lang w:val="en-US" w:eastAsia="zh-CN"/>
              </w:rPr>
              <w:t>282～338</w:t>
            </w:r>
          </w:p>
        </w:tc>
        <w:tc>
          <w:tcPr>
            <w:tcW w:w="638" w:type="dxa"/>
            <w:noWrap w:val="0"/>
            <w:vAlign w:val="center"/>
          </w:tcPr>
          <w:p>
            <w:pPr>
              <w:pStyle w:val="59"/>
              <w:bidi w:val="0"/>
              <w:jc w:val="center"/>
              <w:rPr>
                <w:rFonts w:hint="eastAsia"/>
                <w:color w:val="auto"/>
                <w:lang w:val="en-US" w:eastAsia="zh-CN"/>
              </w:rPr>
            </w:pPr>
            <w:r>
              <w:rPr>
                <w:rFonts w:hint="eastAsia"/>
                <w:color w:val="auto"/>
                <w:lang w:val="en-US" w:eastAsia="zh-CN"/>
              </w:rPr>
              <w:t>≥60</w:t>
            </w:r>
          </w:p>
        </w:tc>
        <w:tc>
          <w:tcPr>
            <w:tcW w:w="1181" w:type="dxa"/>
            <w:noWrap w:val="0"/>
            <w:vAlign w:val="center"/>
          </w:tcPr>
          <w:p>
            <w:pPr>
              <w:pStyle w:val="59"/>
              <w:bidi w:val="0"/>
              <w:jc w:val="center"/>
              <w:rPr>
                <w:rFonts w:hint="eastAsia"/>
                <w:color w:val="auto"/>
                <w:lang w:val="en-US" w:eastAsia="zh-CN"/>
              </w:rPr>
            </w:pPr>
            <w:r>
              <w:rPr>
                <w:rFonts w:hint="eastAsia"/>
                <w:color w:val="auto"/>
                <w:lang w:val="en-US" w:eastAsia="zh-CN"/>
              </w:rPr>
              <w:t>-</w:t>
            </w:r>
          </w:p>
        </w:tc>
        <w:tc>
          <w:tcPr>
            <w:tcW w:w="651" w:type="dxa"/>
            <w:noWrap w:val="0"/>
            <w:vAlign w:val="center"/>
          </w:tcPr>
          <w:p>
            <w:pPr>
              <w:pStyle w:val="59"/>
              <w:bidi w:val="0"/>
              <w:jc w:val="center"/>
              <w:rPr>
                <w:rFonts w:hint="default"/>
                <w:color w:val="auto"/>
                <w:lang w:val="en-US" w:eastAsia="zh-CN"/>
              </w:rPr>
            </w:pPr>
            <w:r>
              <w:rPr>
                <w:rFonts w:hint="eastAsia"/>
                <w:color w:val="auto"/>
                <w:lang w:val="en-US" w:eastAsia="zh-CN"/>
              </w:rPr>
              <w:t>丙</w:t>
            </w:r>
          </w:p>
        </w:tc>
        <w:tc>
          <w:tcPr>
            <w:tcW w:w="3056" w:type="dxa"/>
            <w:noWrap w:val="0"/>
            <w:vAlign w:val="center"/>
          </w:tcPr>
          <w:p>
            <w:pPr>
              <w:pStyle w:val="59"/>
              <w:bidi w:val="0"/>
              <w:jc w:val="left"/>
              <w:rPr>
                <w:color w:val="auto"/>
              </w:rPr>
            </w:pPr>
            <w:r>
              <w:rPr>
                <w:color w:val="auto"/>
              </w:rPr>
              <w:t>易燃液体,类别3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473" w:type="dxa"/>
            <w:noWrap w:val="0"/>
            <w:vAlign w:val="center"/>
          </w:tcPr>
          <w:p>
            <w:pPr>
              <w:pStyle w:val="59"/>
              <w:bidi w:val="0"/>
              <w:rPr>
                <w:rFonts w:hint="default"/>
                <w:color w:val="auto"/>
                <w:lang w:val="en-US" w:eastAsia="zh-CN"/>
              </w:rPr>
            </w:pPr>
            <w:r>
              <w:rPr>
                <w:rFonts w:hint="eastAsia"/>
                <w:color w:val="auto"/>
                <w:lang w:val="en-US" w:eastAsia="zh-CN"/>
              </w:rPr>
              <w:t>7</w:t>
            </w:r>
          </w:p>
        </w:tc>
        <w:tc>
          <w:tcPr>
            <w:tcW w:w="961" w:type="dxa"/>
            <w:noWrap w:val="0"/>
            <w:vAlign w:val="center"/>
          </w:tcPr>
          <w:p>
            <w:pPr>
              <w:pStyle w:val="59"/>
              <w:bidi w:val="0"/>
              <w:jc w:val="center"/>
              <w:rPr>
                <w:rFonts w:hint="default"/>
                <w:color w:val="auto"/>
                <w:lang w:val="en-US" w:eastAsia="zh-CN"/>
              </w:rPr>
            </w:pPr>
            <w:r>
              <w:rPr>
                <w:rFonts w:hint="eastAsia"/>
                <w:color w:val="auto"/>
                <w:lang w:val="en-US" w:eastAsia="zh-CN"/>
              </w:rPr>
              <w:t>氮气（压缩的）</w:t>
            </w:r>
          </w:p>
        </w:tc>
        <w:tc>
          <w:tcPr>
            <w:tcW w:w="694" w:type="dxa"/>
            <w:noWrap w:val="0"/>
            <w:vAlign w:val="center"/>
          </w:tcPr>
          <w:p>
            <w:pPr>
              <w:pStyle w:val="59"/>
              <w:bidi w:val="0"/>
              <w:jc w:val="center"/>
              <w:rPr>
                <w:rFonts w:hint="default"/>
                <w:color w:val="auto"/>
                <w:lang w:val="en-US" w:eastAsia="zh-CN"/>
              </w:rPr>
            </w:pPr>
            <w:r>
              <w:rPr>
                <w:rFonts w:hint="eastAsia"/>
                <w:color w:val="auto"/>
                <w:lang w:val="en-US" w:eastAsia="zh-CN"/>
              </w:rPr>
              <w:t>172</w:t>
            </w:r>
          </w:p>
        </w:tc>
        <w:tc>
          <w:tcPr>
            <w:tcW w:w="1163" w:type="dxa"/>
            <w:noWrap w:val="0"/>
            <w:vAlign w:val="center"/>
          </w:tcPr>
          <w:p>
            <w:pPr>
              <w:pStyle w:val="59"/>
              <w:keepNext w:val="0"/>
              <w:keepLines w:val="0"/>
              <w:pageBreakBefore w:val="0"/>
              <w:widowControl w:val="0"/>
              <w:kinsoku/>
              <w:wordWrap/>
              <w:overflowPunct/>
              <w:topLinePunct w:val="0"/>
              <w:autoSpaceDE/>
              <w:autoSpaceDN/>
              <w:bidi w:val="0"/>
              <w:adjustRightInd w:val="0"/>
              <w:snapToGrid w:val="0"/>
              <w:ind w:left="-140" w:leftChars="-50" w:right="-140" w:rightChars="-50"/>
              <w:jc w:val="center"/>
              <w:textAlignment w:val="auto"/>
              <w:rPr>
                <w:rFonts w:hint="default"/>
                <w:color w:val="auto"/>
                <w:lang w:val="en-US" w:eastAsia="zh-CN"/>
              </w:rPr>
            </w:pPr>
            <w:r>
              <w:rPr>
                <w:rFonts w:hint="eastAsia"/>
                <w:color w:val="auto"/>
                <w:lang w:val="en-US" w:eastAsia="zh-CN"/>
              </w:rPr>
              <w:t>7727-37-9</w:t>
            </w:r>
          </w:p>
        </w:tc>
        <w:tc>
          <w:tcPr>
            <w:tcW w:w="637" w:type="dxa"/>
            <w:noWrap w:val="0"/>
            <w:vAlign w:val="center"/>
          </w:tcPr>
          <w:p>
            <w:pPr>
              <w:pStyle w:val="59"/>
              <w:bidi w:val="0"/>
              <w:jc w:val="center"/>
              <w:rPr>
                <w:rFonts w:hint="default"/>
                <w:color w:val="auto"/>
                <w:lang w:val="en-US" w:eastAsia="zh-CN"/>
              </w:rPr>
            </w:pPr>
            <w:r>
              <w:rPr>
                <w:rFonts w:hint="eastAsia"/>
                <w:color w:val="auto"/>
                <w:lang w:val="en-US" w:eastAsia="zh-CN"/>
              </w:rPr>
              <w:t>-195.6</w:t>
            </w:r>
          </w:p>
        </w:tc>
        <w:tc>
          <w:tcPr>
            <w:tcW w:w="638" w:type="dxa"/>
            <w:noWrap w:val="0"/>
            <w:vAlign w:val="center"/>
          </w:tcPr>
          <w:p>
            <w:pPr>
              <w:pStyle w:val="59"/>
              <w:bidi w:val="0"/>
              <w:jc w:val="center"/>
              <w:rPr>
                <w:rFonts w:hint="default"/>
                <w:color w:val="auto"/>
                <w:lang w:val="en-US" w:eastAsia="zh-CN"/>
              </w:rPr>
            </w:pPr>
            <w:r>
              <w:rPr>
                <w:rFonts w:hint="eastAsia"/>
                <w:color w:val="auto"/>
                <w:lang w:val="en-US" w:eastAsia="zh-CN"/>
              </w:rPr>
              <w:t>-</w:t>
            </w:r>
          </w:p>
        </w:tc>
        <w:tc>
          <w:tcPr>
            <w:tcW w:w="1181" w:type="dxa"/>
            <w:noWrap w:val="0"/>
            <w:vAlign w:val="center"/>
          </w:tcPr>
          <w:p>
            <w:pPr>
              <w:pStyle w:val="59"/>
              <w:bidi w:val="0"/>
              <w:jc w:val="center"/>
              <w:rPr>
                <w:rFonts w:hint="default"/>
                <w:color w:val="auto"/>
                <w:lang w:val="en-US" w:eastAsia="zh-CN"/>
              </w:rPr>
            </w:pPr>
            <w:r>
              <w:rPr>
                <w:rFonts w:hint="eastAsia"/>
                <w:color w:val="auto"/>
                <w:lang w:val="en-US" w:eastAsia="zh-CN"/>
              </w:rPr>
              <w:t>-</w:t>
            </w:r>
          </w:p>
        </w:tc>
        <w:tc>
          <w:tcPr>
            <w:tcW w:w="651" w:type="dxa"/>
            <w:noWrap w:val="0"/>
            <w:vAlign w:val="center"/>
          </w:tcPr>
          <w:p>
            <w:pPr>
              <w:pStyle w:val="59"/>
              <w:bidi w:val="0"/>
              <w:jc w:val="center"/>
              <w:rPr>
                <w:rFonts w:hint="default"/>
                <w:color w:val="auto"/>
                <w:lang w:val="en-US" w:eastAsia="zh-CN"/>
              </w:rPr>
            </w:pPr>
            <w:r>
              <w:rPr>
                <w:rFonts w:hint="eastAsia"/>
                <w:color w:val="auto"/>
                <w:lang w:val="en-US" w:eastAsia="zh-CN"/>
              </w:rPr>
              <w:t>-</w:t>
            </w:r>
          </w:p>
        </w:tc>
        <w:tc>
          <w:tcPr>
            <w:tcW w:w="3056" w:type="dxa"/>
            <w:noWrap w:val="0"/>
            <w:vAlign w:val="center"/>
          </w:tcPr>
          <w:p>
            <w:pPr>
              <w:pStyle w:val="59"/>
              <w:bidi w:val="0"/>
              <w:jc w:val="left"/>
              <w:rPr>
                <w:rFonts w:hint="eastAsia" w:eastAsia="宋体"/>
                <w:color w:val="auto"/>
                <w:lang w:val="en-US" w:eastAsia="zh-CN"/>
              </w:rPr>
            </w:pPr>
            <w:r>
              <w:rPr>
                <w:rFonts w:hint="eastAsia"/>
                <w:color w:val="auto"/>
                <w:lang w:val="en-US" w:eastAsia="zh-CN"/>
              </w:rPr>
              <w:t>加压气体</w:t>
            </w:r>
          </w:p>
        </w:tc>
      </w:tr>
    </w:tbl>
    <w:p>
      <w:pPr>
        <w:pStyle w:val="4"/>
        <w:rPr>
          <w:rFonts w:hint="eastAsia"/>
          <w:color w:val="auto"/>
          <w:lang w:val="en-US" w:eastAsia="zh-CN"/>
        </w:rPr>
      </w:pPr>
      <w:bookmarkStart w:id="314" w:name="_Toc8524"/>
      <w:bookmarkStart w:id="315" w:name="_Toc18363"/>
      <w:bookmarkStart w:id="316" w:name="_Toc16138"/>
      <w:bookmarkStart w:id="317" w:name="_Toc115"/>
      <w:bookmarkStart w:id="318" w:name="_Toc5463"/>
      <w:bookmarkStart w:id="319" w:name="_Toc12193"/>
      <w:r>
        <w:rPr>
          <w:rFonts w:hint="eastAsia"/>
          <w:color w:val="auto"/>
          <w:lang w:val="en-US" w:eastAsia="zh-CN"/>
        </w:rPr>
        <w:t>3.1.2非危险化学品</w:t>
      </w:r>
      <w:bookmarkEnd w:id="314"/>
      <w:bookmarkEnd w:id="315"/>
      <w:bookmarkEnd w:id="316"/>
      <w:bookmarkEnd w:id="317"/>
      <w:bookmarkEnd w:id="318"/>
      <w:bookmarkEnd w:id="319"/>
    </w:p>
    <w:p>
      <w:pPr>
        <w:ind w:firstLine="560" w:firstLineChars="200"/>
        <w:rPr>
          <w:rFonts w:hint="eastAsia"/>
          <w:color w:val="auto"/>
          <w:lang w:val="en-US" w:eastAsia="zh-CN"/>
        </w:rPr>
      </w:pPr>
      <w:r>
        <w:rPr>
          <w:rFonts w:hint="eastAsia"/>
          <w:color w:val="auto"/>
          <w:lang w:val="en-US" w:eastAsia="zh-CN"/>
        </w:rPr>
        <w:t>前述中非列入危险化学品的物料为：有机玻璃废料（聚甲基丙烯酸甲酯）、精馏残夜（聚甲基丙烯酸甲酯、环己烯（烷）二甲酸二甲酯类、环戊烯（烷）二甲酸二甲酯类等）、</w:t>
      </w:r>
      <w:r>
        <w:rPr>
          <w:rFonts w:hint="default"/>
          <w:color w:val="auto"/>
          <w:lang w:val="en-US" w:eastAsia="zh-CN"/>
        </w:rPr>
        <w:t>裂解炉残渣</w:t>
      </w:r>
      <w:r>
        <w:rPr>
          <w:rFonts w:hint="eastAsia"/>
          <w:color w:val="auto"/>
          <w:lang w:val="en-US" w:eastAsia="zh-CN"/>
        </w:rPr>
        <w:t>（主要成分：硬脂酸、邻苯二甲酸二丁酯）。</w:t>
      </w:r>
    </w:p>
    <w:p>
      <w:pPr>
        <w:pStyle w:val="3"/>
        <w:bidi w:val="0"/>
        <w:rPr>
          <w:rFonts w:hint="default"/>
          <w:color w:val="auto"/>
          <w:lang w:val="en-US" w:eastAsia="zh-CN"/>
        </w:rPr>
      </w:pPr>
      <w:bookmarkStart w:id="320" w:name="_Toc31816"/>
      <w:bookmarkStart w:id="321" w:name="_Toc23375"/>
      <w:bookmarkStart w:id="322" w:name="_Toc30719"/>
      <w:bookmarkStart w:id="323" w:name="_Toc27297"/>
      <w:bookmarkStart w:id="324" w:name="_Toc26430"/>
      <w:bookmarkStart w:id="325" w:name="_Toc23142"/>
      <w:bookmarkStart w:id="326" w:name="_Toc28320"/>
      <w:r>
        <w:rPr>
          <w:rFonts w:hint="eastAsia"/>
          <w:color w:val="auto"/>
          <w:lang w:val="en-US" w:eastAsia="zh-CN"/>
        </w:rPr>
        <w:t>3.2危险化学品包装、储存、运输的技术要求及信息来源</w:t>
      </w:r>
      <w:bookmarkEnd w:id="320"/>
      <w:bookmarkEnd w:id="321"/>
      <w:bookmarkEnd w:id="322"/>
      <w:bookmarkEnd w:id="323"/>
      <w:bookmarkEnd w:id="324"/>
      <w:bookmarkEnd w:id="325"/>
    </w:p>
    <w:p>
      <w:pPr>
        <w:ind w:firstLine="560" w:firstLineChars="200"/>
        <w:rPr>
          <w:rFonts w:hint="eastAsia"/>
          <w:color w:val="auto"/>
          <w:lang w:val="en-US" w:eastAsia="zh-CN"/>
        </w:rPr>
      </w:pPr>
      <w:r>
        <w:rPr>
          <w:rFonts w:hint="eastAsia"/>
          <w:color w:val="auto"/>
          <w:lang w:val="en-US" w:eastAsia="zh-CN"/>
        </w:rPr>
        <w:t>该项目危险化学品包装、储存、运输的技术要求情况见附件 A 危险化学品危险特性表相关内容，其数据来源于《危险化学品安全技术全书》（化学工业出版社 第 3 版）。</w:t>
      </w:r>
    </w:p>
    <w:p>
      <w:pPr>
        <w:pStyle w:val="3"/>
        <w:rPr>
          <w:rFonts w:hint="default"/>
          <w:color w:val="auto"/>
          <w:lang w:val="en-US" w:eastAsia="zh-CN"/>
        </w:rPr>
      </w:pPr>
      <w:bookmarkStart w:id="327" w:name="_Toc1943"/>
      <w:bookmarkStart w:id="328" w:name="_Toc25095"/>
      <w:bookmarkStart w:id="329" w:name="_Toc4081"/>
      <w:bookmarkStart w:id="330" w:name="_Toc5764"/>
      <w:bookmarkStart w:id="331" w:name="_Toc26068"/>
      <w:bookmarkStart w:id="332" w:name="_Toc2116"/>
      <w:r>
        <w:rPr>
          <w:rFonts w:hint="eastAsia"/>
          <w:color w:val="auto"/>
          <w:lang w:val="en-US" w:eastAsia="zh-CN"/>
        </w:rPr>
        <w:t>3.3重点监管危险化学品、危险工艺辨识</w:t>
      </w:r>
      <w:bookmarkEnd w:id="327"/>
      <w:bookmarkEnd w:id="328"/>
      <w:bookmarkEnd w:id="329"/>
      <w:bookmarkEnd w:id="330"/>
      <w:bookmarkEnd w:id="331"/>
      <w:bookmarkEnd w:id="332"/>
    </w:p>
    <w:p>
      <w:pPr>
        <w:pStyle w:val="4"/>
        <w:rPr>
          <w:rFonts w:hint="default"/>
          <w:color w:val="auto"/>
          <w:lang w:val="en-US" w:eastAsia="zh-CN"/>
        </w:rPr>
      </w:pPr>
      <w:bookmarkStart w:id="333" w:name="_Toc28645"/>
      <w:bookmarkStart w:id="334" w:name="_Toc7972"/>
      <w:bookmarkStart w:id="335" w:name="_Toc29475"/>
      <w:bookmarkStart w:id="336" w:name="_Toc26854"/>
      <w:bookmarkStart w:id="337" w:name="_Toc13973"/>
      <w:bookmarkStart w:id="338" w:name="_Toc30767"/>
      <w:r>
        <w:rPr>
          <w:rFonts w:hint="eastAsia"/>
          <w:color w:val="auto"/>
          <w:lang w:val="en-US" w:eastAsia="zh-CN"/>
        </w:rPr>
        <w:t>3.3.1重点监管危险化工工艺辨识</w:t>
      </w:r>
      <w:bookmarkEnd w:id="333"/>
      <w:bookmarkEnd w:id="334"/>
      <w:bookmarkEnd w:id="335"/>
      <w:bookmarkEnd w:id="336"/>
      <w:bookmarkEnd w:id="337"/>
      <w:bookmarkEnd w:id="338"/>
    </w:p>
    <w:p>
      <w:pPr>
        <w:ind w:firstLine="560" w:firstLineChars="200"/>
        <w:rPr>
          <w:rFonts w:hint="eastAsia" w:ascii="宋体" w:hAnsi="宋体" w:eastAsia="宋体" w:cs="宋体"/>
          <w:i w:val="0"/>
          <w:iCs w:val="0"/>
          <w:caps w:val="0"/>
          <w:color w:val="auto"/>
          <w:spacing w:val="0"/>
          <w:sz w:val="28"/>
          <w:szCs w:val="28"/>
          <w:u w:val="none"/>
          <w:shd w:val="clear" w:fill="FFFFFF"/>
          <w:lang w:val="en-US" w:eastAsia="zh-CN"/>
        </w:rPr>
      </w:pPr>
      <w:r>
        <w:rPr>
          <w:rFonts w:hint="eastAsia"/>
          <w:color w:val="auto"/>
          <w:lang w:val="en-US" w:eastAsia="zh-CN"/>
        </w:rPr>
        <w:t>根据《国家安全监管总局关于公布首批重点监管的危险化工工艺目录的通知》安监总管三〔2009〕116号中附件1：</w:t>
      </w:r>
      <w:r>
        <w:rPr>
          <w:rFonts w:ascii="宋体" w:hAnsi="宋体" w:eastAsia="宋体" w:cs="宋体"/>
          <w:i w:val="0"/>
          <w:iCs w:val="0"/>
          <w:caps w:val="0"/>
          <w:color w:val="auto"/>
          <w:spacing w:val="0"/>
          <w:sz w:val="28"/>
          <w:szCs w:val="28"/>
          <w:u w:val="none"/>
          <w:shd w:val="clear" w:fill="FFFFFF"/>
        </w:rPr>
        <w:fldChar w:fldCharType="begin"/>
      </w:r>
      <w:r>
        <w:rPr>
          <w:rFonts w:ascii="宋体" w:hAnsi="宋体" w:eastAsia="宋体" w:cs="宋体"/>
          <w:i w:val="0"/>
          <w:iCs w:val="0"/>
          <w:caps w:val="0"/>
          <w:color w:val="auto"/>
          <w:spacing w:val="0"/>
          <w:sz w:val="28"/>
          <w:szCs w:val="28"/>
          <w:u w:val="none"/>
          <w:shd w:val="clear" w:fill="FFFFFF"/>
        </w:rPr>
        <w:instrText xml:space="preserve"> HYPERLINK "https://www.mem.gov.cn/gk/gwgg/agwzlfl/tz_01/200906/W020220302578464491203.docx" </w:instrText>
      </w:r>
      <w:r>
        <w:rPr>
          <w:rFonts w:ascii="宋体" w:hAnsi="宋体" w:eastAsia="宋体" w:cs="宋体"/>
          <w:i w:val="0"/>
          <w:iCs w:val="0"/>
          <w:caps w:val="0"/>
          <w:color w:val="auto"/>
          <w:spacing w:val="0"/>
          <w:sz w:val="28"/>
          <w:szCs w:val="28"/>
          <w:u w:val="none"/>
          <w:shd w:val="clear" w:fill="FFFFFF"/>
        </w:rPr>
        <w:fldChar w:fldCharType="separate"/>
      </w:r>
      <w:r>
        <w:rPr>
          <w:rStyle w:val="51"/>
          <w:rFonts w:hint="eastAsia" w:ascii="宋体" w:hAnsi="宋体" w:eastAsia="宋体" w:cs="宋体"/>
          <w:i w:val="0"/>
          <w:iCs w:val="0"/>
          <w:caps w:val="0"/>
          <w:color w:val="auto"/>
          <w:spacing w:val="0"/>
          <w:sz w:val="28"/>
          <w:szCs w:val="28"/>
          <w:u w:val="none"/>
          <w:shd w:val="clear" w:fill="FFFFFF"/>
        </w:rPr>
        <w:t>首批重点监管的危险化工工艺目录</w:t>
      </w:r>
      <w:r>
        <w:rPr>
          <w:rFonts w:ascii="宋体" w:hAnsi="宋体" w:eastAsia="宋体" w:cs="宋体"/>
          <w:i w:val="0"/>
          <w:iCs w:val="0"/>
          <w:caps w:val="0"/>
          <w:color w:val="auto"/>
          <w:spacing w:val="0"/>
          <w:sz w:val="28"/>
          <w:szCs w:val="28"/>
          <w:u w:val="none"/>
          <w:shd w:val="clear" w:fill="FFFFFF"/>
        </w:rPr>
        <w:fldChar w:fldCharType="end"/>
      </w:r>
      <w:r>
        <w:rPr>
          <w:rFonts w:hint="eastAsia" w:ascii="宋体" w:hAnsi="宋体" w:eastAsia="宋体" w:cs="宋体"/>
          <w:i w:val="0"/>
          <w:iCs w:val="0"/>
          <w:caps w:val="0"/>
          <w:color w:val="auto"/>
          <w:spacing w:val="0"/>
          <w:sz w:val="28"/>
          <w:szCs w:val="28"/>
          <w:u w:val="none"/>
          <w:shd w:val="clear" w:fill="FFFFFF"/>
          <w:lang w:val="en-US" w:eastAsia="zh-CN"/>
        </w:rPr>
        <w:t>,其中第六项危险工艺为裂解（裂化）工艺。</w:t>
      </w:r>
    </w:p>
    <w:p>
      <w:pPr>
        <w:bidi w:val="0"/>
        <w:ind w:firstLine="560" w:firstLineChars="200"/>
        <w:rPr>
          <w:rFonts w:hint="eastAsia"/>
          <w:color w:val="auto"/>
          <w:lang w:val="en-US" w:eastAsia="zh-CN"/>
        </w:rPr>
      </w:pPr>
      <w:r>
        <w:rPr>
          <w:rFonts w:hint="eastAsia"/>
          <w:color w:val="auto"/>
          <w:lang w:val="en-US" w:eastAsia="zh-CN"/>
        </w:rPr>
        <w:t xml:space="preserve">该项目裂解车间涉及的裂解工艺，其工艺危险特点符合首批重点监管的危险化工工艺——裂解（裂化）工艺。  </w:t>
      </w:r>
    </w:p>
    <w:p>
      <w:pPr>
        <w:ind w:firstLine="560" w:firstLineChars="200"/>
        <w:rPr>
          <w:rFonts w:hint="eastAsia" w:ascii="宋体" w:hAnsi="宋体" w:cs="宋体"/>
          <w:b/>
          <w:bCs/>
          <w:i w:val="0"/>
          <w:iCs w:val="0"/>
          <w:caps w:val="0"/>
          <w:color w:val="auto"/>
          <w:spacing w:val="0"/>
          <w:sz w:val="28"/>
          <w:szCs w:val="28"/>
          <w:u w:val="none"/>
          <w:shd w:val="clear" w:fill="FFFFFF"/>
          <w:lang w:val="en-US" w:eastAsia="zh-CN"/>
        </w:rPr>
      </w:pPr>
      <w:r>
        <w:rPr>
          <w:rFonts w:hint="eastAsia"/>
          <w:color w:val="auto"/>
          <w:lang w:val="en-US" w:eastAsia="zh-CN"/>
        </w:rPr>
        <w:t>因此，根据《国家安全监管总局关于公布首批重点监管的危险化工工艺目录的通知》安监总管三〔2009〕116号附件1：</w:t>
      </w:r>
      <w:r>
        <w:rPr>
          <w:rFonts w:ascii="宋体" w:hAnsi="宋体" w:eastAsia="宋体" w:cs="宋体"/>
          <w:i w:val="0"/>
          <w:iCs w:val="0"/>
          <w:caps w:val="0"/>
          <w:color w:val="auto"/>
          <w:spacing w:val="0"/>
          <w:sz w:val="28"/>
          <w:szCs w:val="28"/>
          <w:u w:val="none"/>
          <w:shd w:val="clear" w:fill="FFFFFF"/>
        </w:rPr>
        <w:fldChar w:fldCharType="begin"/>
      </w:r>
      <w:r>
        <w:rPr>
          <w:rFonts w:ascii="宋体" w:hAnsi="宋体" w:eastAsia="宋体" w:cs="宋体"/>
          <w:i w:val="0"/>
          <w:iCs w:val="0"/>
          <w:caps w:val="0"/>
          <w:color w:val="auto"/>
          <w:spacing w:val="0"/>
          <w:sz w:val="28"/>
          <w:szCs w:val="28"/>
          <w:u w:val="none"/>
          <w:shd w:val="clear" w:fill="FFFFFF"/>
        </w:rPr>
        <w:instrText xml:space="preserve"> HYPERLINK "https://www.mem.gov.cn/gk/gwgg/agwzlfl/tz_01/200906/W020220302578464491203.docx" </w:instrText>
      </w:r>
      <w:r>
        <w:rPr>
          <w:rFonts w:ascii="宋体" w:hAnsi="宋体" w:eastAsia="宋体" w:cs="宋体"/>
          <w:i w:val="0"/>
          <w:iCs w:val="0"/>
          <w:caps w:val="0"/>
          <w:color w:val="auto"/>
          <w:spacing w:val="0"/>
          <w:sz w:val="28"/>
          <w:szCs w:val="28"/>
          <w:u w:val="none"/>
          <w:shd w:val="clear" w:fill="FFFFFF"/>
        </w:rPr>
        <w:fldChar w:fldCharType="separate"/>
      </w:r>
      <w:r>
        <w:rPr>
          <w:rStyle w:val="51"/>
          <w:rFonts w:hint="eastAsia" w:ascii="宋体" w:hAnsi="宋体" w:eastAsia="宋体" w:cs="宋体"/>
          <w:i w:val="0"/>
          <w:iCs w:val="0"/>
          <w:caps w:val="0"/>
          <w:color w:val="auto"/>
          <w:spacing w:val="0"/>
          <w:sz w:val="28"/>
          <w:szCs w:val="28"/>
          <w:u w:val="none"/>
          <w:shd w:val="clear" w:fill="FFFFFF"/>
        </w:rPr>
        <w:t>首批重点监管的危险化工工艺目录</w:t>
      </w:r>
      <w:r>
        <w:rPr>
          <w:rFonts w:ascii="宋体" w:hAnsi="宋体" w:eastAsia="宋体" w:cs="宋体"/>
          <w:i w:val="0"/>
          <w:iCs w:val="0"/>
          <w:caps w:val="0"/>
          <w:color w:val="auto"/>
          <w:spacing w:val="0"/>
          <w:sz w:val="28"/>
          <w:szCs w:val="28"/>
          <w:u w:val="none"/>
          <w:shd w:val="clear" w:fill="FFFFFF"/>
        </w:rPr>
        <w:fldChar w:fldCharType="end"/>
      </w:r>
      <w:r>
        <w:rPr>
          <w:rFonts w:hint="eastAsia" w:ascii="宋体" w:hAnsi="宋体" w:cs="宋体"/>
          <w:i w:val="0"/>
          <w:iCs w:val="0"/>
          <w:caps w:val="0"/>
          <w:color w:val="auto"/>
          <w:spacing w:val="0"/>
          <w:sz w:val="28"/>
          <w:szCs w:val="28"/>
          <w:u w:val="none"/>
          <w:shd w:val="clear" w:fill="FFFFFF"/>
          <w:lang w:val="en-US" w:eastAsia="zh-CN"/>
        </w:rPr>
        <w:t>辨识：</w:t>
      </w:r>
      <w:r>
        <w:rPr>
          <w:rFonts w:hint="eastAsia" w:ascii="宋体" w:hAnsi="宋体" w:cs="宋体"/>
          <w:b/>
          <w:bCs/>
          <w:i w:val="0"/>
          <w:iCs w:val="0"/>
          <w:caps w:val="0"/>
          <w:color w:val="auto"/>
          <w:spacing w:val="0"/>
          <w:sz w:val="28"/>
          <w:szCs w:val="28"/>
          <w:u w:val="none"/>
          <w:shd w:val="clear" w:fill="FFFFFF"/>
          <w:lang w:val="en-US" w:eastAsia="zh-CN"/>
        </w:rPr>
        <w:t>该项目涉及重点监管危险工艺——裂解（裂化）工艺。</w:t>
      </w:r>
    </w:p>
    <w:p>
      <w:pPr>
        <w:ind w:firstLine="560" w:firstLineChars="200"/>
        <w:rPr>
          <w:rFonts w:hint="default" w:ascii="宋体" w:hAnsi="宋体" w:cs="宋体"/>
          <w:b/>
          <w:bCs/>
          <w:i w:val="0"/>
          <w:iCs w:val="0"/>
          <w:caps w:val="0"/>
          <w:color w:val="auto"/>
          <w:spacing w:val="0"/>
          <w:sz w:val="28"/>
          <w:szCs w:val="28"/>
          <w:u w:val="none"/>
          <w:shd w:val="clear" w:fill="FFFFFF"/>
          <w:lang w:val="en-US" w:eastAsia="zh-CN"/>
        </w:rPr>
      </w:pPr>
      <w:r>
        <w:rPr>
          <w:rFonts w:hint="eastAsia"/>
          <w:color w:val="auto"/>
          <w:lang w:val="en-US" w:eastAsia="zh-CN"/>
        </w:rPr>
        <w:t>应根据《国家安全监管总局关于公布首批重点监管的危险化工工艺目录的通知》安监总管三〔2009〕116号附件2：</w:t>
      </w:r>
      <w:r>
        <w:rPr>
          <w:rFonts w:hint="eastAsia" w:ascii="宋体" w:hAnsi="宋体" w:cs="宋体"/>
          <w:b/>
          <w:bCs/>
          <w:i w:val="0"/>
          <w:iCs w:val="0"/>
          <w:caps w:val="0"/>
          <w:color w:val="auto"/>
          <w:spacing w:val="0"/>
          <w:sz w:val="28"/>
          <w:szCs w:val="28"/>
          <w:u w:val="none"/>
          <w:shd w:val="clear" w:fill="FFFFFF"/>
          <w:lang w:val="en-US" w:eastAsia="zh-CN"/>
        </w:rPr>
        <w:t>首批重点监管的危险化工工艺安全控制要求、重点监控参数及推荐的控制方案的相关内容对本项目裂解工艺进行控制。</w:t>
      </w:r>
    </w:p>
    <w:p>
      <w:pPr>
        <w:pStyle w:val="4"/>
        <w:rPr>
          <w:rFonts w:hint="eastAsia"/>
          <w:color w:val="auto"/>
          <w:lang w:val="en-US" w:eastAsia="zh-CN"/>
        </w:rPr>
      </w:pPr>
      <w:bookmarkStart w:id="339" w:name="_Toc24535"/>
      <w:bookmarkStart w:id="340" w:name="_Toc18677"/>
      <w:bookmarkStart w:id="341" w:name="_Toc10729"/>
      <w:bookmarkStart w:id="342" w:name="_Toc7211"/>
      <w:bookmarkStart w:id="343" w:name="_Toc276"/>
      <w:bookmarkStart w:id="344" w:name="_Toc28283"/>
      <w:r>
        <w:rPr>
          <w:rFonts w:hint="eastAsia"/>
          <w:color w:val="auto"/>
          <w:lang w:val="en-US" w:eastAsia="zh-CN"/>
        </w:rPr>
        <w:t>3.3.2 重点监管危险化学品辨识</w:t>
      </w:r>
      <w:bookmarkEnd w:id="339"/>
      <w:bookmarkEnd w:id="340"/>
      <w:bookmarkEnd w:id="341"/>
      <w:bookmarkEnd w:id="342"/>
      <w:bookmarkEnd w:id="343"/>
      <w:bookmarkEnd w:id="344"/>
    </w:p>
    <w:p>
      <w:pPr>
        <w:ind w:firstLine="560" w:firstLineChars="200"/>
        <w:rPr>
          <w:rFonts w:hint="eastAsia"/>
          <w:color w:val="auto"/>
          <w:lang w:val="en-US" w:eastAsia="zh-CN"/>
        </w:rPr>
      </w:pPr>
      <w:r>
        <w:rPr>
          <w:rFonts w:hint="eastAsia"/>
          <w:color w:val="auto"/>
          <w:lang w:val="en-US" w:eastAsia="zh-CN"/>
        </w:rPr>
        <w:t>依据《国家安全监管总局关于公布首批重点监管的危险化学品名录的通知》（安监总管三〔2011〕95 号）、《国家安全监管总局关于公布第二批重点监管的危险化学品名录的通知》（安监总管三〔2013〕12 号），通过对该企业相关资料分析，该项目涉及重点监管的危险化学品为——甲醇（尾气）。</w:t>
      </w:r>
    </w:p>
    <w:p>
      <w:pPr>
        <w:ind w:firstLine="560" w:firstLineChars="200"/>
        <w:rPr>
          <w:rFonts w:hint="default"/>
          <w:color w:val="auto"/>
          <w:lang w:val="en-US" w:eastAsia="zh-CN"/>
        </w:rPr>
      </w:pPr>
      <w:r>
        <w:rPr>
          <w:rFonts w:hint="eastAsia"/>
          <w:color w:val="auto"/>
          <w:lang w:val="en-US" w:eastAsia="zh-CN"/>
        </w:rPr>
        <w:t>该项目涉及的甲醇（尾气）排入尾气处理系统处理。该项目尾气处理系统的设置原则如下：（1）保证工艺装置等设施发生各种事故时可燃气体能顺利排放；（2）保证可燃性气体排放系统本身能安全运行。</w:t>
      </w:r>
    </w:p>
    <w:p>
      <w:pPr>
        <w:pStyle w:val="3"/>
        <w:rPr>
          <w:rFonts w:hint="default"/>
          <w:color w:val="auto"/>
          <w:lang w:val="en-US" w:eastAsia="zh-CN"/>
        </w:rPr>
      </w:pPr>
      <w:bookmarkStart w:id="345" w:name="_Toc15003"/>
      <w:bookmarkStart w:id="346" w:name="_Toc24822"/>
      <w:bookmarkStart w:id="347" w:name="_Toc9312"/>
      <w:bookmarkStart w:id="348" w:name="_Toc18234"/>
      <w:bookmarkStart w:id="349" w:name="_Toc2315"/>
      <w:bookmarkStart w:id="350" w:name="_Toc15243"/>
      <w:r>
        <w:rPr>
          <w:rFonts w:hint="eastAsia"/>
          <w:color w:val="auto"/>
          <w:lang w:val="en-US" w:eastAsia="zh-CN"/>
        </w:rPr>
        <w:t>3.4特殊危险化学品辨识</w:t>
      </w:r>
      <w:bookmarkEnd w:id="326"/>
      <w:bookmarkEnd w:id="345"/>
      <w:bookmarkEnd w:id="346"/>
      <w:bookmarkEnd w:id="347"/>
      <w:bookmarkEnd w:id="348"/>
      <w:bookmarkEnd w:id="349"/>
      <w:bookmarkEnd w:id="350"/>
    </w:p>
    <w:p>
      <w:pPr>
        <w:ind w:firstLine="560" w:firstLineChars="200"/>
        <w:rPr>
          <w:bCs/>
          <w:color w:val="auto"/>
          <w:sz w:val="28"/>
          <w:szCs w:val="28"/>
        </w:rPr>
      </w:pPr>
      <w:r>
        <w:rPr>
          <w:rFonts w:hint="eastAsia"/>
          <w:bCs/>
          <w:color w:val="auto"/>
          <w:sz w:val="28"/>
          <w:szCs w:val="28"/>
          <w:lang w:val="en-US" w:eastAsia="zh-CN"/>
        </w:rPr>
        <w:t>1</w:t>
      </w:r>
      <w:r>
        <w:rPr>
          <w:rFonts w:hint="eastAsia" w:hAnsi="宋体"/>
          <w:bCs/>
          <w:color w:val="auto"/>
          <w:sz w:val="28"/>
          <w:szCs w:val="28"/>
        </w:rPr>
        <w:t>）</w:t>
      </w:r>
      <w:r>
        <w:rPr>
          <w:rFonts w:hAnsi="宋体"/>
          <w:bCs/>
          <w:color w:val="auto"/>
          <w:sz w:val="28"/>
          <w:szCs w:val="28"/>
        </w:rPr>
        <w:t>根据</w:t>
      </w:r>
      <w:r>
        <w:rPr>
          <w:rFonts w:hint="eastAsia" w:hAnsi="宋体"/>
          <w:bCs/>
          <w:color w:val="auto"/>
          <w:sz w:val="28"/>
          <w:szCs w:val="28"/>
        </w:rPr>
        <w:t>《各类监控化学品名录》</w:t>
      </w:r>
      <w:r>
        <w:rPr>
          <w:rFonts w:hint="eastAsia" w:hAnsi="宋体"/>
          <w:color w:val="auto"/>
          <w:kern w:val="0"/>
          <w:sz w:val="28"/>
          <w:szCs w:val="28"/>
          <w:lang w:eastAsia="zh-CN"/>
        </w:rPr>
        <w:t>（</w:t>
      </w:r>
      <w:r>
        <w:rPr>
          <w:rFonts w:hint="eastAsia" w:hAnsi="宋体"/>
          <w:color w:val="auto"/>
          <w:kern w:val="0"/>
          <w:sz w:val="28"/>
          <w:szCs w:val="28"/>
        </w:rPr>
        <w:t>中华人民共和国工业和信息化部令</w:t>
      </w:r>
      <w:r>
        <w:rPr>
          <w:rFonts w:hint="eastAsia" w:hAnsi="宋体"/>
          <w:color w:val="auto"/>
          <w:kern w:val="0"/>
          <w:sz w:val="28"/>
          <w:szCs w:val="28"/>
        </w:rPr>
        <w:br w:type="textWrapping"/>
      </w:r>
      <w:r>
        <w:rPr>
          <w:rFonts w:hint="eastAsia" w:hAnsi="宋体"/>
          <w:color w:val="auto"/>
          <w:kern w:val="0"/>
          <w:sz w:val="28"/>
          <w:szCs w:val="28"/>
        </w:rPr>
        <w:t>第52号</w:t>
      </w:r>
      <w:r>
        <w:rPr>
          <w:rFonts w:hint="eastAsia" w:hAnsi="宋体"/>
          <w:color w:val="auto"/>
          <w:kern w:val="0"/>
          <w:sz w:val="28"/>
          <w:szCs w:val="28"/>
          <w:lang w:eastAsia="zh-CN"/>
        </w:rPr>
        <w:t>）</w:t>
      </w:r>
      <w:r>
        <w:rPr>
          <w:rFonts w:hint="eastAsia" w:hAnsi="宋体"/>
          <w:bCs/>
          <w:color w:val="auto"/>
          <w:sz w:val="28"/>
          <w:szCs w:val="28"/>
          <w:lang w:eastAsia="zh-CN"/>
        </w:rPr>
        <w:t>，</w:t>
      </w:r>
      <w:r>
        <w:rPr>
          <w:rFonts w:hint="eastAsia" w:hAnsi="宋体"/>
          <w:color w:val="auto"/>
          <w:kern w:val="0"/>
          <w:sz w:val="28"/>
          <w:szCs w:val="28"/>
        </w:rPr>
        <w:t>该项目不涉及</w:t>
      </w:r>
      <w:r>
        <w:rPr>
          <w:rFonts w:hAnsi="宋体"/>
          <w:bCs/>
          <w:color w:val="auto"/>
          <w:sz w:val="28"/>
          <w:szCs w:val="28"/>
        </w:rPr>
        <w:t>第一、二、三类监控化学品</w:t>
      </w:r>
      <w:r>
        <w:rPr>
          <w:rFonts w:hint="eastAsia" w:hAnsi="宋体"/>
          <w:bCs/>
          <w:color w:val="auto"/>
          <w:sz w:val="28"/>
          <w:szCs w:val="28"/>
        </w:rPr>
        <w:t>；</w:t>
      </w:r>
    </w:p>
    <w:p>
      <w:pPr>
        <w:ind w:firstLine="560" w:firstLineChars="200"/>
        <w:rPr>
          <w:rFonts w:hint="eastAsia" w:hAnsi="宋体"/>
          <w:color w:val="auto"/>
          <w:kern w:val="0"/>
          <w:sz w:val="28"/>
          <w:szCs w:val="28"/>
        </w:rPr>
      </w:pPr>
      <w:r>
        <w:rPr>
          <w:rFonts w:hint="eastAsia"/>
          <w:bCs/>
          <w:color w:val="auto"/>
          <w:sz w:val="28"/>
          <w:szCs w:val="28"/>
          <w:lang w:val="en-US" w:eastAsia="zh-CN"/>
        </w:rPr>
        <w:t>2</w:t>
      </w:r>
      <w:r>
        <w:rPr>
          <w:rFonts w:hint="eastAsia" w:hAnsi="宋体"/>
          <w:bCs/>
          <w:color w:val="auto"/>
          <w:sz w:val="28"/>
          <w:szCs w:val="28"/>
        </w:rPr>
        <w:t>）</w:t>
      </w:r>
      <w:r>
        <w:rPr>
          <w:rFonts w:hint="eastAsia" w:hAnsi="宋体"/>
          <w:color w:val="auto"/>
          <w:sz w:val="28"/>
        </w:rPr>
        <w:t>根据</w:t>
      </w:r>
      <w:r>
        <w:rPr>
          <w:rFonts w:hAnsi="宋体"/>
          <w:color w:val="auto"/>
          <w:kern w:val="0"/>
          <w:sz w:val="28"/>
          <w:szCs w:val="28"/>
        </w:rPr>
        <w:t>《易制爆危险化学品名录》</w:t>
      </w:r>
      <w:r>
        <w:rPr>
          <w:rFonts w:hint="eastAsia" w:hAnsi="宋体"/>
          <w:color w:val="auto"/>
          <w:kern w:val="0"/>
          <w:sz w:val="28"/>
          <w:szCs w:val="28"/>
          <w:lang w:eastAsia="zh-CN"/>
        </w:rPr>
        <w:t>（</w:t>
      </w:r>
      <w:r>
        <w:rPr>
          <w:rFonts w:hint="eastAsia" w:hAnsi="宋体"/>
          <w:color w:val="auto"/>
          <w:kern w:val="0"/>
          <w:sz w:val="28"/>
          <w:szCs w:val="28"/>
          <w:lang w:val="en-US" w:eastAsia="zh-CN"/>
        </w:rPr>
        <w:t>2017年版</w:t>
      </w:r>
      <w:r>
        <w:rPr>
          <w:rFonts w:hint="eastAsia" w:hAnsi="宋体"/>
          <w:color w:val="auto"/>
          <w:kern w:val="0"/>
          <w:sz w:val="28"/>
          <w:szCs w:val="28"/>
          <w:lang w:eastAsia="zh-CN"/>
        </w:rPr>
        <w:t>）</w:t>
      </w:r>
      <w:r>
        <w:rPr>
          <w:rFonts w:hint="eastAsia" w:hAnsi="宋体"/>
          <w:color w:val="auto"/>
          <w:kern w:val="0"/>
          <w:sz w:val="28"/>
          <w:szCs w:val="28"/>
        </w:rPr>
        <w:t>，该项目不涉及</w:t>
      </w:r>
      <w:r>
        <w:rPr>
          <w:rFonts w:hAnsi="宋体"/>
          <w:color w:val="auto"/>
          <w:kern w:val="0"/>
          <w:sz w:val="28"/>
          <w:szCs w:val="28"/>
        </w:rPr>
        <w:t>易制爆危险化学品</w:t>
      </w:r>
      <w:r>
        <w:rPr>
          <w:rFonts w:hint="eastAsia" w:hAnsi="宋体"/>
          <w:color w:val="auto"/>
          <w:kern w:val="0"/>
          <w:sz w:val="28"/>
          <w:szCs w:val="28"/>
        </w:rPr>
        <w:t>；</w:t>
      </w:r>
    </w:p>
    <w:p>
      <w:pPr>
        <w:ind w:firstLine="560" w:firstLineChars="200"/>
        <w:rPr>
          <w:rFonts w:hint="eastAsia" w:hAnsi="宋体"/>
          <w:color w:val="auto"/>
          <w:kern w:val="0"/>
          <w:sz w:val="28"/>
          <w:szCs w:val="28"/>
        </w:rPr>
      </w:pPr>
      <w:r>
        <w:rPr>
          <w:rFonts w:hint="eastAsia" w:hAnsi="宋体"/>
          <w:color w:val="auto"/>
          <w:kern w:val="0"/>
          <w:sz w:val="28"/>
          <w:szCs w:val="28"/>
          <w:lang w:val="en-US" w:eastAsia="zh-CN"/>
        </w:rPr>
        <w:t>3</w:t>
      </w:r>
      <w:r>
        <w:rPr>
          <w:rFonts w:hint="eastAsia" w:hAnsi="宋体"/>
          <w:color w:val="auto"/>
          <w:kern w:val="0"/>
          <w:sz w:val="28"/>
          <w:szCs w:val="28"/>
        </w:rPr>
        <w:t>）根据《危险化学品目录》</w:t>
      </w:r>
      <w:r>
        <w:rPr>
          <w:rFonts w:hint="eastAsia" w:hAnsi="宋体"/>
          <w:color w:val="auto"/>
          <w:kern w:val="0"/>
          <w:sz w:val="28"/>
          <w:szCs w:val="28"/>
          <w:lang w:eastAsia="zh-CN"/>
        </w:rPr>
        <w:t>（</w:t>
      </w:r>
      <w:r>
        <w:rPr>
          <w:rFonts w:hint="eastAsia" w:hAnsi="宋体"/>
          <w:color w:val="auto"/>
          <w:kern w:val="0"/>
          <w:sz w:val="28"/>
          <w:szCs w:val="28"/>
          <w:lang w:val="en-US" w:eastAsia="zh-CN"/>
        </w:rPr>
        <w:t>2015年版2022年调整）</w:t>
      </w:r>
      <w:r>
        <w:rPr>
          <w:rFonts w:hint="eastAsia" w:hAnsi="宋体"/>
          <w:color w:val="auto"/>
          <w:kern w:val="0"/>
          <w:sz w:val="28"/>
          <w:szCs w:val="28"/>
        </w:rPr>
        <w:t>，该项目不涉及剧毒化学品；</w:t>
      </w:r>
    </w:p>
    <w:p>
      <w:pPr>
        <w:ind w:firstLine="560" w:firstLineChars="200"/>
        <w:rPr>
          <w:rFonts w:hint="eastAsia" w:hAnsi="宋体"/>
          <w:color w:val="auto"/>
          <w:kern w:val="0"/>
          <w:sz w:val="28"/>
          <w:szCs w:val="28"/>
        </w:rPr>
      </w:pPr>
      <w:r>
        <w:rPr>
          <w:rFonts w:hint="eastAsia" w:hAnsi="宋体"/>
          <w:color w:val="auto"/>
          <w:kern w:val="0"/>
          <w:sz w:val="28"/>
          <w:szCs w:val="28"/>
          <w:lang w:val="en-US" w:eastAsia="zh-CN"/>
        </w:rPr>
        <w:t>4</w:t>
      </w:r>
      <w:r>
        <w:rPr>
          <w:rFonts w:hint="eastAsia" w:hAnsi="宋体"/>
          <w:color w:val="auto"/>
          <w:kern w:val="0"/>
          <w:sz w:val="28"/>
          <w:szCs w:val="28"/>
        </w:rPr>
        <w:t>）根据《易制毒化学品</w:t>
      </w:r>
      <w:r>
        <w:rPr>
          <w:rFonts w:hint="eastAsia" w:hAnsi="宋体"/>
          <w:color w:val="auto"/>
          <w:kern w:val="0"/>
          <w:sz w:val="28"/>
          <w:szCs w:val="28"/>
          <w:lang w:val="en-US" w:eastAsia="zh-CN"/>
        </w:rPr>
        <w:t>的分类和品种</w:t>
      </w:r>
      <w:r>
        <w:rPr>
          <w:rFonts w:hint="eastAsia" w:hAnsi="宋体"/>
          <w:color w:val="auto"/>
          <w:kern w:val="0"/>
          <w:sz w:val="28"/>
          <w:szCs w:val="28"/>
        </w:rPr>
        <w:t>目录》</w:t>
      </w:r>
      <w:r>
        <w:rPr>
          <w:rFonts w:hint="eastAsia" w:hAnsi="宋体"/>
          <w:color w:val="auto"/>
          <w:kern w:val="0"/>
          <w:sz w:val="28"/>
          <w:szCs w:val="28"/>
          <w:lang w:val="en-US" w:eastAsia="zh-CN"/>
        </w:rPr>
        <w:t>国办函[2021]58号</w:t>
      </w:r>
      <w:r>
        <w:rPr>
          <w:rFonts w:hint="eastAsia" w:hAnsi="宋体"/>
          <w:color w:val="auto"/>
          <w:kern w:val="0"/>
          <w:sz w:val="28"/>
          <w:szCs w:val="28"/>
        </w:rPr>
        <w:t>，该项目不涉及易制毒危险化学品。</w:t>
      </w:r>
    </w:p>
    <w:p>
      <w:pPr>
        <w:ind w:firstLine="560" w:firstLineChars="200"/>
        <w:rPr>
          <w:rFonts w:hint="eastAsia" w:hAnsi="宋体"/>
          <w:color w:val="auto"/>
          <w:kern w:val="0"/>
          <w:sz w:val="28"/>
          <w:szCs w:val="28"/>
        </w:rPr>
      </w:pPr>
      <w:r>
        <w:rPr>
          <w:rFonts w:hint="eastAsia" w:hAnsi="宋体"/>
          <w:color w:val="auto"/>
          <w:kern w:val="0"/>
          <w:sz w:val="28"/>
          <w:szCs w:val="28"/>
          <w:lang w:val="en-US" w:eastAsia="zh-CN"/>
        </w:rPr>
        <w:t>5</w:t>
      </w:r>
      <w:r>
        <w:rPr>
          <w:rFonts w:hint="eastAsia" w:hAnsi="宋体"/>
          <w:color w:val="auto"/>
          <w:kern w:val="0"/>
          <w:sz w:val="28"/>
          <w:szCs w:val="28"/>
        </w:rPr>
        <w:t>）根据《高毒物品目录》（卫法监发[2003]142号），该项目不涉及高毒物品。</w:t>
      </w:r>
    </w:p>
    <w:p>
      <w:pPr>
        <w:pStyle w:val="3"/>
        <w:rPr>
          <w:rFonts w:hint="eastAsia" w:hAnsi="宋体"/>
          <w:color w:val="auto"/>
          <w:kern w:val="0"/>
          <w:sz w:val="28"/>
          <w:szCs w:val="28"/>
          <w:lang w:val="en-US" w:eastAsia="zh-CN"/>
        </w:rPr>
      </w:pPr>
      <w:bookmarkStart w:id="351" w:name="_Toc26893"/>
      <w:bookmarkStart w:id="352" w:name="_Toc3946"/>
      <w:bookmarkStart w:id="353" w:name="_Toc12072"/>
      <w:bookmarkStart w:id="354" w:name="_Toc29492"/>
      <w:bookmarkStart w:id="355" w:name="_Toc27395"/>
      <w:bookmarkStart w:id="356" w:name="_Toc5414"/>
      <w:r>
        <w:rPr>
          <w:rFonts w:hint="eastAsia" w:hAnsi="宋体"/>
          <w:color w:val="auto"/>
          <w:kern w:val="0"/>
          <w:sz w:val="28"/>
          <w:szCs w:val="28"/>
          <w:lang w:val="en-US" w:eastAsia="zh-CN"/>
        </w:rPr>
        <w:t>3.5危险、有害因素的辨识结果及依据</w:t>
      </w:r>
      <w:bookmarkEnd w:id="351"/>
      <w:bookmarkEnd w:id="352"/>
      <w:bookmarkEnd w:id="353"/>
      <w:bookmarkEnd w:id="354"/>
      <w:bookmarkEnd w:id="355"/>
      <w:bookmarkEnd w:id="356"/>
    </w:p>
    <w:p>
      <w:pPr>
        <w:pStyle w:val="4"/>
        <w:bidi w:val="0"/>
        <w:rPr>
          <w:rFonts w:hint="eastAsia"/>
          <w:color w:val="auto"/>
          <w:lang w:val="en-US" w:eastAsia="zh-CN"/>
        </w:rPr>
      </w:pPr>
      <w:bookmarkStart w:id="357" w:name="_Toc219"/>
      <w:r>
        <w:rPr>
          <w:rFonts w:hint="eastAsia"/>
          <w:color w:val="auto"/>
          <w:lang w:val="en-US" w:eastAsia="zh-CN"/>
        </w:rPr>
        <w:t>3.5.1辨识依据及产生原因</w:t>
      </w:r>
      <w:bookmarkEnd w:id="357"/>
    </w:p>
    <w:p>
      <w:pPr>
        <w:ind w:firstLine="562" w:firstLineChars="200"/>
        <w:rPr>
          <w:rFonts w:hint="default"/>
          <w:b/>
          <w:bCs/>
          <w:color w:val="auto"/>
          <w:lang w:val="en-US" w:eastAsia="zh-CN"/>
        </w:rPr>
      </w:pPr>
      <w:r>
        <w:rPr>
          <w:rFonts w:hint="default"/>
          <w:b/>
          <w:bCs/>
          <w:color w:val="auto"/>
          <w:lang w:val="en-US" w:eastAsia="zh-CN"/>
        </w:rPr>
        <w:t>一.辨识依据</w:t>
      </w:r>
    </w:p>
    <w:p>
      <w:pPr>
        <w:ind w:firstLine="560" w:firstLineChars="200"/>
        <w:rPr>
          <w:rFonts w:hint="default"/>
          <w:color w:val="auto"/>
          <w:lang w:val="en-US" w:eastAsia="zh-CN"/>
        </w:rPr>
      </w:pPr>
      <w:r>
        <w:rPr>
          <w:rFonts w:hint="default"/>
          <w:color w:val="auto"/>
          <w:lang w:val="en-US" w:eastAsia="zh-CN"/>
        </w:rPr>
        <w:t>对该项目的危险、有害因素进行辨识，依据《生产过程危险和有害因素分类与代码》GB/T13861-2022 和《企业职工伤亡事故分类》GB6441-1986 的</w:t>
      </w:r>
    </w:p>
    <w:p>
      <w:pPr>
        <w:rPr>
          <w:rFonts w:hint="default"/>
          <w:color w:val="auto"/>
          <w:lang w:val="en-US" w:eastAsia="zh-CN"/>
        </w:rPr>
      </w:pPr>
      <w:r>
        <w:rPr>
          <w:rFonts w:hint="default"/>
          <w:color w:val="auto"/>
          <w:lang w:val="en-US" w:eastAsia="zh-CN"/>
        </w:rPr>
        <w:t>同时，通过对该项目的厂址、平面布局、建（构）筑物、物质、生产工艺及设备、辅助生产设施（含公用工程）及职业卫生等方面进行分析而得出。</w:t>
      </w:r>
    </w:p>
    <w:p>
      <w:pPr>
        <w:ind w:firstLine="562" w:firstLineChars="200"/>
        <w:rPr>
          <w:rFonts w:hint="default"/>
          <w:b/>
          <w:bCs/>
          <w:color w:val="auto"/>
          <w:lang w:val="en-US" w:eastAsia="zh-CN"/>
        </w:rPr>
      </w:pPr>
      <w:r>
        <w:rPr>
          <w:rFonts w:hint="default"/>
          <w:b/>
          <w:bCs/>
          <w:color w:val="auto"/>
          <w:lang w:val="en-US" w:eastAsia="zh-CN"/>
        </w:rPr>
        <w:t>二.</w:t>
      </w:r>
      <w:r>
        <w:rPr>
          <w:rFonts w:hint="eastAsia"/>
          <w:b/>
          <w:bCs/>
          <w:color w:val="auto"/>
          <w:lang w:val="en-US" w:eastAsia="zh-CN"/>
        </w:rPr>
        <w:t>产生原因</w:t>
      </w:r>
    </w:p>
    <w:p>
      <w:pPr>
        <w:spacing w:line="600" w:lineRule="exact"/>
        <w:ind w:firstLine="560" w:firstLineChars="200"/>
        <w:jc w:val="left"/>
        <w:rPr>
          <w:color w:val="auto"/>
          <w:sz w:val="28"/>
          <w:szCs w:val="28"/>
        </w:rPr>
      </w:pPr>
      <w:bookmarkStart w:id="358" w:name="_Toc7316"/>
      <w:bookmarkStart w:id="359" w:name="_Toc25110"/>
      <w:bookmarkStart w:id="360" w:name="_Toc30436"/>
      <w:bookmarkStart w:id="361" w:name="_Toc25880"/>
      <w:bookmarkStart w:id="362" w:name="_Toc10103"/>
      <w:r>
        <w:rPr>
          <w:color w:val="auto"/>
          <w:sz w:val="28"/>
          <w:szCs w:val="28"/>
        </w:rPr>
        <w:t>二、产生原因</w:t>
      </w:r>
    </w:p>
    <w:p>
      <w:pPr>
        <w:spacing w:line="600" w:lineRule="exact"/>
        <w:ind w:firstLine="560" w:firstLineChars="200"/>
        <w:jc w:val="left"/>
        <w:rPr>
          <w:color w:val="auto"/>
          <w:sz w:val="28"/>
          <w:szCs w:val="28"/>
        </w:rPr>
      </w:pPr>
      <w:r>
        <w:rPr>
          <w:color w:val="auto"/>
          <w:sz w:val="28"/>
          <w:szCs w:val="28"/>
        </w:rPr>
        <w:t>危险、危害因素尽管表现形式不同，但从本质上讲，之所以能造成危险、危害后果（发生伤亡事故、损害人身健康和造成物的损坏等），均可归结为存在能量、有害物质和能量、有害物质失去控制等方面因素的综合作用，并导致能量的意外释放或有害物质泄漏、扩散的结果。存在能量、有害物质和失控是危险、危害因素产生的根本原因。危险、危害因素主要产生原因如下：</w:t>
      </w:r>
    </w:p>
    <w:p>
      <w:pPr>
        <w:spacing w:line="600" w:lineRule="exact"/>
        <w:ind w:firstLine="560" w:firstLineChars="200"/>
        <w:jc w:val="left"/>
        <w:rPr>
          <w:color w:val="auto"/>
          <w:sz w:val="28"/>
          <w:szCs w:val="28"/>
        </w:rPr>
      </w:pPr>
      <w:r>
        <w:rPr>
          <w:color w:val="auto"/>
          <w:sz w:val="28"/>
          <w:szCs w:val="28"/>
        </w:rPr>
        <w:t>1、能量、有害物质</w:t>
      </w:r>
    </w:p>
    <w:p>
      <w:pPr>
        <w:spacing w:line="600" w:lineRule="exact"/>
        <w:ind w:firstLine="560" w:firstLineChars="200"/>
        <w:jc w:val="left"/>
        <w:rPr>
          <w:color w:val="auto"/>
          <w:sz w:val="28"/>
          <w:szCs w:val="28"/>
        </w:rPr>
      </w:pPr>
      <w:r>
        <w:rPr>
          <w:color w:val="auto"/>
          <w:sz w:val="28"/>
          <w:szCs w:val="28"/>
        </w:rPr>
        <w:t>能量、有害物质是危险、危害因素产生的根源，也是最根本的危险、危害因素。一般地说，系统具有的能量越大、存在的危害物质的数量越多，系统的潜在危险性和危害性也越大。另一方面，只要进行生产活动，就需要相应的能量和物质（包括有害物质），因此生产活动中的危险、危害因素是客观存在的，是不能完全消除的。</w:t>
      </w:r>
    </w:p>
    <w:p>
      <w:pPr>
        <w:spacing w:line="600" w:lineRule="exact"/>
        <w:ind w:firstLine="560" w:firstLineChars="200"/>
        <w:jc w:val="left"/>
        <w:rPr>
          <w:color w:val="auto"/>
          <w:sz w:val="28"/>
          <w:szCs w:val="28"/>
        </w:rPr>
      </w:pPr>
      <w:r>
        <w:rPr>
          <w:color w:val="auto"/>
          <w:sz w:val="28"/>
          <w:szCs w:val="28"/>
        </w:rPr>
        <w:t>1）能量就是做工的能力。它即可以造福人类，也可能造成人员伤亡和财产损失。一切产生、供给能量的能源和能量的载体在一定条件下，都可能是危险、危害因素。</w:t>
      </w:r>
    </w:p>
    <w:p>
      <w:pPr>
        <w:spacing w:line="600" w:lineRule="exact"/>
        <w:ind w:firstLine="560" w:firstLineChars="200"/>
        <w:jc w:val="left"/>
        <w:rPr>
          <w:color w:val="auto"/>
          <w:sz w:val="28"/>
          <w:szCs w:val="28"/>
        </w:rPr>
      </w:pPr>
      <w:r>
        <w:rPr>
          <w:color w:val="auto"/>
          <w:sz w:val="28"/>
          <w:szCs w:val="28"/>
        </w:rPr>
        <w:t>2）有害物质在一定条件下能损伤人体的生理机能和正常代谢功能，破坏设备和物品的效能，也是主要的危险、危害因素。</w:t>
      </w:r>
    </w:p>
    <w:p>
      <w:pPr>
        <w:spacing w:line="600" w:lineRule="exact"/>
        <w:ind w:firstLine="560" w:firstLineChars="200"/>
        <w:jc w:val="left"/>
        <w:rPr>
          <w:color w:val="auto"/>
          <w:sz w:val="28"/>
          <w:szCs w:val="28"/>
        </w:rPr>
      </w:pPr>
      <w:r>
        <w:rPr>
          <w:color w:val="auto"/>
          <w:sz w:val="28"/>
          <w:szCs w:val="28"/>
        </w:rPr>
        <w:t>2、失控</w:t>
      </w:r>
    </w:p>
    <w:p>
      <w:pPr>
        <w:spacing w:line="600" w:lineRule="exact"/>
        <w:ind w:firstLine="560" w:firstLineChars="200"/>
        <w:jc w:val="left"/>
        <w:rPr>
          <w:color w:val="auto"/>
          <w:sz w:val="28"/>
          <w:szCs w:val="28"/>
        </w:rPr>
      </w:pPr>
      <w:r>
        <w:rPr>
          <w:color w:val="auto"/>
          <w:sz w:val="28"/>
          <w:szCs w:val="28"/>
        </w:rPr>
        <w:t>在生产中，人们通过工艺和工艺装备使能量、物质（包括有害物质）按人们的意愿在系统中流动、转换，进行生产。同时又必须结束和控制这些能量及有害物质，消除、减少产生不良后果的条件，使之不能发生危险、危害后果。如果发生失控（没有采取控制、屏蔽措施或控制、屏蔽措施失效），就会发生能量、危害物质的意外释放和泄漏，从而造成人员伤害和财产损失。所以失控也是一类危险、危害因素，它主要体现在设备故障（或缺陷）、人员失误和管理缺陷3个方面。此外环境因素是引起失控的间接原因。</w:t>
      </w:r>
    </w:p>
    <w:p>
      <w:pPr>
        <w:spacing w:line="600" w:lineRule="exact"/>
        <w:ind w:firstLine="560" w:firstLineChars="200"/>
        <w:jc w:val="left"/>
        <w:rPr>
          <w:color w:val="auto"/>
          <w:sz w:val="28"/>
          <w:szCs w:val="28"/>
        </w:rPr>
      </w:pPr>
      <w:r>
        <w:rPr>
          <w:color w:val="auto"/>
          <w:sz w:val="28"/>
          <w:szCs w:val="28"/>
        </w:rPr>
        <w:t>1）故障（包括生产、控制、安全装置和辅助设施等故障）</w:t>
      </w:r>
    </w:p>
    <w:p>
      <w:pPr>
        <w:spacing w:line="600" w:lineRule="exact"/>
        <w:ind w:firstLine="560" w:firstLineChars="200"/>
        <w:jc w:val="left"/>
        <w:rPr>
          <w:color w:val="auto"/>
          <w:sz w:val="28"/>
          <w:szCs w:val="28"/>
        </w:rPr>
      </w:pPr>
      <w:r>
        <w:rPr>
          <w:color w:val="auto"/>
          <w:sz w:val="28"/>
          <w:szCs w:val="28"/>
        </w:rPr>
        <w:t>故障（含缺陷）是指系统、设备、元件等在运行过程中由于性能（含安全性能）低下而不能实现预定功能（包括安全功能）的现象。故障的发生具有随机性、渐近性或突发性。造成故障发生的原因很复杂（设计、制造、磨损、疲劳、老化、检查和维修、保养、人员失误、环境和其他系统的影响等），通过定期检查维修保养和分析总结可使多数故障在预定期间内得到控制（避免或减少）。掌握各类故障发生的规律是防止故障发生的重要手段，这需要应用大量统计数据和概率统计的方法进行分析和研究。</w:t>
      </w:r>
    </w:p>
    <w:p>
      <w:pPr>
        <w:spacing w:line="600" w:lineRule="exact"/>
        <w:ind w:firstLine="560" w:firstLineChars="200"/>
        <w:jc w:val="left"/>
        <w:rPr>
          <w:color w:val="auto"/>
          <w:sz w:val="28"/>
          <w:szCs w:val="28"/>
        </w:rPr>
      </w:pPr>
      <w:r>
        <w:rPr>
          <w:color w:val="auto"/>
          <w:sz w:val="28"/>
          <w:szCs w:val="28"/>
        </w:rPr>
        <w:t>2）人员失误</w:t>
      </w:r>
    </w:p>
    <w:p>
      <w:pPr>
        <w:spacing w:line="600" w:lineRule="exact"/>
        <w:ind w:firstLine="560" w:firstLineChars="200"/>
        <w:jc w:val="left"/>
        <w:rPr>
          <w:color w:val="auto"/>
          <w:sz w:val="28"/>
          <w:szCs w:val="28"/>
        </w:rPr>
      </w:pPr>
      <w:r>
        <w:rPr>
          <w:color w:val="auto"/>
          <w:sz w:val="28"/>
          <w:szCs w:val="28"/>
        </w:rPr>
        <w:t>人员失误泛指不安全行为中产生不良后果的行为（即职工在劳动过程中，违反劳动纪律、操作程序和操作方法等具有危险性的做法）。人员失误在一定经济、技术条件下，是引发危险、危害因素的重要因素。人员失误在规律和失误率通过大量的观测、统计和分析，是可以预测。</w:t>
      </w:r>
    </w:p>
    <w:p>
      <w:pPr>
        <w:spacing w:line="600" w:lineRule="exact"/>
        <w:ind w:firstLine="560" w:firstLineChars="200"/>
        <w:jc w:val="left"/>
        <w:rPr>
          <w:color w:val="auto"/>
          <w:sz w:val="28"/>
          <w:szCs w:val="28"/>
        </w:rPr>
      </w:pPr>
      <w:r>
        <w:rPr>
          <w:color w:val="auto"/>
          <w:sz w:val="28"/>
          <w:szCs w:val="28"/>
        </w:rPr>
        <w:t>我国《企业职工伤亡事故分类标准》（GB 6441-1986）附录中将不安全行为归纳为操作失误（忽视安全、忽视警告）、造成安全装置失效、使用不安全设备、手代替工具操作、物体存放不当、冒险进入危险场所、攀坐不安全位置、在吊物下作业（停留）、机器运转时加油（修理、检查、调整、清扫等）、有分散注意力行为、忽视使用必须使用的个人防护用品或用具、不安全装束、对易燃易爆等危险品处理错误等13类。</w:t>
      </w:r>
    </w:p>
    <w:p>
      <w:pPr>
        <w:spacing w:line="600" w:lineRule="exact"/>
        <w:ind w:firstLine="560" w:firstLineChars="200"/>
        <w:jc w:val="left"/>
        <w:rPr>
          <w:color w:val="auto"/>
          <w:sz w:val="28"/>
          <w:szCs w:val="28"/>
        </w:rPr>
      </w:pPr>
      <w:r>
        <w:rPr>
          <w:color w:val="auto"/>
          <w:sz w:val="28"/>
          <w:szCs w:val="28"/>
        </w:rPr>
        <w:t>3）管理缺陷</w:t>
      </w:r>
    </w:p>
    <w:p>
      <w:pPr>
        <w:spacing w:line="600" w:lineRule="exact"/>
        <w:ind w:firstLine="560" w:firstLineChars="200"/>
        <w:jc w:val="left"/>
        <w:rPr>
          <w:color w:val="auto"/>
          <w:sz w:val="28"/>
          <w:szCs w:val="28"/>
        </w:rPr>
      </w:pPr>
      <w:r>
        <w:rPr>
          <w:color w:val="auto"/>
          <w:sz w:val="28"/>
          <w:szCs w:val="28"/>
        </w:rPr>
        <w:t>安全生产管理是为保证及时、有效地实现目标，在预测、分析的基础上进行的计划、组织、协调、检查等工作，是预防发生事故和人员失误的有效手段。管理缺陷是影响失控发生的重要因素。</w:t>
      </w:r>
    </w:p>
    <w:p>
      <w:pPr>
        <w:spacing w:line="600" w:lineRule="exact"/>
        <w:ind w:firstLine="560" w:firstLineChars="200"/>
        <w:jc w:val="left"/>
        <w:rPr>
          <w:color w:val="auto"/>
          <w:sz w:val="28"/>
          <w:szCs w:val="28"/>
        </w:rPr>
      </w:pPr>
      <w:r>
        <w:rPr>
          <w:color w:val="auto"/>
          <w:sz w:val="28"/>
          <w:szCs w:val="28"/>
        </w:rPr>
        <w:t>4）客观因素</w:t>
      </w:r>
    </w:p>
    <w:p>
      <w:pPr>
        <w:spacing w:line="600" w:lineRule="exact"/>
        <w:ind w:firstLine="560" w:firstLineChars="200"/>
        <w:jc w:val="left"/>
        <w:rPr>
          <w:color w:val="auto"/>
          <w:sz w:val="28"/>
          <w:szCs w:val="28"/>
        </w:rPr>
      </w:pPr>
      <w:r>
        <w:rPr>
          <w:color w:val="auto"/>
          <w:sz w:val="28"/>
          <w:szCs w:val="28"/>
        </w:rPr>
        <w:t>温度、湿度、风雨雪、照明、视野、噪声、振动、通风换气、色彩等环境因素都会引起设备故障或人员失误，也是发生失控的间接因素。</w:t>
      </w:r>
    </w:p>
    <w:p>
      <w:pPr>
        <w:pStyle w:val="4"/>
        <w:bidi w:val="0"/>
        <w:rPr>
          <w:rFonts w:hint="eastAsia"/>
          <w:color w:val="auto"/>
          <w:lang w:val="en-US" w:eastAsia="zh-CN"/>
        </w:rPr>
      </w:pPr>
      <w:bookmarkStart w:id="363" w:name="_Toc3921"/>
      <w:r>
        <w:rPr>
          <w:rFonts w:hint="eastAsia"/>
          <w:color w:val="auto"/>
          <w:lang w:val="en-US" w:eastAsia="zh-CN"/>
        </w:rPr>
        <w:t>3.5.2工艺过程危险、有害因素分析</w:t>
      </w:r>
      <w:bookmarkEnd w:id="363"/>
    </w:p>
    <w:p>
      <w:pPr>
        <w:pStyle w:val="4"/>
        <w:bidi w:val="0"/>
        <w:rPr>
          <w:color w:val="auto"/>
        </w:rPr>
      </w:pPr>
      <w:bookmarkStart w:id="364" w:name="_Toc3119"/>
      <w:r>
        <w:rPr>
          <w:rFonts w:hint="eastAsia"/>
          <w:color w:val="auto"/>
          <w:lang w:val="en-US" w:eastAsia="zh-CN"/>
        </w:rPr>
        <w:t>3.5.3</w:t>
      </w:r>
      <w:r>
        <w:rPr>
          <w:color w:val="auto"/>
        </w:rPr>
        <w:t>主要装置的危险性分析</w:t>
      </w:r>
      <w:bookmarkEnd w:id="364"/>
    </w:p>
    <w:p>
      <w:pPr>
        <w:spacing w:line="360" w:lineRule="auto"/>
        <w:ind w:firstLine="560" w:firstLineChars="200"/>
        <w:jc w:val="left"/>
        <w:rPr>
          <w:color w:val="auto"/>
          <w:sz w:val="28"/>
          <w:szCs w:val="28"/>
        </w:rPr>
      </w:pPr>
      <w:r>
        <w:rPr>
          <w:color w:val="auto"/>
          <w:sz w:val="28"/>
          <w:szCs w:val="28"/>
        </w:rPr>
        <w:t>1）</w:t>
      </w:r>
      <w:r>
        <w:rPr>
          <w:rFonts w:hint="eastAsia"/>
          <w:color w:val="auto"/>
          <w:sz w:val="28"/>
          <w:szCs w:val="28"/>
        </w:rPr>
        <w:t>本项目</w:t>
      </w:r>
      <w:r>
        <w:rPr>
          <w:rFonts w:hint="eastAsia"/>
          <w:color w:val="auto"/>
          <w:sz w:val="28"/>
          <w:szCs w:val="28"/>
          <w:lang w:val="en-US" w:eastAsia="zh-CN"/>
        </w:rPr>
        <w:t>主要生产装置：裂解炉、蒸馏釜</w:t>
      </w:r>
      <w:r>
        <w:rPr>
          <w:rFonts w:hint="eastAsia"/>
          <w:color w:val="auto"/>
          <w:sz w:val="28"/>
          <w:szCs w:val="28"/>
        </w:rPr>
        <w:t>，其中介质</w:t>
      </w:r>
      <w:r>
        <w:rPr>
          <w:rFonts w:hint="eastAsia"/>
          <w:color w:val="auto"/>
          <w:sz w:val="28"/>
          <w:szCs w:val="28"/>
          <w:lang w:val="en-US" w:eastAsia="zh-CN"/>
        </w:rPr>
        <w:t>为</w:t>
      </w:r>
      <w:r>
        <w:rPr>
          <w:rFonts w:hint="eastAsia"/>
          <w:color w:val="auto"/>
          <w:sz w:val="28"/>
          <w:szCs w:val="28"/>
        </w:rPr>
        <w:t>：</w:t>
      </w:r>
      <w:r>
        <w:rPr>
          <w:rFonts w:hint="eastAsia"/>
          <w:color w:val="auto"/>
          <w:sz w:val="28"/>
          <w:szCs w:val="28"/>
          <w:lang w:val="en-US" w:eastAsia="zh-CN"/>
        </w:rPr>
        <w:t>甲基丙烯酸甲酯</w:t>
      </w:r>
      <w:r>
        <w:rPr>
          <w:rFonts w:hint="eastAsia"/>
          <w:color w:val="auto"/>
          <w:sz w:val="28"/>
          <w:szCs w:val="28"/>
          <w:lang w:eastAsia="zh-CN"/>
        </w:rPr>
        <w:t>，</w:t>
      </w:r>
      <w:r>
        <w:rPr>
          <w:rFonts w:hint="eastAsia"/>
          <w:color w:val="auto"/>
          <w:sz w:val="28"/>
          <w:szCs w:val="28"/>
          <w:lang w:val="en-US" w:eastAsia="zh-CN"/>
        </w:rPr>
        <w:t>易燃液体</w:t>
      </w:r>
      <w:r>
        <w:rPr>
          <w:rFonts w:hint="eastAsia"/>
          <w:color w:val="auto"/>
          <w:sz w:val="28"/>
          <w:szCs w:val="28"/>
        </w:rPr>
        <w:t>，火灾危险性类别为甲类。且此类设备为关键性设备，如</w:t>
      </w:r>
      <w:r>
        <w:rPr>
          <w:rFonts w:hint="eastAsia"/>
          <w:color w:val="auto"/>
          <w:sz w:val="28"/>
          <w:szCs w:val="28"/>
          <w:lang w:val="en-US" w:eastAsia="zh-CN"/>
        </w:rPr>
        <w:t>裂解炉</w:t>
      </w:r>
      <w:r>
        <w:rPr>
          <w:rFonts w:hint="eastAsia"/>
          <w:color w:val="auto"/>
          <w:sz w:val="28"/>
          <w:szCs w:val="28"/>
        </w:rPr>
        <w:t>因其工作时温度高可能加剧材质的疲劳、蠕变，造成</w:t>
      </w:r>
      <w:r>
        <w:rPr>
          <w:rFonts w:hint="eastAsia"/>
          <w:color w:val="auto"/>
          <w:sz w:val="28"/>
          <w:szCs w:val="28"/>
          <w:lang w:val="en-US" w:eastAsia="zh-CN"/>
        </w:rPr>
        <w:t>炉体</w:t>
      </w:r>
      <w:r>
        <w:rPr>
          <w:rFonts w:hint="eastAsia"/>
          <w:color w:val="auto"/>
          <w:sz w:val="28"/>
          <w:szCs w:val="28"/>
        </w:rPr>
        <w:t>泄漏；也可能因报警系统、安全联锁保护系统失灵等造成</w:t>
      </w:r>
      <w:r>
        <w:rPr>
          <w:rFonts w:hint="eastAsia"/>
          <w:color w:val="auto"/>
          <w:sz w:val="28"/>
          <w:szCs w:val="28"/>
          <w:lang w:val="en-US" w:eastAsia="zh-CN"/>
        </w:rPr>
        <w:t>火灾、</w:t>
      </w:r>
      <w:r>
        <w:rPr>
          <w:rFonts w:hint="eastAsia"/>
          <w:color w:val="auto"/>
          <w:sz w:val="28"/>
          <w:szCs w:val="28"/>
        </w:rPr>
        <w:t>爆炸事故。引起</w:t>
      </w:r>
      <w:r>
        <w:rPr>
          <w:color w:val="auto"/>
          <w:sz w:val="28"/>
          <w:szCs w:val="28"/>
        </w:rPr>
        <w:t>此类</w:t>
      </w:r>
      <w:r>
        <w:rPr>
          <w:rFonts w:hint="eastAsia"/>
          <w:color w:val="auto"/>
          <w:sz w:val="28"/>
          <w:szCs w:val="28"/>
        </w:rPr>
        <w:t>事故</w:t>
      </w:r>
      <w:r>
        <w:rPr>
          <w:color w:val="auto"/>
          <w:sz w:val="28"/>
          <w:szCs w:val="28"/>
        </w:rPr>
        <w:t>的</w:t>
      </w:r>
      <w:r>
        <w:rPr>
          <w:rFonts w:hint="eastAsia"/>
          <w:color w:val="auto"/>
          <w:sz w:val="28"/>
          <w:szCs w:val="28"/>
        </w:rPr>
        <w:t>主要原因</w:t>
      </w:r>
      <w:r>
        <w:rPr>
          <w:color w:val="auto"/>
          <w:sz w:val="28"/>
          <w:szCs w:val="28"/>
        </w:rPr>
        <w:t>有：</w:t>
      </w:r>
    </w:p>
    <w:p>
      <w:pPr>
        <w:spacing w:line="360" w:lineRule="auto"/>
        <w:ind w:firstLine="560" w:firstLineChars="200"/>
        <w:jc w:val="left"/>
        <w:rPr>
          <w:color w:val="auto"/>
          <w:sz w:val="28"/>
          <w:szCs w:val="28"/>
        </w:rPr>
      </w:pPr>
      <w:r>
        <w:rPr>
          <w:color w:val="auto"/>
          <w:sz w:val="28"/>
          <w:szCs w:val="28"/>
        </w:rPr>
        <w:t>（1）设备选材不当、设计不合理等设备本身质量不合格会使设备不能承受工作压力发生容器爆炸事故。</w:t>
      </w:r>
    </w:p>
    <w:p>
      <w:pPr>
        <w:spacing w:line="360" w:lineRule="auto"/>
        <w:ind w:firstLine="560" w:firstLineChars="200"/>
        <w:jc w:val="left"/>
        <w:rPr>
          <w:color w:val="auto"/>
          <w:sz w:val="28"/>
          <w:szCs w:val="28"/>
        </w:rPr>
      </w:pPr>
      <w:r>
        <w:rPr>
          <w:color w:val="auto"/>
          <w:sz w:val="28"/>
          <w:szCs w:val="28"/>
        </w:rPr>
        <w:t>（2）设备超期未检修检测，带病运行或因操作失误等原因引起超压会因设备承受不了正常的工作压力而导致发生物理爆炸事故。</w:t>
      </w:r>
    </w:p>
    <w:p>
      <w:pPr>
        <w:spacing w:line="360" w:lineRule="auto"/>
        <w:ind w:firstLine="560" w:firstLineChars="200"/>
        <w:jc w:val="left"/>
        <w:rPr>
          <w:color w:val="auto"/>
          <w:sz w:val="28"/>
          <w:szCs w:val="28"/>
        </w:rPr>
      </w:pPr>
      <w:r>
        <w:rPr>
          <w:color w:val="auto"/>
          <w:sz w:val="28"/>
          <w:szCs w:val="28"/>
        </w:rPr>
        <w:t>（3）另外</w:t>
      </w:r>
      <w:r>
        <w:rPr>
          <w:rFonts w:hint="eastAsia"/>
          <w:color w:val="auto"/>
          <w:sz w:val="28"/>
          <w:szCs w:val="28"/>
          <w:lang w:val="en-US" w:eastAsia="zh-CN"/>
        </w:rPr>
        <w:t>各装置</w:t>
      </w:r>
      <w:r>
        <w:rPr>
          <w:color w:val="auto"/>
          <w:sz w:val="28"/>
          <w:szCs w:val="28"/>
        </w:rPr>
        <w:t>配套的仪表如果选型不当、插入深度不当，有可能反映不出真实数据而造成溢料、喷料、超温、导致灼伤、火灾爆炸等事故发生。</w:t>
      </w:r>
    </w:p>
    <w:p>
      <w:pPr>
        <w:spacing w:line="360" w:lineRule="auto"/>
        <w:ind w:firstLine="560" w:firstLineChars="200"/>
        <w:jc w:val="left"/>
        <w:rPr>
          <w:color w:val="auto"/>
          <w:sz w:val="28"/>
          <w:szCs w:val="28"/>
        </w:rPr>
      </w:pPr>
      <w:r>
        <w:rPr>
          <w:color w:val="auto"/>
          <w:sz w:val="28"/>
          <w:szCs w:val="28"/>
        </w:rPr>
        <w:t>（4）</w:t>
      </w:r>
      <w:r>
        <w:rPr>
          <w:rFonts w:hint="eastAsia"/>
          <w:color w:val="auto"/>
          <w:sz w:val="28"/>
          <w:szCs w:val="28"/>
          <w:lang w:val="en-US" w:eastAsia="zh-CN"/>
        </w:rPr>
        <w:t>蒸馏</w:t>
      </w:r>
      <w:r>
        <w:rPr>
          <w:color w:val="auto"/>
          <w:sz w:val="28"/>
          <w:szCs w:val="28"/>
        </w:rPr>
        <w:t>釜</w:t>
      </w:r>
      <w:r>
        <w:rPr>
          <w:rFonts w:hint="eastAsia"/>
          <w:color w:val="auto"/>
          <w:sz w:val="28"/>
          <w:szCs w:val="28"/>
          <w:lang w:eastAsia="zh-CN"/>
        </w:rPr>
        <w:t>、</w:t>
      </w:r>
      <w:r>
        <w:rPr>
          <w:rFonts w:hint="eastAsia"/>
          <w:color w:val="auto"/>
          <w:sz w:val="28"/>
          <w:szCs w:val="28"/>
          <w:lang w:val="en-US" w:eastAsia="zh-CN"/>
        </w:rPr>
        <w:t>空气储罐、氮气储罐</w:t>
      </w:r>
      <w:r>
        <w:rPr>
          <w:color w:val="auto"/>
          <w:sz w:val="28"/>
          <w:szCs w:val="28"/>
        </w:rPr>
        <w:t>等特种设备未定期检测检验，设备腐蚀、损坏或安全附件失灵，容易导致容器爆炸事故。</w:t>
      </w:r>
    </w:p>
    <w:p>
      <w:pPr>
        <w:spacing w:line="360" w:lineRule="auto"/>
        <w:ind w:firstLine="560" w:firstLineChars="200"/>
        <w:jc w:val="left"/>
        <w:rPr>
          <w:color w:val="auto"/>
          <w:sz w:val="28"/>
          <w:szCs w:val="28"/>
        </w:rPr>
      </w:pPr>
      <w:r>
        <w:rPr>
          <w:color w:val="auto"/>
          <w:sz w:val="28"/>
          <w:szCs w:val="28"/>
        </w:rPr>
        <w:t>2）储罐</w:t>
      </w:r>
    </w:p>
    <w:p>
      <w:pPr>
        <w:spacing w:line="360" w:lineRule="auto"/>
        <w:ind w:firstLine="560" w:firstLineChars="200"/>
        <w:jc w:val="left"/>
        <w:rPr>
          <w:color w:val="auto"/>
          <w:sz w:val="28"/>
          <w:szCs w:val="28"/>
        </w:rPr>
      </w:pPr>
      <w:r>
        <w:rPr>
          <w:color w:val="auto"/>
          <w:sz w:val="28"/>
          <w:szCs w:val="28"/>
        </w:rPr>
        <w:t>储罐的危险性在于：</w:t>
      </w:r>
    </w:p>
    <w:p>
      <w:pPr>
        <w:spacing w:line="360" w:lineRule="auto"/>
        <w:ind w:firstLine="560" w:firstLineChars="200"/>
        <w:jc w:val="left"/>
        <w:rPr>
          <w:color w:val="auto"/>
          <w:sz w:val="28"/>
          <w:szCs w:val="28"/>
        </w:rPr>
      </w:pPr>
      <w:r>
        <w:rPr>
          <w:color w:val="auto"/>
          <w:sz w:val="28"/>
          <w:szCs w:val="28"/>
        </w:rPr>
        <w:t>（1）明火：由明火引起的储罐火灾居第一位，其主要原因在使用电气、焊修储罐设备时，动火管理不善或措施不力而引起。例如检修管线不加盲板；罐内有可燃气体时，补焊保温钉不加保温措施；焊接管线时，事先没有清扫管线，管线没加盲板隔断；另一个重要原因是在防火禁区及可燃蒸汽易积聚的场所携带和使用火柴、打火机、灯火等明火或在上述场所吸烟等。</w:t>
      </w:r>
    </w:p>
    <w:p>
      <w:pPr>
        <w:spacing w:line="360" w:lineRule="auto"/>
        <w:ind w:firstLine="560" w:firstLineChars="200"/>
        <w:jc w:val="left"/>
        <w:rPr>
          <w:color w:val="auto"/>
          <w:sz w:val="28"/>
          <w:szCs w:val="28"/>
        </w:rPr>
      </w:pPr>
      <w:r>
        <w:rPr>
          <w:color w:val="auto"/>
          <w:sz w:val="28"/>
          <w:szCs w:val="28"/>
        </w:rPr>
        <w:t>（2）静电：储存过程中有易燃、可燃液体，具有易挥发、易流淌扩散、易产生和积聚静电，其蒸气能与空气形成爆炸性混合物，在遇高温高热、明火或其它火花时，会引起燃烧或爆炸。</w:t>
      </w:r>
    </w:p>
    <w:p>
      <w:pPr>
        <w:spacing w:line="360" w:lineRule="auto"/>
        <w:ind w:firstLine="560" w:firstLineChars="200"/>
        <w:jc w:val="left"/>
        <w:rPr>
          <w:color w:val="auto"/>
          <w:sz w:val="28"/>
          <w:szCs w:val="28"/>
        </w:rPr>
      </w:pPr>
      <w:r>
        <w:rPr>
          <w:color w:val="auto"/>
          <w:sz w:val="28"/>
          <w:szCs w:val="28"/>
        </w:rPr>
        <w:t>（3）储罐防腐未做好，发生泄漏，物料蒸发出的蒸气与空气形成可燃混合气体极易导致火灾、爆炸等二次事故的发生，同时污染环境。</w:t>
      </w:r>
    </w:p>
    <w:p>
      <w:pPr>
        <w:spacing w:line="360" w:lineRule="auto"/>
        <w:ind w:firstLine="560" w:firstLineChars="200"/>
        <w:jc w:val="left"/>
        <w:rPr>
          <w:color w:val="auto"/>
          <w:sz w:val="28"/>
          <w:szCs w:val="28"/>
        </w:rPr>
      </w:pPr>
      <w:r>
        <w:rPr>
          <w:color w:val="auto"/>
          <w:sz w:val="28"/>
          <w:szCs w:val="28"/>
        </w:rPr>
        <w:t>3）高位槽、缓冲罐</w:t>
      </w:r>
    </w:p>
    <w:p>
      <w:pPr>
        <w:spacing w:line="360" w:lineRule="auto"/>
        <w:ind w:firstLine="560" w:firstLineChars="200"/>
        <w:jc w:val="left"/>
        <w:rPr>
          <w:color w:val="auto"/>
          <w:sz w:val="28"/>
          <w:szCs w:val="28"/>
        </w:rPr>
      </w:pPr>
      <w:r>
        <w:rPr>
          <w:color w:val="auto"/>
          <w:sz w:val="28"/>
          <w:szCs w:val="28"/>
        </w:rPr>
        <w:t>高位槽、计量槽和相应管道及其安全附件设计、制造有缺陷；或使用过程中管理、维护、检测不到位；可因安全附件失效导致过载运行、金属材料疲劳出现裂缝、受热膨胀受冷收缩等原因，出现管道、阀门等破裂或渗漏，物料泄漏，诱发中毒、火灾事故。</w:t>
      </w:r>
    </w:p>
    <w:p>
      <w:pPr>
        <w:spacing w:line="360" w:lineRule="auto"/>
        <w:ind w:firstLine="560" w:firstLineChars="200"/>
        <w:jc w:val="left"/>
        <w:rPr>
          <w:color w:val="auto"/>
          <w:sz w:val="28"/>
          <w:szCs w:val="28"/>
        </w:rPr>
      </w:pPr>
      <w:r>
        <w:rPr>
          <w:rFonts w:hint="eastAsia"/>
          <w:color w:val="auto"/>
          <w:sz w:val="28"/>
          <w:szCs w:val="28"/>
          <w:lang w:val="en-US" w:eastAsia="zh-CN"/>
        </w:rPr>
        <w:t>4</w:t>
      </w:r>
      <w:r>
        <w:rPr>
          <w:color w:val="auto"/>
          <w:sz w:val="28"/>
          <w:szCs w:val="28"/>
        </w:rPr>
        <w:t>）机泵</w:t>
      </w:r>
    </w:p>
    <w:p>
      <w:pPr>
        <w:spacing w:line="360" w:lineRule="auto"/>
        <w:ind w:firstLine="560" w:firstLineChars="200"/>
        <w:jc w:val="left"/>
        <w:rPr>
          <w:color w:val="auto"/>
          <w:sz w:val="28"/>
          <w:szCs w:val="28"/>
        </w:rPr>
      </w:pPr>
      <w:r>
        <w:rPr>
          <w:color w:val="auto"/>
          <w:sz w:val="28"/>
          <w:szCs w:val="28"/>
        </w:rPr>
        <w:t>（1）安全设施不足，联轴器等欠缺防护罩，可能引发机械伤害事故。</w:t>
      </w:r>
    </w:p>
    <w:p>
      <w:pPr>
        <w:spacing w:line="360" w:lineRule="auto"/>
        <w:ind w:firstLine="560" w:firstLineChars="200"/>
        <w:jc w:val="left"/>
        <w:rPr>
          <w:color w:val="auto"/>
          <w:sz w:val="28"/>
          <w:szCs w:val="28"/>
        </w:rPr>
      </w:pPr>
      <w:r>
        <w:rPr>
          <w:color w:val="auto"/>
          <w:sz w:val="28"/>
          <w:szCs w:val="28"/>
        </w:rPr>
        <w:t>（2）设备本身设计制造不良，安装施工不当或欠缺维护保养等因素可能导致密封失效、从而发生泵体爆裂、介质泄漏、防爆性能降低等，并可能引发二次事故。</w:t>
      </w:r>
    </w:p>
    <w:p>
      <w:pPr>
        <w:spacing w:line="360" w:lineRule="auto"/>
        <w:ind w:firstLine="560" w:firstLineChars="200"/>
        <w:jc w:val="left"/>
        <w:rPr>
          <w:color w:val="auto"/>
          <w:sz w:val="28"/>
          <w:szCs w:val="28"/>
        </w:rPr>
      </w:pPr>
      <w:r>
        <w:rPr>
          <w:color w:val="auto"/>
          <w:sz w:val="28"/>
          <w:szCs w:val="28"/>
        </w:rPr>
        <w:t>（3）通常阀门、法兰，泵密封部位等可能因安装质量，或垫片选型安装错误，或因交变温度使垫片松动等原因引致动、静密封失效泄漏，一旦发生泄漏，遇明火或高温表面，可引发火灾、爆炸等事故。</w:t>
      </w:r>
    </w:p>
    <w:p>
      <w:pPr>
        <w:spacing w:line="360" w:lineRule="auto"/>
        <w:ind w:firstLine="560" w:firstLineChars="200"/>
        <w:jc w:val="left"/>
        <w:rPr>
          <w:color w:val="auto"/>
          <w:sz w:val="28"/>
          <w:szCs w:val="28"/>
        </w:rPr>
      </w:pPr>
      <w:r>
        <w:rPr>
          <w:color w:val="auto"/>
          <w:sz w:val="28"/>
          <w:szCs w:val="28"/>
        </w:rPr>
        <w:t>6）阀门</w:t>
      </w:r>
    </w:p>
    <w:p>
      <w:pPr>
        <w:spacing w:line="360" w:lineRule="auto"/>
        <w:ind w:firstLine="560" w:firstLineChars="200"/>
        <w:jc w:val="left"/>
        <w:rPr>
          <w:color w:val="auto"/>
          <w:sz w:val="28"/>
          <w:szCs w:val="28"/>
        </w:rPr>
      </w:pPr>
      <w:r>
        <w:rPr>
          <w:color w:val="auto"/>
          <w:sz w:val="28"/>
          <w:szCs w:val="28"/>
        </w:rPr>
        <w:t>若阀门在设计、选材、制造有缺陷，或管理、维护、检测不到位，或操作失误，可导致物料的泄漏，造成事故；连接公用系统的管道阀门未采取适当的保护措施、旁路阀设置不合理，因误操作，可能发生物料倒灌而诱发严重的事故。</w:t>
      </w:r>
    </w:p>
    <w:p>
      <w:pPr>
        <w:spacing w:line="360" w:lineRule="auto"/>
        <w:ind w:firstLine="560" w:firstLineChars="200"/>
        <w:jc w:val="left"/>
        <w:rPr>
          <w:color w:val="auto"/>
          <w:sz w:val="28"/>
          <w:szCs w:val="28"/>
        </w:rPr>
      </w:pPr>
      <w:r>
        <w:rPr>
          <w:rFonts w:hint="eastAsia"/>
          <w:color w:val="auto"/>
          <w:sz w:val="28"/>
          <w:szCs w:val="28"/>
          <w:lang w:val="en-US" w:eastAsia="zh-CN"/>
        </w:rPr>
        <w:t>7</w:t>
      </w:r>
      <w:r>
        <w:rPr>
          <w:color w:val="auto"/>
          <w:sz w:val="28"/>
          <w:szCs w:val="28"/>
        </w:rPr>
        <w:t>）其他</w:t>
      </w:r>
    </w:p>
    <w:p>
      <w:pPr>
        <w:spacing w:line="360" w:lineRule="auto"/>
        <w:ind w:firstLine="560" w:firstLineChars="200"/>
        <w:jc w:val="left"/>
        <w:rPr>
          <w:rFonts w:hint="eastAsia" w:eastAsia="宋体"/>
          <w:color w:val="auto"/>
          <w:sz w:val="28"/>
          <w:szCs w:val="28"/>
          <w:lang w:eastAsia="zh-CN"/>
        </w:rPr>
      </w:pPr>
      <w:r>
        <w:rPr>
          <w:color w:val="auto"/>
          <w:sz w:val="28"/>
          <w:szCs w:val="28"/>
        </w:rPr>
        <w:t>（1）设备、管道被腐蚀或自然老化，维修、更换不及时，带病作业，或长期运转，疲劳作业等；安装存在缺陷，法兰等连接不良，或长期扭曲、震动等。上述各种原因均有可能造成设备、管道破裂，易燃、有毒物料泄漏引起事故。设备、管道容易产生泄漏的主要有以下几个部位</w:t>
      </w:r>
      <w:r>
        <w:rPr>
          <w:rFonts w:hint="eastAsia"/>
          <w:color w:val="auto"/>
          <w:sz w:val="28"/>
          <w:szCs w:val="28"/>
          <w:lang w:eastAsia="zh-CN"/>
        </w:rPr>
        <w:t>：</w:t>
      </w:r>
    </w:p>
    <w:p>
      <w:pPr>
        <w:spacing w:line="360" w:lineRule="auto"/>
        <w:ind w:firstLine="560" w:firstLineChars="200"/>
        <w:jc w:val="left"/>
        <w:rPr>
          <w:color w:val="auto"/>
          <w:sz w:val="28"/>
          <w:szCs w:val="28"/>
        </w:rPr>
      </w:pPr>
      <w:r>
        <w:rPr>
          <w:color w:val="auto"/>
          <w:sz w:val="28"/>
          <w:szCs w:val="28"/>
        </w:rPr>
        <w:t>①物料的输送管道(包括法兰、弯头、垫片等管道附件），均有发生泄漏的可能。如这些输送管道的材料缺陷、机械损伤、各种腐蚀、焊缝裂纹或缺陷、外力破坏、施工缺陷和特殊因素等都可能导致管道局部泄漏。</w:t>
      </w:r>
    </w:p>
    <w:p>
      <w:pPr>
        <w:spacing w:line="360" w:lineRule="auto"/>
        <w:ind w:firstLine="560" w:firstLineChars="200"/>
        <w:jc w:val="left"/>
        <w:rPr>
          <w:color w:val="auto"/>
          <w:sz w:val="28"/>
          <w:szCs w:val="28"/>
        </w:rPr>
      </w:pPr>
      <w:r>
        <w:rPr>
          <w:color w:val="auto"/>
          <w:sz w:val="28"/>
          <w:szCs w:val="28"/>
        </w:rPr>
        <w:t>②泵、阀门。泵体、轴封缺陷，排放阀、润滑系统缺陷及管道系统的阀门、法兰等密封不好或填料缺陷，正常腐蚀，操作失误等易造成泄漏。尤其是装卸物料时，所接的临时接口，更易发生泄漏。</w:t>
      </w:r>
    </w:p>
    <w:p>
      <w:pPr>
        <w:spacing w:line="360" w:lineRule="auto"/>
        <w:ind w:firstLine="536" w:firstLineChars="200"/>
        <w:jc w:val="left"/>
        <w:rPr>
          <w:color w:val="auto"/>
          <w:sz w:val="28"/>
          <w:szCs w:val="28"/>
        </w:rPr>
      </w:pPr>
      <w:r>
        <w:rPr>
          <w:color w:val="auto"/>
          <w:spacing w:val="-6"/>
          <w:sz w:val="28"/>
          <w:szCs w:val="28"/>
        </w:rPr>
        <w:t>③仪器仪表接口处、设备密封处。压力表、温度计以及其他仪器仪表，本身的质量缺陷及设备法兰密封处、传动轴填料函等连接处缺陷均可能导致泄漏。</w:t>
      </w:r>
    </w:p>
    <w:p>
      <w:pPr>
        <w:spacing w:line="360" w:lineRule="auto"/>
        <w:ind w:firstLine="560" w:firstLineChars="200"/>
        <w:jc w:val="left"/>
        <w:rPr>
          <w:color w:val="auto"/>
          <w:sz w:val="28"/>
          <w:szCs w:val="28"/>
        </w:rPr>
      </w:pPr>
      <w:r>
        <w:rPr>
          <w:color w:val="auto"/>
          <w:sz w:val="28"/>
          <w:szCs w:val="28"/>
        </w:rPr>
        <w:t>④压力容器、压力管道。生产过程中使用的设备可能因本身的质量缺陷，或不具备抗压、抗高温性能、超期使用，而导致设备因腐蚀、摩擦、穿孔、设备变形开裂造成事故。</w:t>
      </w:r>
    </w:p>
    <w:p>
      <w:pPr>
        <w:spacing w:line="360" w:lineRule="auto"/>
        <w:ind w:firstLine="560" w:firstLineChars="200"/>
        <w:jc w:val="left"/>
        <w:rPr>
          <w:color w:val="auto"/>
          <w:sz w:val="28"/>
          <w:szCs w:val="28"/>
        </w:rPr>
      </w:pPr>
      <w:r>
        <w:rPr>
          <w:color w:val="auto"/>
          <w:sz w:val="28"/>
          <w:szCs w:val="28"/>
        </w:rPr>
        <w:t>⑤经常搬运的包装物。包装物可能因质量缺陷，或超期使用，或装卸、搬运时未按有关规定进行，做到轻装、轻卸、严禁摔、碰、撞击、拖拉、倾动和滚动，而导致的包装物破损甚至开裂，物料泄漏。</w:t>
      </w:r>
    </w:p>
    <w:p>
      <w:pPr>
        <w:spacing w:line="360" w:lineRule="auto"/>
        <w:ind w:firstLine="560" w:firstLineChars="200"/>
        <w:jc w:val="left"/>
        <w:rPr>
          <w:color w:val="auto"/>
          <w:sz w:val="28"/>
          <w:szCs w:val="28"/>
        </w:rPr>
      </w:pPr>
      <w:r>
        <w:rPr>
          <w:color w:val="auto"/>
          <w:sz w:val="28"/>
          <w:szCs w:val="28"/>
        </w:rPr>
        <w:t>（2）缺少安全装置和防护设施，或者安全装置和防护设施有缺陷可能引起事故。如缺少压力表、温度计容易造成误操作等。</w:t>
      </w:r>
    </w:p>
    <w:p>
      <w:pPr>
        <w:spacing w:line="360" w:lineRule="auto"/>
        <w:ind w:firstLine="560" w:firstLineChars="200"/>
        <w:jc w:val="left"/>
        <w:rPr>
          <w:color w:val="auto"/>
          <w:sz w:val="28"/>
          <w:szCs w:val="28"/>
        </w:rPr>
      </w:pPr>
      <w:r>
        <w:rPr>
          <w:color w:val="auto"/>
          <w:sz w:val="28"/>
          <w:szCs w:val="28"/>
        </w:rPr>
        <w:t>（3）具有火灾危险场所的电气设备选型不当，防爆等级不符合要求，或电气线路安装不当引起短路，会因电气火花引起火灾事故。</w:t>
      </w:r>
    </w:p>
    <w:p>
      <w:pPr>
        <w:spacing w:line="360" w:lineRule="auto"/>
        <w:ind w:firstLine="560" w:firstLineChars="200"/>
        <w:jc w:val="left"/>
        <w:rPr>
          <w:color w:val="auto"/>
          <w:sz w:val="28"/>
          <w:szCs w:val="28"/>
        </w:rPr>
      </w:pPr>
      <w:r>
        <w:rPr>
          <w:color w:val="auto"/>
          <w:sz w:val="28"/>
          <w:szCs w:val="28"/>
        </w:rPr>
        <w:t>（4）生产过程中如果突然停水、停电，处置不当有可能发生爆炸事故。</w:t>
      </w:r>
    </w:p>
    <w:p>
      <w:pPr>
        <w:spacing w:line="360" w:lineRule="auto"/>
        <w:ind w:firstLine="560" w:firstLineChars="200"/>
        <w:jc w:val="left"/>
        <w:rPr>
          <w:color w:val="auto"/>
          <w:sz w:val="28"/>
          <w:szCs w:val="28"/>
        </w:rPr>
      </w:pPr>
      <w:r>
        <w:rPr>
          <w:color w:val="auto"/>
          <w:sz w:val="28"/>
          <w:szCs w:val="28"/>
        </w:rPr>
        <w:t>（5）仪表失灵、安装位置或插入深度不当，均有可能造成虚假现象，引发超温超压爆炸、泄漏等各种安全事故。</w:t>
      </w:r>
    </w:p>
    <w:p>
      <w:pPr>
        <w:spacing w:line="360" w:lineRule="auto"/>
        <w:ind w:firstLine="560" w:firstLineChars="200"/>
        <w:jc w:val="left"/>
        <w:rPr>
          <w:color w:val="auto"/>
          <w:sz w:val="28"/>
          <w:szCs w:val="28"/>
        </w:rPr>
      </w:pPr>
      <w:r>
        <w:rPr>
          <w:color w:val="auto"/>
          <w:sz w:val="28"/>
          <w:szCs w:val="28"/>
        </w:rPr>
        <w:t>（6）若特种设备未进行定期检验、未按要求进行维护保养，会对设备、人员造成损坏和伤害。</w:t>
      </w:r>
    </w:p>
    <w:p>
      <w:pPr>
        <w:pStyle w:val="4"/>
        <w:bidi w:val="0"/>
        <w:rPr>
          <w:color w:val="auto"/>
          <w:highlight w:val="none"/>
        </w:rPr>
      </w:pPr>
      <w:bookmarkStart w:id="365" w:name="_Toc17413"/>
      <w:r>
        <w:rPr>
          <w:rFonts w:hint="eastAsia"/>
          <w:color w:val="auto"/>
          <w:highlight w:val="none"/>
          <w:lang w:val="en-US" w:eastAsia="zh-CN"/>
        </w:rPr>
        <w:t>3.5.4</w:t>
      </w:r>
      <w:r>
        <w:rPr>
          <w:color w:val="auto"/>
          <w:highlight w:val="none"/>
        </w:rPr>
        <w:t>运输、储存、装卸的危险有害因素分析</w:t>
      </w:r>
      <w:bookmarkEnd w:id="365"/>
    </w:p>
    <w:p>
      <w:pPr>
        <w:spacing w:line="360" w:lineRule="auto"/>
        <w:ind w:firstLine="560" w:firstLineChars="200"/>
        <w:jc w:val="left"/>
        <w:rPr>
          <w:color w:val="auto"/>
          <w:sz w:val="28"/>
          <w:szCs w:val="28"/>
          <w:highlight w:val="none"/>
        </w:rPr>
      </w:pPr>
      <w:r>
        <w:rPr>
          <w:color w:val="auto"/>
          <w:sz w:val="28"/>
          <w:szCs w:val="28"/>
          <w:highlight w:val="none"/>
        </w:rPr>
        <w:t>运输、储存、装卸过程事故风险主要是因储存容器泄漏而造成的人员灼烫、水质污染等事故，是安全生产的另一个方面。</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1、储存的危险有害因素分析</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1）危险物质的储运区的设置，必须按功能区布置的基本要求进行设计和施工。危险物质的储运区的道路设置，必须满足货物的方便运输和消防的需要；危险物质的储运区，应按防火和防止危险物质的大面积泄漏的要求，设置围堰及泄漏物质的应急收集池（或装置）；如果危险物质的储运区的设置，没有对以上问题进行充分的考虑，则一旦发生泄漏，往往易引发重大的火灾、爆炸危险，并且如果发生事故，也不利于开展救援工作。</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储存时物质需按其危险性类别、物理化学性质进行分区分开储存。</w:t>
      </w:r>
    </w:p>
    <w:p>
      <w:pPr>
        <w:spacing w:line="360" w:lineRule="auto"/>
        <w:ind w:firstLine="560" w:firstLineChars="200"/>
        <w:jc w:val="left"/>
        <w:rPr>
          <w:color w:val="auto"/>
          <w:sz w:val="28"/>
          <w:szCs w:val="28"/>
          <w:highlight w:val="none"/>
        </w:rPr>
      </w:pPr>
      <w:r>
        <w:rPr>
          <w:color w:val="auto"/>
          <w:sz w:val="28"/>
          <w:szCs w:val="28"/>
          <w:highlight w:val="none"/>
        </w:rPr>
        <w:t>（2）物品没有按规定标准控制垛距，导致跺塌，包装破裂等物料泄露或人员砸伤。人工搬运存在砸伤、扭伤危险。</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（3）储存过程中未能做到严格管理火种，极有可能引起</w:t>
      </w:r>
      <w:r>
        <w:rPr>
          <w:rFonts w:hint="eastAsia"/>
          <w:color w:val="auto"/>
          <w:sz w:val="28"/>
          <w:szCs w:val="28"/>
          <w:highlight w:val="none"/>
          <w:lang w:val="en-US" w:eastAsia="zh-CN"/>
        </w:rPr>
        <w:t>可燃物</w:t>
      </w:r>
      <w:r>
        <w:rPr>
          <w:color w:val="auto"/>
          <w:sz w:val="28"/>
          <w:szCs w:val="28"/>
          <w:highlight w:val="none"/>
        </w:rPr>
        <w:t>受热而产生燃烧事故，或遇明火发生燃烧事故。</w:t>
      </w:r>
    </w:p>
    <w:p>
      <w:pPr>
        <w:autoSpaceDE w:val="0"/>
        <w:autoSpaceDN w:val="0"/>
        <w:adjustRightInd w:val="0"/>
        <w:spacing w:line="360" w:lineRule="auto"/>
        <w:ind w:firstLine="536" w:firstLineChars="200"/>
        <w:rPr>
          <w:color w:val="auto"/>
          <w:sz w:val="28"/>
          <w:szCs w:val="28"/>
          <w:highlight w:val="none"/>
        </w:rPr>
      </w:pPr>
      <w:r>
        <w:rPr>
          <w:color w:val="auto"/>
          <w:spacing w:val="-6"/>
          <w:sz w:val="28"/>
          <w:szCs w:val="28"/>
          <w:highlight w:val="none"/>
        </w:rPr>
        <w:t>（4）在生产储存场所内动火检修时，未办理动火许可证，未按操作规程规定对该系统进行吹扫、清洗、置换、检测，无专人监护，易引起爆燃事故。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（5）防雷设施不齐全或建（构）筑物防雷接地措施不符合要求，在雷雨天气里有可能引发火灾事故。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（6）若有人在现场吸烟或违章动火，或使用铁器和铁制工具敲击，或有人使用不防爆手机、</w:t>
      </w:r>
      <w:r>
        <w:rPr>
          <w:rFonts w:hint="eastAsia"/>
          <w:color w:val="auto"/>
          <w:sz w:val="28"/>
          <w:szCs w:val="28"/>
          <w:highlight w:val="none"/>
          <w:lang w:val="en-US" w:eastAsia="zh-CN"/>
        </w:rPr>
        <w:t>对讲</w:t>
      </w:r>
      <w:r>
        <w:rPr>
          <w:color w:val="auto"/>
          <w:sz w:val="28"/>
          <w:szCs w:val="28"/>
          <w:highlight w:val="none"/>
        </w:rPr>
        <w:t>机和其它电气用具，易发生火灾和爆炸事故。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（7）如危险化学品操作人员未经过专业安全培训合格，未严格执行危险化学品管理规定和安全操作规程，易发生化学品火灾爆炸事故。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（8）储存时如果有禁忌的化学品混放在一起，相互接触会发生化学反应，导致事故发生。</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（9）库房如没有通风设施或通风不良，存在火灾危险。</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（10）人体穿化纤衣服而又穿胶鞋、塑料鞋之类的绝缘鞋时，由于行走、工作、运动中磨擦或穿脱衣服而产生静电也可引发火灾爆炸事故。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（1</w:t>
      </w:r>
      <w:r>
        <w:rPr>
          <w:rFonts w:hint="eastAsia"/>
          <w:color w:val="auto"/>
          <w:sz w:val="28"/>
          <w:szCs w:val="28"/>
          <w:highlight w:val="none"/>
          <w:lang w:val="en-US" w:eastAsia="zh-CN"/>
        </w:rPr>
        <w:t>1</w:t>
      </w:r>
      <w:r>
        <w:rPr>
          <w:color w:val="auto"/>
          <w:sz w:val="28"/>
          <w:szCs w:val="28"/>
          <w:highlight w:val="none"/>
        </w:rPr>
        <w:t>）易燃易爆产品长期积存，不及时处理，可能因变质而导致事故发生。</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（1</w:t>
      </w:r>
      <w:r>
        <w:rPr>
          <w:rFonts w:hint="eastAsia"/>
          <w:color w:val="auto"/>
          <w:sz w:val="28"/>
          <w:szCs w:val="28"/>
          <w:highlight w:val="none"/>
          <w:lang w:val="en-US" w:eastAsia="zh-CN"/>
        </w:rPr>
        <w:t>2</w:t>
      </w:r>
      <w:r>
        <w:rPr>
          <w:color w:val="auto"/>
          <w:sz w:val="28"/>
          <w:szCs w:val="28"/>
          <w:highlight w:val="none"/>
        </w:rPr>
        <w:t>）没有严格按照规划设计布置物料储存区，没有严格保证各分区防火间距的设置，物料堆放较乱等，可能导致事故的发生。</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2、厂内输送的危险有害因素分析</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在装卸、搬运物料等作业过程中，如果在搬运过程中野蛮操作，且所搬运物装车受力不平衡，道路不平整均可产生翻车倾倒，引发安全事故。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如果车间的设备布置和工艺设施的布置场地狭小等均有可能发生挤、压、碰、擦、刮等伤害。还有在汽车上装卸过程中也会因为工人精神不集中或者工人互相不协调发生挤、碰、砸伤事故。</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如由于桶装、袋装物料堆放不整齐、不牢固，易产生坍塌、物体打击等意外事故；如运转的排风机可能会造成的机械伤害事故等。</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3、装卸过程的危险有害因素分析</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该公司运输以汽车为主。车辆运输、装卸过程风险防范包括交通事故防范等。</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运输卸装过程也要严格按照国家有关规定执行，该公司运输或委托运输危险化学品的车辆必须办理“危险化学品三证”，必须配备相应的消防器材，有经过消防安全培训合格的驾驶员、押运员，并提倡今后开展第三方现代物流运输方式。</w:t>
      </w:r>
    </w:p>
    <w:p>
      <w:pPr>
        <w:autoSpaceDE w:val="0"/>
        <w:autoSpaceDN w:val="0"/>
        <w:adjustRightInd w:val="0"/>
        <w:spacing w:line="360" w:lineRule="auto"/>
        <w:ind w:firstLine="560" w:firstLineChars="200"/>
        <w:rPr>
          <w:color w:val="auto"/>
          <w:sz w:val="28"/>
          <w:szCs w:val="28"/>
          <w:highlight w:val="none"/>
        </w:rPr>
      </w:pPr>
      <w:r>
        <w:rPr>
          <w:color w:val="auto"/>
          <w:sz w:val="28"/>
          <w:szCs w:val="28"/>
          <w:highlight w:val="none"/>
        </w:rPr>
        <w:t>危险化学品装卸作业使用的工具必须能防止产生火花，必须有各种防护装置。</w:t>
      </w:r>
    </w:p>
    <w:p>
      <w:pPr>
        <w:ind w:firstLine="560" w:firstLineChars="200"/>
        <w:rPr>
          <w:rFonts w:hint="default"/>
          <w:color w:val="auto"/>
          <w:highlight w:val="yellow"/>
          <w:lang w:val="en-US" w:eastAsia="zh-CN"/>
        </w:rPr>
      </w:pPr>
      <w:r>
        <w:rPr>
          <w:color w:val="auto"/>
          <w:sz w:val="28"/>
          <w:szCs w:val="28"/>
          <w:highlight w:val="none"/>
        </w:rPr>
        <w:t>每次运输前应准确告诉司机和押运人员有关运输物质的性质和事故应急处理方法，确保在事故发生情况下仍能事故应急，减缓影响。</w:t>
      </w:r>
    </w:p>
    <w:p>
      <w:pPr>
        <w:pStyle w:val="3"/>
        <w:ind w:firstLine="643" w:firstLineChars="200"/>
        <w:rPr>
          <w:rFonts w:hint="default"/>
          <w:color w:val="auto"/>
          <w:lang w:val="en-US" w:eastAsia="zh-CN"/>
        </w:rPr>
      </w:pPr>
      <w:bookmarkStart w:id="366" w:name="_Toc23458"/>
      <w:r>
        <w:rPr>
          <w:rFonts w:hint="default"/>
          <w:color w:val="auto"/>
          <w:lang w:val="en-US" w:eastAsia="zh-CN"/>
        </w:rPr>
        <w:t>3.6 可能造成爆炸、火灾、灼烫事故的危险、有害因素的分布</w:t>
      </w:r>
      <w:bookmarkEnd w:id="358"/>
      <w:bookmarkEnd w:id="359"/>
      <w:bookmarkEnd w:id="360"/>
      <w:bookmarkEnd w:id="361"/>
      <w:bookmarkEnd w:id="362"/>
      <w:bookmarkEnd w:id="366"/>
    </w:p>
    <w:p>
      <w:pPr>
        <w:bidi w:val="0"/>
        <w:ind w:firstLine="560" w:firstLineChars="200"/>
        <w:rPr>
          <w:rFonts w:hint="default" w:eastAsia="宋体"/>
          <w:color w:val="auto"/>
          <w:lang w:val="en-US" w:eastAsia="zh-CN"/>
        </w:rPr>
      </w:pPr>
      <w:bookmarkStart w:id="367" w:name="_Toc5172"/>
      <w:r>
        <w:rPr>
          <w:rFonts w:hint="eastAsia"/>
          <w:color w:val="auto"/>
          <w:lang w:val="en-US" w:eastAsia="zh-CN"/>
        </w:rPr>
        <w:t>该项目可能造成爆炸、火灾、烫伤事故的危险有害因素的分布见下表。</w:t>
      </w:r>
    </w:p>
    <w:p>
      <w:pPr>
        <w:pStyle w:val="53"/>
        <w:bidi w:val="0"/>
        <w:rPr>
          <w:rFonts w:hint="eastAsia"/>
          <w:color w:val="auto"/>
        </w:rPr>
      </w:pPr>
      <w:r>
        <w:rPr>
          <w:rFonts w:hint="eastAsia"/>
          <w:color w:val="auto"/>
        </w:rPr>
        <w:t>表 3.6-1 可能造成爆炸、火灾、灼烫事故的危险、有害因素分布一览表</w:t>
      </w:r>
    </w:p>
    <w:tbl>
      <w:tblPr>
        <w:tblStyle w:val="43"/>
        <w:tblW w:w="9428"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714"/>
        <w:gridCol w:w="6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pPr>
              <w:pStyle w:val="59"/>
              <w:spacing w:line="240" w:lineRule="auto"/>
              <w:jc w:val="center"/>
              <w:rPr>
                <w:rFonts w:hint="eastAsia"/>
                <w:color w:val="auto"/>
                <w:lang w:val="en-US" w:eastAsia="zh-CN"/>
              </w:rPr>
            </w:pPr>
            <w:r>
              <w:rPr>
                <w:rFonts w:hint="eastAsia"/>
                <w:color w:val="auto"/>
                <w:lang w:val="en-US" w:eastAsia="zh-CN"/>
              </w:rPr>
              <w:t>序号</w:t>
            </w:r>
          </w:p>
        </w:tc>
        <w:tc>
          <w:tcPr>
            <w:tcW w:w="1714" w:type="dxa"/>
            <w:vAlign w:val="center"/>
          </w:tcPr>
          <w:p>
            <w:pPr>
              <w:pStyle w:val="59"/>
              <w:spacing w:line="240" w:lineRule="auto"/>
              <w:jc w:val="center"/>
              <w:rPr>
                <w:rFonts w:hint="eastAsia"/>
                <w:color w:val="auto"/>
                <w:lang w:val="en-US" w:eastAsia="zh-CN"/>
              </w:rPr>
            </w:pPr>
            <w:r>
              <w:rPr>
                <w:rFonts w:hint="eastAsia"/>
                <w:color w:val="auto"/>
                <w:lang w:val="en-US" w:eastAsia="zh-CN"/>
              </w:rPr>
              <w:t>危险有害因数</w:t>
            </w:r>
          </w:p>
        </w:tc>
        <w:tc>
          <w:tcPr>
            <w:tcW w:w="6941" w:type="dxa"/>
            <w:vAlign w:val="center"/>
          </w:tcPr>
          <w:p>
            <w:pPr>
              <w:pStyle w:val="59"/>
              <w:spacing w:line="240" w:lineRule="auto"/>
              <w:jc w:val="center"/>
              <w:rPr>
                <w:rFonts w:hint="default"/>
                <w:color w:val="auto"/>
                <w:lang w:val="en-US" w:eastAsia="zh-CN"/>
              </w:rPr>
            </w:pPr>
            <w:r>
              <w:rPr>
                <w:rFonts w:hint="eastAsia"/>
                <w:color w:val="auto"/>
                <w:lang w:val="en-US" w:eastAsia="zh-CN"/>
              </w:rPr>
              <w:t>存在工段（序）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pPr>
              <w:pStyle w:val="59"/>
              <w:spacing w:line="240" w:lineRule="auto"/>
              <w:jc w:val="center"/>
              <w:rPr>
                <w:rFonts w:hint="eastAsia"/>
                <w:color w:val="auto"/>
              </w:rPr>
            </w:pPr>
            <w:r>
              <w:rPr>
                <w:rFonts w:hint="eastAsia"/>
                <w:color w:val="auto"/>
                <w:lang w:val="en-US" w:eastAsia="zh-CN"/>
              </w:rPr>
              <w:t>1</w:t>
            </w:r>
          </w:p>
        </w:tc>
        <w:tc>
          <w:tcPr>
            <w:tcW w:w="1714" w:type="dxa"/>
            <w:vAlign w:val="center"/>
          </w:tcPr>
          <w:p>
            <w:pPr>
              <w:pStyle w:val="59"/>
              <w:spacing w:line="240" w:lineRule="auto"/>
              <w:jc w:val="center"/>
              <w:rPr>
                <w:rFonts w:hint="eastAsia"/>
                <w:color w:val="auto"/>
              </w:rPr>
            </w:pPr>
            <w:r>
              <w:rPr>
                <w:rFonts w:hint="eastAsia"/>
                <w:color w:val="auto"/>
                <w:lang w:val="en-US" w:eastAsia="zh-CN"/>
              </w:rPr>
              <w:t>火灾</w:t>
            </w:r>
          </w:p>
        </w:tc>
        <w:tc>
          <w:tcPr>
            <w:tcW w:w="6941" w:type="dxa"/>
            <w:vAlign w:val="center"/>
          </w:tcPr>
          <w:p>
            <w:pPr>
              <w:pStyle w:val="59"/>
              <w:spacing w:line="240" w:lineRule="auto"/>
              <w:jc w:val="center"/>
              <w:rPr>
                <w:rFonts w:hint="default"/>
                <w:color w:val="auto"/>
              </w:rPr>
            </w:pPr>
            <w:r>
              <w:rPr>
                <w:rFonts w:hint="eastAsia"/>
                <w:color w:val="auto"/>
                <w:lang w:val="en-US" w:eastAsia="zh-CN"/>
              </w:rPr>
              <w:t>101裂解车间、102精馏车间、201甲类仓库、202丙类仓库一、203罐区、204丙类仓库二、301消防泵房、306公用工间、307中心控制室、401综合楼、402门卫等存在可燃物质场所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pPr>
              <w:pStyle w:val="59"/>
              <w:spacing w:line="240" w:lineRule="auto"/>
              <w:jc w:val="center"/>
              <w:rPr>
                <w:rFonts w:hint="eastAsia"/>
                <w:color w:val="auto"/>
              </w:rPr>
            </w:pPr>
            <w:r>
              <w:rPr>
                <w:rFonts w:hint="eastAsia"/>
                <w:color w:val="auto"/>
                <w:lang w:val="en-US" w:eastAsia="zh-CN"/>
              </w:rPr>
              <w:t>2</w:t>
            </w:r>
          </w:p>
        </w:tc>
        <w:tc>
          <w:tcPr>
            <w:tcW w:w="1714" w:type="dxa"/>
            <w:vAlign w:val="center"/>
          </w:tcPr>
          <w:p>
            <w:pPr>
              <w:pStyle w:val="59"/>
              <w:spacing w:line="240" w:lineRule="auto"/>
              <w:jc w:val="center"/>
              <w:rPr>
                <w:rFonts w:hint="eastAsia"/>
                <w:color w:val="auto"/>
              </w:rPr>
            </w:pPr>
            <w:r>
              <w:rPr>
                <w:rFonts w:hint="eastAsia"/>
                <w:color w:val="auto"/>
                <w:lang w:val="en-US" w:eastAsia="zh-CN"/>
              </w:rPr>
              <w:t>爆炸</w:t>
            </w:r>
          </w:p>
        </w:tc>
        <w:tc>
          <w:tcPr>
            <w:tcW w:w="6941" w:type="dxa"/>
            <w:vAlign w:val="center"/>
          </w:tcPr>
          <w:p>
            <w:pPr>
              <w:pStyle w:val="59"/>
              <w:spacing w:line="240" w:lineRule="auto"/>
              <w:jc w:val="center"/>
              <w:rPr>
                <w:rFonts w:hint="default"/>
                <w:color w:val="auto"/>
              </w:rPr>
            </w:pPr>
            <w:r>
              <w:rPr>
                <w:rFonts w:hint="eastAsia"/>
                <w:color w:val="auto"/>
                <w:lang w:val="en-US" w:eastAsia="zh-CN"/>
              </w:rPr>
              <w:t>101裂解车间、102精馏车间、201甲类仓库、203罐区、204丙类仓库二（破碎工序）、306公用工程间等存在易燃、易爆物质、粉尘、压力容器场所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vAlign w:val="center"/>
          </w:tcPr>
          <w:p>
            <w:pPr>
              <w:pStyle w:val="59"/>
              <w:spacing w:line="240" w:lineRule="auto"/>
              <w:jc w:val="center"/>
              <w:rPr>
                <w:rFonts w:hint="eastAsia"/>
                <w:color w:val="auto"/>
              </w:rPr>
            </w:pPr>
            <w:r>
              <w:rPr>
                <w:rFonts w:hint="eastAsia"/>
                <w:color w:val="auto"/>
                <w:lang w:val="en-US" w:eastAsia="zh-CN"/>
              </w:rPr>
              <w:t>3</w:t>
            </w:r>
          </w:p>
        </w:tc>
        <w:tc>
          <w:tcPr>
            <w:tcW w:w="1714" w:type="dxa"/>
            <w:vAlign w:val="center"/>
          </w:tcPr>
          <w:p>
            <w:pPr>
              <w:pStyle w:val="59"/>
              <w:spacing w:line="240" w:lineRule="auto"/>
              <w:jc w:val="center"/>
              <w:rPr>
                <w:rFonts w:hint="eastAsia"/>
                <w:color w:val="auto"/>
              </w:rPr>
            </w:pPr>
            <w:r>
              <w:rPr>
                <w:rFonts w:hint="eastAsia"/>
                <w:color w:val="auto"/>
                <w:lang w:val="en-US" w:eastAsia="zh-CN"/>
              </w:rPr>
              <w:t>灼烫</w:t>
            </w:r>
          </w:p>
        </w:tc>
        <w:tc>
          <w:tcPr>
            <w:tcW w:w="6941" w:type="dxa"/>
            <w:vAlign w:val="center"/>
          </w:tcPr>
          <w:p>
            <w:pPr>
              <w:pStyle w:val="59"/>
              <w:spacing w:line="240" w:lineRule="auto"/>
              <w:jc w:val="center"/>
              <w:rPr>
                <w:rFonts w:hint="default"/>
                <w:color w:val="auto"/>
              </w:rPr>
            </w:pPr>
            <w:r>
              <w:rPr>
                <w:rFonts w:hint="eastAsia"/>
                <w:color w:val="auto"/>
                <w:lang w:val="en-US" w:eastAsia="zh-CN"/>
              </w:rPr>
              <w:t>101裂解车间、102精馏车间、306公用工程间等存在高（低）温物料及换热介质的设备、设施附近</w:t>
            </w:r>
          </w:p>
        </w:tc>
      </w:tr>
    </w:tbl>
    <w:p>
      <w:pPr>
        <w:pStyle w:val="3"/>
        <w:bidi w:val="0"/>
        <w:rPr>
          <w:rFonts w:hint="eastAsia"/>
          <w:color w:val="auto"/>
        </w:rPr>
      </w:pPr>
      <w:bookmarkStart w:id="368" w:name="_Toc14363"/>
      <w:bookmarkStart w:id="369" w:name="_Toc19369"/>
      <w:bookmarkStart w:id="370" w:name="_Toc31691"/>
      <w:bookmarkStart w:id="371" w:name="_Toc30369"/>
      <w:bookmarkStart w:id="372" w:name="_Toc20464"/>
      <w:bookmarkStart w:id="373" w:name="_Toc10538"/>
      <w:r>
        <w:rPr>
          <w:rFonts w:hint="eastAsia"/>
          <w:color w:val="auto"/>
        </w:rPr>
        <w:t>3.7 可能造成作业人员伤亡的其他危险有害因素及其分布</w:t>
      </w:r>
      <w:bookmarkEnd w:id="368"/>
      <w:bookmarkEnd w:id="369"/>
      <w:bookmarkEnd w:id="370"/>
      <w:bookmarkEnd w:id="371"/>
      <w:bookmarkEnd w:id="372"/>
      <w:bookmarkEnd w:id="373"/>
    </w:p>
    <w:p>
      <w:pPr>
        <w:pStyle w:val="53"/>
        <w:bidi w:val="0"/>
        <w:rPr>
          <w:rFonts w:hint="eastAsia"/>
          <w:color w:val="auto"/>
        </w:rPr>
      </w:pPr>
      <w:r>
        <w:rPr>
          <w:rFonts w:hint="eastAsia"/>
          <w:color w:val="auto"/>
        </w:rPr>
        <w:t>表3.7-1可能造成触电、起重伤害、机械伤害、高处坠落等事故的危险、有害因素分布一览表</w:t>
      </w:r>
    </w:p>
    <w:tbl>
      <w:tblPr>
        <w:tblStyle w:val="42"/>
        <w:tblW w:w="94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6"/>
        <w:gridCol w:w="1603"/>
        <w:gridCol w:w="7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序</w:t>
            </w:r>
            <w:r>
              <w:rPr>
                <w:rFonts w:hint="eastAsia"/>
                <w:color w:val="auto"/>
                <w:lang w:val="en-US" w:eastAsia="zh-CN"/>
              </w:rPr>
              <w:br w:type="textWrapping"/>
            </w:r>
            <w:r>
              <w:rPr>
                <w:rFonts w:hint="eastAsia"/>
                <w:color w:val="auto"/>
                <w:lang w:val="en-US" w:eastAsia="zh-CN"/>
              </w:rPr>
              <w:t>号</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危险有害因素</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存在工段（序）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中毒和窒息</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车间、罐区、污水处理区等存在受限空间作业地点、203丙类仓库一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触电</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作业现场的电机、变配电设备、照明灯具、电缆及发配电间、机柜间等有</w:t>
            </w:r>
            <w:r>
              <w:rPr>
                <w:rFonts w:hint="eastAsia"/>
                <w:color w:val="auto"/>
                <w:lang w:val="en-US" w:eastAsia="zh-CN"/>
              </w:rPr>
              <w:br w:type="textWrapping"/>
            </w:r>
            <w:r>
              <w:rPr>
                <w:rFonts w:hint="eastAsia"/>
                <w:color w:val="auto"/>
                <w:lang w:val="en-US" w:eastAsia="zh-CN"/>
              </w:rPr>
              <w:t>电气设备设施的场所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3</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起重伤害</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使用电动葫芦等起重设备及维修吊装等工作的作业场所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4</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机械伤害</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使用电动机械设备，存在有机械设备与电动机的传动联结等传动设备的转</w:t>
            </w:r>
            <w:r>
              <w:rPr>
                <w:rFonts w:hint="eastAsia"/>
                <w:color w:val="auto"/>
                <w:lang w:val="en-US" w:eastAsia="zh-CN"/>
              </w:rPr>
              <w:br w:type="textWrapping"/>
            </w:r>
            <w:r>
              <w:rPr>
                <w:rFonts w:hint="eastAsia"/>
                <w:color w:val="auto"/>
                <w:lang w:val="en-US" w:eastAsia="zh-CN"/>
              </w:rPr>
              <w:t>动部件位置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5</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高处坠落</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在高于地面或操作平台 2m 以上的设备、塔器、平台、框架、房顶、罐</w:t>
            </w:r>
            <w:r>
              <w:rPr>
                <w:rFonts w:hint="eastAsia"/>
                <w:color w:val="auto"/>
                <w:lang w:val="en-US" w:eastAsia="zh-CN"/>
              </w:rPr>
              <w:br w:type="textWrapping"/>
            </w:r>
            <w:r>
              <w:rPr>
                <w:rFonts w:hint="eastAsia"/>
                <w:color w:val="auto"/>
                <w:lang w:val="en-US" w:eastAsia="zh-CN"/>
              </w:rPr>
              <w:t>顶、杆上等作业场所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6</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物体打击</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在有高处作业的设备、塔器、平台、框架、房顶、罐顶、杆上等场所的下方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7</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车辆伤害</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有车辆行驶的道路及罐区、仓库等相关场所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8</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坍塌</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罐区、各车间、仓库及管廊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9</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淹溺</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302循环水池、303 事故应急池、304污水处理池、305初期雨水池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10</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噪声与振动</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有电动机械设备，如真空机组、风机、各种泵类、各种车辆等作业场所。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11</w:t>
            </w:r>
          </w:p>
        </w:tc>
        <w:tc>
          <w:tcPr>
            <w:tcW w:w="160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高（低）温</w:t>
            </w:r>
          </w:p>
        </w:tc>
        <w:tc>
          <w:tcPr>
            <w:tcW w:w="7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存在蒸汽、冷冻水等高温（低）物料及换热介质的设备附近作业或复</w:t>
            </w:r>
            <w:r>
              <w:rPr>
                <w:rFonts w:hint="eastAsia"/>
                <w:color w:val="auto"/>
                <w:lang w:val="en-US" w:eastAsia="zh-CN"/>
              </w:rPr>
              <w:br w:type="textWrapping"/>
            </w:r>
            <w:r>
              <w:rPr>
                <w:rFonts w:hint="eastAsia"/>
                <w:color w:val="auto"/>
                <w:lang w:val="en-US" w:eastAsia="zh-CN"/>
              </w:rPr>
              <w:t>（冬）季长时间的室外作业场所。</w:t>
            </w:r>
          </w:p>
        </w:tc>
      </w:tr>
    </w:tbl>
    <w:p>
      <w:pPr>
        <w:pStyle w:val="3"/>
        <w:bidi w:val="0"/>
        <w:rPr>
          <w:rFonts w:hint="eastAsia"/>
          <w:color w:val="auto"/>
          <w:lang w:val="en-US" w:eastAsia="zh-CN"/>
        </w:rPr>
      </w:pPr>
      <w:bookmarkStart w:id="374" w:name="_Toc18372"/>
      <w:bookmarkStart w:id="375" w:name="_Toc841"/>
      <w:bookmarkStart w:id="376" w:name="_Toc22196"/>
      <w:bookmarkStart w:id="377" w:name="_Toc6387"/>
      <w:bookmarkStart w:id="378" w:name="_Toc17626"/>
      <w:bookmarkStart w:id="379" w:name="_Toc3468"/>
      <w:r>
        <w:rPr>
          <w:rFonts w:hint="eastAsia"/>
          <w:color w:val="auto"/>
          <w:lang w:val="en-US" w:eastAsia="zh-CN"/>
        </w:rPr>
        <w:t>3.8 重大危险源辨识结果</w:t>
      </w:r>
      <w:bookmarkEnd w:id="374"/>
      <w:bookmarkEnd w:id="375"/>
      <w:bookmarkEnd w:id="376"/>
      <w:bookmarkEnd w:id="377"/>
      <w:bookmarkEnd w:id="378"/>
      <w:bookmarkEnd w:id="379"/>
    </w:p>
    <w:p>
      <w:pPr>
        <w:bidi w:val="0"/>
        <w:ind w:firstLine="560" w:firstLineChars="200"/>
        <w:rPr>
          <w:rFonts w:hint="default"/>
          <w:color w:val="auto"/>
          <w:lang w:val="en-US" w:eastAsia="zh-CN"/>
        </w:rPr>
      </w:pPr>
      <w:r>
        <w:rPr>
          <w:rFonts w:hint="default"/>
          <w:color w:val="auto"/>
          <w:lang w:val="en-US" w:eastAsia="zh-CN"/>
        </w:rPr>
        <w:t>通过附件 B.3 节重大危险源辨识及分级过程，根据《危险化学品重大危险源辨识》（GB18218-2018）得出结论如下：该项目涉及的生产单元和储存单元均不构成重大危险源。</w:t>
      </w:r>
    </w:p>
    <w:p>
      <w:pPr>
        <w:pStyle w:val="3"/>
        <w:bidi w:val="0"/>
        <w:rPr>
          <w:rFonts w:hint="eastAsia"/>
          <w:color w:val="auto"/>
          <w:lang w:val="en-US" w:eastAsia="zh-CN"/>
        </w:rPr>
      </w:pPr>
      <w:bookmarkStart w:id="380" w:name="_Toc26445"/>
      <w:bookmarkStart w:id="381" w:name="_Toc23111"/>
      <w:bookmarkStart w:id="382" w:name="_Toc26487"/>
      <w:bookmarkStart w:id="383" w:name="_Toc28152"/>
      <w:bookmarkStart w:id="384" w:name="_Toc10503"/>
      <w:bookmarkStart w:id="385" w:name="_Toc29673"/>
      <w:r>
        <w:rPr>
          <w:rFonts w:hint="eastAsia"/>
          <w:color w:val="auto"/>
          <w:lang w:val="en-US" w:eastAsia="zh-CN"/>
        </w:rPr>
        <w:t>3.9爆炸区域等级划分</w:t>
      </w:r>
      <w:bookmarkEnd w:id="380"/>
      <w:bookmarkEnd w:id="381"/>
      <w:bookmarkEnd w:id="382"/>
      <w:bookmarkEnd w:id="383"/>
      <w:bookmarkEnd w:id="384"/>
      <w:bookmarkEnd w:id="385"/>
    </w:p>
    <w:p>
      <w:pPr>
        <w:pStyle w:val="4"/>
        <w:bidi w:val="0"/>
        <w:rPr>
          <w:rFonts w:hint="default"/>
          <w:color w:val="auto"/>
          <w:lang w:val="en-US" w:eastAsia="zh-CN"/>
        </w:rPr>
      </w:pPr>
      <w:bookmarkStart w:id="386" w:name="_Toc32143"/>
      <w:bookmarkStart w:id="387" w:name="_Toc21644"/>
      <w:bookmarkStart w:id="388" w:name="_Toc1983"/>
      <w:bookmarkStart w:id="389" w:name="_Toc1348"/>
      <w:bookmarkStart w:id="390" w:name="_Toc15994"/>
      <w:bookmarkStart w:id="391" w:name="_Toc14511"/>
      <w:r>
        <w:rPr>
          <w:rFonts w:hint="eastAsia"/>
          <w:color w:val="auto"/>
          <w:lang w:val="en-US" w:eastAsia="zh-CN"/>
        </w:rPr>
        <w:t>3.9.1爆炸性气体危险区域划分</w:t>
      </w:r>
      <w:bookmarkEnd w:id="386"/>
      <w:bookmarkEnd w:id="387"/>
      <w:bookmarkEnd w:id="388"/>
      <w:bookmarkEnd w:id="389"/>
      <w:bookmarkEnd w:id="390"/>
      <w:bookmarkEnd w:id="391"/>
    </w:p>
    <w:p>
      <w:pPr>
        <w:bidi w:val="0"/>
        <w:ind w:firstLine="560" w:firstLineChars="200"/>
        <w:rPr>
          <w:rFonts w:hint="eastAsia"/>
          <w:color w:val="auto"/>
          <w:lang w:val="en-US" w:eastAsia="zh-CN"/>
        </w:rPr>
      </w:pPr>
      <w:r>
        <w:rPr>
          <w:rFonts w:hint="default"/>
          <w:color w:val="auto"/>
          <w:lang w:val="en-US" w:eastAsia="zh-CN"/>
        </w:rPr>
        <w:t>根据《爆炸危险环境电力装置设计规范》（GB50058-2014），该项目中涉及到易燃易爆物质主要为</w:t>
      </w:r>
      <w:r>
        <w:rPr>
          <w:rFonts w:hint="eastAsia"/>
          <w:color w:val="auto"/>
          <w:lang w:val="en-US" w:eastAsia="zh-CN"/>
        </w:rPr>
        <w:t>甲基丙烯酸甲酯、甲醇</w:t>
      </w:r>
      <w:r>
        <w:rPr>
          <w:rFonts w:hint="default"/>
          <w:color w:val="auto"/>
          <w:lang w:val="en-US" w:eastAsia="zh-CN"/>
        </w:rPr>
        <w:t>。</w:t>
      </w:r>
      <w:r>
        <w:rPr>
          <w:rFonts w:hint="eastAsia"/>
          <w:color w:val="auto"/>
          <w:lang w:val="en-US" w:eastAsia="zh-CN"/>
        </w:rPr>
        <w:t>甲基丙烯酸甲酯、甲醇</w:t>
      </w:r>
      <w:r>
        <w:rPr>
          <w:rFonts w:hint="default"/>
          <w:color w:val="auto"/>
          <w:lang w:val="en-US" w:eastAsia="zh-CN"/>
        </w:rPr>
        <w:t>的蒸气均重于空气。根据该项目的工艺特点及《爆炸危险环境电力装置设计规范》（GB50058-2014）的要求，对该项目的防爆区域进行划分，企业应对防爆区域的所有电气，应按不同爆炸危险环境，配置不同的防爆电器</w:t>
      </w:r>
      <w:r>
        <w:rPr>
          <w:rFonts w:hint="eastAsia"/>
          <w:color w:val="auto"/>
          <w:lang w:val="en-US" w:eastAsia="zh-CN"/>
        </w:rPr>
        <w:t>。</w:t>
      </w:r>
    </w:p>
    <w:p>
      <w:pPr>
        <w:pStyle w:val="53"/>
        <w:bidi w:val="0"/>
        <w:rPr>
          <w:rFonts w:hint="default"/>
          <w:color w:val="auto"/>
          <w:lang w:val="en-US" w:eastAsia="zh-CN"/>
        </w:rPr>
      </w:pPr>
      <w:r>
        <w:rPr>
          <w:rFonts w:hint="default"/>
          <w:color w:val="auto"/>
          <w:lang w:val="en-US" w:eastAsia="zh-CN"/>
        </w:rPr>
        <w:t>表 3.9-1 爆炸性气体危险区域划分</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029"/>
        <w:gridCol w:w="3942"/>
        <w:gridCol w:w="3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28"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序号</w:t>
            </w:r>
          </w:p>
        </w:tc>
        <w:tc>
          <w:tcPr>
            <w:tcW w:w="1029"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分区</w:t>
            </w:r>
          </w:p>
        </w:tc>
        <w:tc>
          <w:tcPr>
            <w:tcW w:w="3942"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条件</w:t>
            </w:r>
          </w:p>
        </w:tc>
        <w:tc>
          <w:tcPr>
            <w:tcW w:w="3487"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1</w:t>
            </w:r>
          </w:p>
        </w:tc>
        <w:tc>
          <w:tcPr>
            <w:tcW w:w="1029"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0区</w:t>
            </w:r>
          </w:p>
        </w:tc>
        <w:tc>
          <w:tcPr>
            <w:tcW w:w="3942" w:type="dxa"/>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连续出现或长期出现爆炸混合气体混合物的环境。</w:t>
            </w:r>
          </w:p>
        </w:tc>
        <w:tc>
          <w:tcPr>
            <w:tcW w:w="3487" w:type="dxa"/>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中间储罐、储罐、计量槽、高位槽液面的上部空间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restart"/>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2</w:t>
            </w:r>
          </w:p>
        </w:tc>
        <w:tc>
          <w:tcPr>
            <w:tcW w:w="1029" w:type="dxa"/>
            <w:vMerge w:val="restart"/>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1区</w:t>
            </w:r>
          </w:p>
        </w:tc>
        <w:tc>
          <w:tcPr>
            <w:tcW w:w="3942" w:type="dxa"/>
            <w:vMerge w:val="restart"/>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在正常运行时可能出现爆炸性气体混合物的环境。</w:t>
            </w:r>
          </w:p>
        </w:tc>
        <w:tc>
          <w:tcPr>
            <w:tcW w:w="3487" w:type="dxa"/>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以槽车密闭式注送口或设备放空口为中心，半径为 1.5m 的空间或以非密闭式注送口为中心，半径为 3m 的空间和爆炸危险区域内地坪下的坑、沟可划为 l 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vAlign w:val="center"/>
          </w:tcPr>
          <w:p>
            <w:pPr>
              <w:pStyle w:val="59"/>
              <w:jc w:val="center"/>
              <w:rPr>
                <w:rFonts w:hint="default"/>
                <w:color w:val="auto"/>
                <w:lang w:val="en-US" w:eastAsia="zh-CN"/>
              </w:rPr>
            </w:pPr>
          </w:p>
        </w:tc>
        <w:tc>
          <w:tcPr>
            <w:tcW w:w="1029" w:type="dxa"/>
            <w:vMerge w:val="continue"/>
            <w:vAlign w:val="center"/>
          </w:tcPr>
          <w:p>
            <w:pPr>
              <w:pStyle w:val="59"/>
              <w:jc w:val="center"/>
              <w:rPr>
                <w:rFonts w:hint="default"/>
                <w:color w:val="auto"/>
                <w:lang w:val="en-US" w:eastAsia="zh-CN"/>
              </w:rPr>
            </w:pPr>
          </w:p>
        </w:tc>
        <w:tc>
          <w:tcPr>
            <w:tcW w:w="3942" w:type="dxa"/>
            <w:vMerge w:val="continue"/>
          </w:tcPr>
          <w:p>
            <w:pPr>
              <w:pStyle w:val="59"/>
              <w:rPr>
                <w:rFonts w:hint="default"/>
                <w:color w:val="auto"/>
                <w:lang w:val="en-US" w:eastAsia="zh-CN"/>
              </w:rPr>
            </w:pPr>
          </w:p>
        </w:tc>
        <w:tc>
          <w:tcPr>
            <w:tcW w:w="3487" w:type="dxa"/>
          </w:tcPr>
          <w:p>
            <w:pPr>
              <w:pStyle w:val="59"/>
              <w:spacing w:line="240" w:lineRule="auto"/>
              <w:ind w:firstLine="0"/>
              <w:rPr>
                <w:rFonts w:hint="default"/>
                <w:color w:val="auto"/>
                <w:lang w:val="en-US" w:eastAsia="zh-CN"/>
              </w:rPr>
            </w:pPr>
            <w:r>
              <w:rPr>
                <w:rFonts w:hint="default"/>
                <w:color w:val="auto"/>
                <w:lang w:val="en-US" w:eastAsia="zh-CN"/>
              </w:rPr>
              <w:t>在车间、罐区、装卸场所爆炸危险区域下的坑沟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restart"/>
            <w:vAlign w:val="center"/>
          </w:tcPr>
          <w:p>
            <w:pPr>
              <w:pStyle w:val="59"/>
              <w:ind w:firstLine="0"/>
              <w:jc w:val="center"/>
              <w:rPr>
                <w:rFonts w:hint="default"/>
                <w:color w:val="auto"/>
                <w:lang w:val="en-US" w:eastAsia="zh-CN"/>
              </w:rPr>
            </w:pPr>
            <w:r>
              <w:rPr>
                <w:rFonts w:hint="eastAsia"/>
                <w:color w:val="auto"/>
                <w:lang w:val="en-US" w:eastAsia="zh-CN"/>
              </w:rPr>
              <w:t>3</w:t>
            </w:r>
          </w:p>
        </w:tc>
        <w:tc>
          <w:tcPr>
            <w:tcW w:w="1029" w:type="dxa"/>
            <w:vMerge w:val="restart"/>
            <w:vAlign w:val="center"/>
          </w:tcPr>
          <w:p>
            <w:pPr>
              <w:pStyle w:val="59"/>
              <w:ind w:firstLine="0"/>
              <w:jc w:val="center"/>
              <w:rPr>
                <w:rFonts w:hint="default"/>
                <w:color w:val="auto"/>
                <w:lang w:val="en-US" w:eastAsia="zh-CN"/>
              </w:rPr>
            </w:pPr>
            <w:r>
              <w:rPr>
                <w:rFonts w:hint="eastAsia"/>
                <w:color w:val="auto"/>
                <w:lang w:val="en-US" w:eastAsia="zh-CN"/>
              </w:rPr>
              <w:t>2区</w:t>
            </w:r>
          </w:p>
        </w:tc>
        <w:tc>
          <w:tcPr>
            <w:tcW w:w="3942" w:type="dxa"/>
            <w:vMerge w:val="restart"/>
            <w:vAlign w:val="center"/>
          </w:tcPr>
          <w:p>
            <w:pPr>
              <w:pStyle w:val="59"/>
              <w:spacing w:line="240" w:lineRule="auto"/>
              <w:ind w:firstLine="0"/>
              <w:rPr>
                <w:rFonts w:hint="default"/>
                <w:color w:val="auto"/>
                <w:lang w:val="en-US" w:eastAsia="zh-CN"/>
              </w:rPr>
            </w:pPr>
            <w:r>
              <w:rPr>
                <w:rFonts w:hint="default"/>
                <w:color w:val="auto"/>
                <w:lang w:val="en-US" w:eastAsia="zh-CN"/>
              </w:rPr>
              <w:t>在正常运行时不可能出现爆炸性混合气体的环境，即使出现也仅是短时存在爆炸性混合物气体的环境。</w:t>
            </w:r>
          </w:p>
        </w:tc>
        <w:tc>
          <w:tcPr>
            <w:tcW w:w="3487" w:type="dxa"/>
          </w:tcPr>
          <w:p>
            <w:pPr>
              <w:pStyle w:val="59"/>
              <w:spacing w:line="240" w:lineRule="auto"/>
              <w:ind w:firstLine="0"/>
              <w:rPr>
                <w:rFonts w:hint="default"/>
                <w:color w:val="auto"/>
                <w:lang w:val="en-US" w:eastAsia="zh-CN"/>
              </w:rPr>
            </w:pPr>
            <w:r>
              <w:rPr>
                <w:rFonts w:hint="default"/>
                <w:color w:val="auto"/>
                <w:lang w:val="en-US" w:eastAsia="zh-CN"/>
              </w:rPr>
              <w:t>储罐的泵和阀门的密封处地坪高度 7.5m 内周围15m 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tcPr>
          <w:p>
            <w:pPr>
              <w:pStyle w:val="59"/>
              <w:rPr>
                <w:rFonts w:hint="default"/>
                <w:color w:val="auto"/>
                <w:lang w:val="en-US" w:eastAsia="zh-CN"/>
              </w:rPr>
            </w:pPr>
          </w:p>
        </w:tc>
        <w:tc>
          <w:tcPr>
            <w:tcW w:w="1029" w:type="dxa"/>
            <w:vMerge w:val="continue"/>
          </w:tcPr>
          <w:p>
            <w:pPr>
              <w:pStyle w:val="59"/>
              <w:rPr>
                <w:rFonts w:hint="default"/>
                <w:color w:val="auto"/>
                <w:lang w:val="en-US" w:eastAsia="zh-CN"/>
              </w:rPr>
            </w:pPr>
          </w:p>
        </w:tc>
        <w:tc>
          <w:tcPr>
            <w:tcW w:w="3942" w:type="dxa"/>
            <w:vMerge w:val="continue"/>
          </w:tcPr>
          <w:p>
            <w:pPr>
              <w:pStyle w:val="59"/>
              <w:rPr>
                <w:rFonts w:hint="default"/>
                <w:color w:val="auto"/>
                <w:lang w:val="en-US" w:eastAsia="zh-CN"/>
              </w:rPr>
            </w:pPr>
          </w:p>
        </w:tc>
        <w:tc>
          <w:tcPr>
            <w:tcW w:w="3487" w:type="dxa"/>
          </w:tcPr>
          <w:p>
            <w:pPr>
              <w:pStyle w:val="59"/>
              <w:spacing w:line="240" w:lineRule="auto"/>
              <w:ind w:firstLine="0"/>
              <w:rPr>
                <w:rFonts w:hint="default"/>
                <w:color w:val="auto"/>
                <w:lang w:val="en-US" w:eastAsia="zh-CN"/>
              </w:rPr>
            </w:pPr>
            <w:r>
              <w:rPr>
                <w:rFonts w:hint="default"/>
                <w:color w:val="auto"/>
                <w:lang w:val="en-US" w:eastAsia="zh-CN"/>
              </w:rPr>
              <w:t>储罐外壁至围堤，其高度为堤顶高度的范围内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tcPr>
          <w:p>
            <w:pPr>
              <w:pStyle w:val="59"/>
              <w:rPr>
                <w:rFonts w:hint="default"/>
                <w:color w:val="auto"/>
                <w:lang w:val="en-US" w:eastAsia="zh-CN"/>
              </w:rPr>
            </w:pPr>
          </w:p>
        </w:tc>
        <w:tc>
          <w:tcPr>
            <w:tcW w:w="1029" w:type="dxa"/>
            <w:vMerge w:val="continue"/>
          </w:tcPr>
          <w:p>
            <w:pPr>
              <w:pStyle w:val="59"/>
              <w:rPr>
                <w:rFonts w:hint="default"/>
                <w:color w:val="auto"/>
                <w:lang w:val="en-US" w:eastAsia="zh-CN"/>
              </w:rPr>
            </w:pPr>
          </w:p>
        </w:tc>
        <w:tc>
          <w:tcPr>
            <w:tcW w:w="3942" w:type="dxa"/>
            <w:vMerge w:val="continue"/>
          </w:tcPr>
          <w:p>
            <w:pPr>
              <w:pStyle w:val="59"/>
              <w:rPr>
                <w:rFonts w:hint="default"/>
                <w:color w:val="auto"/>
                <w:lang w:val="en-US" w:eastAsia="zh-CN"/>
              </w:rPr>
            </w:pPr>
          </w:p>
        </w:tc>
        <w:tc>
          <w:tcPr>
            <w:tcW w:w="3487" w:type="dxa"/>
          </w:tcPr>
          <w:p>
            <w:pPr>
              <w:pStyle w:val="59"/>
              <w:spacing w:line="240" w:lineRule="auto"/>
              <w:ind w:firstLine="0"/>
              <w:rPr>
                <w:rFonts w:hint="default"/>
                <w:color w:val="auto"/>
                <w:lang w:val="en-US" w:eastAsia="zh-CN"/>
              </w:rPr>
            </w:pPr>
            <w:r>
              <w:rPr>
                <w:rFonts w:hint="default"/>
                <w:color w:val="auto"/>
                <w:lang w:val="en-US" w:eastAsia="zh-CN"/>
              </w:rPr>
              <w:t>工艺程序控制阀周围的区域，在阀杆密封或类似密封周围的 0.5m 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tcPr>
          <w:p>
            <w:pPr>
              <w:pStyle w:val="59"/>
              <w:rPr>
                <w:rFonts w:hint="default"/>
                <w:color w:val="auto"/>
                <w:lang w:val="en-US" w:eastAsia="zh-CN"/>
              </w:rPr>
            </w:pPr>
          </w:p>
        </w:tc>
        <w:tc>
          <w:tcPr>
            <w:tcW w:w="1029" w:type="dxa"/>
            <w:vMerge w:val="continue"/>
          </w:tcPr>
          <w:p>
            <w:pPr>
              <w:pStyle w:val="59"/>
              <w:rPr>
                <w:rFonts w:hint="default"/>
                <w:color w:val="auto"/>
                <w:lang w:val="en-US" w:eastAsia="zh-CN"/>
              </w:rPr>
            </w:pPr>
          </w:p>
        </w:tc>
        <w:tc>
          <w:tcPr>
            <w:tcW w:w="3942" w:type="dxa"/>
            <w:vMerge w:val="continue"/>
          </w:tcPr>
          <w:p>
            <w:pPr>
              <w:pStyle w:val="59"/>
              <w:rPr>
                <w:rFonts w:hint="default"/>
                <w:color w:val="auto"/>
                <w:lang w:val="en-US" w:eastAsia="zh-CN"/>
              </w:rPr>
            </w:pPr>
          </w:p>
        </w:tc>
        <w:tc>
          <w:tcPr>
            <w:tcW w:w="3487" w:type="dxa"/>
          </w:tcPr>
          <w:p>
            <w:pPr>
              <w:pStyle w:val="59"/>
              <w:spacing w:line="240" w:lineRule="auto"/>
              <w:ind w:firstLine="0"/>
              <w:rPr>
                <w:rFonts w:hint="default"/>
                <w:color w:val="auto"/>
                <w:lang w:val="en-US" w:eastAsia="zh-CN"/>
              </w:rPr>
            </w:pPr>
            <w:r>
              <w:rPr>
                <w:rFonts w:hint="default"/>
                <w:color w:val="auto"/>
                <w:lang w:val="en-US" w:eastAsia="zh-CN"/>
              </w:rPr>
              <w:t>计量罐、</w:t>
            </w:r>
            <w:r>
              <w:rPr>
                <w:rFonts w:hint="eastAsia"/>
                <w:color w:val="auto"/>
                <w:lang w:val="en-US" w:eastAsia="zh-CN"/>
              </w:rPr>
              <w:t>裂解炉</w:t>
            </w:r>
            <w:r>
              <w:rPr>
                <w:rFonts w:hint="default"/>
                <w:color w:val="auto"/>
                <w:lang w:val="en-US" w:eastAsia="zh-CN"/>
              </w:rPr>
              <w:t>、储罐、精馏塔、精馏釜等的法兰、连接件和管道接头、安全阀、排气孔、呼吸阀等处距离为 15m 的范围内</w:t>
            </w:r>
          </w:p>
        </w:tc>
      </w:tr>
    </w:tbl>
    <w:p>
      <w:pPr>
        <w:pStyle w:val="8"/>
        <w:bidi w:val="0"/>
        <w:rPr>
          <w:rFonts w:hint="default"/>
          <w:color w:val="auto"/>
          <w:lang w:val="en-US" w:eastAsia="zh-CN"/>
        </w:rPr>
      </w:pPr>
      <w:r>
        <w:rPr>
          <w:rFonts w:hint="default"/>
          <w:color w:val="auto"/>
          <w:lang w:val="en-US" w:eastAsia="zh-CN"/>
        </w:rPr>
        <w:t>根据该项目的工艺特点及《爆炸危险环境电力装置设计规范》（GB50058-2014）的要求，该项目爆炸危险性物质的车间、仓库等场所电气防爆等级不应低于ⅡAT2。</w:t>
      </w:r>
    </w:p>
    <w:p>
      <w:pPr>
        <w:pStyle w:val="4"/>
        <w:bidi w:val="0"/>
        <w:rPr>
          <w:rFonts w:hint="eastAsia"/>
          <w:color w:val="auto"/>
          <w:lang w:val="en-US" w:eastAsia="zh-CN"/>
        </w:rPr>
      </w:pPr>
      <w:bookmarkStart w:id="392" w:name="_Toc10421"/>
      <w:bookmarkStart w:id="393" w:name="_Toc2300"/>
      <w:bookmarkStart w:id="394" w:name="_Toc11622"/>
      <w:bookmarkStart w:id="395" w:name="_Toc17547"/>
      <w:bookmarkStart w:id="396" w:name="_Toc12186"/>
      <w:bookmarkStart w:id="397" w:name="_Toc19039"/>
      <w:r>
        <w:rPr>
          <w:rFonts w:hint="eastAsia"/>
          <w:color w:val="auto"/>
          <w:lang w:val="en-US" w:eastAsia="zh-CN"/>
        </w:rPr>
        <w:t>3.9.2爆炸性粉尘环境危险区域划分</w:t>
      </w:r>
      <w:bookmarkEnd w:id="392"/>
      <w:bookmarkEnd w:id="393"/>
      <w:bookmarkEnd w:id="394"/>
      <w:bookmarkEnd w:id="395"/>
      <w:bookmarkEnd w:id="396"/>
      <w:bookmarkEnd w:id="397"/>
    </w:p>
    <w:p>
      <w:pPr>
        <w:bidi w:val="0"/>
        <w:ind w:firstLine="560" w:firstLineChars="200"/>
        <w:rPr>
          <w:rFonts w:hint="eastAsia"/>
          <w:color w:val="auto"/>
          <w:lang w:val="en-US" w:eastAsia="zh-CN"/>
        </w:rPr>
      </w:pPr>
      <w:r>
        <w:rPr>
          <w:rFonts w:hint="default"/>
          <w:color w:val="auto"/>
          <w:lang w:val="en-US" w:eastAsia="zh-CN"/>
        </w:rPr>
        <w:t>根据《爆炸危险环境电力装置设计规范》（GB50058-2014），该项目中涉及到</w:t>
      </w:r>
      <w:r>
        <w:rPr>
          <w:rFonts w:hint="eastAsia"/>
          <w:color w:val="auto"/>
          <w:lang w:val="en-US" w:eastAsia="zh-CN"/>
        </w:rPr>
        <w:t>爆炸性粉尘</w:t>
      </w:r>
      <w:r>
        <w:rPr>
          <w:rFonts w:hint="default"/>
          <w:color w:val="auto"/>
          <w:lang w:val="en-US" w:eastAsia="zh-CN"/>
        </w:rPr>
        <w:t>主要为</w:t>
      </w:r>
      <w:r>
        <w:rPr>
          <w:rFonts w:hint="eastAsia"/>
          <w:color w:val="auto"/>
          <w:lang w:val="en-US" w:eastAsia="zh-CN"/>
        </w:rPr>
        <w:t>破碎工序中产生的有机玻璃粉尘</w:t>
      </w:r>
      <w:r>
        <w:rPr>
          <w:rFonts w:hint="default"/>
          <w:color w:val="auto"/>
          <w:lang w:val="en-US" w:eastAsia="zh-CN"/>
        </w:rPr>
        <w:t>。根据该</w:t>
      </w:r>
      <w:r>
        <w:rPr>
          <w:rFonts w:hint="eastAsia"/>
          <w:color w:val="auto"/>
          <w:lang w:val="en-US" w:eastAsia="zh-CN"/>
        </w:rPr>
        <w:t>工序</w:t>
      </w:r>
      <w:r>
        <w:rPr>
          <w:rFonts w:hint="default"/>
          <w:color w:val="auto"/>
          <w:lang w:val="en-US" w:eastAsia="zh-CN"/>
        </w:rPr>
        <w:t>的工艺特点及《爆炸危险环境电力装置设计规范》（GB50058-2014）的要求，对该项目的</w:t>
      </w:r>
      <w:r>
        <w:rPr>
          <w:rFonts w:hint="eastAsia"/>
          <w:color w:val="auto"/>
          <w:lang w:val="en-US" w:eastAsia="zh-CN"/>
        </w:rPr>
        <w:t>爆炸性粉尘</w:t>
      </w:r>
      <w:r>
        <w:rPr>
          <w:rFonts w:hint="default"/>
          <w:color w:val="auto"/>
          <w:lang w:val="en-US" w:eastAsia="zh-CN"/>
        </w:rPr>
        <w:t>防爆区域进行划分，企业应对防爆区域的所有电气，应按不同爆炸危险环境，配置不同的防爆电器</w:t>
      </w:r>
      <w:r>
        <w:rPr>
          <w:rFonts w:hint="eastAsia"/>
          <w:color w:val="auto"/>
          <w:lang w:val="en-US" w:eastAsia="zh-CN"/>
        </w:rPr>
        <w:t>。</w:t>
      </w:r>
    </w:p>
    <w:p>
      <w:pPr>
        <w:pStyle w:val="53"/>
        <w:rPr>
          <w:rFonts w:hint="default"/>
          <w:color w:val="auto"/>
          <w:lang w:val="en-US" w:eastAsia="zh-CN"/>
        </w:rPr>
      </w:pPr>
      <w:r>
        <w:rPr>
          <w:rFonts w:hint="eastAsia"/>
          <w:color w:val="auto"/>
          <w:lang w:val="en-US" w:eastAsia="zh-CN"/>
        </w:rPr>
        <w:t>表3.9-2爆炸性粉尘环境危险区域划分</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029"/>
        <w:gridCol w:w="3942"/>
        <w:gridCol w:w="3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序号</w:t>
            </w:r>
          </w:p>
        </w:tc>
        <w:tc>
          <w:tcPr>
            <w:tcW w:w="1029"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分区</w:t>
            </w:r>
          </w:p>
        </w:tc>
        <w:tc>
          <w:tcPr>
            <w:tcW w:w="3942"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条件</w:t>
            </w:r>
          </w:p>
        </w:tc>
        <w:tc>
          <w:tcPr>
            <w:tcW w:w="3487"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1</w:t>
            </w:r>
          </w:p>
        </w:tc>
        <w:tc>
          <w:tcPr>
            <w:tcW w:w="1029" w:type="dxa"/>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20区</w:t>
            </w:r>
          </w:p>
        </w:tc>
        <w:tc>
          <w:tcPr>
            <w:tcW w:w="3942" w:type="dxa"/>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空气中的可燃性粉尘云持续地或长期地或频繁地出现于爆炸性环境中的区域;</w:t>
            </w:r>
          </w:p>
        </w:tc>
        <w:tc>
          <w:tcPr>
            <w:tcW w:w="3487" w:type="dxa"/>
            <w:vAlign w:val="center"/>
          </w:tcPr>
          <w:p>
            <w:pPr>
              <w:pStyle w:val="59"/>
              <w:spacing w:line="240" w:lineRule="auto"/>
              <w:ind w:firstLine="0" w:firstLineChars="0"/>
              <w:jc w:val="both"/>
              <w:rPr>
                <w:rFonts w:hint="default"/>
                <w:color w:val="auto"/>
                <w:lang w:val="en-US" w:eastAsia="zh-CN"/>
              </w:rPr>
            </w:pPr>
            <w:r>
              <w:rPr>
                <w:rFonts w:hint="eastAsia"/>
                <w:color w:val="auto"/>
                <w:lang w:val="en-US" w:eastAsia="zh-CN"/>
              </w:rPr>
              <w:t>破碎机内部；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828" w:type="dxa"/>
            <w:vMerge w:val="restart"/>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2</w:t>
            </w:r>
          </w:p>
        </w:tc>
        <w:tc>
          <w:tcPr>
            <w:tcW w:w="1029" w:type="dxa"/>
            <w:vMerge w:val="restart"/>
            <w:vAlign w:val="center"/>
          </w:tcPr>
          <w:p>
            <w:pPr>
              <w:pStyle w:val="59"/>
              <w:spacing w:line="240" w:lineRule="auto"/>
              <w:ind w:firstLine="0" w:firstLineChars="0"/>
              <w:jc w:val="center"/>
              <w:rPr>
                <w:rFonts w:hint="default"/>
                <w:color w:val="auto"/>
                <w:lang w:val="en-US" w:eastAsia="zh-CN"/>
              </w:rPr>
            </w:pPr>
            <w:r>
              <w:rPr>
                <w:rFonts w:hint="eastAsia"/>
                <w:color w:val="auto"/>
                <w:lang w:val="en-US" w:eastAsia="zh-CN"/>
              </w:rPr>
              <w:t>21区</w:t>
            </w:r>
          </w:p>
        </w:tc>
        <w:tc>
          <w:tcPr>
            <w:tcW w:w="3942" w:type="dxa"/>
            <w:vMerge w:val="restart"/>
            <w:vAlign w:val="center"/>
          </w:tcPr>
          <w:p>
            <w:pPr>
              <w:pStyle w:val="59"/>
              <w:spacing w:line="240" w:lineRule="auto"/>
              <w:ind w:firstLine="0" w:firstLineChars="0"/>
              <w:jc w:val="both"/>
              <w:rPr>
                <w:rFonts w:hint="default"/>
                <w:color w:val="auto"/>
                <w:lang w:val="en-US" w:eastAsia="zh-CN"/>
              </w:rPr>
            </w:pPr>
            <w:r>
              <w:rPr>
                <w:rFonts w:hint="default"/>
                <w:color w:val="auto"/>
                <w:lang w:val="en-US" w:eastAsia="zh-CN"/>
              </w:rPr>
              <w:t>在正常运行时,空气中的可燃性粉尘云很可能偶尔出现于爆炸性环境中的区域;</w:t>
            </w:r>
          </w:p>
        </w:tc>
        <w:tc>
          <w:tcPr>
            <w:tcW w:w="3487" w:type="dxa"/>
            <w:vAlign w:val="center"/>
          </w:tcPr>
          <w:p>
            <w:pPr>
              <w:pStyle w:val="59"/>
              <w:spacing w:line="240" w:lineRule="auto"/>
              <w:ind w:firstLine="0" w:firstLineChars="0"/>
              <w:jc w:val="both"/>
              <w:rPr>
                <w:rFonts w:hint="default"/>
                <w:color w:val="auto"/>
                <w:lang w:val="en-US" w:eastAsia="zh-CN"/>
              </w:rPr>
            </w:pPr>
            <w:r>
              <w:rPr>
                <w:rFonts w:hint="eastAsia"/>
                <w:color w:val="auto"/>
                <w:lang w:val="en-US" w:eastAsia="zh-CN"/>
              </w:rPr>
              <w:t>破碎机出料口周围1m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28" w:type="dxa"/>
            <w:vAlign w:val="center"/>
          </w:tcPr>
          <w:p>
            <w:pPr>
              <w:pStyle w:val="59"/>
              <w:ind w:firstLine="0"/>
              <w:jc w:val="center"/>
              <w:rPr>
                <w:rFonts w:hint="default"/>
                <w:color w:val="auto"/>
                <w:lang w:val="en-US" w:eastAsia="zh-CN"/>
              </w:rPr>
            </w:pPr>
            <w:r>
              <w:rPr>
                <w:rFonts w:hint="eastAsia"/>
                <w:color w:val="auto"/>
                <w:lang w:val="en-US" w:eastAsia="zh-CN"/>
              </w:rPr>
              <w:t>3</w:t>
            </w:r>
          </w:p>
        </w:tc>
        <w:tc>
          <w:tcPr>
            <w:tcW w:w="1029" w:type="dxa"/>
            <w:vAlign w:val="center"/>
          </w:tcPr>
          <w:p>
            <w:pPr>
              <w:pStyle w:val="59"/>
              <w:ind w:firstLine="0"/>
              <w:jc w:val="center"/>
              <w:rPr>
                <w:rFonts w:hint="default"/>
                <w:color w:val="auto"/>
                <w:lang w:val="en-US" w:eastAsia="zh-CN"/>
              </w:rPr>
            </w:pPr>
            <w:r>
              <w:rPr>
                <w:rFonts w:hint="eastAsia"/>
                <w:color w:val="auto"/>
                <w:lang w:val="en-US" w:eastAsia="zh-CN"/>
              </w:rPr>
              <w:t>22区</w:t>
            </w:r>
          </w:p>
        </w:tc>
        <w:tc>
          <w:tcPr>
            <w:tcW w:w="3942" w:type="dxa"/>
            <w:vAlign w:val="center"/>
          </w:tcPr>
          <w:p>
            <w:pPr>
              <w:pStyle w:val="59"/>
              <w:spacing w:line="240" w:lineRule="auto"/>
              <w:ind w:firstLine="0"/>
              <w:rPr>
                <w:rFonts w:hint="default"/>
                <w:color w:val="auto"/>
                <w:lang w:val="en-US" w:eastAsia="zh-CN"/>
              </w:rPr>
            </w:pPr>
            <w:r>
              <w:rPr>
                <w:rFonts w:hint="default"/>
                <w:color w:val="auto"/>
                <w:lang w:val="en-US" w:eastAsia="zh-CN"/>
              </w:rPr>
              <w:t>在正常运行时,空气中的可燃粉尘云一般不可能出现于爆炸性粉尘环境中的区域,即使出现,持续时间也是短暂的。</w:t>
            </w:r>
          </w:p>
        </w:tc>
        <w:tc>
          <w:tcPr>
            <w:tcW w:w="3487" w:type="dxa"/>
          </w:tcPr>
          <w:p>
            <w:pPr>
              <w:pStyle w:val="59"/>
              <w:rPr>
                <w:rFonts w:hint="default"/>
                <w:color w:val="auto"/>
                <w:lang w:val="en-US" w:eastAsia="zh-CN"/>
              </w:rPr>
            </w:pPr>
            <w:r>
              <w:rPr>
                <w:rFonts w:hint="eastAsia"/>
                <w:color w:val="auto"/>
                <w:lang w:val="en-US" w:eastAsia="zh-CN"/>
              </w:rPr>
              <w:t>袋式过滤器通风孔的排气口</w:t>
            </w:r>
          </w:p>
        </w:tc>
      </w:tr>
    </w:tbl>
    <w:p>
      <w:pPr>
        <w:pStyle w:val="8"/>
        <w:bidi w:val="0"/>
        <w:rPr>
          <w:rFonts w:hint="default"/>
          <w:color w:val="auto"/>
          <w:highlight w:val="yellow"/>
          <w:lang w:val="en-US" w:eastAsia="zh-CN"/>
        </w:rPr>
      </w:pPr>
      <w:r>
        <w:rPr>
          <w:rFonts w:hint="default"/>
          <w:color w:val="auto"/>
          <w:highlight w:val="none"/>
          <w:lang w:val="en-US" w:eastAsia="zh-CN"/>
        </w:rPr>
        <w:t>根据该项目的工艺特点及《爆炸危险环境电力装置设计规范》（GB50058-2014）的要求，该项目爆炸危险性物质的</w:t>
      </w:r>
      <w:r>
        <w:rPr>
          <w:rFonts w:hint="eastAsia"/>
          <w:color w:val="auto"/>
          <w:highlight w:val="none"/>
          <w:lang w:val="en-US" w:eastAsia="zh-CN"/>
        </w:rPr>
        <w:t>破碎分区</w:t>
      </w:r>
      <w:r>
        <w:rPr>
          <w:rFonts w:hint="default"/>
          <w:color w:val="auto"/>
          <w:highlight w:val="none"/>
          <w:lang w:val="en-US" w:eastAsia="zh-CN"/>
        </w:rPr>
        <w:t>场所电气防爆等级不应低于Ⅲ</w:t>
      </w:r>
      <w:r>
        <w:rPr>
          <w:rFonts w:hint="eastAsia"/>
          <w:color w:val="auto"/>
          <w:highlight w:val="none"/>
          <w:lang w:val="en-US" w:eastAsia="zh-CN"/>
        </w:rPr>
        <w:t>C</w:t>
      </w:r>
      <w:r>
        <w:rPr>
          <w:rFonts w:hint="default"/>
          <w:color w:val="auto"/>
          <w:highlight w:val="none"/>
          <w:lang w:val="en-US" w:eastAsia="zh-CN"/>
        </w:rPr>
        <w:t>。</w:t>
      </w:r>
    </w:p>
    <w:bookmarkEnd w:id="367"/>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pStyle w:val="2"/>
        <w:rPr>
          <w:rFonts w:hint="eastAsia"/>
          <w:color w:val="auto"/>
          <w:lang w:eastAsia="zh-CN"/>
        </w:rPr>
      </w:pPr>
      <w:bookmarkStart w:id="398" w:name="_Toc24279"/>
      <w:bookmarkStart w:id="399" w:name="_Toc10093"/>
      <w:bookmarkStart w:id="400" w:name="_Toc27623"/>
      <w:bookmarkStart w:id="401" w:name="_Toc20795"/>
      <w:bookmarkStart w:id="402" w:name="_Toc22651"/>
      <w:bookmarkStart w:id="403" w:name="_Toc4563"/>
      <w:bookmarkStart w:id="404" w:name="_Toc21486"/>
      <w:r>
        <w:rPr>
          <w:color w:val="auto"/>
        </w:rPr>
        <w:t>4</w:t>
      </w:r>
      <w:r>
        <w:rPr>
          <w:rFonts w:hint="eastAsia"/>
          <w:color w:val="auto"/>
        </w:rPr>
        <w:t>评价单元</w:t>
      </w:r>
      <w:r>
        <w:rPr>
          <w:rFonts w:hint="eastAsia"/>
          <w:color w:val="auto"/>
          <w:lang w:eastAsia="zh-CN"/>
        </w:rPr>
        <w:t>的</w:t>
      </w:r>
      <w:r>
        <w:rPr>
          <w:rFonts w:hint="eastAsia"/>
          <w:color w:val="auto"/>
          <w:lang w:val="en-US" w:eastAsia="zh-CN"/>
        </w:rPr>
        <w:t>划分结果</w:t>
      </w:r>
      <w:r>
        <w:rPr>
          <w:rFonts w:hint="eastAsia"/>
          <w:color w:val="auto"/>
        </w:rPr>
        <w:t>及</w:t>
      </w:r>
      <w:bookmarkEnd w:id="398"/>
      <w:r>
        <w:rPr>
          <w:rFonts w:hint="eastAsia"/>
          <w:color w:val="auto"/>
          <w:lang w:val="en-US" w:eastAsia="zh-CN"/>
        </w:rPr>
        <w:t>理由说明</w:t>
      </w:r>
      <w:bookmarkEnd w:id="399"/>
      <w:bookmarkEnd w:id="400"/>
      <w:bookmarkEnd w:id="401"/>
      <w:bookmarkEnd w:id="402"/>
      <w:bookmarkEnd w:id="403"/>
      <w:bookmarkEnd w:id="404"/>
    </w:p>
    <w:p>
      <w:pPr>
        <w:pStyle w:val="3"/>
        <w:rPr>
          <w:rFonts w:hint="eastAsia"/>
          <w:color w:val="auto"/>
        </w:rPr>
      </w:pPr>
      <w:bookmarkStart w:id="405" w:name="_Toc5148"/>
      <w:bookmarkStart w:id="406" w:name="_Toc26291"/>
      <w:bookmarkStart w:id="407" w:name="_Toc2965"/>
      <w:bookmarkStart w:id="408" w:name="_Toc24956"/>
      <w:bookmarkStart w:id="409" w:name="_Toc32284"/>
      <w:bookmarkStart w:id="410" w:name="_Toc25869"/>
      <w:bookmarkStart w:id="411" w:name="_Toc32556"/>
      <w:r>
        <w:rPr>
          <w:color w:val="auto"/>
        </w:rPr>
        <w:t>4.1</w:t>
      </w:r>
      <w:bookmarkStart w:id="412" w:name="_Toc91765277"/>
      <w:bookmarkStart w:id="413" w:name="_Toc380587601"/>
      <w:bookmarkStart w:id="414" w:name="_Toc53083857"/>
      <w:r>
        <w:rPr>
          <w:rFonts w:hint="eastAsia"/>
          <w:color w:val="auto"/>
        </w:rPr>
        <w:t>评价单元的划分目的</w:t>
      </w:r>
      <w:bookmarkEnd w:id="405"/>
      <w:bookmarkEnd w:id="406"/>
      <w:bookmarkEnd w:id="407"/>
      <w:bookmarkEnd w:id="408"/>
      <w:bookmarkEnd w:id="409"/>
      <w:bookmarkEnd w:id="410"/>
      <w:bookmarkEnd w:id="412"/>
      <w:bookmarkEnd w:id="413"/>
      <w:bookmarkEnd w:id="414"/>
    </w:p>
    <w:p>
      <w:pPr>
        <w:ind w:firstLine="560" w:firstLineChars="200"/>
        <w:rPr>
          <w:color w:val="auto"/>
          <w:szCs w:val="28"/>
        </w:rPr>
      </w:pPr>
      <w:r>
        <w:rPr>
          <w:rFonts w:hint="eastAsia" w:hAnsi="宋体"/>
          <w:color w:val="auto"/>
          <w:sz w:val="28"/>
          <w:szCs w:val="28"/>
        </w:rPr>
        <w:t>评价单元是指系统的一个独立组成部分。评价单元划分的目的是将系统划分为不同类型的评价单元进行评价，这样不仅可以简化评价工作、减少评价工作量，而且由于能够得出每个评价单元危险性的比较概念，避免以最危险单元的危险性来表征整个系统的危险性、夸大整个系统的危险性的可能性，从而提高评价的准确性。同时通过评价单元的划分，可以抓住主要矛盾，对其不同的危险特性进行评价，有针对性地采取安全措施。</w:t>
      </w:r>
      <w:bookmarkEnd w:id="411"/>
    </w:p>
    <w:p>
      <w:pPr>
        <w:pStyle w:val="3"/>
        <w:rPr>
          <w:rFonts w:hint="eastAsia"/>
          <w:color w:val="auto"/>
        </w:rPr>
      </w:pPr>
      <w:bookmarkStart w:id="415" w:name="_Toc1374"/>
      <w:bookmarkStart w:id="416" w:name="_Toc4406"/>
      <w:bookmarkStart w:id="417" w:name="_Toc28564"/>
      <w:bookmarkStart w:id="418" w:name="_Toc23679"/>
      <w:bookmarkStart w:id="419" w:name="_Toc5406"/>
      <w:bookmarkStart w:id="420" w:name="_Toc26523"/>
      <w:bookmarkStart w:id="421" w:name="_Toc11847"/>
      <w:r>
        <w:rPr>
          <w:color w:val="auto"/>
        </w:rPr>
        <w:t>4.</w:t>
      </w:r>
      <w:r>
        <w:rPr>
          <w:rFonts w:hint="eastAsia"/>
          <w:color w:val="auto"/>
          <w:lang w:val="en-US" w:eastAsia="zh-CN"/>
        </w:rPr>
        <w:t>2</w:t>
      </w:r>
      <w:r>
        <w:rPr>
          <w:rFonts w:hint="eastAsia"/>
          <w:color w:val="auto"/>
          <w:lang w:val="zh-CN"/>
        </w:rPr>
        <w:t>评价单元划分原则</w:t>
      </w:r>
      <w:bookmarkEnd w:id="415"/>
      <w:bookmarkEnd w:id="416"/>
      <w:bookmarkEnd w:id="417"/>
      <w:bookmarkEnd w:id="418"/>
      <w:bookmarkEnd w:id="419"/>
      <w:bookmarkEnd w:id="420"/>
      <w:bookmarkEnd w:id="421"/>
    </w:p>
    <w:p>
      <w:pPr>
        <w:autoSpaceDE w:val="0"/>
        <w:autoSpaceDN w:val="0"/>
        <w:adjustRightInd w:val="0"/>
        <w:ind w:firstLine="549"/>
        <w:rPr>
          <w:color w:val="auto"/>
          <w:sz w:val="28"/>
          <w:szCs w:val="28"/>
          <w:lang w:val="zh-CN"/>
        </w:rPr>
      </w:pPr>
      <w:r>
        <w:rPr>
          <w:rFonts w:hAnsi="宋体"/>
          <w:color w:val="auto"/>
          <w:sz w:val="28"/>
          <w:szCs w:val="28"/>
          <w:lang w:val="zh-CN"/>
        </w:rPr>
        <w:t>划分安全评价单元的原则包括：</w:t>
      </w:r>
    </w:p>
    <w:p>
      <w:pPr>
        <w:autoSpaceDE w:val="0"/>
        <w:autoSpaceDN w:val="0"/>
        <w:adjustRightInd w:val="0"/>
        <w:ind w:left="549"/>
        <w:rPr>
          <w:color w:val="auto"/>
          <w:sz w:val="28"/>
          <w:szCs w:val="28"/>
          <w:lang w:val="zh-CN"/>
        </w:rPr>
      </w:pPr>
      <w:r>
        <w:rPr>
          <w:color w:val="auto"/>
          <w:sz w:val="28"/>
          <w:szCs w:val="28"/>
          <w:lang w:val="zh-CN"/>
        </w:rPr>
        <w:t>1</w:t>
      </w:r>
      <w:r>
        <w:rPr>
          <w:rFonts w:hAnsi="宋体"/>
          <w:color w:val="auto"/>
          <w:sz w:val="28"/>
          <w:szCs w:val="28"/>
          <w:lang w:val="zh-CN"/>
        </w:rPr>
        <w:t>、以危险、有害因素类别为主划分评价单元；</w:t>
      </w:r>
    </w:p>
    <w:p>
      <w:pPr>
        <w:autoSpaceDE w:val="0"/>
        <w:autoSpaceDN w:val="0"/>
        <w:adjustRightInd w:val="0"/>
        <w:ind w:left="549"/>
        <w:rPr>
          <w:color w:val="auto"/>
          <w:sz w:val="28"/>
          <w:szCs w:val="28"/>
        </w:rPr>
      </w:pPr>
      <w:r>
        <w:rPr>
          <w:color w:val="auto"/>
          <w:sz w:val="28"/>
          <w:szCs w:val="28"/>
          <w:lang w:val="zh-CN"/>
        </w:rPr>
        <w:t>2</w:t>
      </w:r>
      <w:r>
        <w:rPr>
          <w:rFonts w:hAnsi="宋体"/>
          <w:color w:val="auto"/>
          <w:sz w:val="28"/>
          <w:szCs w:val="28"/>
          <w:lang w:val="zh-CN"/>
        </w:rPr>
        <w:t>、以装置、设施和工艺流程的特征划分评价单元；</w:t>
      </w:r>
    </w:p>
    <w:p>
      <w:pPr>
        <w:autoSpaceDE w:val="0"/>
        <w:autoSpaceDN w:val="0"/>
        <w:adjustRightInd w:val="0"/>
        <w:ind w:left="549"/>
        <w:rPr>
          <w:color w:val="auto"/>
          <w:sz w:val="28"/>
          <w:szCs w:val="28"/>
        </w:rPr>
      </w:pPr>
      <w:r>
        <w:rPr>
          <w:color w:val="auto"/>
          <w:sz w:val="28"/>
          <w:szCs w:val="28"/>
        </w:rPr>
        <w:t>3</w:t>
      </w:r>
      <w:r>
        <w:rPr>
          <w:rFonts w:hAnsi="宋体"/>
          <w:color w:val="auto"/>
          <w:sz w:val="28"/>
          <w:szCs w:val="28"/>
        </w:rPr>
        <w:t>、安全管理、外部周边情况单独划分为评价单元。</w:t>
      </w:r>
    </w:p>
    <w:p>
      <w:pPr>
        <w:pStyle w:val="3"/>
        <w:rPr>
          <w:rFonts w:hint="default"/>
          <w:color w:val="auto"/>
          <w:lang w:val="en-US" w:eastAsia="zh-CN"/>
        </w:rPr>
      </w:pPr>
      <w:bookmarkStart w:id="422" w:name="_Toc31612"/>
      <w:bookmarkStart w:id="423" w:name="_Toc7270"/>
      <w:bookmarkStart w:id="424" w:name="_Toc1402"/>
      <w:bookmarkStart w:id="425" w:name="_Toc11183"/>
      <w:bookmarkStart w:id="426" w:name="_Toc118"/>
      <w:bookmarkStart w:id="427" w:name="_Toc3674"/>
      <w:bookmarkStart w:id="428" w:name="_Toc24556"/>
      <w:r>
        <w:rPr>
          <w:color w:val="auto"/>
        </w:rPr>
        <w:t>4.</w:t>
      </w:r>
      <w:r>
        <w:rPr>
          <w:rFonts w:hint="eastAsia"/>
          <w:color w:val="auto"/>
          <w:lang w:val="en-US" w:eastAsia="zh-CN"/>
        </w:rPr>
        <w:t>3</w:t>
      </w:r>
      <w:r>
        <w:rPr>
          <w:rFonts w:hint="eastAsia"/>
          <w:color w:val="auto"/>
          <w:lang w:val="zh-CN"/>
        </w:rPr>
        <w:t>评价单元</w:t>
      </w:r>
      <w:bookmarkEnd w:id="422"/>
      <w:r>
        <w:rPr>
          <w:rFonts w:hint="eastAsia"/>
          <w:color w:val="auto"/>
          <w:lang w:val="zh-CN"/>
        </w:rPr>
        <w:t>的</w:t>
      </w:r>
      <w:r>
        <w:rPr>
          <w:rFonts w:hint="eastAsia"/>
          <w:color w:val="auto"/>
          <w:lang w:val="en-US" w:eastAsia="zh-CN"/>
        </w:rPr>
        <w:t>划分结果</w:t>
      </w:r>
      <w:bookmarkEnd w:id="423"/>
      <w:bookmarkEnd w:id="424"/>
      <w:bookmarkEnd w:id="425"/>
      <w:bookmarkEnd w:id="426"/>
      <w:bookmarkEnd w:id="427"/>
      <w:bookmarkEnd w:id="428"/>
    </w:p>
    <w:p>
      <w:pPr>
        <w:ind w:firstLine="560" w:firstLineChars="200"/>
        <w:rPr>
          <w:rFonts w:hint="eastAsia" w:ascii="宋体" w:hAnsi="宋体"/>
          <w:color w:val="auto"/>
          <w:kern w:val="0"/>
          <w:sz w:val="32"/>
        </w:rPr>
      </w:pPr>
      <w:r>
        <w:rPr>
          <w:color w:val="auto"/>
          <w:sz w:val="28"/>
          <w:szCs w:val="28"/>
        </w:rPr>
        <w:t>评价单元是在危险、有害因素分析的基础上，根据评价目标和评价方</w:t>
      </w:r>
      <w:r>
        <w:rPr>
          <w:rFonts w:ascii="宋体" w:hAnsi="宋体"/>
          <w:color w:val="auto"/>
          <w:sz w:val="28"/>
          <w:szCs w:val="28"/>
        </w:rPr>
        <w:t>法的需要，将系统分成有限、确定范围进行评价的单元。</w:t>
      </w:r>
      <w:r>
        <w:rPr>
          <w:rFonts w:hint="eastAsia" w:ascii="宋体" w:hAnsi="宋体"/>
          <w:color w:val="auto"/>
          <w:sz w:val="28"/>
          <w:szCs w:val="28"/>
        </w:rPr>
        <w:t>该项目</w:t>
      </w:r>
      <w:r>
        <w:rPr>
          <w:rFonts w:hint="eastAsia" w:ascii="宋体" w:hAnsi="宋体"/>
          <w:color w:val="auto"/>
          <w:kern w:val="0"/>
          <w:sz w:val="28"/>
          <w:szCs w:val="28"/>
        </w:rPr>
        <w:t>根据项目的实际情况，将项目外部安全条件、总平面布置、主要装置（设施）、公用工程划分为评价单元</w:t>
      </w:r>
      <w:r>
        <w:rPr>
          <w:rFonts w:hint="eastAsia" w:ascii="宋体" w:hAnsi="宋体"/>
          <w:color w:val="auto"/>
          <w:kern w:val="0"/>
          <w:sz w:val="32"/>
        </w:rPr>
        <w:t>。</w:t>
      </w:r>
    </w:p>
    <w:p>
      <w:pPr>
        <w:ind w:firstLine="560"/>
        <w:rPr>
          <w:color w:val="auto"/>
          <w:sz w:val="28"/>
          <w:szCs w:val="28"/>
        </w:rPr>
      </w:pPr>
      <w:r>
        <w:rPr>
          <w:color w:val="auto"/>
          <w:sz w:val="28"/>
          <w:szCs w:val="28"/>
        </w:rPr>
        <w:t>本评价报告按照该项目的生产功能、生产设施设备相对空间位置划分为以下评价单元。</w:t>
      </w:r>
    </w:p>
    <w:p>
      <w:pPr>
        <w:ind w:firstLine="560"/>
        <w:rPr>
          <w:color w:val="auto"/>
          <w:sz w:val="28"/>
          <w:szCs w:val="28"/>
        </w:rPr>
      </w:pPr>
      <w:r>
        <w:rPr>
          <w:color w:val="auto"/>
          <w:sz w:val="28"/>
          <w:szCs w:val="28"/>
        </w:rPr>
        <w:t>本评价报告按照该项目的生产功能、生产设施设备相对空间位置划分</w:t>
      </w:r>
      <w:r>
        <w:rPr>
          <w:rFonts w:hint="eastAsia"/>
          <w:color w:val="auto"/>
          <w:sz w:val="28"/>
          <w:szCs w:val="28"/>
        </w:rPr>
        <w:t>评价单元，将危险性相同的车间、仓库划分为同一单元，主要划分</w:t>
      </w:r>
      <w:r>
        <w:rPr>
          <w:color w:val="auto"/>
          <w:sz w:val="28"/>
          <w:szCs w:val="28"/>
        </w:rPr>
        <w:t>以下评价单元。</w:t>
      </w:r>
    </w:p>
    <w:p>
      <w:pPr>
        <w:ind w:firstLine="560"/>
        <w:rPr>
          <w:rFonts w:hint="eastAsia"/>
          <w:color w:val="auto"/>
          <w:sz w:val="28"/>
          <w:szCs w:val="28"/>
        </w:rPr>
      </w:pPr>
      <w:r>
        <w:rPr>
          <w:color w:val="auto"/>
          <w:sz w:val="28"/>
          <w:szCs w:val="28"/>
        </w:rPr>
        <w:t>1、</w:t>
      </w:r>
      <w:r>
        <w:rPr>
          <w:rFonts w:hint="eastAsia"/>
          <w:color w:val="auto"/>
          <w:sz w:val="28"/>
          <w:szCs w:val="28"/>
          <w:lang w:val="en-US" w:eastAsia="zh-CN"/>
        </w:rPr>
        <w:t>项目选址与周边环境单元</w:t>
      </w:r>
      <w:r>
        <w:rPr>
          <w:rFonts w:hint="eastAsia"/>
          <w:color w:val="auto"/>
          <w:sz w:val="28"/>
          <w:szCs w:val="28"/>
        </w:rPr>
        <w:t>；</w:t>
      </w:r>
    </w:p>
    <w:p>
      <w:pPr>
        <w:ind w:firstLine="560" w:firstLineChars="200"/>
        <w:rPr>
          <w:rFonts w:hint="eastAsia" w:hAnsi="宋体"/>
          <w:color w:val="auto"/>
          <w:sz w:val="28"/>
          <w:szCs w:val="28"/>
        </w:rPr>
      </w:pPr>
      <w:r>
        <w:rPr>
          <w:rFonts w:hint="eastAsia" w:hAnsi="宋体"/>
          <w:color w:val="auto"/>
          <w:sz w:val="28"/>
        </w:rPr>
        <w:t>2</w:t>
      </w:r>
      <w:r>
        <w:rPr>
          <w:rFonts w:hint="eastAsia" w:hAnsi="宋体"/>
          <w:color w:val="auto"/>
          <w:sz w:val="28"/>
          <w:szCs w:val="28"/>
        </w:rPr>
        <w:t>、</w:t>
      </w:r>
      <w:r>
        <w:rPr>
          <w:rFonts w:hint="eastAsia" w:hAnsi="宋体"/>
          <w:color w:val="auto"/>
          <w:sz w:val="28"/>
          <w:szCs w:val="28"/>
          <w:lang w:val="en-US" w:eastAsia="zh-CN"/>
        </w:rPr>
        <w:t>平面布置及建构筑物单元</w:t>
      </w:r>
      <w:r>
        <w:rPr>
          <w:rFonts w:hint="eastAsia" w:hAnsi="宋体"/>
          <w:color w:val="auto"/>
          <w:sz w:val="28"/>
          <w:szCs w:val="28"/>
        </w:rPr>
        <w:t>；</w:t>
      </w:r>
    </w:p>
    <w:p>
      <w:pPr>
        <w:ind w:firstLine="560" w:firstLineChars="200"/>
        <w:rPr>
          <w:rFonts w:hint="eastAsia" w:hAnsi="宋体"/>
          <w:color w:val="auto"/>
          <w:sz w:val="28"/>
          <w:szCs w:val="28"/>
        </w:rPr>
      </w:pPr>
      <w:r>
        <w:rPr>
          <w:rFonts w:hint="eastAsia" w:hAnsi="宋体"/>
          <w:color w:val="auto"/>
          <w:sz w:val="28"/>
          <w:szCs w:val="28"/>
        </w:rPr>
        <w:t>3、</w:t>
      </w:r>
      <w:r>
        <w:rPr>
          <w:rFonts w:hint="eastAsia" w:hAnsi="宋体"/>
          <w:color w:val="auto"/>
          <w:sz w:val="28"/>
          <w:szCs w:val="28"/>
          <w:lang w:val="en-US" w:eastAsia="zh-CN"/>
        </w:rPr>
        <w:t>生产工艺装置单元</w:t>
      </w:r>
      <w:r>
        <w:rPr>
          <w:rFonts w:hint="eastAsia" w:hAnsi="宋体"/>
          <w:color w:val="auto"/>
          <w:sz w:val="28"/>
          <w:szCs w:val="28"/>
        </w:rPr>
        <w:t>；</w:t>
      </w:r>
    </w:p>
    <w:p>
      <w:pPr>
        <w:ind w:firstLine="560" w:firstLineChars="200"/>
        <w:rPr>
          <w:rFonts w:hint="eastAsia" w:hAnsi="宋体"/>
          <w:color w:val="auto"/>
          <w:sz w:val="28"/>
          <w:szCs w:val="28"/>
        </w:rPr>
      </w:pPr>
      <w:r>
        <w:rPr>
          <w:rFonts w:hint="eastAsia" w:hAnsi="宋体"/>
          <w:color w:val="auto"/>
          <w:sz w:val="28"/>
          <w:szCs w:val="28"/>
        </w:rPr>
        <w:t>4、</w:t>
      </w:r>
      <w:r>
        <w:rPr>
          <w:rFonts w:hint="eastAsia" w:hAnsi="宋体"/>
          <w:color w:val="auto"/>
          <w:sz w:val="28"/>
          <w:szCs w:val="28"/>
          <w:lang w:val="en-US" w:eastAsia="zh-CN"/>
        </w:rPr>
        <w:t>公用工程及辅助设施单元</w:t>
      </w:r>
      <w:r>
        <w:rPr>
          <w:rFonts w:hint="eastAsia" w:hAnsi="宋体"/>
          <w:color w:val="auto"/>
          <w:sz w:val="28"/>
          <w:szCs w:val="28"/>
        </w:rPr>
        <w:t>；</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1）电气子单元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2）仪表自动控制子单元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3）给排水系统子系统</w:t>
      </w:r>
    </w:p>
    <w:p>
      <w:pPr>
        <w:ind w:firstLine="560" w:firstLineChars="200"/>
        <w:rPr>
          <w:rFonts w:hint="default" w:hAnsi="宋体"/>
          <w:color w:val="auto"/>
          <w:sz w:val="28"/>
          <w:szCs w:val="28"/>
          <w:lang w:val="en-US" w:eastAsia="zh-CN"/>
        </w:rPr>
      </w:pPr>
      <w:r>
        <w:rPr>
          <w:rFonts w:hint="eastAsia" w:hAnsi="宋体"/>
          <w:color w:val="auto"/>
          <w:sz w:val="28"/>
          <w:szCs w:val="28"/>
          <w:lang w:val="en-US" w:eastAsia="zh-CN"/>
        </w:rPr>
        <w:t>4）冷冻站子单元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4）空压氮气装置子单元</w:t>
      </w:r>
    </w:p>
    <w:p>
      <w:pPr>
        <w:ind w:firstLine="560" w:firstLineChars="200"/>
        <w:rPr>
          <w:rFonts w:hint="default" w:hAnsi="宋体"/>
          <w:color w:val="auto"/>
          <w:sz w:val="28"/>
          <w:szCs w:val="28"/>
          <w:lang w:val="en-US" w:eastAsia="zh-CN"/>
        </w:rPr>
      </w:pPr>
      <w:r>
        <w:rPr>
          <w:rFonts w:hint="eastAsia" w:hAnsi="宋体"/>
          <w:color w:val="auto"/>
          <w:sz w:val="28"/>
          <w:szCs w:val="28"/>
          <w:lang w:val="en-US" w:eastAsia="zh-CN"/>
        </w:rPr>
        <w:t>5）尾气处置装置子单元</w:t>
      </w:r>
    </w:p>
    <w:p>
      <w:pPr>
        <w:ind w:firstLine="560" w:firstLineChars="200"/>
        <w:rPr>
          <w:rFonts w:hint="eastAsia" w:hAnsi="宋体"/>
          <w:color w:val="auto"/>
          <w:sz w:val="28"/>
          <w:szCs w:val="28"/>
        </w:rPr>
      </w:pPr>
      <w:r>
        <w:rPr>
          <w:rFonts w:hint="eastAsia" w:hAnsi="宋体"/>
          <w:color w:val="auto"/>
          <w:sz w:val="28"/>
          <w:szCs w:val="28"/>
          <w:lang w:val="en-US" w:eastAsia="zh-CN"/>
        </w:rPr>
        <w:t>5</w:t>
      </w:r>
      <w:r>
        <w:rPr>
          <w:rFonts w:hint="eastAsia" w:hAnsi="宋体"/>
          <w:color w:val="auto"/>
          <w:sz w:val="28"/>
          <w:szCs w:val="28"/>
        </w:rPr>
        <w:t>、</w:t>
      </w:r>
      <w:r>
        <w:rPr>
          <w:rFonts w:hint="eastAsia" w:hAnsi="宋体"/>
          <w:color w:val="auto"/>
          <w:sz w:val="28"/>
          <w:szCs w:val="28"/>
          <w:lang w:val="en-US" w:eastAsia="zh-CN"/>
        </w:rPr>
        <w:t>储运系统单元</w:t>
      </w:r>
      <w:r>
        <w:rPr>
          <w:rFonts w:hint="eastAsia" w:hAnsi="宋体"/>
          <w:color w:val="auto"/>
          <w:sz w:val="28"/>
          <w:szCs w:val="28"/>
        </w:rPr>
        <w:t>；</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1）仓库子单元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2）罐区子单元</w:t>
      </w:r>
    </w:p>
    <w:p>
      <w:pPr>
        <w:ind w:firstLine="560" w:firstLineChars="200"/>
        <w:rPr>
          <w:rFonts w:hint="default" w:hAnsi="宋体"/>
          <w:color w:val="auto"/>
          <w:sz w:val="28"/>
          <w:szCs w:val="28"/>
          <w:lang w:val="en-US" w:eastAsia="zh-CN"/>
        </w:rPr>
      </w:pPr>
      <w:r>
        <w:rPr>
          <w:rFonts w:hint="eastAsia" w:hAnsi="宋体"/>
          <w:color w:val="auto"/>
          <w:sz w:val="28"/>
          <w:szCs w:val="28"/>
          <w:lang w:val="en-US" w:eastAsia="zh-CN"/>
        </w:rPr>
        <w:t>3）装卸子单元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6</w:t>
      </w:r>
      <w:r>
        <w:rPr>
          <w:rFonts w:hint="eastAsia" w:hAnsi="宋体"/>
          <w:color w:val="auto"/>
          <w:sz w:val="28"/>
          <w:szCs w:val="28"/>
        </w:rPr>
        <w:t>、</w:t>
      </w:r>
      <w:r>
        <w:rPr>
          <w:rFonts w:hint="eastAsia" w:hAnsi="宋体"/>
          <w:color w:val="auto"/>
          <w:sz w:val="28"/>
          <w:szCs w:val="28"/>
          <w:lang w:val="en-US" w:eastAsia="zh-CN"/>
        </w:rPr>
        <w:t>特种设备单元</w:t>
      </w:r>
    </w:p>
    <w:p>
      <w:pPr>
        <w:ind w:firstLine="560" w:firstLineChars="200"/>
        <w:rPr>
          <w:rFonts w:hint="eastAsia" w:hAnsi="宋体"/>
          <w:color w:val="auto"/>
          <w:sz w:val="28"/>
          <w:szCs w:val="28"/>
          <w:lang w:val="en-US" w:eastAsia="zh-CN"/>
        </w:rPr>
      </w:pPr>
      <w:r>
        <w:rPr>
          <w:rFonts w:hint="eastAsia" w:hAnsi="宋体"/>
          <w:color w:val="auto"/>
          <w:sz w:val="28"/>
          <w:szCs w:val="28"/>
          <w:lang w:val="en-US" w:eastAsia="zh-CN"/>
        </w:rPr>
        <w:t>7、消防单元</w:t>
      </w:r>
    </w:p>
    <w:p>
      <w:pPr>
        <w:ind w:firstLine="560" w:firstLineChars="200"/>
        <w:rPr>
          <w:rFonts w:hint="eastAsia" w:hAnsi="宋体"/>
          <w:color w:val="auto"/>
          <w:sz w:val="28"/>
          <w:szCs w:val="28"/>
          <w:lang w:val="en-US" w:eastAsia="zh-CN"/>
        </w:rPr>
      </w:pPr>
    </w:p>
    <w:p>
      <w:pPr>
        <w:ind w:firstLine="560" w:firstLineChars="200"/>
        <w:rPr>
          <w:rFonts w:hint="eastAsia" w:hAnsi="宋体"/>
          <w:color w:val="auto"/>
          <w:sz w:val="28"/>
          <w:szCs w:val="28"/>
          <w:lang w:val="en-US" w:eastAsia="zh-CN"/>
        </w:rPr>
      </w:pPr>
    </w:p>
    <w:p>
      <w:pPr>
        <w:ind w:firstLine="560" w:firstLineChars="200"/>
        <w:rPr>
          <w:rFonts w:hint="eastAsia" w:hAnsi="宋体"/>
          <w:color w:val="auto"/>
          <w:sz w:val="28"/>
          <w:szCs w:val="28"/>
          <w:lang w:val="en-US" w:eastAsia="zh-CN"/>
        </w:rPr>
      </w:pPr>
    </w:p>
    <w:p>
      <w:pPr>
        <w:ind w:firstLine="560" w:firstLineChars="200"/>
        <w:rPr>
          <w:rFonts w:hint="eastAsia" w:hAnsi="宋体"/>
          <w:color w:val="auto"/>
          <w:sz w:val="28"/>
          <w:szCs w:val="28"/>
          <w:lang w:val="en-US" w:eastAsia="zh-CN"/>
        </w:rPr>
      </w:pPr>
    </w:p>
    <w:p>
      <w:pPr>
        <w:ind w:firstLine="560" w:firstLineChars="200"/>
        <w:rPr>
          <w:rFonts w:hint="eastAsia" w:hAnsi="宋体"/>
          <w:color w:val="auto"/>
          <w:sz w:val="28"/>
          <w:szCs w:val="28"/>
          <w:lang w:val="en-US" w:eastAsia="zh-CN"/>
        </w:rPr>
      </w:pPr>
    </w:p>
    <w:p>
      <w:pPr>
        <w:pStyle w:val="2"/>
        <w:rPr>
          <w:rFonts w:hint="default" w:eastAsia="宋体"/>
          <w:color w:val="auto"/>
          <w:szCs w:val="28"/>
          <w:lang w:val="en-US" w:eastAsia="zh-CN"/>
        </w:rPr>
      </w:pPr>
      <w:bookmarkStart w:id="429" w:name="_Toc13218"/>
      <w:bookmarkStart w:id="430" w:name="_Toc29982"/>
      <w:bookmarkStart w:id="431" w:name="_Toc3087"/>
      <w:bookmarkStart w:id="432" w:name="_Toc17647"/>
      <w:bookmarkStart w:id="433" w:name="_Toc746"/>
      <w:bookmarkStart w:id="434" w:name="_Toc19643"/>
      <w:bookmarkStart w:id="435" w:name="_Toc288"/>
      <w:r>
        <w:rPr>
          <w:rStyle w:val="64"/>
          <w:rFonts w:hint="default" w:ascii="Times New Roman" w:hAnsi="Times New Roman" w:cs="Times New Roman"/>
          <w:b/>
          <w:color w:val="auto"/>
        </w:rPr>
        <w:t>5</w:t>
      </w:r>
      <w:bookmarkEnd w:id="429"/>
      <w:r>
        <w:rPr>
          <w:rStyle w:val="64"/>
          <w:rFonts w:hint="eastAsia"/>
          <w:b/>
          <w:color w:val="auto"/>
          <w:lang w:val="en-US" w:eastAsia="zh-CN"/>
        </w:rPr>
        <w:t>采用的安全评价方法及理由说明</w:t>
      </w:r>
      <w:bookmarkEnd w:id="430"/>
      <w:bookmarkEnd w:id="431"/>
      <w:bookmarkEnd w:id="432"/>
      <w:bookmarkEnd w:id="433"/>
      <w:bookmarkEnd w:id="434"/>
      <w:bookmarkEnd w:id="435"/>
    </w:p>
    <w:p>
      <w:pPr>
        <w:pStyle w:val="3"/>
        <w:spacing w:line="600" w:lineRule="exact"/>
        <w:rPr>
          <w:rFonts w:hint="eastAsia"/>
          <w:color w:val="auto"/>
          <w:szCs w:val="28"/>
          <w:lang w:val="en-US" w:eastAsia="zh-CN"/>
        </w:rPr>
      </w:pPr>
      <w:bookmarkStart w:id="436" w:name="_Toc30877"/>
      <w:bookmarkStart w:id="437" w:name="_Toc459585330"/>
      <w:bookmarkStart w:id="438" w:name="_Toc20242"/>
      <w:bookmarkStart w:id="439" w:name="_Toc16392"/>
      <w:bookmarkStart w:id="440" w:name="_Toc14128"/>
      <w:bookmarkStart w:id="441" w:name="_Toc12307"/>
      <w:bookmarkStart w:id="442" w:name="_Toc26743"/>
      <w:bookmarkStart w:id="443" w:name="_Toc3263"/>
      <w:bookmarkStart w:id="444" w:name="_Toc168882793"/>
      <w:bookmarkStart w:id="445" w:name="_Toc386550630"/>
      <w:r>
        <w:rPr>
          <w:color w:val="auto"/>
          <w:szCs w:val="28"/>
        </w:rPr>
        <w:t>5.</w:t>
      </w:r>
      <w:r>
        <w:rPr>
          <w:rFonts w:hint="eastAsia"/>
          <w:color w:val="auto"/>
          <w:szCs w:val="28"/>
        </w:rPr>
        <w:t>1</w:t>
      </w:r>
      <w:bookmarkEnd w:id="436"/>
      <w:bookmarkEnd w:id="437"/>
      <w:r>
        <w:rPr>
          <w:rFonts w:hint="eastAsia"/>
          <w:color w:val="auto"/>
          <w:szCs w:val="28"/>
          <w:lang w:val="en-US" w:eastAsia="zh-CN"/>
        </w:rPr>
        <w:t>各单元采用的评价方法</w:t>
      </w:r>
      <w:bookmarkEnd w:id="438"/>
      <w:bookmarkEnd w:id="439"/>
      <w:bookmarkEnd w:id="440"/>
      <w:bookmarkEnd w:id="441"/>
      <w:bookmarkEnd w:id="442"/>
      <w:bookmarkEnd w:id="443"/>
    </w:p>
    <w:p>
      <w:pPr>
        <w:spacing w:line="560" w:lineRule="exact"/>
        <w:ind w:firstLine="560" w:firstLineChars="200"/>
        <w:jc w:val="left"/>
        <w:rPr>
          <w:rFonts w:hint="eastAsia" w:ascii="黑体" w:hAnsi="宋体" w:eastAsia="黑体"/>
          <w:color w:val="auto"/>
          <w:sz w:val="28"/>
          <w:szCs w:val="28"/>
        </w:rPr>
      </w:pPr>
      <w:r>
        <w:rPr>
          <w:rFonts w:hint="eastAsia" w:ascii="黑体" w:hAnsi="宋体" w:eastAsia="黑体"/>
          <w:color w:val="auto"/>
          <w:sz w:val="28"/>
          <w:szCs w:val="28"/>
        </w:rPr>
        <w:t>1.安全评价方法选择</w:t>
      </w:r>
    </w:p>
    <w:p>
      <w:pPr>
        <w:spacing w:line="560" w:lineRule="exact"/>
        <w:ind w:firstLine="560" w:firstLineChars="200"/>
        <w:jc w:val="left"/>
        <w:rPr>
          <w:rFonts w:hint="eastAsia" w:ascii="宋体" w:hAnsi="宋体"/>
          <w:color w:val="auto"/>
          <w:sz w:val="28"/>
          <w:szCs w:val="28"/>
        </w:rPr>
      </w:pPr>
      <w:r>
        <w:rPr>
          <w:rFonts w:hint="eastAsia" w:ascii="宋体" w:hAnsi="宋体"/>
          <w:color w:val="auto"/>
          <w:sz w:val="28"/>
          <w:szCs w:val="28"/>
        </w:rPr>
        <w:t>根据该项目的生产工艺特点和每种评价方法的特点及适用范围的界定，采用如下评价方法：</w:t>
      </w:r>
    </w:p>
    <w:p>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1）安全检查表法（SCL）</w:t>
      </w:r>
    </w:p>
    <w:p>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2）预先危险分析法（PHA）</w:t>
      </w:r>
    </w:p>
    <w:p>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3）重大事故模拟分析法</w:t>
      </w:r>
    </w:p>
    <w:p>
      <w:pPr>
        <w:spacing w:line="560" w:lineRule="exact"/>
        <w:ind w:firstLine="560" w:firstLineChars="200"/>
        <w:rPr>
          <w:rFonts w:hint="eastAsia" w:ascii="宋体" w:hAnsi="宋体" w:cs="宋体"/>
          <w:color w:val="auto"/>
          <w:kern w:val="0"/>
          <w:sz w:val="28"/>
          <w:szCs w:val="28"/>
        </w:rPr>
      </w:pPr>
      <w:r>
        <w:rPr>
          <w:rFonts w:hint="eastAsia" w:ascii="宋体" w:hAnsi="宋体"/>
          <w:color w:val="auto"/>
          <w:sz w:val="28"/>
          <w:szCs w:val="28"/>
        </w:rPr>
        <w:t>4）定量风险分析法</w:t>
      </w:r>
    </w:p>
    <w:p>
      <w:pPr>
        <w:spacing w:line="560" w:lineRule="exact"/>
        <w:ind w:firstLine="560" w:firstLineChars="200"/>
        <w:jc w:val="left"/>
        <w:rPr>
          <w:rFonts w:hint="eastAsia" w:ascii="黑体" w:hAnsi="宋体" w:eastAsia="黑体"/>
          <w:color w:val="auto"/>
          <w:sz w:val="28"/>
          <w:szCs w:val="28"/>
        </w:rPr>
      </w:pPr>
      <w:r>
        <w:rPr>
          <w:rFonts w:hint="eastAsia" w:ascii="黑体" w:hAnsi="宋体" w:eastAsia="黑体"/>
          <w:color w:val="auto"/>
          <w:sz w:val="28"/>
          <w:szCs w:val="28"/>
        </w:rPr>
        <w:t>2.评价单元与评价方法的对应关系</w:t>
      </w:r>
    </w:p>
    <w:p>
      <w:pPr>
        <w:spacing w:line="560" w:lineRule="exact"/>
        <w:ind w:firstLine="560" w:firstLineChars="200"/>
        <w:jc w:val="left"/>
        <w:rPr>
          <w:rFonts w:hint="eastAsia" w:ascii="宋体" w:hAnsi="宋体"/>
          <w:color w:val="auto"/>
          <w:sz w:val="28"/>
          <w:szCs w:val="28"/>
        </w:rPr>
      </w:pPr>
      <w:r>
        <w:rPr>
          <w:rFonts w:hint="eastAsia" w:ascii="宋体" w:hAnsi="宋体"/>
          <w:color w:val="auto"/>
          <w:sz w:val="28"/>
          <w:szCs w:val="28"/>
        </w:rPr>
        <w:t>评价单元与评价方法的对应关系如下表</w:t>
      </w:r>
      <w:r>
        <w:rPr>
          <w:rFonts w:hint="eastAsia" w:ascii="宋体" w:hAnsi="宋体"/>
          <w:color w:val="auto"/>
          <w:sz w:val="28"/>
          <w:szCs w:val="28"/>
          <w:lang w:val="en-US" w:eastAsia="zh-CN"/>
        </w:rPr>
        <w:t>5.1</w:t>
      </w:r>
      <w:r>
        <w:rPr>
          <w:rFonts w:hint="eastAsia" w:ascii="宋体" w:hAnsi="宋体"/>
          <w:color w:val="auto"/>
          <w:sz w:val="28"/>
          <w:szCs w:val="28"/>
        </w:rPr>
        <w:t xml:space="preserve">-1. </w:t>
      </w:r>
    </w:p>
    <w:p>
      <w:pPr>
        <w:pStyle w:val="53"/>
        <w:jc w:val="center"/>
        <w:rPr>
          <w:rFonts w:hint="eastAsia"/>
          <w:color w:val="auto"/>
        </w:rPr>
      </w:pPr>
      <w:r>
        <w:rPr>
          <w:rFonts w:hint="eastAsia"/>
          <w:color w:val="auto"/>
        </w:rPr>
        <w:t>表5</w:t>
      </w:r>
      <w:r>
        <w:rPr>
          <w:rFonts w:hint="eastAsia"/>
          <w:color w:val="auto"/>
          <w:lang w:val="en-US" w:eastAsia="zh-CN"/>
        </w:rPr>
        <w:t>.1</w:t>
      </w:r>
      <w:r>
        <w:rPr>
          <w:rFonts w:hint="eastAsia"/>
          <w:color w:val="auto"/>
        </w:rPr>
        <w:t>-1评价单元与评价方法的对应关系一览表</w:t>
      </w:r>
    </w:p>
    <w:tbl>
      <w:tblPr>
        <w:tblStyle w:val="42"/>
        <w:tblW w:w="8549" w:type="dxa"/>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108" w:type="dxa"/>
          <w:bottom w:w="0" w:type="dxa"/>
          <w:right w:w="108" w:type="dxa"/>
        </w:tblCellMar>
      </w:tblPr>
      <w:tblGrid>
        <w:gridCol w:w="1016"/>
        <w:gridCol w:w="2565"/>
        <w:gridCol w:w="1121"/>
        <w:gridCol w:w="1666"/>
        <w:gridCol w:w="1001"/>
        <w:gridCol w:w="1180"/>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3581" w:type="dxa"/>
            <w:gridSpan w:val="2"/>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评价方法</w:t>
            </w:r>
          </w:p>
          <w:p>
            <w:pPr>
              <w:spacing w:line="240" w:lineRule="auto"/>
              <w:jc w:val="center"/>
              <w:rPr>
                <w:rFonts w:hint="eastAsia" w:ascii="宋体" w:hAnsi="宋体"/>
                <w:color w:val="auto"/>
                <w:sz w:val="21"/>
                <w:szCs w:val="21"/>
              </w:rPr>
            </w:pPr>
            <w:r>
              <w:rPr>
                <w:rFonts w:hint="eastAsia" w:ascii="宋体" w:hAnsi="宋体"/>
                <w:color w:val="auto"/>
                <w:sz w:val="21"/>
                <w:szCs w:val="21"/>
              </w:rPr>
              <w:t>评价单元</w:t>
            </w:r>
          </w:p>
        </w:tc>
        <w:tc>
          <w:tcPr>
            <w:tcW w:w="1121" w:type="dxa"/>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安全检查表法</w:t>
            </w:r>
          </w:p>
        </w:tc>
        <w:tc>
          <w:tcPr>
            <w:tcW w:w="1666" w:type="dxa"/>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预先危险分析法</w:t>
            </w:r>
          </w:p>
        </w:tc>
        <w:tc>
          <w:tcPr>
            <w:tcW w:w="1001" w:type="dxa"/>
            <w:noWrap w:val="0"/>
            <w:vAlign w:val="top"/>
          </w:tcPr>
          <w:p>
            <w:pPr>
              <w:spacing w:line="240" w:lineRule="auto"/>
              <w:jc w:val="center"/>
              <w:rPr>
                <w:rFonts w:hint="eastAsia" w:ascii="宋体" w:hAnsi="宋体"/>
                <w:color w:val="auto"/>
                <w:sz w:val="21"/>
                <w:szCs w:val="21"/>
              </w:rPr>
            </w:pPr>
            <w:r>
              <w:rPr>
                <w:rFonts w:hint="eastAsia" w:ascii="宋体" w:hAnsi="宋体"/>
                <w:color w:val="auto"/>
                <w:sz w:val="21"/>
                <w:szCs w:val="21"/>
              </w:rPr>
              <w:t>危险度</w:t>
            </w:r>
          </w:p>
        </w:tc>
        <w:tc>
          <w:tcPr>
            <w:tcW w:w="1180" w:type="dxa"/>
            <w:noWrap w:val="0"/>
            <w:vAlign w:val="top"/>
          </w:tcPr>
          <w:p>
            <w:pPr>
              <w:spacing w:line="240" w:lineRule="auto"/>
              <w:jc w:val="center"/>
              <w:rPr>
                <w:rFonts w:hint="eastAsia" w:ascii="宋体" w:hAnsi="宋体" w:cs="宋体"/>
                <w:color w:val="auto"/>
                <w:kern w:val="0"/>
                <w:sz w:val="21"/>
                <w:szCs w:val="21"/>
              </w:rPr>
            </w:pPr>
            <w:r>
              <w:rPr>
                <w:rFonts w:hint="eastAsia" w:ascii="宋体" w:hAnsi="宋体"/>
                <w:color w:val="auto"/>
                <w:sz w:val="21"/>
                <w:szCs w:val="21"/>
              </w:rPr>
              <w:t>重大事故模拟</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3581" w:type="dxa"/>
            <w:gridSpan w:val="2"/>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项目选址</w:t>
            </w:r>
            <w:r>
              <w:rPr>
                <w:rFonts w:ascii="宋体" w:hAnsi="宋体"/>
                <w:color w:val="auto"/>
                <w:sz w:val="21"/>
                <w:szCs w:val="21"/>
              </w:rPr>
              <w:t>与</w:t>
            </w:r>
            <w:r>
              <w:rPr>
                <w:rFonts w:hint="eastAsia" w:ascii="宋体" w:hAnsi="宋体"/>
                <w:color w:val="auto"/>
                <w:sz w:val="21"/>
                <w:szCs w:val="21"/>
              </w:rPr>
              <w:t>周边环境</w:t>
            </w:r>
            <w:r>
              <w:rPr>
                <w:rFonts w:ascii="宋体" w:hAnsi="宋体"/>
                <w:color w:val="auto"/>
                <w:sz w:val="21"/>
                <w:szCs w:val="21"/>
              </w:rPr>
              <w:t>单元</w:t>
            </w:r>
          </w:p>
        </w:tc>
        <w:tc>
          <w:tcPr>
            <w:tcW w:w="1121" w:type="dxa"/>
            <w:noWrap w:val="0"/>
            <w:vAlign w:val="center"/>
          </w:tcPr>
          <w:p>
            <w:pPr>
              <w:spacing w:line="240" w:lineRule="auto"/>
              <w:jc w:val="center"/>
              <w:rPr>
                <w:rFonts w:hint="eastAsia" w:ascii="宋体" w:hAnsi="宋体"/>
                <w:color w:val="auto"/>
                <w:sz w:val="21"/>
                <w:szCs w:val="21"/>
              </w:rPr>
            </w:pPr>
            <w:r>
              <w:rPr>
                <w:rFonts w:ascii="宋体" w:hAnsi="宋体"/>
                <w:color w:val="auto"/>
                <w:sz w:val="21"/>
                <w:szCs w:val="21"/>
              </w:rPr>
              <w:t>√</w:t>
            </w:r>
          </w:p>
        </w:tc>
        <w:tc>
          <w:tcPr>
            <w:tcW w:w="1666" w:type="dxa"/>
            <w:noWrap w:val="0"/>
            <w:vAlign w:val="center"/>
          </w:tcPr>
          <w:p>
            <w:pPr>
              <w:spacing w:line="240" w:lineRule="auto"/>
              <w:jc w:val="center"/>
              <w:rPr>
                <w:rFonts w:hint="eastAsia" w:ascii="宋体" w:hAnsi="宋体"/>
                <w:color w:val="auto"/>
                <w:sz w:val="21"/>
                <w:szCs w:val="21"/>
              </w:rPr>
            </w:pPr>
          </w:p>
        </w:tc>
        <w:tc>
          <w:tcPr>
            <w:tcW w:w="1001" w:type="dxa"/>
            <w:noWrap w:val="0"/>
            <w:vAlign w:val="top"/>
          </w:tcPr>
          <w:p>
            <w:pPr>
              <w:spacing w:line="240" w:lineRule="auto"/>
              <w:jc w:val="center"/>
              <w:rPr>
                <w:rFonts w:hint="eastAsia" w:ascii="宋体" w:hAnsi="宋体"/>
                <w:color w:val="auto"/>
                <w:sz w:val="21"/>
                <w:szCs w:val="21"/>
              </w:rPr>
            </w:pPr>
          </w:p>
        </w:tc>
        <w:tc>
          <w:tcPr>
            <w:tcW w:w="1180" w:type="dxa"/>
            <w:noWrap w:val="0"/>
            <w:vAlign w:val="top"/>
          </w:tcPr>
          <w:p>
            <w:pPr>
              <w:spacing w:line="240" w:lineRule="auto"/>
              <w:jc w:val="center"/>
              <w:rPr>
                <w:rFonts w:hint="eastAsia" w:ascii="宋体" w:hAnsi="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3581" w:type="dxa"/>
            <w:gridSpan w:val="2"/>
            <w:noWrap w:val="0"/>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平面布置及建构筑物单元</w:t>
            </w:r>
          </w:p>
        </w:tc>
        <w:tc>
          <w:tcPr>
            <w:tcW w:w="1121" w:type="dxa"/>
            <w:noWrap w:val="0"/>
            <w:vAlign w:val="center"/>
          </w:tcPr>
          <w:p>
            <w:pPr>
              <w:spacing w:line="240" w:lineRule="auto"/>
              <w:jc w:val="center"/>
              <w:rPr>
                <w:rFonts w:ascii="宋体" w:hAnsi="宋体"/>
                <w:color w:val="auto"/>
                <w:sz w:val="21"/>
                <w:szCs w:val="21"/>
              </w:rPr>
            </w:pPr>
            <w:r>
              <w:rPr>
                <w:rFonts w:ascii="宋体" w:hAnsi="宋体"/>
                <w:color w:val="auto"/>
                <w:sz w:val="21"/>
                <w:szCs w:val="21"/>
              </w:rPr>
              <w:t>√</w:t>
            </w:r>
          </w:p>
        </w:tc>
        <w:tc>
          <w:tcPr>
            <w:tcW w:w="1666" w:type="dxa"/>
            <w:noWrap w:val="0"/>
            <w:vAlign w:val="center"/>
          </w:tcPr>
          <w:p>
            <w:pPr>
              <w:spacing w:line="240" w:lineRule="auto"/>
              <w:jc w:val="center"/>
              <w:rPr>
                <w:rFonts w:ascii="宋体" w:hAnsi="宋体"/>
                <w:color w:val="auto"/>
                <w:sz w:val="21"/>
                <w:szCs w:val="21"/>
              </w:rPr>
            </w:pPr>
          </w:p>
        </w:tc>
        <w:tc>
          <w:tcPr>
            <w:tcW w:w="1001" w:type="dxa"/>
            <w:noWrap w:val="0"/>
            <w:vAlign w:val="top"/>
          </w:tcPr>
          <w:p>
            <w:pPr>
              <w:spacing w:line="240" w:lineRule="auto"/>
              <w:jc w:val="center"/>
              <w:rPr>
                <w:rFonts w:hint="eastAsia" w:ascii="宋体" w:hAnsi="宋体"/>
                <w:color w:val="auto"/>
                <w:sz w:val="21"/>
                <w:szCs w:val="21"/>
              </w:rPr>
            </w:pPr>
          </w:p>
        </w:tc>
        <w:tc>
          <w:tcPr>
            <w:tcW w:w="1180" w:type="dxa"/>
            <w:noWrap w:val="0"/>
            <w:vAlign w:val="top"/>
          </w:tcPr>
          <w:p>
            <w:pPr>
              <w:spacing w:line="240" w:lineRule="auto"/>
              <w:jc w:val="center"/>
              <w:rPr>
                <w:rFonts w:hint="eastAsia" w:ascii="宋体" w:hAnsi="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restart"/>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lang w:val="en-US" w:eastAsia="zh-CN"/>
              </w:rPr>
              <w:t>公用工程及辅助设施</w:t>
            </w:r>
            <w:r>
              <w:rPr>
                <w:rFonts w:hint="eastAsia"/>
                <w:color w:val="auto"/>
                <w:sz w:val="21"/>
                <w:szCs w:val="21"/>
              </w:rPr>
              <w:t>单元</w:t>
            </w: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lang w:eastAsia="zh-CN"/>
              </w:rPr>
            </w:pPr>
            <w:r>
              <w:rPr>
                <w:rFonts w:hint="eastAsia"/>
                <w:color w:val="auto"/>
                <w:sz w:val="21"/>
                <w:szCs w:val="21"/>
                <w:lang w:val="en-US" w:eastAsia="zh-CN"/>
              </w:rPr>
              <w:t>电气</w:t>
            </w:r>
            <w:r>
              <w:rPr>
                <w:rFonts w:hint="eastAsia"/>
                <w:color w:val="auto"/>
                <w:sz w:val="21"/>
                <w:szCs w:val="21"/>
              </w:rPr>
              <w:t>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rFonts w:hint="eastAsia" w:ascii="宋体" w:hAnsi="宋体"/>
                <w:color w:val="auto"/>
                <w:sz w:val="21"/>
                <w:szCs w:val="21"/>
              </w:rPr>
            </w:pPr>
            <w:r>
              <w:rPr>
                <w:rFonts w:ascii="宋体" w:hAnsi="宋体"/>
                <w:color w:val="auto"/>
                <w:sz w:val="21"/>
                <w:szCs w:val="21"/>
              </w:rPr>
              <w:t>√</w:t>
            </w:r>
          </w:p>
        </w:tc>
        <w:tc>
          <w:tcPr>
            <w:tcW w:w="1001" w:type="dxa"/>
            <w:noWrap w:val="0"/>
            <w:vAlign w:val="top"/>
          </w:tcPr>
          <w:p>
            <w:pPr>
              <w:spacing w:line="240" w:lineRule="auto"/>
              <w:jc w:val="center"/>
              <w:rPr>
                <w:color w:val="auto"/>
                <w:sz w:val="21"/>
                <w:szCs w:val="21"/>
              </w:rPr>
            </w:pPr>
            <w:r>
              <w:rPr>
                <w:rFonts w:ascii="宋体" w:hAnsi="宋体"/>
                <w:color w:val="auto"/>
                <w:sz w:val="21"/>
                <w:szCs w:val="21"/>
              </w:rPr>
              <w:t>√</w:t>
            </w:r>
          </w:p>
        </w:tc>
        <w:tc>
          <w:tcPr>
            <w:tcW w:w="1180" w:type="dxa"/>
            <w:noWrap w:val="0"/>
            <w:vAlign w:val="center"/>
          </w:tcPr>
          <w:p>
            <w:pPr>
              <w:spacing w:line="240" w:lineRule="auto"/>
              <w:jc w:val="center"/>
              <w:rPr>
                <w:rFonts w:hint="eastAsia" w:ascii="宋体" w:hAnsi="宋体"/>
                <w:color w:val="auto"/>
                <w:sz w:val="21"/>
                <w:szCs w:val="21"/>
              </w:rPr>
            </w:pPr>
            <w:r>
              <w:rPr>
                <w:rFonts w:ascii="宋体" w:hAnsi="宋体"/>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lang w:val="en-US" w:eastAsia="zh-CN"/>
              </w:rPr>
              <w:t>仪表自动控制</w:t>
            </w:r>
            <w:r>
              <w:rPr>
                <w:rFonts w:hint="eastAsia"/>
                <w:color w:val="auto"/>
                <w:sz w:val="21"/>
                <w:szCs w:val="21"/>
              </w:rPr>
              <w:t>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color w:val="auto"/>
                <w:sz w:val="21"/>
                <w:szCs w:val="21"/>
              </w:rPr>
            </w:pPr>
            <w:r>
              <w:rPr>
                <w:rFonts w:ascii="宋体" w:hAnsi="宋体"/>
                <w:color w:val="auto"/>
                <w:sz w:val="21"/>
                <w:szCs w:val="21"/>
              </w:rPr>
              <w:t>√</w:t>
            </w:r>
          </w:p>
        </w:tc>
        <w:tc>
          <w:tcPr>
            <w:tcW w:w="1001" w:type="dxa"/>
            <w:noWrap w:val="0"/>
            <w:vAlign w:val="center"/>
          </w:tcPr>
          <w:p>
            <w:pPr>
              <w:spacing w:line="240" w:lineRule="auto"/>
              <w:jc w:val="center"/>
              <w:rPr>
                <w:color w:val="auto"/>
                <w:sz w:val="21"/>
                <w:szCs w:val="21"/>
              </w:rPr>
            </w:pPr>
          </w:p>
        </w:tc>
        <w:tc>
          <w:tcPr>
            <w:tcW w:w="1180" w:type="dxa"/>
            <w:noWrap w:val="0"/>
            <w:vAlign w:val="top"/>
          </w:tcPr>
          <w:p>
            <w:pPr>
              <w:spacing w:line="240" w:lineRule="auto"/>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lang w:val="en-US" w:eastAsia="zh-CN"/>
              </w:rPr>
              <w:t>给排水系统</w:t>
            </w:r>
            <w:r>
              <w:rPr>
                <w:rFonts w:hint="eastAsia"/>
                <w:color w:val="auto"/>
                <w:sz w:val="21"/>
                <w:szCs w:val="21"/>
              </w:rPr>
              <w:t>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color w:val="auto"/>
                <w:sz w:val="21"/>
                <w:szCs w:val="21"/>
              </w:rPr>
            </w:pPr>
            <w:r>
              <w:rPr>
                <w:rFonts w:ascii="宋体" w:hAnsi="宋体"/>
                <w:color w:val="auto"/>
                <w:sz w:val="21"/>
                <w:szCs w:val="21"/>
              </w:rPr>
              <w:t>√</w:t>
            </w:r>
          </w:p>
        </w:tc>
        <w:tc>
          <w:tcPr>
            <w:tcW w:w="1001" w:type="dxa"/>
            <w:noWrap w:val="0"/>
            <w:vAlign w:val="center"/>
          </w:tcPr>
          <w:p>
            <w:pPr>
              <w:spacing w:line="240" w:lineRule="auto"/>
              <w:jc w:val="center"/>
              <w:rPr>
                <w:color w:val="auto"/>
                <w:sz w:val="21"/>
                <w:szCs w:val="21"/>
              </w:rPr>
            </w:pPr>
          </w:p>
        </w:tc>
        <w:tc>
          <w:tcPr>
            <w:tcW w:w="1180" w:type="dxa"/>
            <w:noWrap w:val="0"/>
            <w:vAlign w:val="top"/>
          </w:tcPr>
          <w:p>
            <w:pPr>
              <w:spacing w:line="240" w:lineRule="auto"/>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default"/>
                <w:color w:val="auto"/>
                <w:sz w:val="21"/>
                <w:szCs w:val="21"/>
                <w:lang w:val="en-US" w:eastAsia="zh-CN"/>
              </w:rPr>
            </w:pPr>
            <w:r>
              <w:rPr>
                <w:rFonts w:hint="eastAsia"/>
                <w:color w:val="auto"/>
                <w:sz w:val="21"/>
                <w:szCs w:val="21"/>
                <w:lang w:val="en-US" w:eastAsia="zh-CN"/>
              </w:rPr>
              <w:t>冷冻站子单元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rFonts w:ascii="宋体" w:hAnsi="宋体"/>
                <w:color w:val="auto"/>
                <w:sz w:val="21"/>
                <w:szCs w:val="21"/>
              </w:rPr>
            </w:pPr>
            <w:r>
              <w:rPr>
                <w:rFonts w:ascii="宋体" w:hAnsi="宋体"/>
                <w:color w:val="auto"/>
                <w:sz w:val="21"/>
                <w:szCs w:val="21"/>
              </w:rPr>
              <w:t>√</w:t>
            </w:r>
          </w:p>
        </w:tc>
        <w:tc>
          <w:tcPr>
            <w:tcW w:w="1001" w:type="dxa"/>
            <w:noWrap w:val="0"/>
            <w:vAlign w:val="center"/>
          </w:tcPr>
          <w:p>
            <w:pPr>
              <w:spacing w:line="240" w:lineRule="auto"/>
              <w:jc w:val="center"/>
              <w:rPr>
                <w:color w:val="auto"/>
                <w:sz w:val="21"/>
                <w:szCs w:val="21"/>
              </w:rPr>
            </w:pPr>
          </w:p>
        </w:tc>
        <w:tc>
          <w:tcPr>
            <w:tcW w:w="1180" w:type="dxa"/>
            <w:noWrap w:val="0"/>
            <w:vAlign w:val="top"/>
          </w:tcPr>
          <w:p>
            <w:pPr>
              <w:spacing w:line="240" w:lineRule="auto"/>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default"/>
                <w:color w:val="auto"/>
                <w:sz w:val="21"/>
                <w:szCs w:val="21"/>
                <w:lang w:val="en-US" w:eastAsia="zh-CN"/>
              </w:rPr>
            </w:pPr>
            <w:r>
              <w:rPr>
                <w:rFonts w:hint="eastAsia"/>
                <w:color w:val="auto"/>
                <w:sz w:val="21"/>
                <w:szCs w:val="21"/>
                <w:lang w:val="en-US" w:eastAsia="zh-CN"/>
              </w:rPr>
              <w:t>废气处理装置子单元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rFonts w:ascii="宋体" w:hAnsi="宋体"/>
                <w:color w:val="auto"/>
                <w:sz w:val="21"/>
                <w:szCs w:val="21"/>
              </w:rPr>
            </w:pPr>
            <w:r>
              <w:rPr>
                <w:rFonts w:ascii="宋体" w:hAnsi="宋体"/>
                <w:color w:val="auto"/>
                <w:sz w:val="21"/>
                <w:szCs w:val="21"/>
              </w:rPr>
              <w:t>√</w:t>
            </w:r>
          </w:p>
        </w:tc>
        <w:tc>
          <w:tcPr>
            <w:tcW w:w="1001" w:type="dxa"/>
            <w:noWrap w:val="0"/>
            <w:vAlign w:val="center"/>
          </w:tcPr>
          <w:p>
            <w:pPr>
              <w:spacing w:line="240" w:lineRule="auto"/>
              <w:jc w:val="center"/>
              <w:rPr>
                <w:color w:val="auto"/>
                <w:sz w:val="21"/>
                <w:szCs w:val="21"/>
              </w:rPr>
            </w:pPr>
          </w:p>
        </w:tc>
        <w:tc>
          <w:tcPr>
            <w:tcW w:w="1180" w:type="dxa"/>
            <w:noWrap w:val="0"/>
            <w:vAlign w:val="top"/>
          </w:tcPr>
          <w:p>
            <w:pPr>
              <w:spacing w:line="240" w:lineRule="auto"/>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tcBorders>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p>
        </w:tc>
        <w:tc>
          <w:tcPr>
            <w:tcW w:w="2565" w:type="dxa"/>
            <w:tcBorders>
              <w:left w:val="single" w:color="auto" w:sz="4" w:space="0"/>
              <w:right w:val="single" w:color="auto" w:sz="4" w:space="0"/>
            </w:tcBorders>
            <w:noWrap w:val="0"/>
            <w:vAlign w:val="center"/>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lang w:val="en-US" w:eastAsia="zh-CN"/>
              </w:rPr>
              <w:t>空压氮气装置</w:t>
            </w:r>
            <w:r>
              <w:rPr>
                <w:rFonts w:hint="eastAsia"/>
                <w:color w:val="auto"/>
                <w:sz w:val="21"/>
                <w:szCs w:val="21"/>
              </w:rPr>
              <w:t>子单元</w:t>
            </w:r>
          </w:p>
        </w:tc>
        <w:tc>
          <w:tcPr>
            <w:tcW w:w="1121" w:type="dxa"/>
            <w:tcBorders>
              <w:left w:val="single" w:color="auto" w:sz="4" w:space="0"/>
            </w:tcBorders>
            <w:noWrap w:val="0"/>
            <w:vAlign w:val="center"/>
          </w:tcPr>
          <w:p>
            <w:pPr>
              <w:pStyle w:val="655"/>
              <w:spacing w:line="240" w:lineRule="auto"/>
              <w:ind w:firstLine="0" w:firstLineChars="0"/>
              <w:rPr>
                <w:color w:val="auto"/>
                <w:sz w:val="21"/>
                <w:szCs w:val="21"/>
              </w:rPr>
            </w:pPr>
          </w:p>
        </w:tc>
        <w:tc>
          <w:tcPr>
            <w:tcW w:w="1666" w:type="dxa"/>
            <w:noWrap w:val="0"/>
            <w:vAlign w:val="center"/>
          </w:tcPr>
          <w:p>
            <w:pPr>
              <w:spacing w:line="240" w:lineRule="auto"/>
              <w:jc w:val="center"/>
              <w:rPr>
                <w:color w:val="auto"/>
                <w:sz w:val="21"/>
                <w:szCs w:val="21"/>
              </w:rPr>
            </w:pPr>
            <w:r>
              <w:rPr>
                <w:rFonts w:ascii="宋体" w:hAnsi="宋体"/>
                <w:color w:val="auto"/>
                <w:sz w:val="21"/>
                <w:szCs w:val="21"/>
              </w:rPr>
              <w:t>√</w:t>
            </w:r>
          </w:p>
        </w:tc>
        <w:tc>
          <w:tcPr>
            <w:tcW w:w="1001" w:type="dxa"/>
            <w:noWrap w:val="0"/>
            <w:vAlign w:val="center"/>
          </w:tcPr>
          <w:p>
            <w:pPr>
              <w:spacing w:line="240" w:lineRule="auto"/>
              <w:jc w:val="center"/>
              <w:rPr>
                <w:color w:val="auto"/>
                <w:sz w:val="21"/>
                <w:szCs w:val="21"/>
              </w:rPr>
            </w:pPr>
          </w:p>
        </w:tc>
        <w:tc>
          <w:tcPr>
            <w:tcW w:w="1180" w:type="dxa"/>
            <w:noWrap w:val="0"/>
            <w:vAlign w:val="top"/>
          </w:tcPr>
          <w:p>
            <w:pPr>
              <w:spacing w:line="240" w:lineRule="auto"/>
              <w:jc w:val="cente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restart"/>
            <w:noWrap w:val="0"/>
            <w:vAlign w:val="center"/>
          </w:tcPr>
          <w:p>
            <w:pPr>
              <w:spacing w:line="240" w:lineRule="auto"/>
              <w:jc w:val="center"/>
              <w:rPr>
                <w:rFonts w:hint="eastAsia" w:ascii="宋体" w:hAnsi="宋体"/>
                <w:color w:val="auto"/>
                <w:sz w:val="21"/>
                <w:szCs w:val="21"/>
              </w:rPr>
            </w:pPr>
            <w:r>
              <w:rPr>
                <w:rFonts w:hint="eastAsia"/>
                <w:color w:val="auto"/>
                <w:sz w:val="21"/>
                <w:szCs w:val="21"/>
              </w:rPr>
              <w:t>储运系统单元</w:t>
            </w:r>
          </w:p>
        </w:tc>
        <w:tc>
          <w:tcPr>
            <w:tcW w:w="2565" w:type="dxa"/>
            <w:noWrap w:val="0"/>
            <w:vAlign w:val="top"/>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rPr>
              <w:t>仓库子单元</w:t>
            </w:r>
          </w:p>
        </w:tc>
        <w:tc>
          <w:tcPr>
            <w:tcW w:w="1121" w:type="dxa"/>
            <w:noWrap w:val="0"/>
            <w:vAlign w:val="center"/>
          </w:tcPr>
          <w:p>
            <w:pPr>
              <w:spacing w:line="240" w:lineRule="auto"/>
              <w:jc w:val="center"/>
              <w:rPr>
                <w:rFonts w:ascii="宋体" w:hAnsi="宋体"/>
                <w:color w:val="auto"/>
                <w:sz w:val="21"/>
                <w:szCs w:val="21"/>
              </w:rPr>
            </w:pPr>
          </w:p>
        </w:tc>
        <w:tc>
          <w:tcPr>
            <w:tcW w:w="1666" w:type="dxa"/>
            <w:noWrap w:val="0"/>
            <w:vAlign w:val="top"/>
          </w:tcPr>
          <w:p>
            <w:pPr>
              <w:spacing w:line="240" w:lineRule="auto"/>
              <w:jc w:val="center"/>
              <w:rPr>
                <w:color w:val="auto"/>
                <w:sz w:val="21"/>
                <w:szCs w:val="21"/>
              </w:rPr>
            </w:pPr>
            <w:r>
              <w:rPr>
                <w:rFonts w:ascii="宋体" w:hAnsi="宋体"/>
                <w:color w:val="auto"/>
                <w:sz w:val="21"/>
                <w:szCs w:val="21"/>
              </w:rPr>
              <w:t>√</w:t>
            </w:r>
          </w:p>
        </w:tc>
        <w:tc>
          <w:tcPr>
            <w:tcW w:w="1001" w:type="dxa"/>
            <w:noWrap w:val="0"/>
            <w:vAlign w:val="top"/>
          </w:tcPr>
          <w:p>
            <w:pPr>
              <w:spacing w:line="240" w:lineRule="auto"/>
              <w:jc w:val="center"/>
              <w:rPr>
                <w:rFonts w:hint="eastAsia" w:ascii="宋体" w:hAnsi="宋体"/>
                <w:color w:val="auto"/>
                <w:sz w:val="21"/>
                <w:szCs w:val="21"/>
              </w:rPr>
            </w:pPr>
          </w:p>
        </w:tc>
        <w:tc>
          <w:tcPr>
            <w:tcW w:w="1180" w:type="dxa"/>
            <w:noWrap w:val="0"/>
            <w:vAlign w:val="center"/>
          </w:tcPr>
          <w:p>
            <w:pPr>
              <w:spacing w:line="240" w:lineRule="auto"/>
              <w:jc w:val="center"/>
              <w:rPr>
                <w:rFonts w:hint="eastAsia" w:ascii="宋体" w:hAnsi="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noWrap w:val="0"/>
            <w:vAlign w:val="center"/>
          </w:tcPr>
          <w:p>
            <w:pPr>
              <w:spacing w:line="240" w:lineRule="auto"/>
              <w:jc w:val="center"/>
              <w:rPr>
                <w:rFonts w:hint="eastAsia"/>
                <w:color w:val="auto"/>
                <w:sz w:val="21"/>
                <w:szCs w:val="21"/>
              </w:rPr>
            </w:pPr>
          </w:p>
        </w:tc>
        <w:tc>
          <w:tcPr>
            <w:tcW w:w="2565" w:type="dxa"/>
            <w:noWrap w:val="0"/>
            <w:vAlign w:val="top"/>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rPr>
              <w:t>罐区子单元</w:t>
            </w:r>
          </w:p>
        </w:tc>
        <w:tc>
          <w:tcPr>
            <w:tcW w:w="1121" w:type="dxa"/>
            <w:noWrap w:val="0"/>
            <w:vAlign w:val="center"/>
          </w:tcPr>
          <w:p>
            <w:pPr>
              <w:spacing w:line="240" w:lineRule="auto"/>
              <w:jc w:val="center"/>
              <w:rPr>
                <w:rFonts w:ascii="宋体" w:hAnsi="宋体"/>
                <w:color w:val="auto"/>
                <w:sz w:val="21"/>
                <w:szCs w:val="21"/>
              </w:rPr>
            </w:pPr>
          </w:p>
        </w:tc>
        <w:tc>
          <w:tcPr>
            <w:tcW w:w="1666" w:type="dxa"/>
            <w:noWrap w:val="0"/>
            <w:vAlign w:val="top"/>
          </w:tcPr>
          <w:p>
            <w:pPr>
              <w:spacing w:line="240" w:lineRule="auto"/>
              <w:jc w:val="center"/>
              <w:rPr>
                <w:color w:val="auto"/>
                <w:sz w:val="21"/>
                <w:szCs w:val="21"/>
              </w:rPr>
            </w:pPr>
            <w:r>
              <w:rPr>
                <w:rFonts w:ascii="宋体" w:hAnsi="宋体"/>
                <w:color w:val="auto"/>
                <w:sz w:val="21"/>
                <w:szCs w:val="21"/>
              </w:rPr>
              <w:t>√</w:t>
            </w:r>
          </w:p>
        </w:tc>
        <w:tc>
          <w:tcPr>
            <w:tcW w:w="1001" w:type="dxa"/>
            <w:noWrap w:val="0"/>
            <w:vAlign w:val="top"/>
          </w:tcPr>
          <w:p>
            <w:pPr>
              <w:spacing w:line="240" w:lineRule="auto"/>
              <w:jc w:val="center"/>
              <w:rPr>
                <w:rFonts w:ascii="宋体" w:hAnsi="宋体"/>
                <w:color w:val="auto"/>
                <w:sz w:val="21"/>
                <w:szCs w:val="21"/>
              </w:rPr>
            </w:pPr>
          </w:p>
        </w:tc>
        <w:tc>
          <w:tcPr>
            <w:tcW w:w="1180" w:type="dxa"/>
            <w:noWrap w:val="0"/>
            <w:vAlign w:val="center"/>
          </w:tcPr>
          <w:p>
            <w:pPr>
              <w:spacing w:line="240" w:lineRule="auto"/>
              <w:jc w:val="center"/>
              <w:rPr>
                <w:rFonts w:hint="eastAsia" w:ascii="宋体" w:hAnsi="宋体"/>
                <w:color w:val="auto"/>
                <w:sz w:val="21"/>
                <w:szCs w:val="21"/>
              </w:rPr>
            </w:pPr>
            <w:r>
              <w:rPr>
                <w:rFonts w:ascii="宋体" w:hAnsi="宋体"/>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1016" w:type="dxa"/>
            <w:vMerge w:val="continue"/>
            <w:noWrap w:val="0"/>
            <w:vAlign w:val="center"/>
          </w:tcPr>
          <w:p>
            <w:pPr>
              <w:spacing w:line="240" w:lineRule="auto"/>
              <w:jc w:val="center"/>
              <w:rPr>
                <w:rFonts w:hint="eastAsia"/>
                <w:color w:val="auto"/>
                <w:sz w:val="21"/>
                <w:szCs w:val="21"/>
              </w:rPr>
            </w:pPr>
          </w:p>
        </w:tc>
        <w:tc>
          <w:tcPr>
            <w:tcW w:w="2565" w:type="dxa"/>
            <w:noWrap w:val="0"/>
            <w:vAlign w:val="top"/>
          </w:tcPr>
          <w:p>
            <w:pPr>
              <w:pStyle w:val="655"/>
              <w:adjustRightInd w:val="0"/>
              <w:snapToGrid w:val="0"/>
              <w:spacing w:line="240" w:lineRule="auto"/>
              <w:ind w:firstLine="0" w:firstLineChars="0"/>
              <w:jc w:val="left"/>
              <w:rPr>
                <w:rFonts w:hint="eastAsia"/>
                <w:color w:val="auto"/>
                <w:sz w:val="21"/>
                <w:szCs w:val="21"/>
              </w:rPr>
            </w:pPr>
            <w:r>
              <w:rPr>
                <w:rFonts w:hint="eastAsia"/>
                <w:color w:val="auto"/>
                <w:sz w:val="21"/>
                <w:szCs w:val="21"/>
              </w:rPr>
              <w:t>装卸</w:t>
            </w:r>
            <w:r>
              <w:rPr>
                <w:rFonts w:hint="eastAsia"/>
                <w:color w:val="auto"/>
                <w:sz w:val="21"/>
                <w:szCs w:val="21"/>
                <w:lang w:val="en-US" w:eastAsia="zh-CN"/>
              </w:rPr>
              <w:t>子</w:t>
            </w:r>
            <w:r>
              <w:rPr>
                <w:rFonts w:hint="eastAsia"/>
                <w:color w:val="auto"/>
                <w:sz w:val="21"/>
                <w:szCs w:val="21"/>
              </w:rPr>
              <w:t>单元</w:t>
            </w:r>
          </w:p>
        </w:tc>
        <w:tc>
          <w:tcPr>
            <w:tcW w:w="1121" w:type="dxa"/>
            <w:noWrap w:val="0"/>
            <w:vAlign w:val="center"/>
          </w:tcPr>
          <w:p>
            <w:pPr>
              <w:spacing w:line="240" w:lineRule="auto"/>
              <w:jc w:val="center"/>
              <w:rPr>
                <w:rFonts w:ascii="宋体" w:hAnsi="宋体"/>
                <w:color w:val="auto"/>
                <w:sz w:val="21"/>
                <w:szCs w:val="21"/>
              </w:rPr>
            </w:pPr>
          </w:p>
        </w:tc>
        <w:tc>
          <w:tcPr>
            <w:tcW w:w="1666" w:type="dxa"/>
            <w:noWrap w:val="0"/>
            <w:vAlign w:val="top"/>
          </w:tcPr>
          <w:p>
            <w:pPr>
              <w:spacing w:line="240" w:lineRule="auto"/>
              <w:jc w:val="center"/>
              <w:rPr>
                <w:color w:val="auto"/>
                <w:sz w:val="21"/>
                <w:szCs w:val="21"/>
              </w:rPr>
            </w:pPr>
            <w:r>
              <w:rPr>
                <w:rFonts w:ascii="宋体" w:hAnsi="宋体"/>
                <w:color w:val="auto"/>
                <w:sz w:val="21"/>
                <w:szCs w:val="21"/>
              </w:rPr>
              <w:t>√</w:t>
            </w:r>
          </w:p>
        </w:tc>
        <w:tc>
          <w:tcPr>
            <w:tcW w:w="1001" w:type="dxa"/>
            <w:noWrap w:val="0"/>
            <w:vAlign w:val="top"/>
          </w:tcPr>
          <w:p>
            <w:pPr>
              <w:spacing w:line="240" w:lineRule="auto"/>
              <w:jc w:val="center"/>
              <w:rPr>
                <w:rFonts w:hint="eastAsia" w:ascii="宋体" w:hAnsi="宋体"/>
                <w:color w:val="auto"/>
                <w:sz w:val="21"/>
                <w:szCs w:val="21"/>
              </w:rPr>
            </w:pPr>
          </w:p>
        </w:tc>
        <w:tc>
          <w:tcPr>
            <w:tcW w:w="1180" w:type="dxa"/>
            <w:noWrap w:val="0"/>
            <w:vAlign w:val="center"/>
          </w:tcPr>
          <w:p>
            <w:pPr>
              <w:spacing w:line="240" w:lineRule="auto"/>
              <w:jc w:val="center"/>
              <w:rPr>
                <w:rFonts w:hint="eastAsia" w:ascii="宋体" w:hAnsi="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3581" w:type="dxa"/>
            <w:gridSpan w:val="2"/>
            <w:noWrap w:val="0"/>
            <w:vAlign w:val="center"/>
          </w:tcPr>
          <w:p>
            <w:pPr>
              <w:spacing w:line="240" w:lineRule="auto"/>
              <w:jc w:val="center"/>
              <w:rPr>
                <w:rFonts w:hint="eastAsia"/>
                <w:color w:val="auto"/>
                <w:sz w:val="21"/>
                <w:szCs w:val="21"/>
              </w:rPr>
            </w:pPr>
            <w:r>
              <w:rPr>
                <w:rFonts w:hint="eastAsia"/>
                <w:color w:val="auto"/>
                <w:sz w:val="21"/>
                <w:szCs w:val="21"/>
              </w:rPr>
              <w:t>特种设备单元</w:t>
            </w:r>
          </w:p>
        </w:tc>
        <w:tc>
          <w:tcPr>
            <w:tcW w:w="1121" w:type="dxa"/>
            <w:noWrap w:val="0"/>
            <w:vAlign w:val="top"/>
          </w:tcPr>
          <w:p>
            <w:pPr>
              <w:pStyle w:val="655"/>
              <w:adjustRightInd w:val="0"/>
              <w:snapToGrid w:val="0"/>
              <w:spacing w:line="240" w:lineRule="auto"/>
              <w:ind w:firstLine="0" w:firstLineChars="0"/>
              <w:jc w:val="left"/>
              <w:rPr>
                <w:rFonts w:hint="eastAsia"/>
                <w:color w:val="auto"/>
                <w:sz w:val="21"/>
                <w:szCs w:val="21"/>
              </w:rPr>
            </w:pPr>
          </w:p>
        </w:tc>
        <w:tc>
          <w:tcPr>
            <w:tcW w:w="1666" w:type="dxa"/>
            <w:noWrap w:val="0"/>
            <w:vAlign w:val="center"/>
          </w:tcPr>
          <w:p>
            <w:pPr>
              <w:spacing w:line="240" w:lineRule="auto"/>
              <w:jc w:val="center"/>
              <w:rPr>
                <w:rFonts w:ascii="宋体" w:hAnsi="宋体"/>
                <w:color w:val="auto"/>
                <w:sz w:val="21"/>
                <w:szCs w:val="21"/>
              </w:rPr>
            </w:pPr>
            <w:r>
              <w:rPr>
                <w:rFonts w:ascii="宋体" w:hAnsi="宋体"/>
                <w:color w:val="auto"/>
                <w:sz w:val="21"/>
                <w:szCs w:val="21"/>
              </w:rPr>
              <w:t>√</w:t>
            </w:r>
          </w:p>
        </w:tc>
        <w:tc>
          <w:tcPr>
            <w:tcW w:w="1001" w:type="dxa"/>
            <w:noWrap w:val="0"/>
            <w:vAlign w:val="top"/>
          </w:tcPr>
          <w:p>
            <w:pPr>
              <w:spacing w:line="240" w:lineRule="auto"/>
              <w:jc w:val="center"/>
              <w:rPr>
                <w:rFonts w:ascii="宋体" w:hAnsi="宋体"/>
                <w:color w:val="auto"/>
                <w:sz w:val="21"/>
                <w:szCs w:val="21"/>
              </w:rPr>
            </w:pPr>
          </w:p>
        </w:tc>
        <w:tc>
          <w:tcPr>
            <w:tcW w:w="1180" w:type="dxa"/>
            <w:noWrap w:val="0"/>
            <w:vAlign w:val="center"/>
          </w:tcPr>
          <w:p>
            <w:pPr>
              <w:spacing w:line="240" w:lineRule="auto"/>
              <w:jc w:val="center"/>
              <w:rPr>
                <w:rFonts w:ascii="宋体" w:hAnsi="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jc w:val="center"/>
        </w:trPr>
        <w:tc>
          <w:tcPr>
            <w:tcW w:w="3581" w:type="dxa"/>
            <w:gridSpan w:val="2"/>
            <w:noWrap w:val="0"/>
            <w:vAlign w:val="center"/>
          </w:tcPr>
          <w:p>
            <w:pPr>
              <w:spacing w:line="240" w:lineRule="auto"/>
              <w:jc w:val="center"/>
              <w:rPr>
                <w:rFonts w:hint="eastAsia"/>
                <w:color w:val="auto"/>
                <w:sz w:val="21"/>
                <w:szCs w:val="21"/>
              </w:rPr>
            </w:pPr>
            <w:r>
              <w:rPr>
                <w:rFonts w:hint="eastAsia"/>
                <w:color w:val="auto"/>
                <w:sz w:val="21"/>
                <w:szCs w:val="21"/>
              </w:rPr>
              <w:t>消防单元</w:t>
            </w:r>
          </w:p>
        </w:tc>
        <w:tc>
          <w:tcPr>
            <w:tcW w:w="1121" w:type="dxa"/>
            <w:noWrap w:val="0"/>
            <w:vAlign w:val="center"/>
          </w:tcPr>
          <w:p>
            <w:pPr>
              <w:pStyle w:val="655"/>
              <w:adjustRightInd w:val="0"/>
              <w:snapToGrid w:val="0"/>
              <w:spacing w:line="240" w:lineRule="auto"/>
              <w:ind w:firstLine="0" w:firstLineChars="0"/>
              <w:jc w:val="center"/>
              <w:rPr>
                <w:rFonts w:hint="eastAsia"/>
                <w:color w:val="auto"/>
                <w:sz w:val="21"/>
                <w:szCs w:val="21"/>
              </w:rPr>
            </w:pPr>
            <w:r>
              <w:rPr>
                <w:color w:val="auto"/>
                <w:sz w:val="21"/>
                <w:szCs w:val="21"/>
              </w:rPr>
              <w:t>√</w:t>
            </w:r>
          </w:p>
        </w:tc>
        <w:tc>
          <w:tcPr>
            <w:tcW w:w="1666" w:type="dxa"/>
            <w:noWrap w:val="0"/>
            <w:vAlign w:val="center"/>
          </w:tcPr>
          <w:p>
            <w:pPr>
              <w:spacing w:line="240" w:lineRule="auto"/>
              <w:jc w:val="center"/>
              <w:rPr>
                <w:rFonts w:ascii="宋体" w:hAnsi="宋体"/>
                <w:color w:val="auto"/>
                <w:sz w:val="21"/>
                <w:szCs w:val="21"/>
              </w:rPr>
            </w:pPr>
          </w:p>
        </w:tc>
        <w:tc>
          <w:tcPr>
            <w:tcW w:w="1001" w:type="dxa"/>
            <w:noWrap w:val="0"/>
            <w:vAlign w:val="top"/>
          </w:tcPr>
          <w:p>
            <w:pPr>
              <w:spacing w:line="240" w:lineRule="auto"/>
              <w:jc w:val="center"/>
              <w:rPr>
                <w:rFonts w:ascii="宋体" w:hAnsi="宋体"/>
                <w:color w:val="auto"/>
                <w:sz w:val="21"/>
                <w:szCs w:val="21"/>
              </w:rPr>
            </w:pPr>
          </w:p>
        </w:tc>
        <w:tc>
          <w:tcPr>
            <w:tcW w:w="1180" w:type="dxa"/>
            <w:noWrap w:val="0"/>
            <w:vAlign w:val="center"/>
          </w:tcPr>
          <w:p>
            <w:pPr>
              <w:spacing w:line="240" w:lineRule="auto"/>
              <w:jc w:val="center"/>
              <w:rPr>
                <w:rFonts w:ascii="宋体" w:hAnsi="宋体"/>
                <w:color w:val="auto"/>
                <w:sz w:val="21"/>
                <w:szCs w:val="21"/>
              </w:rPr>
            </w:pPr>
          </w:p>
        </w:tc>
      </w:tr>
    </w:tbl>
    <w:p>
      <w:pPr>
        <w:pStyle w:val="3"/>
        <w:rPr>
          <w:rFonts w:hint="eastAsia"/>
          <w:color w:val="auto"/>
        </w:rPr>
      </w:pPr>
      <w:bookmarkStart w:id="446" w:name="_Toc91765282"/>
      <w:bookmarkStart w:id="447" w:name="_Toc29823"/>
      <w:bookmarkStart w:id="448" w:name="_Toc31336"/>
      <w:bookmarkStart w:id="449" w:name="_Toc5737"/>
      <w:bookmarkStart w:id="450" w:name="_Toc1143"/>
      <w:bookmarkStart w:id="451" w:name="_Toc2279"/>
      <w:bookmarkStart w:id="452" w:name="_Toc380587606"/>
      <w:bookmarkStart w:id="453" w:name="_Toc53083862"/>
      <w:bookmarkStart w:id="454" w:name="_Toc3853"/>
      <w:r>
        <w:rPr>
          <w:rFonts w:hint="eastAsia"/>
          <w:color w:val="auto"/>
        </w:rPr>
        <w:t>5.2采用的安全评价方法理由及说明</w:t>
      </w:r>
      <w:bookmarkEnd w:id="446"/>
      <w:bookmarkEnd w:id="447"/>
      <w:bookmarkEnd w:id="448"/>
      <w:bookmarkEnd w:id="449"/>
      <w:bookmarkEnd w:id="450"/>
      <w:bookmarkEnd w:id="451"/>
      <w:bookmarkEnd w:id="452"/>
      <w:bookmarkEnd w:id="453"/>
      <w:bookmarkEnd w:id="454"/>
    </w:p>
    <w:p>
      <w:pPr>
        <w:spacing w:line="360" w:lineRule="auto"/>
        <w:ind w:firstLine="560" w:firstLineChars="200"/>
        <w:jc w:val="left"/>
        <w:rPr>
          <w:rFonts w:hint="eastAsia"/>
          <w:color w:val="auto"/>
          <w:sz w:val="28"/>
          <w:szCs w:val="28"/>
        </w:rPr>
      </w:pPr>
      <w:r>
        <w:rPr>
          <w:rFonts w:hint="eastAsia"/>
          <w:color w:val="auto"/>
          <w:sz w:val="28"/>
          <w:szCs w:val="28"/>
        </w:rPr>
        <w:t>本报告中各单元评价方法的选用，是在评价组认真分析并熟悉被评价系统、充分掌握了</w:t>
      </w:r>
      <w:r>
        <w:rPr>
          <w:rFonts w:hint="eastAsia" w:ascii="宋体" w:hAnsi="宋体"/>
          <w:color w:val="auto"/>
          <w:sz w:val="28"/>
          <w:szCs w:val="28"/>
        </w:rPr>
        <w:t>该</w:t>
      </w:r>
      <w:r>
        <w:rPr>
          <w:rFonts w:hint="eastAsia"/>
          <w:color w:val="auto"/>
          <w:sz w:val="28"/>
          <w:szCs w:val="28"/>
        </w:rPr>
        <w:t>项目所需资料的基础上，根据各种安全评价方法的优缺点、适用条件和范围进行的。</w:t>
      </w:r>
    </w:p>
    <w:p>
      <w:pPr>
        <w:spacing w:line="360" w:lineRule="auto"/>
        <w:ind w:firstLine="560" w:firstLineChars="200"/>
        <w:jc w:val="left"/>
        <w:rPr>
          <w:rFonts w:hint="eastAsia"/>
          <w:color w:val="auto"/>
          <w:sz w:val="28"/>
          <w:szCs w:val="28"/>
          <w:lang w:eastAsia="zh-CN"/>
        </w:rPr>
      </w:pPr>
      <w:r>
        <w:rPr>
          <w:rFonts w:hint="eastAsia"/>
          <w:color w:val="auto"/>
          <w:sz w:val="28"/>
          <w:szCs w:val="28"/>
        </w:rPr>
        <w:t>为提高评价结果的可靠性，我们对工艺装置单元、公辅设施单元分别采用多种评价方法，从不同角度、不同方面，全面检查、重点突出。这些评价方法，互相补充、分析综合和互相验证</w:t>
      </w:r>
      <w:r>
        <w:rPr>
          <w:rFonts w:hint="eastAsia"/>
          <w:color w:val="auto"/>
          <w:sz w:val="28"/>
          <w:szCs w:val="28"/>
          <w:lang w:eastAsia="zh-CN"/>
        </w:rPr>
        <w:t>。</w:t>
      </w:r>
    </w:p>
    <w:p>
      <w:pPr>
        <w:ind w:firstLine="562" w:firstLineChars="200"/>
        <w:rPr>
          <w:rFonts w:hint="eastAsia"/>
          <w:b/>
          <w:bCs/>
          <w:color w:val="auto"/>
          <w:lang w:eastAsia="zh-CN"/>
        </w:rPr>
      </w:pPr>
      <w:r>
        <w:rPr>
          <w:rFonts w:hint="eastAsia"/>
          <w:b/>
          <w:bCs/>
          <w:color w:val="auto"/>
          <w:lang w:eastAsia="zh-CN"/>
        </w:rPr>
        <w:t>1.安全检查表法</w:t>
      </w:r>
    </w:p>
    <w:p>
      <w:pPr>
        <w:ind w:firstLine="560" w:firstLineChars="200"/>
        <w:rPr>
          <w:rFonts w:hint="eastAsia"/>
          <w:color w:val="auto"/>
          <w:lang w:eastAsia="zh-CN"/>
        </w:rPr>
      </w:pPr>
      <w:r>
        <w:rPr>
          <w:rFonts w:hint="eastAsia"/>
          <w:color w:val="auto"/>
          <w:lang w:eastAsia="zh-CN"/>
        </w:rPr>
        <w:t>可以较全面的检查和评价该项目评价单元的危险因素和薄弱环节；检查出《可研》中没有涉及到的安全措施。因此，本报告中选址与周边环境、平面布置与建构筑物单元、消防单元采用安全检查表法。</w:t>
      </w:r>
    </w:p>
    <w:p>
      <w:pPr>
        <w:ind w:firstLine="562" w:firstLineChars="200"/>
        <w:rPr>
          <w:rFonts w:hint="eastAsia"/>
          <w:b/>
          <w:bCs/>
          <w:color w:val="auto"/>
          <w:lang w:eastAsia="zh-CN"/>
        </w:rPr>
      </w:pPr>
      <w:r>
        <w:rPr>
          <w:rFonts w:hint="eastAsia"/>
          <w:b/>
          <w:bCs/>
          <w:color w:val="auto"/>
          <w:lang w:eastAsia="zh-CN"/>
        </w:rPr>
        <w:t>2.预先危险分析法</w:t>
      </w:r>
    </w:p>
    <w:p>
      <w:pPr>
        <w:ind w:firstLine="560" w:firstLineChars="200"/>
        <w:rPr>
          <w:rFonts w:hint="eastAsia"/>
          <w:color w:val="auto"/>
          <w:lang w:eastAsia="zh-CN"/>
        </w:rPr>
      </w:pPr>
      <w:r>
        <w:rPr>
          <w:rFonts w:hint="eastAsia"/>
          <w:color w:val="auto"/>
          <w:lang w:eastAsia="zh-CN"/>
        </w:rPr>
        <w:t>能够在该项目具体设计开始之前，识别可能的危险，用较少的费用和时间就能改正；从一开始就能消除、减小或控制主要的危险；优化新的设计方案。进行预先危险分析，可以充分了解装置可能出现的事故危害，找出消除或减轻事故危险的控制措施。对每一种可能发生的事故做到提前防范，严密控制，最大限度地降低事故的严重度和发生的概率。因此，本报告对生产装置单元、公用工程及辅助设施单元、储运单元、特种设备单元选择预先危险分析分析法进行评价。</w:t>
      </w:r>
    </w:p>
    <w:p>
      <w:pPr>
        <w:ind w:firstLine="562" w:firstLineChars="200"/>
        <w:rPr>
          <w:rFonts w:hint="eastAsia"/>
          <w:b/>
          <w:bCs/>
          <w:color w:val="auto"/>
          <w:lang w:eastAsia="zh-CN"/>
        </w:rPr>
      </w:pPr>
      <w:r>
        <w:rPr>
          <w:rFonts w:hint="eastAsia"/>
          <w:b/>
          <w:bCs/>
          <w:color w:val="auto"/>
          <w:lang w:eastAsia="zh-CN"/>
        </w:rPr>
        <w:t>3.危险度评价法</w:t>
      </w:r>
    </w:p>
    <w:p>
      <w:pPr>
        <w:ind w:firstLine="560" w:firstLineChars="200"/>
        <w:rPr>
          <w:rFonts w:hint="eastAsia"/>
          <w:color w:val="auto"/>
          <w:lang w:eastAsia="zh-CN"/>
        </w:rPr>
      </w:pPr>
      <w:r>
        <w:rPr>
          <w:rFonts w:hint="eastAsia"/>
          <w:color w:val="auto"/>
          <w:lang w:eastAsia="zh-CN"/>
        </w:rPr>
        <w:t>危险度评价法是对建设工程或装置各单元和设备的危险度进行分级的</w:t>
      </w:r>
    </w:p>
    <w:p>
      <w:pPr>
        <w:rPr>
          <w:rFonts w:hint="eastAsia"/>
          <w:color w:val="auto"/>
          <w:lang w:eastAsia="zh-CN"/>
        </w:rPr>
      </w:pPr>
      <w:r>
        <w:rPr>
          <w:rFonts w:hint="eastAsia"/>
          <w:color w:val="auto"/>
          <w:lang w:eastAsia="zh-CN"/>
        </w:rPr>
        <w:t>安全评价方法，是随着我国安全工作的发展从日本引进并经简化的评价方法。</w:t>
      </w:r>
    </w:p>
    <w:p>
      <w:pPr>
        <w:ind w:firstLine="560" w:firstLineChars="200"/>
        <w:rPr>
          <w:rFonts w:hint="eastAsia"/>
          <w:color w:val="auto"/>
          <w:lang w:eastAsia="zh-CN"/>
        </w:rPr>
      </w:pPr>
      <w:r>
        <w:rPr>
          <w:rFonts w:hint="eastAsia"/>
          <w:color w:val="auto"/>
          <w:lang w:eastAsia="zh-CN"/>
        </w:rPr>
        <w:t>该方法主要是通过评价、分析装置或单元的“介质”、“容量”、“温度”、“压力”、“操作”等 5 个参数而对装置或单元进行危险度分级的，进而根据装置或单元危险程度而采取相应的安全对策措施。其危险度分别按 A=10 分。B=5分，C=2 分，D=0 分赋值计算，由累计分值确定单元危险度。因此，本报告对生产装置单元选择危险度分析法进行评价。</w:t>
      </w:r>
    </w:p>
    <w:p>
      <w:pPr>
        <w:ind w:firstLine="562" w:firstLineChars="200"/>
        <w:rPr>
          <w:rFonts w:hint="eastAsia"/>
          <w:b/>
          <w:bCs/>
          <w:color w:val="auto"/>
          <w:lang w:eastAsia="zh-CN"/>
        </w:rPr>
      </w:pPr>
      <w:r>
        <w:rPr>
          <w:rFonts w:hint="eastAsia"/>
          <w:b/>
          <w:bCs/>
          <w:color w:val="auto"/>
          <w:lang w:eastAsia="zh-CN"/>
        </w:rPr>
        <w:t>4.重大事故模拟分析法</w:t>
      </w:r>
    </w:p>
    <w:p>
      <w:pPr>
        <w:ind w:firstLine="560" w:firstLineChars="200"/>
        <w:rPr>
          <w:rFonts w:hint="eastAsia"/>
          <w:color w:val="auto"/>
          <w:lang w:eastAsia="zh-CN"/>
        </w:rPr>
      </w:pPr>
      <w:r>
        <w:rPr>
          <w:rFonts w:hint="eastAsia"/>
          <w:color w:val="auto"/>
          <w:lang w:eastAsia="zh-CN"/>
        </w:rPr>
        <w:t>重大事故模拟分析法，主要在于定量描述一个可能发生的重大事故对工厂、周边等造成危险、危害的严重程度。因此，本报告对主要生产设备、罐区储罐泄漏等重大事故模拟分析法进行评价</w:t>
      </w:r>
    </w:p>
    <w:p>
      <w:pPr>
        <w:pStyle w:val="3"/>
        <w:rPr>
          <w:rFonts w:hint="default" w:ascii="宋体" w:hAnsi="宋体" w:eastAsia="宋体"/>
          <w:b/>
          <w:color w:val="auto"/>
          <w:sz w:val="28"/>
          <w:szCs w:val="28"/>
          <w:lang w:val="en-US" w:eastAsia="zh-CN"/>
        </w:rPr>
      </w:pPr>
      <w:bookmarkStart w:id="455" w:name="_Toc15812"/>
      <w:bookmarkStart w:id="456" w:name="_Toc29357"/>
      <w:bookmarkStart w:id="457" w:name="_Toc10299"/>
      <w:bookmarkStart w:id="458" w:name="_Toc16729"/>
      <w:bookmarkStart w:id="459" w:name="_Toc25039"/>
      <w:bookmarkStart w:id="460" w:name="_Toc9735"/>
      <w:r>
        <w:rPr>
          <w:rFonts w:hint="eastAsia" w:ascii="宋体" w:hAnsi="宋体"/>
          <w:b/>
          <w:color w:val="auto"/>
          <w:sz w:val="28"/>
          <w:szCs w:val="28"/>
          <w:lang w:val="en-US" w:eastAsia="zh-CN"/>
        </w:rPr>
        <w:t>5.3评价方法简介</w:t>
      </w:r>
      <w:bookmarkEnd w:id="455"/>
      <w:bookmarkEnd w:id="456"/>
      <w:bookmarkEnd w:id="457"/>
      <w:bookmarkEnd w:id="458"/>
      <w:bookmarkEnd w:id="459"/>
      <w:bookmarkEnd w:id="460"/>
    </w:p>
    <w:p>
      <w:pPr>
        <w:spacing w:line="600" w:lineRule="exact"/>
        <w:ind w:firstLine="562" w:firstLineChars="200"/>
        <w:jc w:val="left"/>
        <w:rPr>
          <w:rFonts w:hint="eastAsia" w:ascii="宋体" w:hAnsi="宋体" w:eastAsia="宋体"/>
          <w:b/>
          <w:color w:val="auto"/>
          <w:sz w:val="28"/>
          <w:szCs w:val="28"/>
          <w:lang w:eastAsia="zh-CN"/>
        </w:rPr>
      </w:pPr>
      <w:r>
        <w:rPr>
          <w:rFonts w:hint="eastAsia" w:ascii="宋体" w:hAnsi="宋体"/>
          <w:b/>
          <w:color w:val="auto"/>
          <w:sz w:val="28"/>
          <w:szCs w:val="28"/>
        </w:rPr>
        <w:t>1.安全检查表法</w:t>
      </w:r>
      <w:r>
        <w:rPr>
          <w:rFonts w:hint="eastAsia" w:ascii="宋体" w:hAnsi="宋体"/>
          <w:b/>
          <w:color w:val="auto"/>
          <w:sz w:val="28"/>
          <w:szCs w:val="28"/>
          <w:lang w:eastAsia="zh-CN"/>
        </w:rPr>
        <w:t>（</w:t>
      </w:r>
      <w:r>
        <w:rPr>
          <w:rFonts w:hint="eastAsia" w:ascii="宋体" w:hAnsi="宋体"/>
          <w:b/>
          <w:color w:val="auto"/>
          <w:sz w:val="28"/>
          <w:szCs w:val="28"/>
          <w:lang w:val="en-US" w:eastAsia="zh-CN"/>
        </w:rPr>
        <w:t>SCL</w:t>
      </w:r>
      <w:r>
        <w:rPr>
          <w:rFonts w:hint="eastAsia" w:ascii="宋体" w:hAnsi="宋体"/>
          <w:b/>
          <w:color w:val="auto"/>
          <w:sz w:val="28"/>
          <w:szCs w:val="28"/>
          <w:lang w:eastAsia="zh-CN"/>
        </w:rPr>
        <w:t>）</w:t>
      </w:r>
    </w:p>
    <w:p>
      <w:pPr>
        <w:pStyle w:val="655"/>
        <w:spacing w:line="600" w:lineRule="exact"/>
        <w:ind w:firstLine="562"/>
        <w:jc w:val="left"/>
        <w:rPr>
          <w:rFonts w:hint="eastAsia"/>
          <w:color w:val="auto"/>
        </w:rPr>
      </w:pPr>
      <w:r>
        <w:rPr>
          <w:rFonts w:hint="eastAsia"/>
          <w:color w:val="auto"/>
        </w:rPr>
        <w:t>安全检查表法是系统安全工程的一种最基础、最简便、广泛应用的系统安全评价方法。安全检查表不仅用于查找系统中各种潜在的事故隐患，还用于进行系统安全评价。安全检查表是由一些对工艺过程、机械设备和作业情况熟悉并富有安全技术、安全管理经验的人员，事先对分析对象进行详尽分析和充分讨论，列出检查单元和部位、检查项目、检查要求等内容的表格（清单）。</w:t>
      </w:r>
    </w:p>
    <w:p>
      <w:pPr>
        <w:pStyle w:val="655"/>
        <w:spacing w:line="600" w:lineRule="exact"/>
        <w:ind w:firstLine="562"/>
        <w:jc w:val="left"/>
        <w:rPr>
          <w:rFonts w:hint="eastAsia"/>
          <w:color w:val="auto"/>
        </w:rPr>
      </w:pPr>
      <w:r>
        <w:rPr>
          <w:rFonts w:hint="eastAsia"/>
          <w:color w:val="auto"/>
        </w:rPr>
        <w:t>对系统进行评价时，对照安全检查表逐项检查，从而评价出系统的安全等级。当安全检查表用于设计、维修、环境、管理等方面查找缺陷或隐患时，可省略赋分、评级等内容和步骤。常见的安全检查表见表 5.3-1。</w:t>
      </w:r>
    </w:p>
    <w:p>
      <w:pPr>
        <w:pStyle w:val="53"/>
        <w:rPr>
          <w:rFonts w:hint="eastAsia"/>
          <w:color w:val="auto"/>
        </w:rPr>
      </w:pPr>
      <w:r>
        <w:rPr>
          <w:rFonts w:hint="eastAsia"/>
          <w:color w:val="auto"/>
        </w:rPr>
        <w:t>表 5.3-1 设备、设施安全检查表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3"/>
        <w:gridCol w:w="2006"/>
        <w:gridCol w:w="1838"/>
        <w:gridCol w:w="1800"/>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3" w:type="dxa"/>
            <w:vAlign w:val="center"/>
          </w:tcPr>
          <w:p>
            <w:pPr>
              <w:pStyle w:val="59"/>
              <w:spacing w:line="240" w:lineRule="auto"/>
              <w:jc w:val="center"/>
              <w:rPr>
                <w:rFonts w:hint="eastAsia"/>
                <w:color w:val="auto"/>
              </w:rPr>
            </w:pPr>
            <w:r>
              <w:rPr>
                <w:rFonts w:hint="eastAsia"/>
                <w:color w:val="auto"/>
                <w:lang w:val="en-US" w:eastAsia="zh-CN"/>
              </w:rPr>
              <w:t>序号</w:t>
            </w:r>
          </w:p>
        </w:tc>
        <w:tc>
          <w:tcPr>
            <w:tcW w:w="2006" w:type="dxa"/>
            <w:vAlign w:val="center"/>
          </w:tcPr>
          <w:p>
            <w:pPr>
              <w:pStyle w:val="59"/>
              <w:spacing w:line="240" w:lineRule="auto"/>
              <w:ind w:firstLine="0" w:firstLineChars="0"/>
              <w:jc w:val="center"/>
              <w:rPr>
                <w:rFonts w:hint="default"/>
                <w:color w:val="auto"/>
              </w:rPr>
            </w:pPr>
            <w:r>
              <w:rPr>
                <w:rFonts w:hint="eastAsia"/>
                <w:color w:val="auto"/>
                <w:lang w:val="en-US" w:eastAsia="zh-CN"/>
              </w:rPr>
              <w:t>检测项目和内容</w:t>
            </w:r>
          </w:p>
        </w:tc>
        <w:tc>
          <w:tcPr>
            <w:tcW w:w="1838" w:type="dxa"/>
            <w:vAlign w:val="center"/>
          </w:tcPr>
          <w:p>
            <w:pPr>
              <w:pStyle w:val="59"/>
              <w:spacing w:line="240" w:lineRule="auto"/>
              <w:jc w:val="center"/>
              <w:rPr>
                <w:rFonts w:hint="eastAsia"/>
                <w:color w:val="auto"/>
              </w:rPr>
            </w:pPr>
            <w:r>
              <w:rPr>
                <w:rFonts w:hint="eastAsia"/>
                <w:color w:val="auto"/>
                <w:lang w:val="en-US" w:eastAsia="zh-CN"/>
              </w:rPr>
              <w:t>检查结果</w:t>
            </w:r>
          </w:p>
        </w:tc>
        <w:tc>
          <w:tcPr>
            <w:tcW w:w="1800" w:type="dxa"/>
            <w:vAlign w:val="center"/>
          </w:tcPr>
          <w:p>
            <w:pPr>
              <w:pStyle w:val="59"/>
              <w:spacing w:line="240" w:lineRule="auto"/>
              <w:jc w:val="center"/>
              <w:rPr>
                <w:rFonts w:hint="eastAsia"/>
                <w:color w:val="auto"/>
              </w:rPr>
            </w:pPr>
            <w:r>
              <w:rPr>
                <w:rFonts w:hint="eastAsia"/>
                <w:color w:val="auto"/>
                <w:lang w:val="en-US" w:eastAsia="zh-CN"/>
              </w:rPr>
              <w:t>检查依据</w:t>
            </w:r>
          </w:p>
        </w:tc>
        <w:tc>
          <w:tcPr>
            <w:tcW w:w="2329" w:type="dxa"/>
            <w:vAlign w:val="center"/>
          </w:tcPr>
          <w:p>
            <w:pPr>
              <w:pStyle w:val="59"/>
              <w:spacing w:line="240" w:lineRule="auto"/>
              <w:jc w:val="center"/>
              <w:rPr>
                <w:rFonts w:hint="default"/>
                <w:color w:val="auto"/>
              </w:rPr>
            </w:pPr>
            <w:r>
              <w:rPr>
                <w:rFonts w:hint="eastAsia"/>
                <w:color w:val="auto"/>
                <w:lang w:val="en-US" w:eastAsia="zh-CN"/>
              </w:rPr>
              <w:t>检测记录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3" w:type="dxa"/>
            <w:vAlign w:val="center"/>
          </w:tcPr>
          <w:p>
            <w:pPr>
              <w:pStyle w:val="59"/>
              <w:spacing w:line="240" w:lineRule="auto"/>
              <w:jc w:val="center"/>
              <w:rPr>
                <w:rFonts w:hint="eastAsia"/>
                <w:color w:val="auto"/>
              </w:rPr>
            </w:pPr>
          </w:p>
        </w:tc>
        <w:tc>
          <w:tcPr>
            <w:tcW w:w="2006" w:type="dxa"/>
            <w:vAlign w:val="center"/>
          </w:tcPr>
          <w:p>
            <w:pPr>
              <w:pStyle w:val="59"/>
              <w:spacing w:line="240" w:lineRule="auto"/>
              <w:jc w:val="center"/>
              <w:rPr>
                <w:rFonts w:hint="eastAsia"/>
                <w:color w:val="auto"/>
              </w:rPr>
            </w:pPr>
          </w:p>
        </w:tc>
        <w:tc>
          <w:tcPr>
            <w:tcW w:w="1838" w:type="dxa"/>
            <w:vAlign w:val="center"/>
          </w:tcPr>
          <w:p>
            <w:pPr>
              <w:pStyle w:val="59"/>
              <w:spacing w:line="240" w:lineRule="auto"/>
              <w:jc w:val="center"/>
              <w:rPr>
                <w:rFonts w:hint="eastAsia"/>
                <w:color w:val="auto"/>
              </w:rPr>
            </w:pPr>
          </w:p>
        </w:tc>
        <w:tc>
          <w:tcPr>
            <w:tcW w:w="1800" w:type="dxa"/>
            <w:vAlign w:val="center"/>
          </w:tcPr>
          <w:p>
            <w:pPr>
              <w:pStyle w:val="59"/>
              <w:spacing w:line="240" w:lineRule="auto"/>
              <w:jc w:val="center"/>
              <w:rPr>
                <w:rFonts w:hint="eastAsia"/>
                <w:color w:val="auto"/>
              </w:rPr>
            </w:pPr>
          </w:p>
        </w:tc>
        <w:tc>
          <w:tcPr>
            <w:tcW w:w="2329" w:type="dxa"/>
            <w:vAlign w:val="center"/>
          </w:tcPr>
          <w:p>
            <w:pPr>
              <w:pStyle w:val="59"/>
              <w:spacing w:line="240" w:lineRule="auto"/>
              <w:jc w:val="center"/>
              <w:rPr>
                <w:rFonts w:hint="eastAsia"/>
                <w:color w:val="auto"/>
              </w:rPr>
            </w:pPr>
          </w:p>
        </w:tc>
      </w:tr>
    </w:tbl>
    <w:p>
      <w:pPr>
        <w:pStyle w:val="655"/>
        <w:spacing w:line="600" w:lineRule="exact"/>
        <w:ind w:firstLine="562"/>
        <w:jc w:val="left"/>
        <w:rPr>
          <w:rFonts w:hint="default" w:eastAsia="宋体"/>
          <w:b/>
          <w:color w:val="auto"/>
          <w:lang w:val="en-US" w:eastAsia="zh-CN"/>
        </w:rPr>
      </w:pPr>
      <w:r>
        <w:rPr>
          <w:rFonts w:hint="eastAsia"/>
          <w:b/>
          <w:color w:val="auto"/>
        </w:rPr>
        <w:t>2.预先危险分析法</w:t>
      </w:r>
      <w:r>
        <w:rPr>
          <w:rFonts w:hint="eastAsia"/>
          <w:b/>
          <w:color w:val="auto"/>
          <w:lang w:val="en-US" w:eastAsia="zh-CN"/>
        </w:rPr>
        <w:t>(PHA)</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预先危险分析分析（Preliminary Hazard Analysis，简称 PHA）是在进行某项工程活动（包括设计、施工、生产、维修等）之前，对系统存在的各种危险因素（类别、分布）、出现条件和事故可能造成的后果进行宏观、概略分析的系统安全分析方法。其目的是早期发现系统的潜在危险因素，确定系统的危险性等级，提出相应的防范措施，防止这些危险因素发展成为事故，避免考虑不周所造成的损失。</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分析步骤如下：</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1）熟悉对象系统。</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2）分析危险、有害因素和诱导因素。</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3）推测可能导致的事故类型和危险、危害程度。</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4）确定危险、有害因素后果的危险等级。</w:t>
      </w:r>
    </w:p>
    <w:p>
      <w:pPr>
        <w:spacing w:line="600" w:lineRule="exact"/>
        <w:ind w:firstLine="560" w:firstLineChars="200"/>
        <w:jc w:val="left"/>
        <w:rPr>
          <w:rFonts w:hint="eastAsia" w:ascii="宋体" w:hAnsi="宋体"/>
          <w:color w:val="auto"/>
          <w:sz w:val="28"/>
          <w:szCs w:val="28"/>
        </w:rPr>
      </w:pPr>
      <w:r>
        <w:rPr>
          <w:rFonts w:hint="eastAsia" w:ascii="宋体" w:hAnsi="宋体"/>
          <w:color w:val="auto"/>
          <w:sz w:val="28"/>
          <w:szCs w:val="28"/>
        </w:rPr>
        <w:t>5）制定相应安全措施。</w:t>
      </w:r>
    </w:p>
    <w:p>
      <w:pPr>
        <w:spacing w:line="600" w:lineRule="exact"/>
        <w:ind w:firstLine="560" w:firstLineChars="200"/>
        <w:jc w:val="left"/>
        <w:rPr>
          <w:rFonts w:hint="eastAsia" w:ascii="宋体" w:hAnsi="宋体"/>
          <w:color w:val="auto"/>
          <w:sz w:val="28"/>
          <w:szCs w:val="28"/>
          <w:lang w:val="en-US" w:eastAsia="zh-CN"/>
        </w:rPr>
      </w:pPr>
      <w:r>
        <w:rPr>
          <w:rFonts w:hint="eastAsia" w:ascii="宋体" w:hAnsi="宋体"/>
          <w:color w:val="auto"/>
          <w:sz w:val="28"/>
          <w:szCs w:val="28"/>
        </w:rPr>
        <w:t>常用的预先危险分析分析表如表 5.3-2 所示。危险性等级划分见表 5.3-</w:t>
      </w:r>
      <w:r>
        <w:rPr>
          <w:rFonts w:hint="eastAsia" w:ascii="宋体" w:hAnsi="宋体"/>
          <w:color w:val="auto"/>
          <w:sz w:val="28"/>
          <w:szCs w:val="28"/>
          <w:lang w:val="en-US" w:eastAsia="zh-CN"/>
        </w:rPr>
        <w:t>3</w:t>
      </w:r>
    </w:p>
    <w:p>
      <w:pPr>
        <w:pStyle w:val="53"/>
        <w:rPr>
          <w:rFonts w:hint="eastAsia"/>
          <w:color w:val="auto"/>
          <w:lang w:val="en-US" w:eastAsia="zh-CN"/>
        </w:rPr>
      </w:pPr>
      <w:r>
        <w:rPr>
          <w:rFonts w:hint="eastAsia"/>
          <w:color w:val="auto"/>
          <w:lang w:val="en-US" w:eastAsia="zh-CN"/>
        </w:rPr>
        <w:t>表 5.3-2 预先危险分析分析表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2"/>
        <w:gridCol w:w="1393"/>
        <w:gridCol w:w="1327"/>
        <w:gridCol w:w="2113"/>
        <w:gridCol w:w="1340"/>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42" w:type="dxa"/>
            <w:vAlign w:val="center"/>
          </w:tcPr>
          <w:p>
            <w:pPr>
              <w:pStyle w:val="59"/>
              <w:spacing w:line="240" w:lineRule="auto"/>
              <w:jc w:val="center"/>
              <w:rPr>
                <w:rFonts w:hint="default"/>
                <w:color w:val="auto"/>
                <w:lang w:val="en-US" w:eastAsia="zh-CN"/>
              </w:rPr>
            </w:pPr>
            <w:r>
              <w:rPr>
                <w:rFonts w:hint="eastAsia"/>
                <w:color w:val="auto"/>
                <w:lang w:val="en-US" w:eastAsia="zh-CN"/>
              </w:rPr>
              <w:t>事故</w:t>
            </w:r>
          </w:p>
        </w:tc>
        <w:tc>
          <w:tcPr>
            <w:tcW w:w="1393" w:type="dxa"/>
            <w:vAlign w:val="center"/>
          </w:tcPr>
          <w:p>
            <w:pPr>
              <w:pStyle w:val="59"/>
              <w:spacing w:line="240" w:lineRule="auto"/>
              <w:jc w:val="center"/>
              <w:rPr>
                <w:rFonts w:hint="default"/>
                <w:color w:val="auto"/>
                <w:lang w:val="en-US" w:eastAsia="zh-CN"/>
              </w:rPr>
            </w:pPr>
            <w:r>
              <w:rPr>
                <w:rFonts w:hint="eastAsia"/>
                <w:color w:val="auto"/>
                <w:lang w:val="en-US" w:eastAsia="zh-CN"/>
              </w:rPr>
              <w:t>阶段</w:t>
            </w:r>
          </w:p>
        </w:tc>
        <w:tc>
          <w:tcPr>
            <w:tcW w:w="1327" w:type="dxa"/>
            <w:vAlign w:val="center"/>
          </w:tcPr>
          <w:p>
            <w:pPr>
              <w:pStyle w:val="59"/>
              <w:spacing w:line="240" w:lineRule="auto"/>
              <w:jc w:val="center"/>
              <w:rPr>
                <w:rFonts w:hint="default"/>
                <w:color w:val="auto"/>
                <w:lang w:val="en-US" w:eastAsia="zh-CN"/>
              </w:rPr>
            </w:pPr>
            <w:r>
              <w:rPr>
                <w:rFonts w:hint="eastAsia"/>
                <w:color w:val="auto"/>
                <w:lang w:val="en-US" w:eastAsia="zh-CN"/>
              </w:rPr>
              <w:t>触发事件</w:t>
            </w:r>
          </w:p>
        </w:tc>
        <w:tc>
          <w:tcPr>
            <w:tcW w:w="2113" w:type="dxa"/>
            <w:vAlign w:val="center"/>
          </w:tcPr>
          <w:p>
            <w:pPr>
              <w:pStyle w:val="59"/>
              <w:spacing w:line="240" w:lineRule="auto"/>
              <w:jc w:val="center"/>
              <w:rPr>
                <w:rFonts w:hint="default"/>
                <w:color w:val="auto"/>
                <w:lang w:val="en-US" w:eastAsia="zh-CN"/>
              </w:rPr>
            </w:pPr>
            <w:r>
              <w:rPr>
                <w:rFonts w:hint="eastAsia"/>
                <w:color w:val="auto"/>
                <w:lang w:val="en-US" w:eastAsia="zh-CN"/>
              </w:rPr>
              <w:t>事故后果</w:t>
            </w:r>
          </w:p>
        </w:tc>
        <w:tc>
          <w:tcPr>
            <w:tcW w:w="1340" w:type="dxa"/>
            <w:vAlign w:val="center"/>
          </w:tcPr>
          <w:p>
            <w:pPr>
              <w:pStyle w:val="59"/>
              <w:spacing w:line="240" w:lineRule="auto"/>
              <w:jc w:val="center"/>
              <w:rPr>
                <w:rFonts w:hint="default"/>
                <w:color w:val="auto"/>
                <w:lang w:val="en-US" w:eastAsia="zh-CN"/>
              </w:rPr>
            </w:pPr>
            <w:r>
              <w:rPr>
                <w:rFonts w:hint="eastAsia"/>
                <w:color w:val="auto"/>
                <w:lang w:val="en-US" w:eastAsia="zh-CN"/>
              </w:rPr>
              <w:t>危险等级</w:t>
            </w:r>
          </w:p>
        </w:tc>
        <w:tc>
          <w:tcPr>
            <w:tcW w:w="1543" w:type="dxa"/>
            <w:vAlign w:val="center"/>
          </w:tcPr>
          <w:p>
            <w:pPr>
              <w:pStyle w:val="59"/>
              <w:spacing w:line="240" w:lineRule="auto"/>
              <w:jc w:val="center"/>
              <w:rPr>
                <w:rFonts w:hint="default"/>
                <w:color w:val="auto"/>
                <w:lang w:val="en-US" w:eastAsia="zh-CN"/>
              </w:rPr>
            </w:pPr>
            <w:r>
              <w:rPr>
                <w:rFonts w:hint="eastAsia"/>
                <w:color w:val="auto"/>
                <w:lang w:val="en-US" w:eastAsia="zh-CN"/>
              </w:rPr>
              <w:t>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542" w:type="dxa"/>
            <w:vAlign w:val="center"/>
          </w:tcPr>
          <w:p>
            <w:pPr>
              <w:pStyle w:val="59"/>
              <w:spacing w:line="240" w:lineRule="auto"/>
              <w:jc w:val="center"/>
              <w:rPr>
                <w:rFonts w:hint="eastAsia"/>
                <w:color w:val="auto"/>
                <w:lang w:val="en-US" w:eastAsia="zh-CN"/>
              </w:rPr>
            </w:pPr>
          </w:p>
        </w:tc>
        <w:tc>
          <w:tcPr>
            <w:tcW w:w="1393" w:type="dxa"/>
            <w:vAlign w:val="center"/>
          </w:tcPr>
          <w:p>
            <w:pPr>
              <w:pStyle w:val="59"/>
              <w:spacing w:line="240" w:lineRule="auto"/>
              <w:jc w:val="center"/>
              <w:rPr>
                <w:rFonts w:hint="eastAsia"/>
                <w:color w:val="auto"/>
                <w:lang w:val="en-US" w:eastAsia="zh-CN"/>
              </w:rPr>
            </w:pPr>
          </w:p>
        </w:tc>
        <w:tc>
          <w:tcPr>
            <w:tcW w:w="1327" w:type="dxa"/>
            <w:vAlign w:val="center"/>
          </w:tcPr>
          <w:p>
            <w:pPr>
              <w:pStyle w:val="59"/>
              <w:spacing w:line="240" w:lineRule="auto"/>
              <w:jc w:val="center"/>
              <w:rPr>
                <w:rFonts w:hint="eastAsia"/>
                <w:color w:val="auto"/>
                <w:lang w:val="en-US" w:eastAsia="zh-CN"/>
              </w:rPr>
            </w:pPr>
          </w:p>
        </w:tc>
        <w:tc>
          <w:tcPr>
            <w:tcW w:w="2113" w:type="dxa"/>
            <w:vAlign w:val="center"/>
          </w:tcPr>
          <w:p>
            <w:pPr>
              <w:pStyle w:val="59"/>
              <w:spacing w:line="240" w:lineRule="auto"/>
              <w:jc w:val="center"/>
              <w:rPr>
                <w:rFonts w:hint="eastAsia"/>
                <w:color w:val="auto"/>
                <w:lang w:val="en-US" w:eastAsia="zh-CN"/>
              </w:rPr>
            </w:pPr>
          </w:p>
        </w:tc>
        <w:tc>
          <w:tcPr>
            <w:tcW w:w="1340" w:type="dxa"/>
            <w:vAlign w:val="center"/>
          </w:tcPr>
          <w:p>
            <w:pPr>
              <w:pStyle w:val="59"/>
              <w:spacing w:line="240" w:lineRule="auto"/>
              <w:jc w:val="center"/>
              <w:rPr>
                <w:rFonts w:hint="eastAsia"/>
                <w:color w:val="auto"/>
                <w:lang w:val="en-US" w:eastAsia="zh-CN"/>
              </w:rPr>
            </w:pPr>
          </w:p>
        </w:tc>
        <w:tc>
          <w:tcPr>
            <w:tcW w:w="1543" w:type="dxa"/>
            <w:vAlign w:val="center"/>
          </w:tcPr>
          <w:p>
            <w:pPr>
              <w:pStyle w:val="59"/>
              <w:spacing w:line="240" w:lineRule="auto"/>
              <w:jc w:val="center"/>
              <w:rPr>
                <w:rFonts w:hint="eastAsia"/>
                <w:color w:val="auto"/>
                <w:lang w:val="en-US" w:eastAsia="zh-CN"/>
              </w:rPr>
            </w:pPr>
          </w:p>
        </w:tc>
      </w:tr>
    </w:tbl>
    <w:p>
      <w:pPr>
        <w:pStyle w:val="53"/>
        <w:rPr>
          <w:rFonts w:hint="eastAsia"/>
          <w:color w:val="auto"/>
          <w:lang w:val="en-US" w:eastAsia="zh-CN"/>
        </w:rPr>
      </w:pPr>
      <w:r>
        <w:rPr>
          <w:rFonts w:hint="eastAsia"/>
          <w:color w:val="auto"/>
          <w:lang w:val="en-US" w:eastAsia="zh-CN"/>
        </w:rPr>
        <w:t>表 5.3-3 危险性等级划分表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1524"/>
        <w:gridCol w:w="6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393"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等级</w:t>
            </w:r>
          </w:p>
        </w:tc>
        <w:tc>
          <w:tcPr>
            <w:tcW w:w="1524"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危险程度</w:t>
            </w:r>
          </w:p>
        </w:tc>
        <w:tc>
          <w:tcPr>
            <w:tcW w:w="6402"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可能导致的后果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393"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Ⅰ</w:t>
            </w:r>
          </w:p>
        </w:tc>
        <w:tc>
          <w:tcPr>
            <w:tcW w:w="1524"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安全的</w:t>
            </w:r>
          </w:p>
        </w:tc>
        <w:tc>
          <w:tcPr>
            <w:tcW w:w="6402"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不会场造成人员伤亡或系统损坏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393"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Ⅱ</w:t>
            </w:r>
          </w:p>
        </w:tc>
        <w:tc>
          <w:tcPr>
            <w:tcW w:w="1524"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临界的</w:t>
            </w:r>
          </w:p>
        </w:tc>
        <w:tc>
          <w:tcPr>
            <w:tcW w:w="6402"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处于事故的边缘状态，暂时还不会造成人员伤亡、系统损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393"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Ⅲ</w:t>
            </w:r>
          </w:p>
        </w:tc>
        <w:tc>
          <w:tcPr>
            <w:tcW w:w="1524"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危险的</w:t>
            </w:r>
          </w:p>
        </w:tc>
        <w:tc>
          <w:tcPr>
            <w:tcW w:w="6402"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会造成人员伤亡和系统损坏，要立即采取防范对策措施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393"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Ⅳ</w:t>
            </w:r>
          </w:p>
        </w:tc>
        <w:tc>
          <w:tcPr>
            <w:tcW w:w="1524"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灾难性的</w:t>
            </w:r>
          </w:p>
        </w:tc>
        <w:tc>
          <w:tcPr>
            <w:tcW w:w="6402" w:type="dxa"/>
            <w:vAlign w:val="center"/>
          </w:tcPr>
          <w:p>
            <w:pPr>
              <w:pStyle w:val="59"/>
              <w:spacing w:line="240" w:lineRule="auto"/>
              <w:ind w:firstLine="0"/>
              <w:jc w:val="center"/>
              <w:rPr>
                <w:rFonts w:hint="eastAsia"/>
                <w:color w:val="auto"/>
                <w:lang w:val="en-US" w:eastAsia="zh-CN"/>
              </w:rPr>
            </w:pPr>
            <w:r>
              <w:rPr>
                <w:rFonts w:hint="eastAsia"/>
                <w:color w:val="auto"/>
                <w:lang w:val="en-US" w:eastAsia="zh-CN"/>
              </w:rPr>
              <w:t>造成人员重大伤亡及系统严重破坏的灾难性事故，必须予</w:t>
            </w:r>
          </w:p>
        </w:tc>
      </w:tr>
    </w:tbl>
    <w:p>
      <w:pPr>
        <w:spacing w:line="600" w:lineRule="exact"/>
        <w:ind w:firstLine="562" w:firstLineChars="200"/>
        <w:jc w:val="left"/>
        <w:rPr>
          <w:rFonts w:hint="eastAsia" w:ascii="宋体" w:hAnsi="宋体"/>
          <w:b/>
          <w:color w:val="auto"/>
          <w:sz w:val="28"/>
          <w:szCs w:val="28"/>
        </w:rPr>
      </w:pPr>
      <w:r>
        <w:rPr>
          <w:rFonts w:hint="eastAsia" w:ascii="黑体" w:hAnsi="宋体" w:eastAsia="黑体"/>
          <w:b/>
          <w:color w:val="auto"/>
          <w:sz w:val="28"/>
          <w:szCs w:val="28"/>
        </w:rPr>
        <w:t>3.</w:t>
      </w:r>
      <w:r>
        <w:rPr>
          <w:rFonts w:hint="eastAsia" w:ascii="宋体" w:hAnsi="宋体"/>
          <w:b/>
          <w:color w:val="auto"/>
          <w:sz w:val="28"/>
          <w:szCs w:val="28"/>
        </w:rPr>
        <w:t>危险度评价法</w:t>
      </w:r>
    </w:p>
    <w:p>
      <w:pPr>
        <w:spacing w:line="600" w:lineRule="exact"/>
        <w:ind w:firstLine="560" w:firstLineChars="200"/>
        <w:rPr>
          <w:rFonts w:ascii="Times New Roman" w:hAnsi="Times New Roman"/>
          <w:b/>
          <w:bCs/>
          <w:color w:val="auto"/>
          <w:sz w:val="24"/>
        </w:rPr>
      </w:pPr>
      <w:r>
        <w:rPr>
          <w:rFonts w:ascii="Times New Roman" w:hAnsi="宋体"/>
          <w:color w:val="auto"/>
          <w:sz w:val="28"/>
        </w:rPr>
        <w:t>危险度评价法是根据日本劳动省</w:t>
      </w:r>
      <w:r>
        <w:rPr>
          <w:rFonts w:ascii="Times New Roman" w:hAnsi="Times New Roman"/>
          <w:color w:val="auto"/>
          <w:sz w:val="28"/>
        </w:rPr>
        <w:t>“</w:t>
      </w:r>
      <w:r>
        <w:rPr>
          <w:rFonts w:ascii="Times New Roman" w:hAnsi="宋体"/>
          <w:color w:val="auto"/>
          <w:sz w:val="28"/>
        </w:rPr>
        <w:t>六阶段法</w:t>
      </w:r>
      <w:r>
        <w:rPr>
          <w:rFonts w:ascii="Times New Roman" w:hAnsi="Times New Roman"/>
          <w:color w:val="auto"/>
          <w:sz w:val="28"/>
        </w:rPr>
        <w:t>”</w:t>
      </w:r>
      <w:r>
        <w:rPr>
          <w:rFonts w:ascii="Times New Roman" w:hAnsi="宋体"/>
          <w:color w:val="auto"/>
          <w:sz w:val="28"/>
        </w:rPr>
        <w:t>的定量评价表，结合我国有关标准和规程编制</w:t>
      </w:r>
      <w:r>
        <w:rPr>
          <w:rFonts w:ascii="Times New Roman" w:hAnsi="Times New Roman"/>
          <w:color w:val="auto"/>
          <w:sz w:val="28"/>
        </w:rPr>
        <w:t xml:space="preserve"> “</w:t>
      </w:r>
      <w:r>
        <w:rPr>
          <w:rFonts w:ascii="Times New Roman" w:hAnsi="宋体"/>
          <w:color w:val="auto"/>
          <w:sz w:val="28"/>
        </w:rPr>
        <w:t>危险度评价取值表</w:t>
      </w:r>
      <w:r>
        <w:rPr>
          <w:rFonts w:ascii="Times New Roman" w:hAnsi="Times New Roman"/>
          <w:color w:val="auto"/>
          <w:sz w:val="28"/>
        </w:rPr>
        <w:t>”</w:t>
      </w:r>
      <w:r>
        <w:rPr>
          <w:rFonts w:ascii="Times New Roman" w:hAnsi="宋体"/>
          <w:color w:val="auto"/>
          <w:sz w:val="28"/>
        </w:rPr>
        <w:t>，在表中单元危险度由物质、容量、温度、压力和操作</w:t>
      </w:r>
      <w:r>
        <w:rPr>
          <w:rFonts w:ascii="Times New Roman" w:hAnsi="Times New Roman"/>
          <w:color w:val="auto"/>
          <w:sz w:val="28"/>
        </w:rPr>
        <w:t>5</w:t>
      </w:r>
      <w:r>
        <w:rPr>
          <w:rFonts w:ascii="Times New Roman" w:hAnsi="宋体"/>
          <w:color w:val="auto"/>
          <w:sz w:val="28"/>
        </w:rPr>
        <w:t>个项目共同确定。其危险长分别按</w:t>
      </w:r>
      <w:r>
        <w:rPr>
          <w:rFonts w:ascii="Times New Roman" w:hAnsi="Times New Roman"/>
          <w:color w:val="auto"/>
          <w:sz w:val="28"/>
        </w:rPr>
        <w:t>A=10</w:t>
      </w:r>
      <w:r>
        <w:rPr>
          <w:rFonts w:ascii="Times New Roman" w:hAnsi="宋体"/>
          <w:color w:val="auto"/>
          <w:sz w:val="28"/>
        </w:rPr>
        <w:t>分，</w:t>
      </w:r>
      <w:r>
        <w:rPr>
          <w:rFonts w:ascii="Times New Roman" w:hAnsi="Times New Roman"/>
          <w:color w:val="auto"/>
          <w:sz w:val="28"/>
        </w:rPr>
        <w:t>B=5</w:t>
      </w:r>
      <w:r>
        <w:rPr>
          <w:rFonts w:ascii="Times New Roman" w:hAnsi="宋体"/>
          <w:color w:val="auto"/>
          <w:sz w:val="28"/>
        </w:rPr>
        <w:t>分，</w:t>
      </w:r>
      <w:r>
        <w:rPr>
          <w:rFonts w:ascii="Times New Roman" w:hAnsi="Times New Roman"/>
          <w:color w:val="auto"/>
          <w:sz w:val="28"/>
        </w:rPr>
        <w:t>C=2</w:t>
      </w:r>
      <w:r>
        <w:rPr>
          <w:rFonts w:ascii="Times New Roman" w:hAnsi="宋体"/>
          <w:color w:val="auto"/>
          <w:sz w:val="28"/>
        </w:rPr>
        <w:t>分，</w:t>
      </w:r>
      <w:r>
        <w:rPr>
          <w:rFonts w:ascii="Times New Roman" w:hAnsi="Times New Roman"/>
          <w:color w:val="auto"/>
          <w:sz w:val="28"/>
        </w:rPr>
        <w:t>D=0</w:t>
      </w:r>
      <w:r>
        <w:rPr>
          <w:rFonts w:ascii="Times New Roman" w:hAnsi="宋体"/>
          <w:color w:val="auto"/>
          <w:sz w:val="28"/>
        </w:rPr>
        <w:t>分赋值计分，由累计分值确定单元危险度。危险度评价取值表见表</w:t>
      </w:r>
      <w:r>
        <w:rPr>
          <w:rFonts w:hint="eastAsia" w:ascii="Times New Roman" w:hAnsi="Times New Roman"/>
          <w:color w:val="auto"/>
          <w:sz w:val="28"/>
          <w:lang w:val="en-US" w:eastAsia="zh-CN"/>
        </w:rPr>
        <w:t>5.3</w:t>
      </w:r>
      <w:r>
        <w:rPr>
          <w:rFonts w:ascii="Times New Roman" w:hAnsi="Times New Roman"/>
          <w:color w:val="auto"/>
          <w:sz w:val="28"/>
        </w:rPr>
        <w:t>-</w:t>
      </w:r>
      <w:r>
        <w:rPr>
          <w:rFonts w:hint="eastAsia" w:ascii="Times New Roman" w:hAnsi="Times New Roman"/>
          <w:color w:val="auto"/>
          <w:sz w:val="28"/>
          <w:lang w:val="en-US" w:eastAsia="zh-CN"/>
        </w:rPr>
        <w:t>4</w:t>
      </w:r>
      <w:r>
        <w:rPr>
          <w:rFonts w:ascii="Times New Roman" w:hAnsi="宋体"/>
          <w:color w:val="auto"/>
          <w:sz w:val="28"/>
        </w:rPr>
        <w:t>。</w:t>
      </w:r>
    </w:p>
    <w:p>
      <w:pPr>
        <w:spacing w:line="600" w:lineRule="exact"/>
        <w:jc w:val="center"/>
        <w:rPr>
          <w:rFonts w:ascii="Times New Roman" w:hAnsi="Times New Roman"/>
          <w:b/>
          <w:bCs/>
          <w:color w:val="auto"/>
          <w:sz w:val="24"/>
        </w:rPr>
      </w:pPr>
      <w:r>
        <w:rPr>
          <w:rFonts w:ascii="Times New Roman" w:hAnsi="宋体"/>
          <w:b/>
          <w:bCs/>
          <w:color w:val="auto"/>
          <w:sz w:val="24"/>
        </w:rPr>
        <w:t>表</w:t>
      </w:r>
      <w:r>
        <w:rPr>
          <w:rFonts w:hint="eastAsia" w:ascii="Times New Roman" w:hAnsi="Times New Roman"/>
          <w:b/>
          <w:bCs/>
          <w:color w:val="auto"/>
          <w:sz w:val="24"/>
          <w:lang w:val="en-US" w:eastAsia="zh-CN"/>
        </w:rPr>
        <w:t>5.3</w:t>
      </w:r>
      <w:r>
        <w:rPr>
          <w:rFonts w:ascii="Times New Roman" w:hAnsi="Times New Roman"/>
          <w:b/>
          <w:bCs/>
          <w:color w:val="auto"/>
          <w:sz w:val="24"/>
        </w:rPr>
        <w:t>-</w:t>
      </w:r>
      <w:r>
        <w:rPr>
          <w:rFonts w:hint="eastAsia" w:ascii="Times New Roman" w:hAnsi="Times New Roman"/>
          <w:b/>
          <w:bCs/>
          <w:color w:val="auto"/>
          <w:sz w:val="24"/>
          <w:lang w:val="en-US" w:eastAsia="zh-CN"/>
        </w:rPr>
        <w:t>4</w:t>
      </w:r>
      <w:r>
        <w:rPr>
          <w:rFonts w:ascii="Times New Roman" w:hAnsi="Times New Roman"/>
          <w:b/>
          <w:bCs/>
          <w:color w:val="auto"/>
          <w:sz w:val="24"/>
        </w:rPr>
        <w:t xml:space="preserve">  </w:t>
      </w:r>
      <w:r>
        <w:rPr>
          <w:rFonts w:ascii="Times New Roman" w:hAnsi="宋体"/>
          <w:b/>
          <w:bCs/>
          <w:color w:val="auto"/>
          <w:sz w:val="24"/>
        </w:rPr>
        <w:t>危险度评价取值表</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906"/>
        <w:gridCol w:w="2229"/>
        <w:gridCol w:w="2358"/>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1065" w:type="dxa"/>
            <w:tcBorders>
              <w:tl2br w:val="single" w:color="auto" w:sz="4" w:space="0"/>
            </w:tcBorders>
            <w:noWrap w:val="0"/>
            <w:vAlign w:val="top"/>
          </w:tcPr>
          <w:p>
            <w:pPr>
              <w:pStyle w:val="59"/>
              <w:ind w:firstLine="420" w:firstLineChars="200"/>
              <w:rPr>
                <w:color w:val="auto"/>
              </w:rPr>
            </w:pPr>
            <w:r>
              <w:rPr>
                <w:color w:val="auto"/>
              </w:rPr>
              <w:t>分值</w:t>
            </w:r>
          </w:p>
          <w:p>
            <w:pPr>
              <w:pStyle w:val="59"/>
              <w:rPr>
                <w:color w:val="auto"/>
              </w:rPr>
            </w:pPr>
            <w:r>
              <w:rPr>
                <w:color w:val="auto"/>
              </w:rPr>
              <w:t>项目</w:t>
            </w:r>
          </w:p>
        </w:tc>
        <w:tc>
          <w:tcPr>
            <w:tcW w:w="1906" w:type="dxa"/>
            <w:noWrap w:val="0"/>
            <w:vAlign w:val="center"/>
          </w:tcPr>
          <w:p>
            <w:pPr>
              <w:pStyle w:val="59"/>
              <w:jc w:val="center"/>
              <w:rPr>
                <w:color w:val="auto"/>
              </w:rPr>
            </w:pPr>
            <w:r>
              <w:rPr>
                <w:color w:val="auto"/>
              </w:rPr>
              <w:t>A（10分）</w:t>
            </w:r>
          </w:p>
        </w:tc>
        <w:tc>
          <w:tcPr>
            <w:tcW w:w="2229" w:type="dxa"/>
            <w:noWrap w:val="0"/>
            <w:vAlign w:val="center"/>
          </w:tcPr>
          <w:p>
            <w:pPr>
              <w:pStyle w:val="59"/>
              <w:jc w:val="center"/>
              <w:rPr>
                <w:color w:val="auto"/>
              </w:rPr>
            </w:pPr>
            <w:r>
              <w:rPr>
                <w:color w:val="auto"/>
              </w:rPr>
              <w:t>B（5分）</w:t>
            </w:r>
          </w:p>
        </w:tc>
        <w:tc>
          <w:tcPr>
            <w:tcW w:w="2358" w:type="dxa"/>
            <w:noWrap w:val="0"/>
            <w:vAlign w:val="center"/>
          </w:tcPr>
          <w:p>
            <w:pPr>
              <w:pStyle w:val="59"/>
              <w:jc w:val="center"/>
              <w:rPr>
                <w:color w:val="auto"/>
              </w:rPr>
            </w:pPr>
            <w:r>
              <w:rPr>
                <w:color w:val="auto"/>
              </w:rPr>
              <w:t>C（2分）</w:t>
            </w:r>
          </w:p>
        </w:tc>
        <w:tc>
          <w:tcPr>
            <w:tcW w:w="1728" w:type="dxa"/>
            <w:noWrap w:val="0"/>
            <w:vAlign w:val="center"/>
          </w:tcPr>
          <w:p>
            <w:pPr>
              <w:pStyle w:val="59"/>
              <w:jc w:val="center"/>
              <w:rPr>
                <w:color w:val="auto"/>
              </w:rPr>
            </w:pPr>
            <w:r>
              <w:rPr>
                <w:color w:val="auto"/>
              </w:rPr>
              <w:t>D（0分）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065" w:type="dxa"/>
            <w:noWrap w:val="0"/>
            <w:vAlign w:val="center"/>
          </w:tcPr>
          <w:p>
            <w:pPr>
              <w:pStyle w:val="59"/>
              <w:jc w:val="center"/>
              <w:rPr>
                <w:color w:val="auto"/>
              </w:rPr>
            </w:pPr>
            <w:r>
              <w:rPr>
                <w:color w:val="auto"/>
              </w:rPr>
              <w:t>物质</w:t>
            </w:r>
          </w:p>
        </w:tc>
        <w:tc>
          <w:tcPr>
            <w:tcW w:w="1906" w:type="dxa"/>
            <w:noWrap w:val="0"/>
            <w:vAlign w:val="center"/>
          </w:tcPr>
          <w:p>
            <w:pPr>
              <w:pStyle w:val="59"/>
              <w:rPr>
                <w:color w:val="auto"/>
              </w:rPr>
            </w:pPr>
            <w:r>
              <w:rPr>
                <w:color w:val="auto"/>
              </w:rPr>
              <w:t>甲类可燃气体；</w:t>
            </w:r>
          </w:p>
          <w:p>
            <w:pPr>
              <w:pStyle w:val="59"/>
              <w:rPr>
                <w:color w:val="auto"/>
              </w:rPr>
            </w:pPr>
            <w:r>
              <w:rPr>
                <w:color w:val="auto"/>
              </w:rPr>
              <w:t>甲A类物质及液态烃类；</w:t>
            </w:r>
          </w:p>
          <w:p>
            <w:pPr>
              <w:pStyle w:val="59"/>
              <w:rPr>
                <w:color w:val="auto"/>
              </w:rPr>
            </w:pPr>
            <w:r>
              <w:rPr>
                <w:color w:val="auto"/>
              </w:rPr>
              <w:t>甲类固体；</w:t>
            </w:r>
          </w:p>
          <w:p>
            <w:pPr>
              <w:pStyle w:val="59"/>
              <w:rPr>
                <w:color w:val="auto"/>
              </w:rPr>
            </w:pPr>
            <w:r>
              <w:rPr>
                <w:color w:val="auto"/>
              </w:rPr>
              <w:t>极度有害介质</w:t>
            </w:r>
          </w:p>
        </w:tc>
        <w:tc>
          <w:tcPr>
            <w:tcW w:w="2229" w:type="dxa"/>
            <w:noWrap w:val="0"/>
            <w:vAlign w:val="center"/>
          </w:tcPr>
          <w:p>
            <w:pPr>
              <w:pStyle w:val="59"/>
              <w:rPr>
                <w:color w:val="auto"/>
              </w:rPr>
            </w:pPr>
            <w:r>
              <w:rPr>
                <w:color w:val="auto"/>
              </w:rPr>
              <w:t>乙类气体；</w:t>
            </w:r>
          </w:p>
          <w:p>
            <w:pPr>
              <w:pStyle w:val="59"/>
              <w:rPr>
                <w:color w:val="auto"/>
              </w:rPr>
            </w:pPr>
            <w:r>
              <w:rPr>
                <w:color w:val="auto"/>
              </w:rPr>
              <w:t>甲B、乙A类可燃液体；</w:t>
            </w:r>
          </w:p>
          <w:p>
            <w:pPr>
              <w:pStyle w:val="59"/>
              <w:rPr>
                <w:color w:val="auto"/>
              </w:rPr>
            </w:pPr>
            <w:r>
              <w:rPr>
                <w:color w:val="auto"/>
              </w:rPr>
              <w:t>乙类固体；；</w:t>
            </w:r>
          </w:p>
          <w:p>
            <w:pPr>
              <w:pStyle w:val="59"/>
              <w:rPr>
                <w:color w:val="auto"/>
              </w:rPr>
            </w:pPr>
            <w:r>
              <w:rPr>
                <w:color w:val="auto"/>
              </w:rPr>
              <w:t>高度有害介质</w:t>
            </w:r>
          </w:p>
        </w:tc>
        <w:tc>
          <w:tcPr>
            <w:tcW w:w="2358" w:type="dxa"/>
            <w:noWrap w:val="0"/>
            <w:vAlign w:val="center"/>
          </w:tcPr>
          <w:p>
            <w:pPr>
              <w:pStyle w:val="59"/>
              <w:rPr>
                <w:color w:val="auto"/>
              </w:rPr>
            </w:pPr>
            <w:r>
              <w:rPr>
                <w:color w:val="auto"/>
              </w:rPr>
              <w:t>乙B、丙A、丙B类可燃液体；</w:t>
            </w:r>
          </w:p>
          <w:p>
            <w:pPr>
              <w:pStyle w:val="59"/>
              <w:rPr>
                <w:color w:val="auto"/>
              </w:rPr>
            </w:pPr>
            <w:r>
              <w:rPr>
                <w:color w:val="auto"/>
              </w:rPr>
              <w:t>丙类固体；</w:t>
            </w:r>
          </w:p>
          <w:p>
            <w:pPr>
              <w:pStyle w:val="59"/>
              <w:rPr>
                <w:color w:val="auto"/>
              </w:rPr>
            </w:pPr>
            <w:r>
              <w:rPr>
                <w:color w:val="auto"/>
              </w:rPr>
              <w:t>中、轻度有害介质</w:t>
            </w:r>
          </w:p>
        </w:tc>
        <w:tc>
          <w:tcPr>
            <w:tcW w:w="1728" w:type="dxa"/>
            <w:noWrap w:val="0"/>
            <w:vAlign w:val="center"/>
          </w:tcPr>
          <w:p>
            <w:pPr>
              <w:pStyle w:val="59"/>
              <w:rPr>
                <w:color w:val="auto"/>
              </w:rPr>
            </w:pPr>
            <w:r>
              <w:rPr>
                <w:color w:val="auto"/>
              </w:rPr>
              <w:t>不属A、B、C项之物质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065" w:type="dxa"/>
            <w:noWrap w:val="0"/>
            <w:vAlign w:val="center"/>
          </w:tcPr>
          <w:p>
            <w:pPr>
              <w:pStyle w:val="59"/>
              <w:jc w:val="center"/>
              <w:rPr>
                <w:color w:val="auto"/>
              </w:rPr>
            </w:pPr>
            <w:r>
              <w:rPr>
                <w:color w:val="auto"/>
              </w:rPr>
              <w:t>容量</w:t>
            </w:r>
          </w:p>
        </w:tc>
        <w:tc>
          <w:tcPr>
            <w:tcW w:w="1906" w:type="dxa"/>
            <w:noWrap w:val="0"/>
            <w:vAlign w:val="center"/>
          </w:tcPr>
          <w:p>
            <w:pPr>
              <w:pStyle w:val="59"/>
              <w:rPr>
                <w:color w:val="auto"/>
              </w:rPr>
            </w:pPr>
            <w:r>
              <w:rPr>
                <w:color w:val="auto"/>
              </w:rPr>
              <w:t>气体1000m</w:t>
            </w:r>
            <w:r>
              <w:rPr>
                <w:color w:val="auto"/>
                <w:vertAlign w:val="superscript"/>
              </w:rPr>
              <w:t>3</w:t>
            </w:r>
            <w:r>
              <w:rPr>
                <w:color w:val="auto"/>
              </w:rPr>
              <w:t>以上</w:t>
            </w:r>
          </w:p>
          <w:p>
            <w:pPr>
              <w:pStyle w:val="59"/>
              <w:rPr>
                <w:color w:val="auto"/>
              </w:rPr>
            </w:pPr>
            <w:r>
              <w:rPr>
                <w:color w:val="auto"/>
              </w:rPr>
              <w:t>液体100 m</w:t>
            </w:r>
            <w:r>
              <w:rPr>
                <w:color w:val="auto"/>
                <w:vertAlign w:val="superscript"/>
              </w:rPr>
              <w:t>3</w:t>
            </w:r>
            <w:r>
              <w:rPr>
                <w:color w:val="auto"/>
              </w:rPr>
              <w:t>以上</w:t>
            </w:r>
          </w:p>
        </w:tc>
        <w:tc>
          <w:tcPr>
            <w:tcW w:w="2229" w:type="dxa"/>
            <w:noWrap w:val="0"/>
            <w:vAlign w:val="center"/>
          </w:tcPr>
          <w:p>
            <w:pPr>
              <w:pStyle w:val="59"/>
              <w:rPr>
                <w:color w:val="auto"/>
              </w:rPr>
            </w:pPr>
            <w:r>
              <w:rPr>
                <w:color w:val="auto"/>
              </w:rPr>
              <w:t>气体500~1000 m</w:t>
            </w:r>
            <w:r>
              <w:rPr>
                <w:color w:val="auto"/>
                <w:vertAlign w:val="superscript"/>
              </w:rPr>
              <w:t>3</w:t>
            </w:r>
          </w:p>
          <w:p>
            <w:pPr>
              <w:pStyle w:val="59"/>
              <w:rPr>
                <w:color w:val="auto"/>
              </w:rPr>
            </w:pPr>
            <w:r>
              <w:rPr>
                <w:color w:val="auto"/>
              </w:rPr>
              <w:t>液体50~100 m</w:t>
            </w:r>
            <w:r>
              <w:rPr>
                <w:color w:val="auto"/>
                <w:vertAlign w:val="superscript"/>
              </w:rPr>
              <w:t>3</w:t>
            </w:r>
          </w:p>
        </w:tc>
        <w:tc>
          <w:tcPr>
            <w:tcW w:w="2358" w:type="dxa"/>
            <w:noWrap w:val="0"/>
            <w:vAlign w:val="center"/>
          </w:tcPr>
          <w:p>
            <w:pPr>
              <w:pStyle w:val="59"/>
              <w:rPr>
                <w:color w:val="auto"/>
              </w:rPr>
            </w:pPr>
            <w:r>
              <w:rPr>
                <w:color w:val="auto"/>
              </w:rPr>
              <w:t>气体100~500 m</w:t>
            </w:r>
            <w:r>
              <w:rPr>
                <w:color w:val="auto"/>
                <w:vertAlign w:val="superscript"/>
              </w:rPr>
              <w:t>3</w:t>
            </w:r>
          </w:p>
          <w:p>
            <w:pPr>
              <w:pStyle w:val="59"/>
              <w:rPr>
                <w:color w:val="auto"/>
              </w:rPr>
            </w:pPr>
            <w:r>
              <w:rPr>
                <w:color w:val="auto"/>
              </w:rPr>
              <w:t>液体10~50 m</w:t>
            </w:r>
            <w:r>
              <w:rPr>
                <w:color w:val="auto"/>
                <w:vertAlign w:val="superscript"/>
              </w:rPr>
              <w:t>3</w:t>
            </w:r>
          </w:p>
        </w:tc>
        <w:tc>
          <w:tcPr>
            <w:tcW w:w="1728" w:type="dxa"/>
            <w:noWrap w:val="0"/>
            <w:vAlign w:val="center"/>
          </w:tcPr>
          <w:p>
            <w:pPr>
              <w:pStyle w:val="59"/>
              <w:rPr>
                <w:color w:val="auto"/>
              </w:rPr>
            </w:pPr>
            <w:r>
              <w:rPr>
                <w:color w:val="auto"/>
              </w:rPr>
              <w:t>气体＜100 m</w:t>
            </w:r>
            <w:r>
              <w:rPr>
                <w:color w:val="auto"/>
                <w:vertAlign w:val="superscript"/>
              </w:rPr>
              <w:t>3</w:t>
            </w:r>
          </w:p>
          <w:p>
            <w:pPr>
              <w:pStyle w:val="59"/>
              <w:rPr>
                <w:color w:val="auto"/>
              </w:rPr>
            </w:pPr>
            <w:r>
              <w:rPr>
                <w:color w:val="auto"/>
              </w:rPr>
              <w:t>液体＜10 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065" w:type="dxa"/>
            <w:noWrap w:val="0"/>
            <w:vAlign w:val="center"/>
          </w:tcPr>
          <w:p>
            <w:pPr>
              <w:pStyle w:val="59"/>
              <w:jc w:val="center"/>
              <w:rPr>
                <w:color w:val="auto"/>
              </w:rPr>
            </w:pPr>
            <w:r>
              <w:rPr>
                <w:color w:val="auto"/>
              </w:rPr>
              <w:t>温度</w:t>
            </w:r>
          </w:p>
        </w:tc>
        <w:tc>
          <w:tcPr>
            <w:tcW w:w="1906" w:type="dxa"/>
            <w:noWrap w:val="0"/>
            <w:vAlign w:val="center"/>
          </w:tcPr>
          <w:p>
            <w:pPr>
              <w:pStyle w:val="59"/>
              <w:rPr>
                <w:color w:val="auto"/>
              </w:rPr>
            </w:pPr>
            <w:r>
              <w:rPr>
                <w:color w:val="auto"/>
              </w:rPr>
              <w:t>1000℃以上使用，其操作温度在燃点以上</w:t>
            </w:r>
          </w:p>
        </w:tc>
        <w:tc>
          <w:tcPr>
            <w:tcW w:w="2229" w:type="dxa"/>
            <w:noWrap w:val="0"/>
            <w:vAlign w:val="center"/>
          </w:tcPr>
          <w:p>
            <w:pPr>
              <w:pStyle w:val="59"/>
              <w:rPr>
                <w:color w:val="auto"/>
              </w:rPr>
            </w:pPr>
            <w:r>
              <w:rPr>
                <w:color w:val="auto"/>
              </w:rPr>
              <w:t>1000℃以上使用，但操作温度在燃点以下；</w:t>
            </w:r>
          </w:p>
          <w:p>
            <w:pPr>
              <w:pStyle w:val="59"/>
              <w:rPr>
                <w:color w:val="auto"/>
              </w:rPr>
            </w:pPr>
            <w:r>
              <w:rPr>
                <w:color w:val="auto"/>
              </w:rPr>
              <w:t>在250~1000℃使用，其操作温度在燃点以上</w:t>
            </w:r>
          </w:p>
        </w:tc>
        <w:tc>
          <w:tcPr>
            <w:tcW w:w="2358" w:type="dxa"/>
            <w:noWrap w:val="0"/>
            <w:vAlign w:val="center"/>
          </w:tcPr>
          <w:p>
            <w:pPr>
              <w:pStyle w:val="59"/>
              <w:rPr>
                <w:color w:val="auto"/>
              </w:rPr>
            </w:pPr>
            <w:r>
              <w:rPr>
                <w:color w:val="auto"/>
              </w:rPr>
              <w:t>在250~1000℃使用，但操作温度在燃点以下；</w:t>
            </w:r>
          </w:p>
          <w:p>
            <w:pPr>
              <w:pStyle w:val="59"/>
              <w:rPr>
                <w:color w:val="auto"/>
              </w:rPr>
            </w:pPr>
            <w:r>
              <w:rPr>
                <w:color w:val="auto"/>
              </w:rPr>
              <w:t>在低于在250℃使用，其操作温度在燃点以上</w:t>
            </w:r>
          </w:p>
        </w:tc>
        <w:tc>
          <w:tcPr>
            <w:tcW w:w="1728" w:type="dxa"/>
            <w:noWrap w:val="0"/>
            <w:vAlign w:val="center"/>
          </w:tcPr>
          <w:p>
            <w:pPr>
              <w:pStyle w:val="59"/>
              <w:rPr>
                <w:color w:val="auto"/>
              </w:rPr>
            </w:pPr>
            <w:r>
              <w:rPr>
                <w:color w:val="auto"/>
              </w:rPr>
              <w:t>在低于在250℃使用，其操作温度在燃点以下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65" w:type="dxa"/>
            <w:noWrap w:val="0"/>
            <w:vAlign w:val="center"/>
          </w:tcPr>
          <w:p>
            <w:pPr>
              <w:pStyle w:val="59"/>
              <w:jc w:val="center"/>
              <w:rPr>
                <w:color w:val="auto"/>
              </w:rPr>
            </w:pPr>
            <w:r>
              <w:rPr>
                <w:color w:val="auto"/>
              </w:rPr>
              <w:t>压力</w:t>
            </w:r>
          </w:p>
        </w:tc>
        <w:tc>
          <w:tcPr>
            <w:tcW w:w="1906" w:type="dxa"/>
            <w:noWrap w:val="0"/>
            <w:vAlign w:val="center"/>
          </w:tcPr>
          <w:p>
            <w:pPr>
              <w:pStyle w:val="59"/>
              <w:rPr>
                <w:color w:val="auto"/>
              </w:rPr>
            </w:pPr>
            <w:r>
              <w:rPr>
                <w:color w:val="auto"/>
              </w:rPr>
              <w:t>100MPa</w:t>
            </w:r>
          </w:p>
        </w:tc>
        <w:tc>
          <w:tcPr>
            <w:tcW w:w="2229" w:type="dxa"/>
            <w:noWrap w:val="0"/>
            <w:vAlign w:val="center"/>
          </w:tcPr>
          <w:p>
            <w:pPr>
              <w:pStyle w:val="59"/>
              <w:rPr>
                <w:color w:val="auto"/>
              </w:rPr>
            </w:pPr>
            <w:r>
              <w:rPr>
                <w:color w:val="auto"/>
              </w:rPr>
              <w:t>20~100 MPa</w:t>
            </w:r>
          </w:p>
        </w:tc>
        <w:tc>
          <w:tcPr>
            <w:tcW w:w="2358" w:type="dxa"/>
            <w:noWrap w:val="0"/>
            <w:vAlign w:val="center"/>
          </w:tcPr>
          <w:p>
            <w:pPr>
              <w:pStyle w:val="59"/>
              <w:rPr>
                <w:color w:val="auto"/>
              </w:rPr>
            </w:pPr>
            <w:r>
              <w:rPr>
                <w:color w:val="auto"/>
              </w:rPr>
              <w:t>1~20 MPa</w:t>
            </w:r>
          </w:p>
        </w:tc>
        <w:tc>
          <w:tcPr>
            <w:tcW w:w="1728" w:type="dxa"/>
            <w:noWrap w:val="0"/>
            <w:vAlign w:val="center"/>
          </w:tcPr>
          <w:p>
            <w:pPr>
              <w:pStyle w:val="59"/>
              <w:rPr>
                <w:color w:val="auto"/>
              </w:rPr>
            </w:pPr>
            <w:r>
              <w:rPr>
                <w:color w:val="auto"/>
              </w:rPr>
              <w:t>1 MPa以下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065" w:type="dxa"/>
            <w:noWrap w:val="0"/>
            <w:vAlign w:val="center"/>
          </w:tcPr>
          <w:p>
            <w:pPr>
              <w:pStyle w:val="59"/>
              <w:jc w:val="center"/>
              <w:rPr>
                <w:color w:val="auto"/>
              </w:rPr>
            </w:pPr>
            <w:r>
              <w:rPr>
                <w:color w:val="auto"/>
              </w:rPr>
              <w:t>操作</w:t>
            </w:r>
          </w:p>
        </w:tc>
        <w:tc>
          <w:tcPr>
            <w:tcW w:w="1906" w:type="dxa"/>
            <w:noWrap w:val="0"/>
            <w:vAlign w:val="center"/>
          </w:tcPr>
          <w:p>
            <w:pPr>
              <w:pStyle w:val="59"/>
              <w:rPr>
                <w:color w:val="auto"/>
              </w:rPr>
            </w:pPr>
            <w:r>
              <w:rPr>
                <w:color w:val="auto"/>
              </w:rPr>
              <w:t>临界放热和特别剧烈的反应操作</w:t>
            </w:r>
          </w:p>
          <w:p>
            <w:pPr>
              <w:pStyle w:val="59"/>
              <w:rPr>
                <w:color w:val="auto"/>
              </w:rPr>
            </w:pPr>
            <w:r>
              <w:rPr>
                <w:color w:val="auto"/>
              </w:rPr>
              <w:t>在爆炸极限范围内或其附近操作</w:t>
            </w:r>
          </w:p>
        </w:tc>
        <w:tc>
          <w:tcPr>
            <w:tcW w:w="2229" w:type="dxa"/>
            <w:noWrap w:val="0"/>
            <w:vAlign w:val="center"/>
          </w:tcPr>
          <w:p>
            <w:pPr>
              <w:pStyle w:val="59"/>
              <w:rPr>
                <w:color w:val="auto"/>
              </w:rPr>
            </w:pPr>
            <w:r>
              <w:rPr>
                <w:color w:val="auto"/>
              </w:rPr>
              <w:t>中等放热反应；</w:t>
            </w:r>
          </w:p>
          <w:p>
            <w:pPr>
              <w:pStyle w:val="59"/>
              <w:rPr>
                <w:color w:val="auto"/>
              </w:rPr>
            </w:pPr>
            <w:r>
              <w:rPr>
                <w:color w:val="auto"/>
              </w:rPr>
              <w:t>系统进入空气或不纯物质，可能发生危险的操作；</w:t>
            </w:r>
          </w:p>
          <w:p>
            <w:pPr>
              <w:pStyle w:val="59"/>
              <w:rPr>
                <w:color w:val="auto"/>
              </w:rPr>
            </w:pPr>
            <w:r>
              <w:rPr>
                <w:color w:val="auto"/>
              </w:rPr>
              <w:t>使用粉状或雾状物质，有可能发生粉尘爆炸的操作单批式操作</w:t>
            </w:r>
          </w:p>
        </w:tc>
        <w:tc>
          <w:tcPr>
            <w:tcW w:w="2358" w:type="dxa"/>
            <w:noWrap w:val="0"/>
            <w:vAlign w:val="center"/>
          </w:tcPr>
          <w:p>
            <w:pPr>
              <w:pStyle w:val="59"/>
              <w:rPr>
                <w:color w:val="auto"/>
              </w:rPr>
            </w:pPr>
            <w:r>
              <w:rPr>
                <w:color w:val="auto"/>
              </w:rPr>
              <w:t>轻微放热反应；</w:t>
            </w:r>
          </w:p>
          <w:p>
            <w:pPr>
              <w:pStyle w:val="59"/>
              <w:rPr>
                <w:color w:val="auto"/>
              </w:rPr>
            </w:pPr>
            <w:r>
              <w:rPr>
                <w:color w:val="auto"/>
              </w:rPr>
              <w:t>在精制过程中伴有化学反应；</w:t>
            </w:r>
          </w:p>
          <w:p>
            <w:pPr>
              <w:pStyle w:val="59"/>
              <w:rPr>
                <w:color w:val="auto"/>
              </w:rPr>
            </w:pPr>
            <w:r>
              <w:rPr>
                <w:color w:val="auto"/>
              </w:rPr>
              <w:t>单批式操作，但开始使用机械进行程序操作；</w:t>
            </w:r>
          </w:p>
          <w:p>
            <w:pPr>
              <w:pStyle w:val="59"/>
              <w:rPr>
                <w:color w:val="auto"/>
              </w:rPr>
            </w:pPr>
            <w:r>
              <w:rPr>
                <w:color w:val="auto"/>
              </w:rPr>
              <w:t>有一定危险的操作</w:t>
            </w:r>
          </w:p>
        </w:tc>
        <w:tc>
          <w:tcPr>
            <w:tcW w:w="1728" w:type="dxa"/>
            <w:noWrap w:val="0"/>
            <w:vAlign w:val="center"/>
          </w:tcPr>
          <w:p>
            <w:pPr>
              <w:pStyle w:val="59"/>
              <w:rPr>
                <w:color w:val="auto"/>
              </w:rPr>
            </w:pPr>
            <w:r>
              <w:rPr>
                <w:color w:val="auto"/>
              </w:rPr>
              <w:t>无危险的操作</w:t>
            </w:r>
          </w:p>
        </w:tc>
      </w:tr>
    </w:tbl>
    <w:p>
      <w:pPr>
        <w:spacing w:line="360" w:lineRule="auto"/>
        <w:ind w:firstLine="560" w:firstLineChars="200"/>
        <w:rPr>
          <w:rFonts w:ascii="Times New Roman" w:hAnsi="Times New Roman"/>
          <w:b/>
          <w:bCs/>
          <w:color w:val="auto"/>
          <w:sz w:val="24"/>
        </w:rPr>
      </w:pPr>
      <w:r>
        <w:rPr>
          <w:rFonts w:ascii="Times New Roman" w:hAnsi="宋体"/>
          <w:color w:val="auto"/>
          <w:sz w:val="28"/>
        </w:rPr>
        <w:t>危险度分级见表</w:t>
      </w:r>
      <w:r>
        <w:rPr>
          <w:rFonts w:hint="eastAsia" w:ascii="Times New Roman" w:hAnsi="Times New Roman"/>
          <w:color w:val="auto"/>
          <w:sz w:val="28"/>
          <w:lang w:val="en-US" w:eastAsia="zh-CN"/>
        </w:rPr>
        <w:t>5.3-5</w:t>
      </w:r>
      <w:r>
        <w:rPr>
          <w:rFonts w:ascii="Times New Roman" w:hAnsi="宋体"/>
          <w:color w:val="auto"/>
          <w:sz w:val="28"/>
        </w:rPr>
        <w:t>。</w:t>
      </w:r>
    </w:p>
    <w:p>
      <w:pPr>
        <w:jc w:val="center"/>
        <w:rPr>
          <w:rFonts w:ascii="Times New Roman" w:hAnsi="Times New Roman"/>
          <w:b/>
          <w:bCs/>
          <w:color w:val="auto"/>
          <w:sz w:val="24"/>
        </w:rPr>
      </w:pPr>
      <w:r>
        <w:rPr>
          <w:rFonts w:ascii="Times New Roman" w:hAnsi="宋体"/>
          <w:b/>
          <w:bCs/>
          <w:color w:val="auto"/>
          <w:sz w:val="24"/>
        </w:rPr>
        <w:t>表</w:t>
      </w:r>
      <w:r>
        <w:rPr>
          <w:rFonts w:hint="eastAsia" w:ascii="Times New Roman" w:hAnsi="Times New Roman"/>
          <w:b/>
          <w:bCs/>
          <w:color w:val="auto"/>
          <w:sz w:val="24"/>
          <w:lang w:val="en-US" w:eastAsia="zh-CN"/>
        </w:rPr>
        <w:t>5.3</w:t>
      </w:r>
      <w:r>
        <w:rPr>
          <w:rFonts w:ascii="Times New Roman" w:hAnsi="Times New Roman"/>
          <w:b/>
          <w:bCs/>
          <w:color w:val="auto"/>
          <w:sz w:val="24"/>
        </w:rPr>
        <w:t>-</w:t>
      </w:r>
      <w:r>
        <w:rPr>
          <w:rFonts w:hint="eastAsia" w:ascii="Times New Roman" w:hAnsi="Times New Roman"/>
          <w:b/>
          <w:bCs/>
          <w:color w:val="auto"/>
          <w:sz w:val="24"/>
          <w:lang w:val="en-US" w:eastAsia="zh-CN"/>
        </w:rPr>
        <w:t>5</w:t>
      </w:r>
      <w:r>
        <w:rPr>
          <w:rFonts w:ascii="Times New Roman" w:hAnsi="Times New Roman"/>
          <w:b/>
          <w:bCs/>
          <w:color w:val="auto"/>
          <w:sz w:val="24"/>
        </w:rPr>
        <w:t xml:space="preserve"> </w:t>
      </w:r>
      <w:r>
        <w:rPr>
          <w:rFonts w:ascii="Times New Roman" w:hAnsi="宋体"/>
          <w:b/>
          <w:bCs/>
          <w:color w:val="auto"/>
          <w:sz w:val="24"/>
        </w:rPr>
        <w:t>危险度分级表</w:t>
      </w:r>
    </w:p>
    <w:tbl>
      <w:tblPr>
        <w:tblStyle w:val="42"/>
        <w:tblW w:w="0" w:type="auto"/>
        <w:jc w:val="center"/>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7"/>
        <w:gridCol w:w="2351"/>
        <w:gridCol w:w="2352"/>
        <w:gridCol w:w="2352"/>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总分值</w:t>
            </w:r>
          </w:p>
        </w:tc>
        <w:tc>
          <w:tcPr>
            <w:tcW w:w="2351" w:type="dxa"/>
            <w:tcBorders>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≥16分</w:t>
            </w:r>
          </w:p>
        </w:tc>
        <w:tc>
          <w:tcPr>
            <w:tcW w:w="2352" w:type="dxa"/>
            <w:tcBorders>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11~15分</w:t>
            </w:r>
          </w:p>
        </w:tc>
        <w:tc>
          <w:tcPr>
            <w:tcW w:w="2352" w:type="dxa"/>
            <w:tcBorders>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≤10分</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等级</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Ⅰ</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Ⅱ</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Ⅲ</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2237"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危险程度</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高度危险</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中度危险</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pStyle w:val="59"/>
              <w:spacing w:line="240" w:lineRule="auto"/>
              <w:jc w:val="center"/>
              <w:rPr>
                <w:color w:val="auto"/>
              </w:rPr>
            </w:pPr>
            <w:r>
              <w:rPr>
                <w:color w:val="auto"/>
              </w:rPr>
              <w:t>低度危险</w:t>
            </w:r>
          </w:p>
        </w:tc>
      </w:tr>
    </w:tbl>
    <w:p>
      <w:pPr>
        <w:spacing w:line="600" w:lineRule="exact"/>
        <w:ind w:firstLine="562" w:firstLineChars="200"/>
        <w:jc w:val="left"/>
        <w:rPr>
          <w:rFonts w:hint="eastAsia" w:ascii="宋体" w:hAnsi="宋体"/>
          <w:b/>
          <w:color w:val="auto"/>
          <w:sz w:val="28"/>
          <w:szCs w:val="28"/>
        </w:rPr>
      </w:pPr>
      <w:r>
        <w:rPr>
          <w:rFonts w:hint="eastAsia" w:ascii="宋体" w:hAnsi="宋体"/>
          <w:b/>
          <w:color w:val="auto"/>
          <w:sz w:val="28"/>
          <w:szCs w:val="28"/>
        </w:rPr>
        <w:t>4.重大事故模拟分析法</w:t>
      </w:r>
    </w:p>
    <w:p>
      <w:pPr>
        <w:ind w:firstLine="560" w:firstLineChars="200"/>
        <w:rPr>
          <w:rFonts w:hint="eastAsia"/>
          <w:color w:val="auto"/>
          <w:sz w:val="28"/>
          <w:szCs w:val="28"/>
        </w:rPr>
      </w:pPr>
      <w:r>
        <w:rPr>
          <w:rFonts w:hint="eastAsia"/>
          <w:color w:val="auto"/>
          <w:sz w:val="28"/>
          <w:szCs w:val="28"/>
        </w:rPr>
        <w:t>1）设备设施失效频率分析</w:t>
      </w:r>
    </w:p>
    <w:p>
      <w:pPr>
        <w:ind w:firstLine="560" w:firstLineChars="200"/>
        <w:rPr>
          <w:rFonts w:hint="eastAsia"/>
          <w:color w:val="auto"/>
          <w:sz w:val="28"/>
          <w:szCs w:val="28"/>
        </w:rPr>
      </w:pPr>
      <w:r>
        <w:rPr>
          <w:rFonts w:hint="eastAsia"/>
          <w:color w:val="auto"/>
          <w:sz w:val="28"/>
          <w:szCs w:val="28"/>
        </w:rPr>
        <w:t>在危险源信息的基础上，结合事故树的分析，筛选出定量风险评价所需的压力容器、常压容器、管线、阀门、泵、压缩机等事故风险点清单。在工艺过程危险因素分析的基础上，进行主要危险点泄漏尺寸类型分析，以此确定各危险点设备设施失效频率。</w:t>
      </w:r>
    </w:p>
    <w:p>
      <w:pPr>
        <w:ind w:firstLine="560" w:firstLineChars="200"/>
        <w:rPr>
          <w:rFonts w:hint="eastAsia"/>
          <w:color w:val="auto"/>
          <w:sz w:val="28"/>
          <w:szCs w:val="28"/>
        </w:rPr>
      </w:pPr>
      <w:r>
        <w:rPr>
          <w:rFonts w:hint="eastAsia"/>
          <w:color w:val="auto"/>
          <w:sz w:val="28"/>
          <w:szCs w:val="28"/>
        </w:rPr>
        <w:t>2）事故发生情景频率分析</w:t>
      </w:r>
    </w:p>
    <w:p>
      <w:pPr>
        <w:ind w:firstLine="560" w:firstLineChars="200"/>
        <w:rPr>
          <w:rFonts w:hint="eastAsia"/>
          <w:color w:val="auto"/>
          <w:sz w:val="28"/>
          <w:szCs w:val="28"/>
        </w:rPr>
      </w:pPr>
      <w:r>
        <w:rPr>
          <w:rFonts w:hint="eastAsia"/>
          <w:color w:val="auto"/>
          <w:sz w:val="28"/>
          <w:szCs w:val="28"/>
        </w:rPr>
        <w:t>各个风险点会因危险物质种类、泄漏类型、泄漏大小等的不同而产生不同的事故情景，不同事故情景发生的概率不同。通过事件树分析，建立不同事故风险点的事件树，进行量化分析，确定发生凝聚项含能材料整体爆炸、压力容器物理爆炸、Beleve、VCE、池火灾、有毒气体扩散等情景的条件概率分布。</w:t>
      </w:r>
    </w:p>
    <w:p>
      <w:pPr>
        <w:ind w:firstLine="560" w:firstLineChars="200"/>
        <w:rPr>
          <w:rFonts w:hint="eastAsia"/>
          <w:color w:val="auto"/>
          <w:sz w:val="28"/>
          <w:szCs w:val="28"/>
        </w:rPr>
      </w:pPr>
      <w:r>
        <w:rPr>
          <w:rFonts w:hint="eastAsia"/>
          <w:color w:val="auto"/>
          <w:sz w:val="28"/>
          <w:szCs w:val="28"/>
        </w:rPr>
        <w:t>3）泄漏计算</w:t>
      </w:r>
    </w:p>
    <w:p>
      <w:pPr>
        <w:ind w:firstLine="560" w:firstLineChars="200"/>
        <w:rPr>
          <w:rFonts w:hint="eastAsia"/>
          <w:color w:val="auto"/>
          <w:sz w:val="28"/>
          <w:szCs w:val="28"/>
        </w:rPr>
      </w:pPr>
      <w:r>
        <w:rPr>
          <w:rFonts w:hint="eastAsia"/>
          <w:color w:val="auto"/>
          <w:sz w:val="28"/>
          <w:szCs w:val="28"/>
        </w:rPr>
        <w:t>存储于罐体、管道的介质由于罐体或管道破损，会产生泄漏，形成液池和蒸发。通过软件内嵌的泄漏模型，计算出泄漏量、蒸发量、液池面积等数据，为事故后果和个人风险计算提供支持。</w:t>
      </w:r>
    </w:p>
    <w:p>
      <w:pPr>
        <w:ind w:firstLine="560" w:firstLineChars="200"/>
        <w:rPr>
          <w:rFonts w:hint="eastAsia"/>
          <w:color w:val="auto"/>
          <w:sz w:val="28"/>
          <w:szCs w:val="28"/>
        </w:rPr>
      </w:pPr>
      <w:r>
        <w:rPr>
          <w:rFonts w:hint="eastAsia"/>
          <w:color w:val="auto"/>
          <w:sz w:val="28"/>
          <w:szCs w:val="28"/>
        </w:rPr>
        <w:t>4）事故后果计算</w:t>
      </w:r>
    </w:p>
    <w:p>
      <w:pPr>
        <w:ind w:firstLine="560" w:firstLineChars="200"/>
        <w:rPr>
          <w:rFonts w:hint="eastAsia"/>
          <w:color w:val="auto"/>
          <w:sz w:val="28"/>
          <w:szCs w:val="28"/>
        </w:rPr>
      </w:pPr>
      <w:r>
        <w:rPr>
          <w:rFonts w:hint="eastAsia"/>
          <w:color w:val="auto"/>
          <w:sz w:val="28"/>
          <w:szCs w:val="28"/>
        </w:rPr>
        <w:t>根据事故情景描述以及泄漏计算的结果，可以计算出所有事故情景的事故伤害后果,用死亡可能性 50%的涵盖区域来描述。其中还包含气体扩散形成蒸气云爆炸和闪火危害的后果。</w:t>
      </w:r>
    </w:p>
    <w:p>
      <w:pPr>
        <w:ind w:firstLine="560" w:firstLineChars="200"/>
        <w:rPr>
          <w:rFonts w:hint="eastAsia"/>
          <w:color w:val="auto"/>
          <w:sz w:val="28"/>
          <w:szCs w:val="28"/>
        </w:rPr>
      </w:pPr>
      <w:r>
        <w:rPr>
          <w:rFonts w:hint="eastAsia"/>
          <w:color w:val="auto"/>
          <w:sz w:val="28"/>
          <w:szCs w:val="28"/>
        </w:rPr>
        <w:t>5）个人风险计算</w:t>
      </w:r>
    </w:p>
    <w:p>
      <w:pPr>
        <w:ind w:firstLine="560" w:firstLineChars="200"/>
        <w:rPr>
          <w:rFonts w:hint="eastAsia"/>
          <w:color w:val="auto"/>
          <w:sz w:val="28"/>
          <w:szCs w:val="28"/>
        </w:rPr>
      </w:pPr>
      <w:r>
        <w:rPr>
          <w:rFonts w:hint="eastAsia"/>
          <w:color w:val="auto"/>
          <w:sz w:val="28"/>
          <w:szCs w:val="28"/>
        </w:rPr>
        <w:t>基于设备设施失效频率、事故发生情景频率、气象条件概率和事故后果，通过计算模块，完成事故发生频率（fs）和事故后果（vs）的拟合计算，并在评价区域平面图上绘制出所要求的个人风险等值线分布图，确定外部安全防护距离。</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pStyle w:val="2"/>
        <w:spacing w:before="0" w:after="0" w:line="240" w:lineRule="auto"/>
        <w:jc w:val="center"/>
        <w:rPr>
          <w:rFonts w:hint="eastAsia"/>
          <w:color w:val="auto"/>
        </w:rPr>
      </w:pPr>
      <w:bookmarkStart w:id="461" w:name="_Toc7153"/>
      <w:bookmarkStart w:id="462" w:name="_Toc24364"/>
      <w:bookmarkStart w:id="463" w:name="_Toc30163"/>
      <w:bookmarkStart w:id="464" w:name="_Toc6858"/>
      <w:bookmarkStart w:id="465" w:name="_Toc30960"/>
      <w:bookmarkStart w:id="466" w:name="_Toc53083864"/>
      <w:bookmarkStart w:id="467" w:name="_Toc18732"/>
      <w:bookmarkStart w:id="468" w:name="_Toc252868523"/>
      <w:bookmarkStart w:id="469" w:name="_Toc380587608"/>
      <w:bookmarkStart w:id="470" w:name="_Toc91765284"/>
      <w:bookmarkStart w:id="471" w:name="_Toc212350930"/>
      <w:bookmarkStart w:id="472" w:name="_Toc236020915"/>
      <w:r>
        <w:rPr>
          <w:rFonts w:hint="eastAsia"/>
          <w:color w:val="auto"/>
        </w:rPr>
        <w:t>6 定性、定量分析危险、有害因素的结果</w:t>
      </w:r>
      <w:bookmarkEnd w:id="461"/>
      <w:bookmarkEnd w:id="462"/>
      <w:bookmarkEnd w:id="463"/>
      <w:bookmarkEnd w:id="464"/>
      <w:bookmarkEnd w:id="465"/>
      <w:bookmarkEnd w:id="466"/>
      <w:bookmarkEnd w:id="467"/>
      <w:bookmarkEnd w:id="468"/>
      <w:bookmarkEnd w:id="469"/>
      <w:bookmarkEnd w:id="470"/>
      <w:bookmarkEnd w:id="471"/>
      <w:bookmarkEnd w:id="472"/>
    </w:p>
    <w:p>
      <w:pPr>
        <w:pStyle w:val="3"/>
        <w:rPr>
          <w:rFonts w:hint="eastAsia"/>
          <w:color w:val="auto"/>
        </w:rPr>
      </w:pPr>
      <w:bookmarkStart w:id="473" w:name="_Toc252868524"/>
      <w:bookmarkStart w:id="474" w:name="_Toc212350931"/>
      <w:bookmarkStart w:id="475" w:name="_Toc236020916"/>
      <w:bookmarkStart w:id="476" w:name="_Toc25407"/>
      <w:bookmarkStart w:id="477" w:name="_Toc91765285"/>
      <w:bookmarkStart w:id="478" w:name="_Toc7293"/>
      <w:bookmarkStart w:id="479" w:name="_Toc380587609"/>
      <w:bookmarkStart w:id="480" w:name="_Toc5466"/>
      <w:bookmarkStart w:id="481" w:name="_Toc21307"/>
      <w:bookmarkStart w:id="482" w:name="_Toc16500"/>
      <w:bookmarkStart w:id="483" w:name="_Toc53083865"/>
      <w:bookmarkStart w:id="484" w:name="_Toc24491"/>
      <w:r>
        <w:rPr>
          <w:rFonts w:hint="eastAsia"/>
          <w:color w:val="auto"/>
        </w:rPr>
        <w:t>6.1</w:t>
      </w:r>
      <w:bookmarkEnd w:id="473"/>
      <w:bookmarkEnd w:id="474"/>
      <w:bookmarkEnd w:id="475"/>
      <w:r>
        <w:rPr>
          <w:rFonts w:hint="eastAsia"/>
          <w:color w:val="auto"/>
        </w:rPr>
        <w:t>固有危险程度的分析</w:t>
      </w:r>
      <w:bookmarkEnd w:id="476"/>
      <w:bookmarkEnd w:id="477"/>
      <w:bookmarkEnd w:id="478"/>
      <w:bookmarkEnd w:id="479"/>
      <w:bookmarkEnd w:id="480"/>
      <w:bookmarkEnd w:id="481"/>
      <w:bookmarkEnd w:id="482"/>
      <w:bookmarkEnd w:id="483"/>
      <w:bookmarkEnd w:id="484"/>
    </w:p>
    <w:p>
      <w:pPr>
        <w:pStyle w:val="4"/>
        <w:spacing w:before="0" w:after="0" w:line="240" w:lineRule="auto"/>
        <w:jc w:val="left"/>
        <w:rPr>
          <w:rFonts w:hint="eastAsia"/>
          <w:color w:val="auto"/>
        </w:rPr>
      </w:pPr>
      <w:bookmarkStart w:id="485" w:name="_Toc30833"/>
      <w:bookmarkStart w:id="486" w:name="_Toc380587610"/>
      <w:bookmarkStart w:id="487" w:name="_Toc21431"/>
      <w:bookmarkStart w:id="488" w:name="_Toc53083866"/>
      <w:bookmarkStart w:id="489" w:name="_Toc3580"/>
      <w:bookmarkStart w:id="490" w:name="_Toc29767"/>
      <w:bookmarkStart w:id="491" w:name="_Toc91765286"/>
      <w:bookmarkStart w:id="492" w:name="_Toc4114"/>
      <w:bookmarkStart w:id="493" w:name="_Toc29607"/>
      <w:r>
        <w:rPr>
          <w:rFonts w:hint="eastAsia"/>
          <w:color w:val="auto"/>
        </w:rPr>
        <w:t>6.1.1作业场所的固有危险程度分析</w:t>
      </w:r>
      <w:bookmarkEnd w:id="485"/>
      <w:bookmarkEnd w:id="486"/>
      <w:bookmarkEnd w:id="487"/>
      <w:bookmarkEnd w:id="488"/>
      <w:bookmarkEnd w:id="489"/>
      <w:bookmarkEnd w:id="490"/>
      <w:bookmarkEnd w:id="491"/>
      <w:bookmarkEnd w:id="492"/>
      <w:bookmarkEnd w:id="493"/>
    </w:p>
    <w:p>
      <w:pPr>
        <w:tabs>
          <w:tab w:val="center" w:pos="4535"/>
          <w:tab w:val="left" w:pos="6705"/>
        </w:tabs>
        <w:spacing w:line="600" w:lineRule="exact"/>
        <w:ind w:firstLine="560" w:firstLineChars="200"/>
        <w:jc w:val="left"/>
        <w:rPr>
          <w:color w:val="auto"/>
          <w:sz w:val="28"/>
          <w:szCs w:val="28"/>
        </w:rPr>
      </w:pPr>
      <w:r>
        <w:rPr>
          <w:rFonts w:hint="eastAsia" w:ascii="宋体" w:hAnsi="宋体" w:cs="Arial"/>
          <w:bCs/>
          <w:color w:val="auto"/>
          <w:sz w:val="28"/>
          <w:szCs w:val="28"/>
        </w:rPr>
        <w:t>依据可研中资料，</w:t>
      </w:r>
      <w:r>
        <w:rPr>
          <w:rFonts w:hint="eastAsia"/>
          <w:color w:val="auto"/>
          <w:sz w:val="28"/>
          <w:szCs w:val="28"/>
        </w:rPr>
        <w:t>结合相应物质的理化性质及危险特性表，通过分析</w:t>
      </w:r>
      <w:r>
        <w:rPr>
          <w:color w:val="auto"/>
          <w:sz w:val="28"/>
          <w:szCs w:val="28"/>
        </w:rPr>
        <w:t>作业场所固有危险见表</w:t>
      </w:r>
      <w:r>
        <w:rPr>
          <w:rFonts w:hint="eastAsia" w:ascii="宋体" w:hAnsi="宋体"/>
          <w:color w:val="auto"/>
          <w:sz w:val="28"/>
          <w:szCs w:val="28"/>
        </w:rPr>
        <w:t>6</w:t>
      </w:r>
      <w:r>
        <w:rPr>
          <w:rFonts w:ascii="宋体" w:hAnsi="宋体"/>
          <w:color w:val="auto"/>
          <w:sz w:val="28"/>
          <w:szCs w:val="28"/>
        </w:rPr>
        <w:t>.1-</w:t>
      </w:r>
      <w:r>
        <w:rPr>
          <w:rFonts w:hint="eastAsia" w:ascii="宋体" w:hAnsi="宋体"/>
          <w:color w:val="auto"/>
          <w:sz w:val="28"/>
          <w:szCs w:val="28"/>
        </w:rPr>
        <w:t>1</w:t>
      </w:r>
      <w:r>
        <w:rPr>
          <w:rFonts w:ascii="宋体" w:hAnsi="宋体"/>
          <w:color w:val="auto"/>
          <w:sz w:val="28"/>
          <w:szCs w:val="28"/>
        </w:rPr>
        <w:t>。</w:t>
      </w:r>
    </w:p>
    <w:p>
      <w:pPr>
        <w:pStyle w:val="53"/>
        <w:rPr>
          <w:rFonts w:hint="eastAsia" w:ascii="宋体" w:hAnsi="宋体"/>
          <w:color w:val="auto"/>
          <w:szCs w:val="21"/>
        </w:rPr>
      </w:pPr>
      <w:r>
        <w:rPr>
          <w:rFonts w:ascii="宋体" w:hAnsi="宋体"/>
          <w:color w:val="auto"/>
          <w:szCs w:val="21"/>
        </w:rPr>
        <w:t>表</w:t>
      </w:r>
      <w:r>
        <w:rPr>
          <w:rFonts w:hint="eastAsia" w:ascii="宋体" w:hAnsi="宋体"/>
          <w:color w:val="auto"/>
          <w:szCs w:val="21"/>
        </w:rPr>
        <w:t>6</w:t>
      </w:r>
      <w:r>
        <w:rPr>
          <w:rFonts w:ascii="宋体" w:hAnsi="宋体"/>
          <w:color w:val="auto"/>
          <w:szCs w:val="21"/>
        </w:rPr>
        <w:t>.1-</w:t>
      </w:r>
      <w:r>
        <w:rPr>
          <w:rFonts w:hint="eastAsia" w:ascii="宋体" w:hAnsi="宋体"/>
          <w:color w:val="auto"/>
          <w:szCs w:val="21"/>
        </w:rPr>
        <w:t>1</w:t>
      </w:r>
      <w:r>
        <w:rPr>
          <w:rFonts w:ascii="宋体" w:hAnsi="宋体"/>
          <w:color w:val="auto"/>
          <w:szCs w:val="21"/>
        </w:rPr>
        <w:t xml:space="preserve"> </w:t>
      </w:r>
      <w:r>
        <w:rPr>
          <w:rFonts w:hint="eastAsia" w:ascii="宋体" w:hAnsi="宋体"/>
          <w:color w:val="auto"/>
          <w:szCs w:val="21"/>
        </w:rPr>
        <w:t>主要</w:t>
      </w:r>
      <w:r>
        <w:rPr>
          <w:rFonts w:ascii="宋体" w:hAnsi="宋体"/>
          <w:color w:val="auto"/>
          <w:szCs w:val="21"/>
        </w:rPr>
        <w:t>作业场所固有危险性</w:t>
      </w:r>
    </w:p>
    <w:tbl>
      <w:tblPr>
        <w:tblStyle w:val="42"/>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1088"/>
        <w:gridCol w:w="2344"/>
        <w:gridCol w:w="2105"/>
        <w:gridCol w:w="1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adjustRightInd w:val="0"/>
              <w:snapToGrid w:val="0"/>
              <w:spacing w:line="240" w:lineRule="auto"/>
              <w:jc w:val="center"/>
              <w:rPr>
                <w:rFonts w:hint="eastAsia"/>
                <w:color w:val="auto"/>
                <w:sz w:val="21"/>
                <w:szCs w:val="21"/>
              </w:rPr>
            </w:pPr>
            <w:r>
              <w:rPr>
                <w:rFonts w:hint="eastAsia" w:hAnsi="宋体"/>
                <w:color w:val="auto"/>
                <w:sz w:val="21"/>
                <w:szCs w:val="21"/>
              </w:rPr>
              <w:t>场所</w:t>
            </w:r>
          </w:p>
        </w:tc>
        <w:tc>
          <w:tcPr>
            <w:tcW w:w="1088" w:type="dxa"/>
            <w:noWrap w:val="0"/>
            <w:vAlign w:val="center"/>
          </w:tcPr>
          <w:p>
            <w:pPr>
              <w:adjustRightInd w:val="0"/>
              <w:snapToGrid w:val="0"/>
              <w:spacing w:line="240" w:lineRule="auto"/>
              <w:jc w:val="center"/>
              <w:rPr>
                <w:rFonts w:hint="eastAsia"/>
                <w:color w:val="auto"/>
                <w:sz w:val="21"/>
                <w:szCs w:val="21"/>
              </w:rPr>
            </w:pPr>
            <w:r>
              <w:rPr>
                <w:rFonts w:hAnsi="宋体"/>
                <w:color w:val="auto"/>
                <w:sz w:val="21"/>
                <w:szCs w:val="21"/>
              </w:rPr>
              <w:t>火</w:t>
            </w:r>
            <w:r>
              <w:rPr>
                <w:rFonts w:hint="eastAsia" w:hAnsi="宋体"/>
                <w:color w:val="auto"/>
                <w:sz w:val="21"/>
                <w:szCs w:val="21"/>
              </w:rPr>
              <w:t>险</w:t>
            </w:r>
            <w:r>
              <w:rPr>
                <w:rFonts w:hint="eastAsia" w:hAnsi="宋体"/>
                <w:color w:val="auto"/>
                <w:sz w:val="21"/>
                <w:szCs w:val="21"/>
                <w:lang w:val="en-US" w:eastAsia="zh-CN"/>
              </w:rPr>
              <w:t>类别</w:t>
            </w:r>
          </w:p>
        </w:tc>
        <w:tc>
          <w:tcPr>
            <w:tcW w:w="2344" w:type="dxa"/>
            <w:noWrap w:val="0"/>
            <w:vAlign w:val="center"/>
          </w:tcPr>
          <w:p>
            <w:pPr>
              <w:adjustRightInd w:val="0"/>
              <w:snapToGrid w:val="0"/>
              <w:spacing w:line="240" w:lineRule="auto"/>
              <w:jc w:val="center"/>
              <w:rPr>
                <w:rFonts w:hint="eastAsia"/>
                <w:color w:val="auto"/>
                <w:sz w:val="21"/>
                <w:szCs w:val="21"/>
              </w:rPr>
            </w:pPr>
            <w:r>
              <w:rPr>
                <w:rFonts w:hint="eastAsia"/>
                <w:color w:val="auto"/>
                <w:sz w:val="21"/>
                <w:szCs w:val="21"/>
              </w:rPr>
              <w:t>主要危险物料</w:t>
            </w:r>
          </w:p>
        </w:tc>
        <w:tc>
          <w:tcPr>
            <w:tcW w:w="2105" w:type="dxa"/>
            <w:noWrap w:val="0"/>
            <w:vAlign w:val="center"/>
          </w:tcPr>
          <w:p>
            <w:pPr>
              <w:adjustRightInd w:val="0"/>
              <w:snapToGrid w:val="0"/>
              <w:spacing w:line="240" w:lineRule="auto"/>
              <w:jc w:val="center"/>
              <w:rPr>
                <w:rFonts w:hint="eastAsia"/>
                <w:color w:val="auto"/>
                <w:sz w:val="21"/>
                <w:szCs w:val="21"/>
              </w:rPr>
            </w:pPr>
            <w:r>
              <w:rPr>
                <w:rFonts w:hint="eastAsia"/>
                <w:color w:val="auto"/>
                <w:sz w:val="21"/>
                <w:szCs w:val="21"/>
              </w:rPr>
              <w:t>爆炸危险环境</w:t>
            </w:r>
          </w:p>
        </w:tc>
        <w:tc>
          <w:tcPr>
            <w:tcW w:w="1742" w:type="dxa"/>
            <w:noWrap w:val="0"/>
            <w:vAlign w:val="center"/>
          </w:tcPr>
          <w:p>
            <w:pPr>
              <w:adjustRightInd w:val="0"/>
              <w:snapToGrid w:val="0"/>
              <w:spacing w:line="240" w:lineRule="auto"/>
              <w:jc w:val="center"/>
              <w:rPr>
                <w:color w:val="auto"/>
                <w:sz w:val="21"/>
                <w:szCs w:val="21"/>
              </w:rPr>
            </w:pPr>
            <w:r>
              <w:rPr>
                <w:rFonts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lang w:eastAsia="zh-CN"/>
              </w:rPr>
            </w:pPr>
            <w:r>
              <w:rPr>
                <w:rFonts w:hint="eastAsia"/>
                <w:color w:val="auto"/>
                <w:sz w:val="21"/>
                <w:szCs w:val="21"/>
                <w:lang w:eastAsia="zh-CN"/>
              </w:rPr>
              <w:t>1</w:t>
            </w:r>
            <w:r>
              <w:rPr>
                <w:rFonts w:hint="eastAsia"/>
                <w:color w:val="auto"/>
                <w:sz w:val="21"/>
                <w:szCs w:val="21"/>
                <w:lang w:val="en-US" w:eastAsia="zh-CN"/>
              </w:rPr>
              <w:t>01裂解车间</w:t>
            </w:r>
          </w:p>
        </w:tc>
        <w:tc>
          <w:tcPr>
            <w:tcW w:w="1088" w:type="dxa"/>
            <w:noWrap w:val="0"/>
            <w:vAlign w:val="center"/>
          </w:tcPr>
          <w:p>
            <w:pPr>
              <w:spacing w:line="240" w:lineRule="auto"/>
              <w:jc w:val="center"/>
              <w:rPr>
                <w:color w:val="auto"/>
                <w:sz w:val="21"/>
                <w:szCs w:val="21"/>
              </w:rPr>
            </w:pPr>
            <w:r>
              <w:rPr>
                <w:rFonts w:hint="eastAsia" w:ascii="宋体" w:hAnsi="宋体"/>
                <w:color w:val="auto"/>
                <w:sz w:val="21"/>
                <w:szCs w:val="21"/>
                <w:lang w:val="en-GB"/>
              </w:rPr>
              <w:t>甲</w:t>
            </w:r>
          </w:p>
        </w:tc>
        <w:tc>
          <w:tcPr>
            <w:tcW w:w="2344" w:type="dxa"/>
            <w:noWrap w:val="0"/>
            <w:vAlign w:val="center"/>
          </w:tcPr>
          <w:p>
            <w:pPr>
              <w:spacing w:line="240" w:lineRule="auto"/>
              <w:jc w:val="center"/>
              <w:rPr>
                <w:rFonts w:hint="eastAsia" w:eastAsia="宋体"/>
                <w:color w:val="auto"/>
                <w:sz w:val="21"/>
                <w:szCs w:val="21"/>
                <w:lang w:val="en-US" w:eastAsia="zh-CN"/>
              </w:rPr>
            </w:pPr>
            <w:r>
              <w:rPr>
                <w:rFonts w:hint="eastAsia"/>
                <w:color w:val="auto"/>
                <w:sz w:val="21"/>
                <w:szCs w:val="21"/>
                <w:lang w:val="en-US" w:eastAsia="zh-CN"/>
              </w:rPr>
              <w:t>甲基丙烯酸甲酯</w:t>
            </w:r>
          </w:p>
        </w:tc>
        <w:tc>
          <w:tcPr>
            <w:tcW w:w="2105" w:type="dxa"/>
            <w:noWrap w:val="0"/>
            <w:vAlign w:val="center"/>
          </w:tcPr>
          <w:p>
            <w:pPr>
              <w:spacing w:line="240" w:lineRule="auto"/>
              <w:jc w:val="center"/>
              <w:rPr>
                <w:color w:val="auto"/>
                <w:sz w:val="21"/>
                <w:szCs w:val="21"/>
              </w:rPr>
            </w:pPr>
            <w:r>
              <w:rPr>
                <w:rFonts w:hint="eastAsia"/>
                <w:color w:val="auto"/>
                <w:sz w:val="21"/>
                <w:szCs w:val="21"/>
              </w:rPr>
              <w:t>2区爆炸危险场所</w:t>
            </w:r>
          </w:p>
        </w:tc>
        <w:tc>
          <w:tcPr>
            <w:tcW w:w="1742" w:type="dxa"/>
            <w:noWrap w:val="0"/>
            <w:vAlign w:val="center"/>
          </w:tcPr>
          <w:p>
            <w:pPr>
              <w:spacing w:line="240" w:lineRule="auto"/>
              <w:jc w:val="center"/>
              <w:rPr>
                <w:rFonts w:hint="eastAsia"/>
                <w:color w:val="auto"/>
                <w:sz w:val="21"/>
                <w:szCs w:val="21"/>
              </w:rPr>
            </w:pPr>
            <w:r>
              <w:rPr>
                <w:rFonts w:hint="eastAsia" w:ascii="宋体" w:hAnsi="宋体"/>
                <w:color w:val="auto"/>
                <w:sz w:val="21"/>
                <w:szCs w:val="21"/>
              </w:rPr>
              <w:t>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rPr>
            </w:pPr>
            <w:r>
              <w:rPr>
                <w:rFonts w:hint="eastAsia"/>
                <w:color w:val="auto"/>
                <w:sz w:val="21"/>
                <w:szCs w:val="21"/>
                <w:lang w:val="en-US" w:eastAsia="zh-CN"/>
              </w:rPr>
              <w:t>102精馏车间</w:t>
            </w:r>
          </w:p>
        </w:tc>
        <w:tc>
          <w:tcPr>
            <w:tcW w:w="1088"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w:t>
            </w:r>
          </w:p>
        </w:tc>
        <w:tc>
          <w:tcPr>
            <w:tcW w:w="2344"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甲基丙烯酸甲酯</w:t>
            </w:r>
          </w:p>
        </w:tc>
        <w:tc>
          <w:tcPr>
            <w:tcW w:w="2105" w:type="dxa"/>
            <w:noWrap w:val="0"/>
            <w:vAlign w:val="center"/>
          </w:tcPr>
          <w:p>
            <w:pPr>
              <w:spacing w:line="240" w:lineRule="auto"/>
              <w:jc w:val="center"/>
              <w:rPr>
                <w:color w:val="auto"/>
                <w:sz w:val="21"/>
                <w:szCs w:val="21"/>
              </w:rPr>
            </w:pPr>
            <w:r>
              <w:rPr>
                <w:rFonts w:hint="eastAsia"/>
                <w:color w:val="auto"/>
                <w:sz w:val="21"/>
                <w:szCs w:val="21"/>
              </w:rPr>
              <w:t>2区爆炸危险场所</w:t>
            </w:r>
          </w:p>
        </w:tc>
        <w:tc>
          <w:tcPr>
            <w:tcW w:w="1742"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rPr>
            </w:pPr>
            <w:r>
              <w:rPr>
                <w:rFonts w:hint="eastAsia"/>
                <w:color w:val="auto"/>
                <w:sz w:val="21"/>
                <w:szCs w:val="21"/>
                <w:lang w:val="en-US" w:eastAsia="zh-CN"/>
              </w:rPr>
              <w:t>201甲类仓库</w:t>
            </w:r>
          </w:p>
        </w:tc>
        <w:tc>
          <w:tcPr>
            <w:tcW w:w="1088"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w:t>
            </w:r>
          </w:p>
        </w:tc>
        <w:tc>
          <w:tcPr>
            <w:tcW w:w="2344"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甲基丙烯酸甲酯</w:t>
            </w:r>
          </w:p>
        </w:tc>
        <w:tc>
          <w:tcPr>
            <w:tcW w:w="2105" w:type="dxa"/>
            <w:noWrap w:val="0"/>
            <w:vAlign w:val="center"/>
          </w:tcPr>
          <w:p>
            <w:pPr>
              <w:spacing w:line="240" w:lineRule="auto"/>
              <w:jc w:val="center"/>
              <w:rPr>
                <w:color w:val="auto"/>
                <w:sz w:val="21"/>
                <w:szCs w:val="21"/>
              </w:rPr>
            </w:pPr>
            <w:r>
              <w:rPr>
                <w:rFonts w:hint="eastAsia"/>
                <w:color w:val="auto"/>
                <w:sz w:val="21"/>
                <w:szCs w:val="21"/>
              </w:rPr>
              <w:t>2区爆炸危险场所</w:t>
            </w:r>
          </w:p>
        </w:tc>
        <w:tc>
          <w:tcPr>
            <w:tcW w:w="1742" w:type="dxa"/>
            <w:noWrap w:val="0"/>
            <w:vAlign w:val="center"/>
          </w:tcPr>
          <w:p>
            <w:pPr>
              <w:spacing w:line="240" w:lineRule="auto"/>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rPr>
            </w:pPr>
            <w:r>
              <w:rPr>
                <w:rFonts w:hint="eastAsia"/>
                <w:color w:val="auto"/>
                <w:sz w:val="21"/>
                <w:szCs w:val="21"/>
                <w:lang w:val="en-US" w:eastAsia="zh-CN"/>
              </w:rPr>
              <w:t>202丙类仓库一</w:t>
            </w:r>
          </w:p>
        </w:tc>
        <w:tc>
          <w:tcPr>
            <w:tcW w:w="1088"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丙</w:t>
            </w:r>
          </w:p>
        </w:tc>
        <w:tc>
          <w:tcPr>
            <w:tcW w:w="2344" w:type="dxa"/>
            <w:noWrap w:val="0"/>
            <w:vAlign w:val="center"/>
          </w:tcPr>
          <w:p>
            <w:pPr>
              <w:spacing w:line="240" w:lineRule="auto"/>
              <w:jc w:val="center"/>
              <w:rPr>
                <w:rFonts w:hint="eastAsia" w:eastAsia="宋体"/>
                <w:color w:val="auto"/>
                <w:sz w:val="21"/>
                <w:szCs w:val="21"/>
                <w:lang w:val="en-US" w:eastAsia="zh-CN"/>
              </w:rPr>
            </w:pPr>
            <w:r>
              <w:rPr>
                <w:rFonts w:hint="eastAsia"/>
                <w:color w:val="auto"/>
                <w:sz w:val="21"/>
                <w:szCs w:val="21"/>
                <w:lang w:val="en-US" w:eastAsia="zh-CN"/>
              </w:rPr>
              <w:t>氮气（压缩的）</w:t>
            </w:r>
          </w:p>
        </w:tc>
        <w:tc>
          <w:tcPr>
            <w:tcW w:w="2105"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w:t>
            </w:r>
          </w:p>
        </w:tc>
        <w:tc>
          <w:tcPr>
            <w:tcW w:w="1742" w:type="dxa"/>
            <w:noWrap w:val="0"/>
            <w:vAlign w:val="center"/>
          </w:tcPr>
          <w:p>
            <w:pPr>
              <w:spacing w:line="240" w:lineRule="auto"/>
              <w:jc w:val="center"/>
              <w:rPr>
                <w:rFonts w:hint="default"/>
                <w:color w:val="auto"/>
                <w:sz w:val="21"/>
                <w:szCs w:val="21"/>
              </w:rPr>
            </w:pPr>
            <w:r>
              <w:rPr>
                <w:rFonts w:hint="eastAsia"/>
                <w:color w:val="auto"/>
                <w:sz w:val="21"/>
                <w:szCs w:val="21"/>
                <w:lang w:val="en-US" w:eastAsia="zh-CN"/>
              </w:rPr>
              <w:t>中毒和窒息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rPr>
            </w:pPr>
            <w:r>
              <w:rPr>
                <w:rFonts w:hint="eastAsia"/>
                <w:color w:val="auto"/>
                <w:sz w:val="21"/>
                <w:szCs w:val="21"/>
                <w:lang w:val="en-US" w:eastAsia="zh-CN"/>
              </w:rPr>
              <w:t>204丙类仓库二</w:t>
            </w:r>
          </w:p>
        </w:tc>
        <w:tc>
          <w:tcPr>
            <w:tcW w:w="1088"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丙</w:t>
            </w:r>
          </w:p>
        </w:tc>
        <w:tc>
          <w:tcPr>
            <w:tcW w:w="2344" w:type="dxa"/>
            <w:noWrap w:val="0"/>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聚甲基丙烯酸甲酯粉尘</w:t>
            </w:r>
          </w:p>
        </w:tc>
        <w:tc>
          <w:tcPr>
            <w:tcW w:w="2105"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w:t>
            </w:r>
          </w:p>
        </w:tc>
        <w:tc>
          <w:tcPr>
            <w:tcW w:w="1742" w:type="dxa"/>
            <w:noWrap w:val="0"/>
            <w:vAlign w:val="center"/>
          </w:tcPr>
          <w:p>
            <w:pPr>
              <w:spacing w:line="240" w:lineRule="auto"/>
              <w:jc w:val="center"/>
              <w:rPr>
                <w:rFonts w:hint="default"/>
                <w:color w:val="auto"/>
                <w:sz w:val="21"/>
                <w:szCs w:val="21"/>
              </w:rPr>
            </w:pPr>
            <w:r>
              <w:rPr>
                <w:rFonts w:hint="eastAsia"/>
                <w:color w:val="auto"/>
                <w:sz w:val="21"/>
                <w:szCs w:val="21"/>
                <w:lang w:val="en-US" w:eastAsia="zh-CN"/>
              </w:rPr>
              <w:t>粉尘爆炸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93" w:type="dxa"/>
            <w:noWrap w:val="0"/>
            <w:vAlign w:val="center"/>
          </w:tcPr>
          <w:p>
            <w:pPr>
              <w:pStyle w:val="655"/>
              <w:adjustRightInd w:val="0"/>
              <w:snapToGrid w:val="0"/>
              <w:spacing w:line="240" w:lineRule="auto"/>
              <w:ind w:firstLine="0" w:firstLineChars="0"/>
              <w:jc w:val="center"/>
              <w:rPr>
                <w:rFonts w:hint="default"/>
                <w:color w:val="auto"/>
                <w:sz w:val="21"/>
                <w:szCs w:val="21"/>
              </w:rPr>
            </w:pPr>
            <w:r>
              <w:rPr>
                <w:rFonts w:hint="eastAsia"/>
                <w:color w:val="auto"/>
                <w:sz w:val="21"/>
                <w:szCs w:val="21"/>
                <w:lang w:val="en-US" w:eastAsia="zh-CN"/>
              </w:rPr>
              <w:t>203罐区</w:t>
            </w:r>
          </w:p>
        </w:tc>
        <w:tc>
          <w:tcPr>
            <w:tcW w:w="1088"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w:t>
            </w:r>
          </w:p>
        </w:tc>
        <w:tc>
          <w:tcPr>
            <w:tcW w:w="2344" w:type="dxa"/>
            <w:noWrap w:val="0"/>
            <w:vAlign w:val="center"/>
          </w:tcPr>
          <w:p>
            <w:pPr>
              <w:spacing w:line="240" w:lineRule="auto"/>
              <w:jc w:val="center"/>
              <w:rPr>
                <w:rFonts w:hint="eastAsia"/>
                <w:color w:val="auto"/>
                <w:sz w:val="21"/>
                <w:szCs w:val="21"/>
              </w:rPr>
            </w:pPr>
            <w:r>
              <w:rPr>
                <w:rFonts w:hint="eastAsia"/>
                <w:color w:val="auto"/>
                <w:sz w:val="21"/>
                <w:szCs w:val="21"/>
                <w:lang w:val="en-US" w:eastAsia="zh-CN"/>
              </w:rPr>
              <w:t>甲基丙烯酸甲酯</w:t>
            </w:r>
          </w:p>
        </w:tc>
        <w:tc>
          <w:tcPr>
            <w:tcW w:w="2105" w:type="dxa"/>
            <w:noWrap w:val="0"/>
            <w:vAlign w:val="center"/>
          </w:tcPr>
          <w:p>
            <w:pPr>
              <w:spacing w:line="240" w:lineRule="auto"/>
              <w:jc w:val="center"/>
              <w:rPr>
                <w:color w:val="auto"/>
                <w:sz w:val="21"/>
                <w:szCs w:val="21"/>
              </w:rPr>
            </w:pPr>
            <w:r>
              <w:rPr>
                <w:rFonts w:hint="eastAsia"/>
                <w:color w:val="auto"/>
                <w:sz w:val="21"/>
                <w:szCs w:val="21"/>
              </w:rPr>
              <w:t>2区爆炸危险场所</w:t>
            </w:r>
          </w:p>
        </w:tc>
        <w:tc>
          <w:tcPr>
            <w:tcW w:w="1742" w:type="dxa"/>
            <w:noWrap w:val="0"/>
            <w:vAlign w:val="center"/>
          </w:tcPr>
          <w:p>
            <w:pPr>
              <w:spacing w:line="240" w:lineRule="auto"/>
              <w:jc w:val="center"/>
              <w:rPr>
                <w:color w:val="auto"/>
                <w:sz w:val="21"/>
                <w:szCs w:val="21"/>
              </w:rPr>
            </w:pPr>
          </w:p>
        </w:tc>
      </w:tr>
    </w:tbl>
    <w:p>
      <w:pPr>
        <w:pStyle w:val="4"/>
        <w:rPr>
          <w:rFonts w:hint="default"/>
          <w:color w:val="auto"/>
          <w:lang w:val="en-US" w:eastAsia="zh-CN"/>
        </w:rPr>
      </w:pPr>
      <w:bookmarkStart w:id="494" w:name="_Toc24809"/>
      <w:bookmarkStart w:id="495" w:name="_Toc31226"/>
      <w:bookmarkStart w:id="496" w:name="_Toc16870"/>
      <w:bookmarkStart w:id="497" w:name="_Toc6608"/>
      <w:bookmarkStart w:id="498" w:name="_Toc16442"/>
      <w:bookmarkStart w:id="499" w:name="_Toc29268"/>
      <w:r>
        <w:rPr>
          <w:rFonts w:hint="default"/>
          <w:color w:val="auto"/>
          <w:lang w:val="en-US" w:eastAsia="zh-CN"/>
        </w:rPr>
        <w:t>6.1.2 各单元固有危险程度定量分析</w:t>
      </w:r>
      <w:bookmarkEnd w:id="494"/>
      <w:bookmarkEnd w:id="495"/>
      <w:bookmarkEnd w:id="496"/>
      <w:bookmarkEnd w:id="497"/>
      <w:bookmarkEnd w:id="498"/>
      <w:bookmarkEnd w:id="499"/>
    </w:p>
    <w:p>
      <w:pPr>
        <w:pStyle w:val="5"/>
        <w:rPr>
          <w:rFonts w:hint="default"/>
          <w:color w:val="auto"/>
          <w:lang w:val="en-US" w:eastAsia="zh-CN"/>
        </w:rPr>
      </w:pPr>
      <w:r>
        <w:rPr>
          <w:rFonts w:hint="default"/>
          <w:color w:val="auto"/>
          <w:lang w:val="en-US" w:eastAsia="zh-CN"/>
        </w:rPr>
        <w:t>6.1.2.1 具有爆炸性的化学品的质量及相当于梯恩梯（TNT）的摩尔量</w:t>
      </w:r>
    </w:p>
    <w:p>
      <w:pPr>
        <w:ind w:firstLine="560" w:firstLineChars="200"/>
        <w:rPr>
          <w:rFonts w:hint="default"/>
          <w:color w:val="auto"/>
          <w:sz w:val="28"/>
          <w:szCs w:val="28"/>
          <w:lang w:val="en-US" w:eastAsia="zh-CN"/>
        </w:rPr>
      </w:pPr>
      <w:r>
        <w:rPr>
          <w:rFonts w:hint="default"/>
          <w:color w:val="auto"/>
          <w:sz w:val="28"/>
          <w:szCs w:val="28"/>
          <w:lang w:val="en-US" w:eastAsia="zh-CN"/>
        </w:rPr>
        <w:t>爆炸性化学品的 TNT 当量的公式：</w:t>
      </w:r>
    </w:p>
    <w:p>
      <w:pPr>
        <w:ind w:firstLine="560" w:firstLineChars="200"/>
        <w:rPr>
          <w:color w:val="auto"/>
          <w:kern w:val="0"/>
          <w:szCs w:val="21"/>
        </w:rPr>
      </w:pPr>
      <w:r>
        <w:rPr>
          <w:color w:val="auto"/>
          <w:kern w:val="0"/>
          <w:szCs w:val="21"/>
        </w:rPr>
        <w:pict>
          <v:shape id="_x0000_s1026" o:spid="_x0000_s1026" o:spt="75" type="#_x0000_t75" style="position:absolute;left:0pt;margin-left:43pt;margin-top:6pt;height:48pt;width:158.35pt;mso-wrap-distance-bottom:0pt;mso-wrap-distance-left:9pt;mso-wrap-distance-right:9pt;mso-wrap-distance-top:0pt;z-index:251663360;mso-width-relative:page;mso-height-relative:page;" o:ole="t" filled="f" o:preferrelative="t" stroked="f" coordsize="21600,21600">
            <v:path/>
            <v:fill on="f" focussize="0,0"/>
            <v:stroke on="f"/>
            <v:imagedata r:id="rId19" croptop="16664f" cropright="15673f" o:title=""/>
            <o:lock v:ext="edit" aspectratio="t"/>
            <w10:wrap type="square"/>
          </v:shape>
          <o:OLEObject Type="Embed" ProgID="Word.Picture.8" ShapeID="_x0000_s1026" DrawAspect="Content" ObjectID="_1468075725" r:id="rId18">
            <o:LockedField>false</o:LockedField>
          </o:OLEObject>
        </w:pict>
      </w:r>
    </w:p>
    <w:p>
      <w:pPr>
        <w:ind w:firstLine="560" w:firstLineChars="200"/>
        <w:rPr>
          <w:color w:val="auto"/>
          <w:kern w:val="0"/>
          <w:szCs w:val="21"/>
        </w:rPr>
      </w:pPr>
    </w:p>
    <w:p>
      <w:pPr>
        <w:ind w:firstLine="560" w:firstLineChars="200"/>
        <w:rPr>
          <w:rFonts w:hint="default"/>
          <w:color w:val="auto"/>
          <w:sz w:val="28"/>
          <w:szCs w:val="28"/>
          <w:lang w:val="en-US" w:eastAsia="zh-CN"/>
        </w:rPr>
      </w:pPr>
      <w:r>
        <w:rPr>
          <w:rFonts w:hint="default"/>
          <w:color w:val="auto"/>
          <w:sz w:val="28"/>
          <w:szCs w:val="28"/>
          <w:lang w:val="en-US" w:eastAsia="zh-CN"/>
        </w:rPr>
        <w:t>式中：A——蒸气云的 TNT 当量系数，取值为 0.04；</w:t>
      </w:r>
    </w:p>
    <w:p>
      <w:pPr>
        <w:ind w:firstLine="560" w:firstLineChars="200"/>
        <w:rPr>
          <w:rFonts w:hint="default"/>
          <w:color w:val="auto"/>
          <w:sz w:val="28"/>
          <w:szCs w:val="28"/>
          <w:lang w:val="en-US" w:eastAsia="zh-CN"/>
        </w:rPr>
      </w:pPr>
      <w:r>
        <w:rPr>
          <w:rFonts w:hint="default"/>
          <w:color w:val="auto"/>
          <w:sz w:val="28"/>
          <w:szCs w:val="28"/>
          <w:lang w:val="en-US" w:eastAsia="zh-CN"/>
        </w:rPr>
        <w:t>WTNT——蒸气云的 TNT 当量，kg；</w:t>
      </w:r>
    </w:p>
    <w:p>
      <w:pPr>
        <w:ind w:firstLine="560" w:firstLineChars="200"/>
        <w:rPr>
          <w:rFonts w:hint="default"/>
          <w:color w:val="auto"/>
          <w:sz w:val="28"/>
          <w:szCs w:val="28"/>
          <w:lang w:val="en-US" w:eastAsia="zh-CN"/>
        </w:rPr>
      </w:pPr>
      <w:r>
        <w:rPr>
          <w:rFonts w:hint="default"/>
          <w:color w:val="auto"/>
          <w:sz w:val="28"/>
          <w:szCs w:val="28"/>
          <w:lang w:val="en-US" w:eastAsia="zh-CN"/>
        </w:rPr>
        <w:t>Wf——蒸气云中燃料的总质量，kg；</w:t>
      </w:r>
    </w:p>
    <w:p>
      <w:pPr>
        <w:ind w:firstLine="560" w:firstLineChars="200"/>
        <w:rPr>
          <w:rFonts w:hint="default"/>
          <w:color w:val="auto"/>
          <w:sz w:val="28"/>
          <w:szCs w:val="28"/>
          <w:lang w:val="en-US" w:eastAsia="zh-CN"/>
        </w:rPr>
      </w:pPr>
      <w:r>
        <w:rPr>
          <w:rFonts w:hint="default"/>
          <w:color w:val="auto"/>
          <w:sz w:val="28"/>
          <w:szCs w:val="28"/>
          <w:lang w:val="en-US" w:eastAsia="zh-CN"/>
        </w:rPr>
        <w:t>Qf——燃料的燃烧值，kJ/kg；</w:t>
      </w:r>
    </w:p>
    <w:p>
      <w:pPr>
        <w:ind w:firstLine="560" w:firstLineChars="200"/>
        <w:rPr>
          <w:rFonts w:hint="default"/>
          <w:color w:val="auto"/>
          <w:sz w:val="28"/>
          <w:szCs w:val="28"/>
          <w:lang w:val="en-US" w:eastAsia="zh-CN"/>
        </w:rPr>
      </w:pPr>
      <w:r>
        <w:rPr>
          <w:rFonts w:hint="default"/>
          <w:color w:val="auto"/>
          <w:sz w:val="28"/>
          <w:szCs w:val="28"/>
          <w:lang w:val="en-US" w:eastAsia="zh-CN"/>
        </w:rPr>
        <w:t>QTNT——TNT 的爆热，QTNT＝（4.12～4.69）×103kJ/kg，取值为4500 kJ/kg。</w:t>
      </w:r>
    </w:p>
    <w:p>
      <w:pPr>
        <w:ind w:firstLine="560" w:firstLineChars="200"/>
        <w:rPr>
          <w:rFonts w:hint="default"/>
          <w:color w:val="auto"/>
          <w:sz w:val="28"/>
          <w:szCs w:val="28"/>
          <w:lang w:val="en-US" w:eastAsia="zh-CN"/>
        </w:rPr>
      </w:pPr>
      <w:r>
        <w:rPr>
          <w:rFonts w:hint="default"/>
          <w:color w:val="auto"/>
          <w:sz w:val="28"/>
          <w:szCs w:val="28"/>
          <w:lang w:val="en-US" w:eastAsia="zh-CN"/>
        </w:rPr>
        <w:t>该项目不涉及爆炸品；</w:t>
      </w:r>
      <w:r>
        <w:rPr>
          <w:rFonts w:hint="eastAsia"/>
          <w:color w:val="auto"/>
          <w:sz w:val="28"/>
          <w:szCs w:val="28"/>
          <w:lang w:val="en-US" w:eastAsia="zh-CN"/>
        </w:rPr>
        <w:t>甲基丙烯酸甲酯</w:t>
      </w:r>
      <w:r>
        <w:rPr>
          <w:rFonts w:hint="default"/>
          <w:color w:val="auto"/>
          <w:sz w:val="28"/>
          <w:szCs w:val="28"/>
          <w:lang w:val="en-US" w:eastAsia="zh-CN"/>
        </w:rPr>
        <w:t>属于易燃物质，气体状态下具有爆炸性。</w:t>
      </w:r>
    </w:p>
    <w:p>
      <w:pPr>
        <w:pStyle w:val="53"/>
        <w:rPr>
          <w:rFonts w:hint="default"/>
          <w:color w:val="auto"/>
          <w:lang w:val="en-US" w:eastAsia="zh-CN"/>
        </w:rPr>
      </w:pPr>
      <w:r>
        <w:rPr>
          <w:rFonts w:hint="default"/>
          <w:color w:val="auto"/>
          <w:lang w:val="en-US" w:eastAsia="zh-CN"/>
        </w:rPr>
        <w:t>表 6.1-2 该项目爆炸性化学品的质量及相当于 TNT 的摩尔量一览表</w:t>
      </w:r>
    </w:p>
    <w:tbl>
      <w:tblPr>
        <w:tblStyle w:val="42"/>
        <w:tblW w:w="9205"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84"/>
        <w:gridCol w:w="1127"/>
        <w:gridCol w:w="1276"/>
        <w:gridCol w:w="1489"/>
        <w:gridCol w:w="1359"/>
        <w:gridCol w:w="1626"/>
        <w:gridCol w:w="164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95" w:hRule="atLeast"/>
        </w:trPr>
        <w:tc>
          <w:tcPr>
            <w:tcW w:w="684" w:type="dxa"/>
            <w:tcBorders>
              <w:top w:val="single" w:color="000000" w:sz="12" w:space="0"/>
              <w:bottom w:val="single" w:color="000000" w:sz="12" w:space="0"/>
            </w:tcBorders>
            <w:noWrap w:val="0"/>
            <w:vAlign w:val="center"/>
          </w:tcPr>
          <w:p>
            <w:pPr>
              <w:spacing w:line="240" w:lineRule="auto"/>
              <w:jc w:val="center"/>
              <w:rPr>
                <w:b/>
                <w:color w:val="auto"/>
                <w:kern w:val="0"/>
                <w:sz w:val="21"/>
                <w:szCs w:val="21"/>
                <w:highlight w:val="none"/>
              </w:rPr>
            </w:pPr>
            <w:r>
              <w:rPr>
                <w:b/>
                <w:color w:val="auto"/>
                <w:kern w:val="0"/>
                <w:sz w:val="21"/>
                <w:szCs w:val="21"/>
                <w:highlight w:val="none"/>
              </w:rPr>
              <w:t>序号</w:t>
            </w:r>
          </w:p>
        </w:tc>
        <w:tc>
          <w:tcPr>
            <w:tcW w:w="1127" w:type="dxa"/>
            <w:tcBorders>
              <w:top w:val="single" w:color="000000" w:sz="12" w:space="0"/>
              <w:bottom w:val="single" w:color="000000" w:sz="12" w:space="0"/>
            </w:tcBorders>
            <w:noWrap w:val="0"/>
            <w:vAlign w:val="center"/>
          </w:tcPr>
          <w:p>
            <w:pPr>
              <w:spacing w:line="240" w:lineRule="auto"/>
              <w:jc w:val="center"/>
              <w:rPr>
                <w:rFonts w:hint="eastAsia" w:eastAsia="宋体"/>
                <w:b/>
                <w:color w:val="auto"/>
                <w:kern w:val="0"/>
                <w:sz w:val="21"/>
                <w:szCs w:val="21"/>
                <w:highlight w:val="none"/>
                <w:lang w:eastAsia="zh-CN"/>
              </w:rPr>
            </w:pPr>
            <w:r>
              <w:rPr>
                <w:rFonts w:hint="eastAsia"/>
                <w:b/>
                <w:color w:val="auto"/>
                <w:kern w:val="0"/>
                <w:sz w:val="21"/>
                <w:szCs w:val="21"/>
                <w:highlight w:val="none"/>
                <w:lang w:val="en-US" w:eastAsia="zh-CN"/>
              </w:rPr>
              <w:t>危险物质</w:t>
            </w:r>
          </w:p>
        </w:tc>
        <w:tc>
          <w:tcPr>
            <w:tcW w:w="1276" w:type="dxa"/>
            <w:tcBorders>
              <w:top w:val="single" w:color="000000" w:sz="12" w:space="0"/>
              <w:bottom w:val="single" w:color="000000" w:sz="12" w:space="0"/>
            </w:tcBorders>
            <w:noWrap w:val="0"/>
            <w:vAlign w:val="center"/>
          </w:tcPr>
          <w:p>
            <w:pPr>
              <w:spacing w:line="240" w:lineRule="auto"/>
              <w:jc w:val="center"/>
              <w:rPr>
                <w:rFonts w:hint="eastAsia" w:eastAsia="宋体"/>
                <w:b/>
                <w:color w:val="auto"/>
                <w:kern w:val="0"/>
                <w:sz w:val="21"/>
                <w:szCs w:val="21"/>
                <w:highlight w:val="none"/>
                <w:lang w:val="en-US" w:eastAsia="zh-CN"/>
              </w:rPr>
            </w:pPr>
            <w:r>
              <w:rPr>
                <w:rFonts w:hAnsi="宋体"/>
                <w:b/>
                <w:color w:val="auto"/>
                <w:kern w:val="0"/>
                <w:sz w:val="21"/>
                <w:szCs w:val="21"/>
                <w:highlight w:val="none"/>
                <w:shd w:val="clear" w:color="auto" w:fill="auto"/>
              </w:rPr>
              <w:t>燃烧</w:t>
            </w:r>
            <w:r>
              <w:rPr>
                <w:rFonts w:hint="eastAsia" w:hAnsi="宋体"/>
                <w:b/>
                <w:color w:val="auto"/>
                <w:kern w:val="0"/>
                <w:sz w:val="21"/>
                <w:szCs w:val="21"/>
                <w:highlight w:val="none"/>
                <w:shd w:val="clear" w:color="auto" w:fill="auto"/>
                <w:lang w:val="en-US" w:eastAsia="zh-CN"/>
              </w:rPr>
              <w:t>值</w:t>
            </w:r>
            <w:r>
              <w:rPr>
                <w:b/>
                <w:snapToGrid w:val="0"/>
                <w:color w:val="auto"/>
                <w:kern w:val="0"/>
                <w:sz w:val="21"/>
                <w:szCs w:val="21"/>
                <w:highlight w:val="none"/>
                <w:shd w:val="clear" w:color="auto" w:fill="auto"/>
                <w:lang w:val="zh-CN"/>
              </w:rPr>
              <w:t>(kJ/</w:t>
            </w:r>
            <w:r>
              <w:rPr>
                <w:rFonts w:hint="eastAsia"/>
                <w:b/>
                <w:snapToGrid w:val="0"/>
                <w:color w:val="auto"/>
                <w:kern w:val="0"/>
                <w:sz w:val="21"/>
                <w:szCs w:val="21"/>
                <w:highlight w:val="none"/>
                <w:shd w:val="clear" w:color="auto" w:fill="auto"/>
                <w:lang w:val="en-US" w:eastAsia="zh-CN"/>
              </w:rPr>
              <w:t>Kg</w:t>
            </w:r>
            <w:r>
              <w:rPr>
                <w:b/>
                <w:snapToGrid w:val="0"/>
                <w:color w:val="auto"/>
                <w:kern w:val="0"/>
                <w:sz w:val="21"/>
                <w:szCs w:val="21"/>
                <w:highlight w:val="none"/>
                <w:shd w:val="clear" w:color="auto" w:fill="auto"/>
                <w:lang w:val="zh-CN"/>
              </w:rPr>
              <w:t>)</w:t>
            </w:r>
          </w:p>
        </w:tc>
        <w:tc>
          <w:tcPr>
            <w:tcW w:w="1489" w:type="dxa"/>
            <w:tcBorders>
              <w:top w:val="single" w:color="000000" w:sz="12" w:space="0"/>
              <w:bottom w:val="single" w:color="000000" w:sz="12" w:space="0"/>
            </w:tcBorders>
            <w:noWrap w:val="0"/>
            <w:vAlign w:val="center"/>
          </w:tcPr>
          <w:p>
            <w:pPr>
              <w:spacing w:line="240" w:lineRule="auto"/>
              <w:ind w:left="-143" w:leftChars="-51" w:right="-143" w:rightChars="-51"/>
              <w:jc w:val="center"/>
              <w:rPr>
                <w:b/>
                <w:color w:val="auto"/>
                <w:kern w:val="0"/>
                <w:sz w:val="21"/>
                <w:szCs w:val="21"/>
                <w:highlight w:val="none"/>
              </w:rPr>
            </w:pPr>
            <w:r>
              <w:rPr>
                <w:b/>
                <w:color w:val="auto"/>
                <w:kern w:val="0"/>
                <w:sz w:val="21"/>
                <w:szCs w:val="21"/>
                <w:highlight w:val="none"/>
              </w:rPr>
              <w:t>存在场所</w:t>
            </w:r>
          </w:p>
        </w:tc>
        <w:tc>
          <w:tcPr>
            <w:tcW w:w="1359" w:type="dxa"/>
            <w:tcBorders>
              <w:top w:val="single" w:color="000000" w:sz="12" w:space="0"/>
              <w:bottom w:val="single" w:color="000000" w:sz="12" w:space="0"/>
            </w:tcBorders>
            <w:noWrap w:val="0"/>
            <w:vAlign w:val="center"/>
          </w:tcPr>
          <w:p>
            <w:pPr>
              <w:spacing w:line="240" w:lineRule="auto"/>
              <w:ind w:left="-143" w:leftChars="-51" w:right="-143" w:rightChars="-51"/>
              <w:jc w:val="center"/>
              <w:rPr>
                <w:b/>
                <w:color w:val="auto"/>
                <w:kern w:val="0"/>
                <w:sz w:val="21"/>
                <w:szCs w:val="21"/>
                <w:highlight w:val="none"/>
              </w:rPr>
            </w:pPr>
            <w:r>
              <w:rPr>
                <w:rFonts w:hint="eastAsia"/>
                <w:b/>
                <w:color w:val="auto"/>
                <w:kern w:val="0"/>
                <w:sz w:val="21"/>
                <w:szCs w:val="21"/>
                <w:highlight w:val="none"/>
                <w:lang w:val="en-US" w:eastAsia="zh-CN"/>
              </w:rPr>
              <w:t>最大</w:t>
            </w:r>
            <w:r>
              <w:rPr>
                <w:b/>
                <w:color w:val="auto"/>
                <w:kern w:val="0"/>
                <w:sz w:val="21"/>
                <w:szCs w:val="21"/>
                <w:highlight w:val="none"/>
              </w:rPr>
              <w:t>存在量</w:t>
            </w:r>
          </w:p>
          <w:p>
            <w:pPr>
              <w:spacing w:line="240" w:lineRule="auto"/>
              <w:ind w:left="-143" w:leftChars="-51" w:right="-143" w:rightChars="-51"/>
              <w:jc w:val="center"/>
              <w:rPr>
                <w:b/>
                <w:color w:val="auto"/>
                <w:kern w:val="0"/>
                <w:sz w:val="21"/>
                <w:szCs w:val="21"/>
                <w:highlight w:val="none"/>
              </w:rPr>
            </w:pPr>
            <w:r>
              <w:rPr>
                <w:b/>
                <w:color w:val="auto"/>
                <w:kern w:val="0"/>
                <w:sz w:val="21"/>
                <w:szCs w:val="21"/>
                <w:highlight w:val="none"/>
              </w:rPr>
              <w:t>（t）</w:t>
            </w:r>
          </w:p>
        </w:tc>
        <w:tc>
          <w:tcPr>
            <w:tcW w:w="1626" w:type="dxa"/>
            <w:tcBorders>
              <w:top w:val="single" w:color="000000" w:sz="12" w:space="0"/>
              <w:bottom w:val="single" w:color="000000" w:sz="12" w:space="0"/>
            </w:tcBorders>
            <w:noWrap w:val="0"/>
            <w:vAlign w:val="center"/>
          </w:tcPr>
          <w:p>
            <w:pPr>
              <w:spacing w:line="240" w:lineRule="auto"/>
              <w:ind w:left="-143" w:leftChars="-51" w:right="-143" w:rightChars="-51"/>
              <w:jc w:val="center"/>
              <w:rPr>
                <w:b/>
                <w:bCs/>
                <w:color w:val="auto"/>
                <w:kern w:val="0"/>
                <w:sz w:val="21"/>
                <w:szCs w:val="21"/>
                <w:highlight w:val="none"/>
              </w:rPr>
            </w:pPr>
            <w:r>
              <w:rPr>
                <w:b/>
                <w:bCs/>
                <w:color w:val="auto"/>
                <w:kern w:val="0"/>
                <w:sz w:val="21"/>
                <w:szCs w:val="21"/>
                <w:highlight w:val="none"/>
              </w:rPr>
              <w:t>TNT</w:t>
            </w:r>
            <w:r>
              <w:rPr>
                <w:rFonts w:hint="eastAsia"/>
                <w:b/>
                <w:bCs/>
                <w:color w:val="auto"/>
                <w:kern w:val="0"/>
                <w:sz w:val="21"/>
                <w:szCs w:val="21"/>
                <w:highlight w:val="none"/>
                <w:lang w:val="en-US" w:eastAsia="zh-CN"/>
              </w:rPr>
              <w:t>当</w:t>
            </w:r>
            <w:r>
              <w:rPr>
                <w:b/>
                <w:bCs/>
                <w:color w:val="auto"/>
                <w:kern w:val="0"/>
                <w:sz w:val="21"/>
                <w:szCs w:val="21"/>
                <w:highlight w:val="none"/>
              </w:rPr>
              <w:t>量</w:t>
            </w:r>
          </w:p>
          <w:p>
            <w:pPr>
              <w:spacing w:line="240" w:lineRule="auto"/>
              <w:ind w:left="-143" w:leftChars="-51" w:right="-143" w:rightChars="-51"/>
              <w:jc w:val="center"/>
              <w:rPr>
                <w:rFonts w:ascii="Times New Roman" w:hAnsi="Times New Roman" w:eastAsia="宋体" w:cs="Times New Roman"/>
                <w:b/>
                <w:bCs/>
                <w:color w:val="auto"/>
                <w:kern w:val="0"/>
                <w:sz w:val="21"/>
                <w:szCs w:val="21"/>
                <w:highlight w:val="none"/>
                <w:lang w:val="en-US" w:eastAsia="zh-CN" w:bidi="ar-SA"/>
              </w:rPr>
            </w:pPr>
            <w:r>
              <w:rPr>
                <w:rFonts w:hint="eastAsia"/>
                <w:b/>
                <w:bCs/>
                <w:color w:val="auto"/>
                <w:kern w:val="0"/>
                <w:sz w:val="21"/>
                <w:szCs w:val="21"/>
                <w:highlight w:val="none"/>
                <w:lang w:eastAsia="zh-CN"/>
              </w:rPr>
              <w:t>（</w:t>
            </w:r>
            <w:r>
              <w:rPr>
                <w:b/>
                <w:bCs/>
                <w:color w:val="auto"/>
                <w:kern w:val="0"/>
                <w:sz w:val="21"/>
                <w:szCs w:val="21"/>
                <w:highlight w:val="none"/>
              </w:rPr>
              <w:t>kg</w:t>
            </w:r>
            <w:r>
              <w:rPr>
                <w:rFonts w:hint="eastAsia"/>
                <w:b/>
                <w:bCs/>
                <w:color w:val="auto"/>
                <w:kern w:val="0"/>
                <w:sz w:val="21"/>
                <w:szCs w:val="21"/>
                <w:highlight w:val="none"/>
                <w:lang w:eastAsia="zh-CN"/>
              </w:rPr>
              <w:t>）</w:t>
            </w:r>
          </w:p>
        </w:tc>
        <w:tc>
          <w:tcPr>
            <w:tcW w:w="1644" w:type="dxa"/>
            <w:tcBorders>
              <w:top w:val="single" w:color="000000" w:sz="12" w:space="0"/>
              <w:bottom w:val="single" w:color="000000" w:sz="12" w:space="0"/>
            </w:tcBorders>
            <w:noWrap w:val="0"/>
            <w:vAlign w:val="center"/>
          </w:tcPr>
          <w:p>
            <w:pPr>
              <w:spacing w:line="240" w:lineRule="auto"/>
              <w:ind w:left="-143" w:leftChars="-51" w:right="-143" w:rightChars="-51"/>
              <w:jc w:val="center"/>
              <w:rPr>
                <w:rFonts w:hint="eastAsia"/>
                <w:b/>
                <w:color w:val="auto"/>
                <w:kern w:val="0"/>
                <w:sz w:val="21"/>
                <w:szCs w:val="21"/>
                <w:highlight w:val="none"/>
                <w:lang w:val="en-US" w:eastAsia="zh-CN"/>
              </w:rPr>
            </w:pPr>
            <w:r>
              <w:rPr>
                <w:rFonts w:hint="eastAsia"/>
                <w:b/>
                <w:color w:val="auto"/>
                <w:kern w:val="0"/>
                <w:sz w:val="21"/>
                <w:szCs w:val="21"/>
                <w:highlight w:val="none"/>
                <w:lang w:val="en-US" w:eastAsia="zh-CN"/>
              </w:rPr>
              <w:t>TNT摩尔量</w:t>
            </w:r>
          </w:p>
          <w:p>
            <w:pPr>
              <w:spacing w:line="240" w:lineRule="auto"/>
              <w:ind w:left="-143" w:leftChars="-51" w:right="-143" w:rightChars="-51"/>
              <w:jc w:val="center"/>
              <w:rPr>
                <w:rFonts w:hint="default" w:eastAsia="宋体"/>
                <w:b/>
                <w:color w:val="auto"/>
                <w:kern w:val="0"/>
                <w:sz w:val="21"/>
                <w:szCs w:val="21"/>
                <w:highlight w:val="none"/>
                <w:lang w:val="en-US" w:eastAsia="zh-CN"/>
              </w:rPr>
            </w:pPr>
            <w:r>
              <w:rPr>
                <w:rFonts w:hint="eastAsia"/>
                <w:b/>
                <w:color w:val="auto"/>
                <w:kern w:val="0"/>
                <w:sz w:val="21"/>
                <w:szCs w:val="21"/>
                <w:highlight w:val="none"/>
                <w:lang w:val="en-US" w:eastAsia="zh-CN"/>
              </w:rPr>
              <w:t>（mol）</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684" w:type="dxa"/>
            <w:vMerge w:val="restart"/>
            <w:noWrap w:val="0"/>
            <w:vAlign w:val="center"/>
          </w:tcPr>
          <w:p>
            <w:pPr>
              <w:spacing w:line="240" w:lineRule="auto"/>
              <w:jc w:val="center"/>
              <w:rPr>
                <w:color w:val="auto"/>
                <w:sz w:val="21"/>
                <w:szCs w:val="21"/>
                <w:highlight w:val="none"/>
              </w:rPr>
            </w:pPr>
            <w:r>
              <w:rPr>
                <w:rFonts w:hint="eastAsia"/>
                <w:color w:val="auto"/>
                <w:sz w:val="21"/>
                <w:szCs w:val="21"/>
                <w:highlight w:val="none"/>
              </w:rPr>
              <w:t>1</w:t>
            </w:r>
          </w:p>
        </w:tc>
        <w:tc>
          <w:tcPr>
            <w:tcW w:w="1127" w:type="dxa"/>
            <w:vMerge w:val="restart"/>
            <w:noWrap w:val="0"/>
            <w:vAlign w:val="center"/>
          </w:tcPr>
          <w:p>
            <w:pPr>
              <w:spacing w:line="240" w:lineRule="auto"/>
              <w:jc w:val="center"/>
              <w:rPr>
                <w:color w:val="auto"/>
                <w:sz w:val="21"/>
                <w:szCs w:val="21"/>
                <w:highlight w:val="none"/>
              </w:rPr>
            </w:pPr>
            <w:r>
              <w:rPr>
                <w:color w:val="auto"/>
                <w:sz w:val="21"/>
                <w:szCs w:val="21"/>
                <w:highlight w:val="none"/>
              </w:rPr>
              <w:t>甲基丙烯酸甲酯</w:t>
            </w:r>
          </w:p>
        </w:tc>
        <w:tc>
          <w:tcPr>
            <w:tcW w:w="1276" w:type="dxa"/>
            <w:vMerge w:val="restart"/>
            <w:noWrap w:val="0"/>
            <w:vAlign w:val="center"/>
          </w:tcPr>
          <w:p>
            <w:pPr>
              <w:spacing w:line="240" w:lineRule="auto"/>
              <w:jc w:val="center"/>
              <w:rPr>
                <w:rFonts w:hint="default"/>
                <w:color w:val="auto"/>
                <w:sz w:val="21"/>
                <w:szCs w:val="21"/>
                <w:highlight w:val="none"/>
              </w:rPr>
            </w:pPr>
            <w:r>
              <w:rPr>
                <w:rFonts w:hint="eastAsia"/>
                <w:color w:val="auto"/>
                <w:sz w:val="21"/>
                <w:szCs w:val="21"/>
                <w:highlight w:val="none"/>
                <w:lang w:eastAsia="zh-CN"/>
              </w:rPr>
              <w:t>2</w:t>
            </w:r>
            <w:r>
              <w:rPr>
                <w:rFonts w:hint="eastAsia"/>
                <w:color w:val="auto"/>
                <w:sz w:val="21"/>
                <w:szCs w:val="21"/>
                <w:highlight w:val="none"/>
                <w:lang w:val="en-US" w:eastAsia="zh-CN"/>
              </w:rPr>
              <w:t>6397.3</w:t>
            </w:r>
          </w:p>
        </w:tc>
        <w:tc>
          <w:tcPr>
            <w:tcW w:w="1489" w:type="dxa"/>
            <w:noWrap w:val="0"/>
            <w:vAlign w:val="center"/>
          </w:tcPr>
          <w:p>
            <w:pPr>
              <w:spacing w:line="240" w:lineRule="auto"/>
              <w:jc w:val="center"/>
              <w:rPr>
                <w:color w:val="auto"/>
                <w:sz w:val="21"/>
                <w:szCs w:val="21"/>
                <w:highlight w:val="none"/>
              </w:rPr>
            </w:pPr>
            <w:r>
              <w:rPr>
                <w:rFonts w:hint="eastAsia" w:hAnsi="宋体"/>
                <w:color w:val="auto"/>
                <w:sz w:val="21"/>
                <w:szCs w:val="21"/>
                <w:highlight w:val="none"/>
              </w:rPr>
              <w:t>罐区</w:t>
            </w:r>
          </w:p>
        </w:tc>
        <w:tc>
          <w:tcPr>
            <w:tcW w:w="1359"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376</w:t>
            </w:r>
          </w:p>
        </w:tc>
        <w:tc>
          <w:tcPr>
            <w:tcW w:w="1626"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99.1</w:t>
            </w:r>
          </w:p>
        </w:tc>
        <w:tc>
          <w:tcPr>
            <w:tcW w:w="1644"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436.6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684" w:type="dxa"/>
            <w:vMerge w:val="continue"/>
            <w:noWrap w:val="0"/>
            <w:vAlign w:val="center"/>
          </w:tcPr>
          <w:p>
            <w:pPr>
              <w:spacing w:line="240" w:lineRule="auto"/>
              <w:jc w:val="center"/>
              <w:rPr>
                <w:rFonts w:hint="eastAsia"/>
                <w:color w:val="auto"/>
                <w:sz w:val="21"/>
                <w:szCs w:val="21"/>
                <w:highlight w:val="none"/>
              </w:rPr>
            </w:pPr>
          </w:p>
        </w:tc>
        <w:tc>
          <w:tcPr>
            <w:tcW w:w="1127" w:type="dxa"/>
            <w:vMerge w:val="continue"/>
            <w:noWrap w:val="0"/>
            <w:vAlign w:val="center"/>
          </w:tcPr>
          <w:p>
            <w:pPr>
              <w:spacing w:line="240" w:lineRule="auto"/>
              <w:jc w:val="center"/>
              <w:rPr>
                <w:color w:val="auto"/>
                <w:sz w:val="21"/>
                <w:szCs w:val="21"/>
                <w:highlight w:val="none"/>
              </w:rPr>
            </w:pPr>
          </w:p>
        </w:tc>
        <w:tc>
          <w:tcPr>
            <w:tcW w:w="1276" w:type="dxa"/>
            <w:vMerge w:val="continue"/>
            <w:noWrap w:val="0"/>
            <w:vAlign w:val="center"/>
          </w:tcPr>
          <w:p>
            <w:pPr>
              <w:spacing w:line="240" w:lineRule="auto"/>
              <w:jc w:val="center"/>
              <w:rPr>
                <w:rFonts w:hint="eastAsia"/>
                <w:color w:val="auto"/>
                <w:sz w:val="21"/>
                <w:szCs w:val="21"/>
                <w:highlight w:val="none"/>
              </w:rPr>
            </w:pPr>
          </w:p>
        </w:tc>
        <w:tc>
          <w:tcPr>
            <w:tcW w:w="1489" w:type="dxa"/>
            <w:noWrap w:val="0"/>
            <w:vAlign w:val="center"/>
          </w:tcPr>
          <w:p>
            <w:pPr>
              <w:spacing w:line="240" w:lineRule="auto"/>
              <w:jc w:val="center"/>
              <w:rPr>
                <w:rFonts w:hint="default" w:hAnsi="宋体" w:eastAsia="宋体"/>
                <w:color w:val="auto"/>
                <w:sz w:val="21"/>
                <w:szCs w:val="21"/>
                <w:highlight w:val="none"/>
                <w:lang w:val="en-US" w:eastAsia="zh-CN"/>
              </w:rPr>
            </w:pPr>
            <w:r>
              <w:rPr>
                <w:rFonts w:hint="eastAsia" w:hAnsi="宋体"/>
                <w:color w:val="auto"/>
                <w:sz w:val="21"/>
                <w:szCs w:val="21"/>
                <w:highlight w:val="none"/>
                <w:lang w:val="en-US" w:eastAsia="zh-CN"/>
              </w:rPr>
              <w:t>甲类仓库</w:t>
            </w:r>
          </w:p>
        </w:tc>
        <w:tc>
          <w:tcPr>
            <w:tcW w:w="1359" w:type="dxa"/>
            <w:noWrap w:val="0"/>
            <w:vAlign w:val="center"/>
          </w:tcPr>
          <w:p>
            <w:pPr>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20</w:t>
            </w:r>
          </w:p>
        </w:tc>
        <w:tc>
          <w:tcPr>
            <w:tcW w:w="1626"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4.7</w:t>
            </w:r>
          </w:p>
        </w:tc>
        <w:tc>
          <w:tcPr>
            <w:tcW w:w="1644"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17.6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684" w:type="dxa"/>
            <w:vMerge w:val="continue"/>
            <w:noWrap w:val="0"/>
            <w:vAlign w:val="center"/>
          </w:tcPr>
          <w:p>
            <w:pPr>
              <w:spacing w:line="240" w:lineRule="auto"/>
              <w:jc w:val="center"/>
              <w:rPr>
                <w:color w:val="auto"/>
                <w:sz w:val="21"/>
                <w:szCs w:val="21"/>
                <w:highlight w:val="none"/>
              </w:rPr>
            </w:pPr>
          </w:p>
        </w:tc>
        <w:tc>
          <w:tcPr>
            <w:tcW w:w="1127" w:type="dxa"/>
            <w:vMerge w:val="continue"/>
            <w:noWrap w:val="0"/>
            <w:vAlign w:val="center"/>
          </w:tcPr>
          <w:p>
            <w:pPr>
              <w:spacing w:line="240" w:lineRule="auto"/>
              <w:jc w:val="center"/>
              <w:rPr>
                <w:color w:val="auto"/>
                <w:sz w:val="21"/>
                <w:szCs w:val="21"/>
                <w:highlight w:val="none"/>
              </w:rPr>
            </w:pPr>
          </w:p>
        </w:tc>
        <w:tc>
          <w:tcPr>
            <w:tcW w:w="1276" w:type="dxa"/>
            <w:vMerge w:val="continue"/>
            <w:noWrap w:val="0"/>
            <w:vAlign w:val="center"/>
          </w:tcPr>
          <w:p>
            <w:pPr>
              <w:spacing w:line="240" w:lineRule="auto"/>
              <w:jc w:val="center"/>
              <w:rPr>
                <w:color w:val="auto"/>
                <w:sz w:val="21"/>
                <w:szCs w:val="21"/>
                <w:highlight w:val="none"/>
              </w:rPr>
            </w:pPr>
          </w:p>
        </w:tc>
        <w:tc>
          <w:tcPr>
            <w:tcW w:w="1489" w:type="dxa"/>
            <w:noWrap w:val="0"/>
            <w:vAlign w:val="center"/>
          </w:tcPr>
          <w:p>
            <w:pPr>
              <w:spacing w:line="240" w:lineRule="auto"/>
              <w:jc w:val="center"/>
              <w:rPr>
                <w:color w:val="auto"/>
                <w:sz w:val="21"/>
                <w:szCs w:val="21"/>
                <w:highlight w:val="none"/>
              </w:rPr>
            </w:pPr>
            <w:r>
              <w:rPr>
                <w:rFonts w:hint="eastAsia" w:hAnsi="宋体"/>
                <w:color w:val="auto"/>
                <w:sz w:val="21"/>
                <w:szCs w:val="21"/>
                <w:highlight w:val="none"/>
                <w:lang w:val="en-US" w:eastAsia="zh-CN"/>
              </w:rPr>
              <w:t>裂解</w:t>
            </w:r>
            <w:r>
              <w:rPr>
                <w:rFonts w:hint="eastAsia" w:hAnsi="宋体"/>
                <w:color w:val="auto"/>
                <w:sz w:val="21"/>
                <w:szCs w:val="21"/>
                <w:highlight w:val="none"/>
              </w:rPr>
              <w:t>车间</w:t>
            </w:r>
          </w:p>
        </w:tc>
        <w:tc>
          <w:tcPr>
            <w:tcW w:w="1359"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36.1</w:t>
            </w:r>
          </w:p>
        </w:tc>
        <w:tc>
          <w:tcPr>
            <w:tcW w:w="1626"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8.5</w:t>
            </w:r>
          </w:p>
        </w:tc>
        <w:tc>
          <w:tcPr>
            <w:tcW w:w="1644"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37.4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684" w:type="dxa"/>
            <w:vMerge w:val="continue"/>
            <w:noWrap w:val="0"/>
            <w:vAlign w:val="center"/>
          </w:tcPr>
          <w:p>
            <w:pPr>
              <w:spacing w:line="240" w:lineRule="auto"/>
              <w:jc w:val="center"/>
              <w:rPr>
                <w:color w:val="auto"/>
                <w:sz w:val="21"/>
                <w:szCs w:val="21"/>
                <w:highlight w:val="none"/>
              </w:rPr>
            </w:pPr>
          </w:p>
        </w:tc>
        <w:tc>
          <w:tcPr>
            <w:tcW w:w="1127" w:type="dxa"/>
            <w:vMerge w:val="continue"/>
            <w:noWrap w:val="0"/>
            <w:vAlign w:val="center"/>
          </w:tcPr>
          <w:p>
            <w:pPr>
              <w:spacing w:line="240" w:lineRule="auto"/>
              <w:jc w:val="center"/>
              <w:rPr>
                <w:color w:val="auto"/>
                <w:sz w:val="21"/>
                <w:szCs w:val="21"/>
                <w:highlight w:val="none"/>
              </w:rPr>
            </w:pPr>
          </w:p>
        </w:tc>
        <w:tc>
          <w:tcPr>
            <w:tcW w:w="1276" w:type="dxa"/>
            <w:vMerge w:val="continue"/>
            <w:noWrap w:val="0"/>
            <w:vAlign w:val="center"/>
          </w:tcPr>
          <w:p>
            <w:pPr>
              <w:spacing w:line="240" w:lineRule="auto"/>
              <w:jc w:val="center"/>
              <w:rPr>
                <w:color w:val="auto"/>
                <w:sz w:val="21"/>
                <w:szCs w:val="21"/>
                <w:highlight w:val="none"/>
              </w:rPr>
            </w:pPr>
          </w:p>
        </w:tc>
        <w:tc>
          <w:tcPr>
            <w:tcW w:w="1489" w:type="dxa"/>
            <w:noWrap w:val="0"/>
            <w:vAlign w:val="center"/>
          </w:tcPr>
          <w:p>
            <w:pPr>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精馏车间</w:t>
            </w:r>
          </w:p>
        </w:tc>
        <w:tc>
          <w:tcPr>
            <w:tcW w:w="1359"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60</w:t>
            </w:r>
          </w:p>
        </w:tc>
        <w:tc>
          <w:tcPr>
            <w:tcW w:w="1626"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14.1</w:t>
            </w:r>
          </w:p>
        </w:tc>
        <w:tc>
          <w:tcPr>
            <w:tcW w:w="1644" w:type="dxa"/>
            <w:noWrap w:val="0"/>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62.1</w:t>
            </w:r>
          </w:p>
        </w:tc>
      </w:tr>
    </w:tbl>
    <w:p>
      <w:pPr>
        <w:pStyle w:val="5"/>
        <w:rPr>
          <w:rFonts w:hint="default"/>
          <w:color w:val="auto"/>
          <w:lang w:val="en-US" w:eastAsia="zh-CN"/>
        </w:rPr>
      </w:pPr>
      <w:r>
        <w:rPr>
          <w:rFonts w:hint="default"/>
          <w:color w:val="auto"/>
          <w:lang w:val="en-US" w:eastAsia="zh-CN"/>
        </w:rPr>
        <w:t>6.1.2.2 具有可燃性的化学品的质量及燃烧后放出的热量</w:t>
      </w:r>
    </w:p>
    <w:p>
      <w:pPr>
        <w:pStyle w:val="8"/>
        <w:rPr>
          <w:rFonts w:hint="default"/>
          <w:color w:val="auto"/>
          <w:lang w:val="en-US" w:eastAsia="zh-CN"/>
        </w:rPr>
      </w:pPr>
      <w:r>
        <w:rPr>
          <w:rFonts w:hint="default"/>
          <w:color w:val="auto"/>
          <w:lang w:val="en-US" w:eastAsia="zh-CN"/>
        </w:rPr>
        <w:t>具有可燃性的化学品燃烧后放出的热量为：</w:t>
      </w:r>
    </w:p>
    <w:p>
      <w:pPr>
        <w:pStyle w:val="8"/>
        <w:rPr>
          <w:rFonts w:hint="default"/>
          <w:color w:val="auto"/>
          <w:lang w:val="en-US" w:eastAsia="zh-CN"/>
        </w:rPr>
      </w:pPr>
      <w:r>
        <w:rPr>
          <w:rFonts w:hint="default"/>
          <w:color w:val="auto"/>
          <w:lang w:val="en-US" w:eastAsia="zh-CN"/>
        </w:rPr>
        <w:t>Q=qm</w:t>
      </w:r>
    </w:p>
    <w:p>
      <w:pPr>
        <w:pStyle w:val="8"/>
        <w:rPr>
          <w:rFonts w:hint="default"/>
          <w:color w:val="auto"/>
          <w:lang w:val="en-US" w:eastAsia="zh-CN"/>
        </w:rPr>
      </w:pPr>
      <w:r>
        <w:rPr>
          <w:rFonts w:hint="default"/>
          <w:color w:val="auto"/>
          <w:lang w:val="en-US" w:eastAsia="zh-CN"/>
        </w:rPr>
        <w:t>q — 燃料的燃烧值，kJ/kg；</w:t>
      </w:r>
    </w:p>
    <w:p>
      <w:pPr>
        <w:pStyle w:val="8"/>
        <w:rPr>
          <w:rFonts w:hint="default"/>
          <w:color w:val="auto"/>
          <w:lang w:val="en-US" w:eastAsia="zh-CN"/>
        </w:rPr>
      </w:pPr>
      <w:r>
        <w:rPr>
          <w:rFonts w:hint="default"/>
          <w:color w:val="auto"/>
          <w:lang w:val="en-US" w:eastAsia="zh-CN"/>
        </w:rPr>
        <w:t>m — 物质的质量，kg。</w:t>
      </w:r>
    </w:p>
    <w:p>
      <w:pPr>
        <w:pStyle w:val="8"/>
        <w:ind w:firstLine="584" w:firstLineChars="200"/>
        <w:rPr>
          <w:rFonts w:hint="default"/>
          <w:color w:val="auto"/>
          <w:lang w:val="en-US" w:eastAsia="zh-CN"/>
        </w:rPr>
      </w:pPr>
      <w:r>
        <w:rPr>
          <w:rFonts w:hint="default"/>
          <w:color w:val="auto"/>
          <w:lang w:val="en-US" w:eastAsia="zh-CN"/>
        </w:rPr>
        <w:t>该项目存在的可燃性化学品主要为</w:t>
      </w:r>
      <w:r>
        <w:rPr>
          <w:rFonts w:hint="eastAsia"/>
          <w:color w:val="auto"/>
          <w:lang w:val="en-US" w:eastAsia="zh-CN"/>
        </w:rPr>
        <w:t>甲基丙烯酸甲酯、对苯二酚</w:t>
      </w:r>
      <w:r>
        <w:rPr>
          <w:rFonts w:hint="default"/>
          <w:color w:val="auto"/>
          <w:lang w:val="en-US" w:eastAsia="zh-CN"/>
        </w:rPr>
        <w:t>属于可燃物质。</w:t>
      </w:r>
      <w:r>
        <w:rPr>
          <w:rFonts w:hint="eastAsia"/>
          <w:color w:val="auto"/>
          <w:lang w:val="en-US" w:eastAsia="zh-CN"/>
        </w:rPr>
        <w:t>精馏残夜（混合物）、柴油</w:t>
      </w:r>
      <w:r>
        <w:rPr>
          <w:rFonts w:hint="default"/>
          <w:color w:val="auto"/>
          <w:highlight w:val="none"/>
          <w:lang w:val="en-US" w:eastAsia="zh-CN"/>
        </w:rPr>
        <w:t>无燃烧热资料，本报告不予以计算。</w:t>
      </w:r>
    </w:p>
    <w:p>
      <w:pPr>
        <w:pStyle w:val="53"/>
        <w:rPr>
          <w:rFonts w:hint="eastAsia"/>
          <w:color w:val="auto"/>
        </w:rPr>
      </w:pPr>
      <w:r>
        <w:rPr>
          <w:rFonts w:hint="eastAsia"/>
          <w:color w:val="auto"/>
          <w:lang w:val="en-US" w:eastAsia="zh-CN"/>
        </w:rPr>
        <w:t>表6.1-3</w:t>
      </w:r>
      <w:r>
        <w:rPr>
          <w:rFonts w:hint="eastAsia"/>
          <w:color w:val="auto"/>
        </w:rPr>
        <w:t>可燃性物质燃烧后放出的热量表</w:t>
      </w:r>
    </w:p>
    <w:tbl>
      <w:tblPr>
        <w:tblStyle w:val="42"/>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05"/>
        <w:gridCol w:w="1388"/>
        <w:gridCol w:w="1843"/>
        <w:gridCol w:w="1813"/>
        <w:gridCol w:w="1170"/>
        <w:gridCol w:w="236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67" w:hRule="atLeast"/>
        </w:trPr>
        <w:tc>
          <w:tcPr>
            <w:tcW w:w="705" w:type="dxa"/>
            <w:shd w:val="clear" w:color="auto" w:fill="auto"/>
            <w:noWrap w:val="0"/>
            <w:vAlign w:val="center"/>
          </w:tcPr>
          <w:p>
            <w:pPr>
              <w:spacing w:line="240" w:lineRule="auto"/>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序号</w:t>
            </w:r>
          </w:p>
        </w:tc>
        <w:tc>
          <w:tcPr>
            <w:tcW w:w="1388" w:type="dxa"/>
            <w:shd w:val="clear" w:color="auto" w:fill="auto"/>
            <w:noWrap w:val="0"/>
            <w:vAlign w:val="center"/>
          </w:tcPr>
          <w:p>
            <w:pPr>
              <w:spacing w:line="240" w:lineRule="auto"/>
              <w:jc w:val="center"/>
              <w:rPr>
                <w:rFonts w:hint="eastAsia" w:eastAsia="宋体"/>
                <w:b/>
                <w:color w:val="auto"/>
                <w:kern w:val="0"/>
                <w:sz w:val="21"/>
                <w:szCs w:val="21"/>
                <w:highlight w:val="none"/>
                <w:shd w:val="clear" w:color="auto" w:fill="auto"/>
                <w:lang w:eastAsia="zh-CN"/>
              </w:rPr>
            </w:pPr>
            <w:r>
              <w:rPr>
                <w:rFonts w:hint="eastAsia" w:hAnsi="宋体"/>
                <w:b/>
                <w:color w:val="auto"/>
                <w:kern w:val="0"/>
                <w:sz w:val="21"/>
                <w:szCs w:val="21"/>
                <w:highlight w:val="none"/>
                <w:shd w:val="clear" w:color="auto" w:fill="auto"/>
                <w:lang w:val="en-US" w:eastAsia="zh-CN"/>
              </w:rPr>
              <w:t>危险场所</w:t>
            </w:r>
          </w:p>
        </w:tc>
        <w:tc>
          <w:tcPr>
            <w:tcW w:w="1843" w:type="dxa"/>
            <w:shd w:val="clear" w:color="auto" w:fill="auto"/>
            <w:noWrap w:val="0"/>
            <w:vAlign w:val="center"/>
          </w:tcPr>
          <w:p>
            <w:pPr>
              <w:spacing w:line="240" w:lineRule="auto"/>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燃烧热</w:t>
            </w:r>
            <w:r>
              <w:rPr>
                <w:b/>
                <w:snapToGrid w:val="0"/>
                <w:color w:val="auto"/>
                <w:kern w:val="0"/>
                <w:sz w:val="21"/>
                <w:szCs w:val="21"/>
                <w:highlight w:val="none"/>
                <w:shd w:val="clear" w:color="auto" w:fill="auto"/>
                <w:lang w:val="zh-CN"/>
              </w:rPr>
              <w:t xml:space="preserve"> (kJ/mol)</w:t>
            </w:r>
          </w:p>
        </w:tc>
        <w:tc>
          <w:tcPr>
            <w:tcW w:w="1813" w:type="dxa"/>
            <w:shd w:val="clear" w:color="auto" w:fill="auto"/>
            <w:noWrap w:val="0"/>
            <w:vAlign w:val="center"/>
          </w:tcPr>
          <w:p>
            <w:pPr>
              <w:spacing w:line="240" w:lineRule="auto"/>
              <w:ind w:left="-143" w:leftChars="-51" w:right="-143" w:rightChars="-51"/>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存在场所</w:t>
            </w:r>
          </w:p>
        </w:tc>
        <w:tc>
          <w:tcPr>
            <w:tcW w:w="1170" w:type="dxa"/>
            <w:shd w:val="clear" w:color="auto" w:fill="auto"/>
            <w:noWrap w:val="0"/>
            <w:vAlign w:val="center"/>
          </w:tcPr>
          <w:p>
            <w:pPr>
              <w:spacing w:line="240" w:lineRule="auto"/>
              <w:ind w:left="-143" w:leftChars="-51" w:right="-143" w:rightChars="-51"/>
              <w:jc w:val="center"/>
              <w:rPr>
                <w:b/>
                <w:color w:val="auto"/>
                <w:kern w:val="0"/>
                <w:sz w:val="21"/>
                <w:szCs w:val="21"/>
                <w:highlight w:val="none"/>
                <w:shd w:val="clear" w:color="auto" w:fill="auto"/>
              </w:rPr>
            </w:pPr>
            <w:r>
              <w:rPr>
                <w:rFonts w:hint="eastAsia" w:hAnsi="宋体"/>
                <w:b/>
                <w:color w:val="auto"/>
                <w:kern w:val="0"/>
                <w:sz w:val="21"/>
                <w:szCs w:val="21"/>
                <w:highlight w:val="none"/>
                <w:shd w:val="clear" w:color="auto" w:fill="auto"/>
                <w:lang w:val="en-US" w:eastAsia="zh-CN"/>
              </w:rPr>
              <w:t>最大在线</w:t>
            </w:r>
            <w:r>
              <w:rPr>
                <w:rFonts w:hAnsi="宋体"/>
                <w:b/>
                <w:color w:val="auto"/>
                <w:kern w:val="0"/>
                <w:sz w:val="21"/>
                <w:szCs w:val="21"/>
                <w:highlight w:val="none"/>
                <w:shd w:val="clear" w:color="auto" w:fill="auto"/>
              </w:rPr>
              <w:t>量（</w:t>
            </w:r>
            <w:r>
              <w:rPr>
                <w:b/>
                <w:color w:val="auto"/>
                <w:kern w:val="0"/>
                <w:sz w:val="21"/>
                <w:szCs w:val="21"/>
                <w:highlight w:val="none"/>
                <w:shd w:val="clear" w:color="auto" w:fill="auto"/>
              </w:rPr>
              <w:t>t</w:t>
            </w:r>
            <w:r>
              <w:rPr>
                <w:rFonts w:hAnsi="宋体"/>
                <w:b/>
                <w:color w:val="auto"/>
                <w:kern w:val="0"/>
                <w:sz w:val="21"/>
                <w:szCs w:val="21"/>
                <w:highlight w:val="none"/>
                <w:shd w:val="clear" w:color="auto" w:fill="auto"/>
              </w:rPr>
              <w:t>）</w:t>
            </w:r>
          </w:p>
        </w:tc>
        <w:tc>
          <w:tcPr>
            <w:tcW w:w="2367" w:type="dxa"/>
            <w:shd w:val="clear" w:color="auto" w:fill="auto"/>
            <w:noWrap w:val="0"/>
            <w:vAlign w:val="center"/>
          </w:tcPr>
          <w:p>
            <w:pPr>
              <w:spacing w:line="240" w:lineRule="auto"/>
              <w:ind w:left="-143" w:leftChars="-51" w:right="-143" w:rightChars="-51"/>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燃烧放出的总热量</w:t>
            </w:r>
            <w:r>
              <w:rPr>
                <w:b/>
                <w:color w:val="auto"/>
                <w:kern w:val="0"/>
                <w:sz w:val="21"/>
                <w:szCs w:val="21"/>
                <w:highlight w:val="none"/>
                <w:shd w:val="clear" w:color="auto" w:fill="auto"/>
              </w:rPr>
              <w:t>KJ</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705" w:type="dxa"/>
            <w:vMerge w:val="restart"/>
            <w:noWrap w:val="0"/>
            <w:vAlign w:val="center"/>
          </w:tcPr>
          <w:p>
            <w:pPr>
              <w:spacing w:line="240" w:lineRule="auto"/>
              <w:jc w:val="center"/>
              <w:rPr>
                <w:rFonts w:hint="eastAsia"/>
                <w:color w:val="auto"/>
                <w:sz w:val="21"/>
                <w:szCs w:val="21"/>
                <w:highlight w:val="none"/>
              </w:rPr>
            </w:pPr>
            <w:r>
              <w:rPr>
                <w:rFonts w:hint="eastAsia"/>
                <w:color w:val="auto"/>
                <w:sz w:val="21"/>
                <w:szCs w:val="21"/>
                <w:highlight w:val="none"/>
              </w:rPr>
              <w:t>1</w:t>
            </w:r>
          </w:p>
        </w:tc>
        <w:tc>
          <w:tcPr>
            <w:tcW w:w="1388" w:type="dxa"/>
            <w:vMerge w:val="restart"/>
            <w:noWrap w:val="0"/>
            <w:vAlign w:val="center"/>
          </w:tcPr>
          <w:p>
            <w:pPr>
              <w:spacing w:line="240" w:lineRule="auto"/>
              <w:jc w:val="center"/>
              <w:rPr>
                <w:color w:val="auto"/>
                <w:sz w:val="21"/>
                <w:szCs w:val="21"/>
                <w:highlight w:val="none"/>
              </w:rPr>
            </w:pPr>
            <w:r>
              <w:rPr>
                <w:color w:val="auto"/>
                <w:sz w:val="21"/>
                <w:szCs w:val="21"/>
                <w:highlight w:val="none"/>
              </w:rPr>
              <w:t>甲基丙烯酸甲酯</w:t>
            </w:r>
          </w:p>
        </w:tc>
        <w:tc>
          <w:tcPr>
            <w:tcW w:w="1843" w:type="dxa"/>
            <w:vMerge w:val="restart"/>
            <w:noWrap w:val="0"/>
            <w:vAlign w:val="center"/>
          </w:tcPr>
          <w:p>
            <w:pPr>
              <w:spacing w:line="240" w:lineRule="auto"/>
              <w:jc w:val="center"/>
              <w:rPr>
                <w:rFonts w:hint="eastAsia"/>
                <w:color w:val="auto"/>
                <w:sz w:val="21"/>
                <w:szCs w:val="21"/>
                <w:highlight w:val="none"/>
              </w:rPr>
            </w:pPr>
            <w:r>
              <w:rPr>
                <w:rFonts w:hint="eastAsia"/>
                <w:color w:val="auto"/>
                <w:sz w:val="21"/>
                <w:szCs w:val="21"/>
                <w:highlight w:val="none"/>
              </w:rPr>
              <w:t>2642.9</w:t>
            </w:r>
          </w:p>
        </w:tc>
        <w:tc>
          <w:tcPr>
            <w:tcW w:w="1813" w:type="dxa"/>
            <w:noWrap w:val="0"/>
            <w:vAlign w:val="center"/>
          </w:tcPr>
          <w:p>
            <w:pPr>
              <w:spacing w:line="240" w:lineRule="auto"/>
              <w:jc w:val="center"/>
              <w:rPr>
                <w:rFonts w:hint="eastAsia" w:hAnsi="宋体"/>
                <w:color w:val="auto"/>
                <w:sz w:val="21"/>
                <w:szCs w:val="21"/>
                <w:highlight w:val="none"/>
              </w:rPr>
            </w:pPr>
            <w:r>
              <w:rPr>
                <w:rFonts w:hint="eastAsia" w:hAnsi="宋体"/>
                <w:color w:val="auto"/>
                <w:sz w:val="21"/>
                <w:szCs w:val="21"/>
                <w:highlight w:val="none"/>
              </w:rPr>
              <w:t>罐区</w:t>
            </w:r>
          </w:p>
        </w:tc>
        <w:tc>
          <w:tcPr>
            <w:tcW w:w="1170"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376</w:t>
            </w:r>
          </w:p>
        </w:tc>
        <w:tc>
          <w:tcPr>
            <w:tcW w:w="2367" w:type="dxa"/>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993730.4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705" w:type="dxa"/>
            <w:vMerge w:val="continue"/>
            <w:noWrap w:val="0"/>
            <w:vAlign w:val="center"/>
          </w:tcPr>
          <w:p>
            <w:pPr>
              <w:spacing w:line="240" w:lineRule="auto"/>
              <w:jc w:val="center"/>
              <w:rPr>
                <w:rFonts w:hint="eastAsia"/>
                <w:color w:val="auto"/>
                <w:sz w:val="21"/>
                <w:szCs w:val="21"/>
                <w:highlight w:val="none"/>
              </w:rPr>
            </w:pPr>
          </w:p>
        </w:tc>
        <w:tc>
          <w:tcPr>
            <w:tcW w:w="1388" w:type="dxa"/>
            <w:vMerge w:val="continue"/>
            <w:noWrap w:val="0"/>
            <w:vAlign w:val="center"/>
          </w:tcPr>
          <w:p>
            <w:pPr>
              <w:spacing w:line="240" w:lineRule="auto"/>
              <w:jc w:val="center"/>
              <w:rPr>
                <w:color w:val="auto"/>
                <w:sz w:val="21"/>
                <w:szCs w:val="21"/>
                <w:highlight w:val="none"/>
              </w:rPr>
            </w:pPr>
          </w:p>
        </w:tc>
        <w:tc>
          <w:tcPr>
            <w:tcW w:w="1843" w:type="dxa"/>
            <w:vMerge w:val="continue"/>
            <w:noWrap w:val="0"/>
            <w:vAlign w:val="center"/>
          </w:tcPr>
          <w:p>
            <w:pPr>
              <w:spacing w:line="240" w:lineRule="auto"/>
              <w:jc w:val="center"/>
              <w:rPr>
                <w:rFonts w:hint="eastAsia"/>
                <w:color w:val="auto"/>
                <w:sz w:val="21"/>
                <w:szCs w:val="21"/>
                <w:highlight w:val="none"/>
              </w:rPr>
            </w:pPr>
          </w:p>
        </w:tc>
        <w:tc>
          <w:tcPr>
            <w:tcW w:w="1813" w:type="dxa"/>
            <w:noWrap w:val="0"/>
            <w:vAlign w:val="center"/>
          </w:tcPr>
          <w:p>
            <w:pPr>
              <w:spacing w:line="240" w:lineRule="auto"/>
              <w:jc w:val="center"/>
              <w:rPr>
                <w:rFonts w:hint="default" w:hAnsi="宋体" w:eastAsia="宋体"/>
                <w:color w:val="auto"/>
                <w:sz w:val="21"/>
                <w:szCs w:val="21"/>
                <w:highlight w:val="none"/>
                <w:lang w:val="en-US" w:eastAsia="zh-CN"/>
              </w:rPr>
            </w:pPr>
            <w:r>
              <w:rPr>
                <w:rFonts w:hint="eastAsia" w:hAnsi="宋体"/>
                <w:color w:val="auto"/>
                <w:sz w:val="21"/>
                <w:szCs w:val="21"/>
                <w:highlight w:val="none"/>
                <w:lang w:val="en-US" w:eastAsia="zh-CN"/>
              </w:rPr>
              <w:t>甲类仓库</w:t>
            </w:r>
          </w:p>
        </w:tc>
        <w:tc>
          <w:tcPr>
            <w:tcW w:w="1170" w:type="dxa"/>
            <w:noWrap w:val="0"/>
            <w:vAlign w:val="center"/>
          </w:tcPr>
          <w:p>
            <w:pPr>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20</w:t>
            </w:r>
          </w:p>
        </w:tc>
        <w:tc>
          <w:tcPr>
            <w:tcW w:w="2367"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52858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705" w:type="dxa"/>
            <w:vMerge w:val="continue"/>
            <w:noWrap w:val="0"/>
            <w:vAlign w:val="center"/>
          </w:tcPr>
          <w:p>
            <w:pPr>
              <w:spacing w:line="240" w:lineRule="auto"/>
              <w:jc w:val="center"/>
              <w:rPr>
                <w:color w:val="auto"/>
                <w:sz w:val="21"/>
                <w:szCs w:val="21"/>
                <w:highlight w:val="none"/>
              </w:rPr>
            </w:pPr>
          </w:p>
        </w:tc>
        <w:tc>
          <w:tcPr>
            <w:tcW w:w="1388" w:type="dxa"/>
            <w:vMerge w:val="continue"/>
            <w:noWrap w:val="0"/>
            <w:vAlign w:val="center"/>
          </w:tcPr>
          <w:p>
            <w:pPr>
              <w:spacing w:line="240" w:lineRule="auto"/>
              <w:jc w:val="center"/>
              <w:rPr>
                <w:color w:val="auto"/>
                <w:sz w:val="21"/>
                <w:szCs w:val="21"/>
                <w:highlight w:val="none"/>
              </w:rPr>
            </w:pPr>
          </w:p>
        </w:tc>
        <w:tc>
          <w:tcPr>
            <w:tcW w:w="1843" w:type="dxa"/>
            <w:vMerge w:val="continue"/>
            <w:noWrap w:val="0"/>
            <w:vAlign w:val="center"/>
          </w:tcPr>
          <w:p>
            <w:pPr>
              <w:spacing w:line="240" w:lineRule="auto"/>
              <w:jc w:val="center"/>
              <w:rPr>
                <w:color w:val="auto"/>
                <w:sz w:val="21"/>
                <w:szCs w:val="21"/>
                <w:highlight w:val="none"/>
              </w:rPr>
            </w:pPr>
          </w:p>
        </w:tc>
        <w:tc>
          <w:tcPr>
            <w:tcW w:w="1813" w:type="dxa"/>
            <w:noWrap w:val="0"/>
            <w:vAlign w:val="center"/>
          </w:tcPr>
          <w:p>
            <w:pPr>
              <w:spacing w:line="240" w:lineRule="auto"/>
              <w:jc w:val="center"/>
              <w:rPr>
                <w:rFonts w:hAnsi="宋体"/>
                <w:color w:val="auto"/>
                <w:sz w:val="21"/>
                <w:szCs w:val="21"/>
                <w:highlight w:val="none"/>
              </w:rPr>
            </w:pPr>
            <w:r>
              <w:rPr>
                <w:rFonts w:hint="eastAsia" w:hAnsi="宋体"/>
                <w:color w:val="auto"/>
                <w:sz w:val="21"/>
                <w:szCs w:val="21"/>
                <w:highlight w:val="none"/>
                <w:lang w:val="en-US" w:eastAsia="zh-CN"/>
              </w:rPr>
              <w:t>裂解</w:t>
            </w:r>
            <w:r>
              <w:rPr>
                <w:rFonts w:hAnsi="宋体"/>
                <w:color w:val="auto"/>
                <w:sz w:val="21"/>
                <w:szCs w:val="21"/>
                <w:highlight w:val="none"/>
              </w:rPr>
              <w:t>车间</w:t>
            </w:r>
          </w:p>
        </w:tc>
        <w:tc>
          <w:tcPr>
            <w:tcW w:w="1170"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36.1</w:t>
            </w:r>
          </w:p>
        </w:tc>
        <w:tc>
          <w:tcPr>
            <w:tcW w:w="2367" w:type="dxa"/>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95408.69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705" w:type="dxa"/>
            <w:vMerge w:val="continue"/>
            <w:noWrap w:val="0"/>
            <w:vAlign w:val="center"/>
          </w:tcPr>
          <w:p>
            <w:pPr>
              <w:spacing w:line="240" w:lineRule="auto"/>
              <w:jc w:val="center"/>
              <w:rPr>
                <w:color w:val="auto"/>
                <w:sz w:val="21"/>
                <w:szCs w:val="21"/>
                <w:highlight w:val="none"/>
              </w:rPr>
            </w:pPr>
          </w:p>
        </w:tc>
        <w:tc>
          <w:tcPr>
            <w:tcW w:w="1388" w:type="dxa"/>
            <w:vMerge w:val="continue"/>
            <w:noWrap w:val="0"/>
            <w:vAlign w:val="center"/>
          </w:tcPr>
          <w:p>
            <w:pPr>
              <w:spacing w:line="240" w:lineRule="auto"/>
              <w:jc w:val="center"/>
              <w:rPr>
                <w:color w:val="auto"/>
                <w:sz w:val="21"/>
                <w:szCs w:val="21"/>
                <w:highlight w:val="none"/>
              </w:rPr>
            </w:pPr>
          </w:p>
        </w:tc>
        <w:tc>
          <w:tcPr>
            <w:tcW w:w="1843" w:type="dxa"/>
            <w:vMerge w:val="continue"/>
            <w:noWrap w:val="0"/>
            <w:vAlign w:val="center"/>
          </w:tcPr>
          <w:p>
            <w:pPr>
              <w:spacing w:line="240" w:lineRule="auto"/>
              <w:jc w:val="center"/>
              <w:rPr>
                <w:color w:val="auto"/>
                <w:sz w:val="21"/>
                <w:szCs w:val="21"/>
                <w:highlight w:val="none"/>
              </w:rPr>
            </w:pPr>
          </w:p>
        </w:tc>
        <w:tc>
          <w:tcPr>
            <w:tcW w:w="1813" w:type="dxa"/>
            <w:noWrap w:val="0"/>
            <w:vAlign w:val="center"/>
          </w:tcPr>
          <w:p>
            <w:pPr>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精馏车间</w:t>
            </w:r>
          </w:p>
        </w:tc>
        <w:tc>
          <w:tcPr>
            <w:tcW w:w="1170" w:type="dxa"/>
            <w:noWrap w:val="0"/>
            <w:vAlign w:val="center"/>
          </w:tcPr>
          <w:p>
            <w:pPr>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60</w:t>
            </w:r>
          </w:p>
        </w:tc>
        <w:tc>
          <w:tcPr>
            <w:tcW w:w="2367" w:type="dxa"/>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158574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705" w:type="dxa"/>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2</w:t>
            </w:r>
          </w:p>
        </w:tc>
        <w:tc>
          <w:tcPr>
            <w:tcW w:w="1388" w:type="dxa"/>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对苯二酚</w:t>
            </w:r>
          </w:p>
        </w:tc>
        <w:tc>
          <w:tcPr>
            <w:tcW w:w="1843" w:type="dxa"/>
            <w:noWrap w:val="0"/>
            <w:vAlign w:val="center"/>
          </w:tcPr>
          <w:p>
            <w:pPr>
              <w:spacing w:line="240" w:lineRule="auto"/>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2849.8</w:t>
            </w:r>
          </w:p>
        </w:tc>
        <w:tc>
          <w:tcPr>
            <w:tcW w:w="1813" w:type="dxa"/>
            <w:noWrap w:val="0"/>
            <w:vAlign w:val="center"/>
          </w:tcPr>
          <w:p>
            <w:pPr>
              <w:spacing w:line="240" w:lineRule="auto"/>
              <w:jc w:val="center"/>
              <w:rPr>
                <w:rFonts w:hint="default" w:hAnsi="宋体"/>
                <w:color w:val="auto"/>
                <w:sz w:val="21"/>
                <w:szCs w:val="21"/>
                <w:highlight w:val="none"/>
                <w:lang w:val="en-US" w:eastAsia="zh-CN"/>
              </w:rPr>
            </w:pPr>
            <w:r>
              <w:rPr>
                <w:rFonts w:hint="eastAsia" w:hAnsi="宋体"/>
                <w:color w:val="auto"/>
                <w:sz w:val="21"/>
                <w:szCs w:val="21"/>
                <w:highlight w:val="none"/>
                <w:lang w:val="en-US" w:eastAsia="zh-CN"/>
              </w:rPr>
              <w:t>甲类仓库</w:t>
            </w:r>
          </w:p>
        </w:tc>
        <w:tc>
          <w:tcPr>
            <w:tcW w:w="1170" w:type="dxa"/>
            <w:noWrap w:val="0"/>
            <w:vAlign w:val="center"/>
          </w:tcPr>
          <w:p>
            <w:pPr>
              <w:spacing w:line="240" w:lineRule="auto"/>
              <w:jc w:val="center"/>
              <w:rPr>
                <w:rFonts w:hint="default"/>
                <w:color w:val="auto"/>
                <w:kern w:val="0"/>
                <w:sz w:val="21"/>
                <w:szCs w:val="21"/>
                <w:highlight w:val="none"/>
                <w:lang w:val="en-US" w:eastAsia="zh-CN"/>
              </w:rPr>
            </w:pPr>
            <w:r>
              <w:rPr>
                <w:rFonts w:hint="eastAsia"/>
                <w:color w:val="auto"/>
                <w:kern w:val="0"/>
                <w:sz w:val="21"/>
                <w:szCs w:val="21"/>
                <w:highlight w:val="none"/>
                <w:lang w:val="en-US" w:eastAsia="zh-CN"/>
              </w:rPr>
              <w:t>0.3</w:t>
            </w:r>
          </w:p>
        </w:tc>
        <w:tc>
          <w:tcPr>
            <w:tcW w:w="2367"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854.94</w:t>
            </w:r>
          </w:p>
        </w:tc>
      </w:tr>
    </w:tbl>
    <w:p>
      <w:pPr>
        <w:pStyle w:val="5"/>
        <w:rPr>
          <w:rFonts w:hint="default" w:eastAsia="宋体"/>
          <w:color w:val="auto"/>
          <w:lang w:val="en-US" w:eastAsia="zh-CN"/>
        </w:rPr>
      </w:pPr>
      <w:r>
        <w:rPr>
          <w:rFonts w:hint="eastAsia"/>
          <w:color w:val="auto"/>
          <w:lang w:val="en-US" w:eastAsia="zh-CN"/>
        </w:rPr>
        <w:t>6.1.2.3具有毒性的化学品的浓度及质量</w:t>
      </w:r>
    </w:p>
    <w:p>
      <w:pPr>
        <w:pStyle w:val="8"/>
        <w:rPr>
          <w:rFonts w:hint="default"/>
          <w:color w:val="auto"/>
          <w:lang w:val="en-US" w:eastAsia="zh-CN"/>
        </w:rPr>
      </w:pPr>
      <w:r>
        <w:rPr>
          <w:rFonts w:hint="default"/>
          <w:color w:val="auto"/>
          <w:lang w:val="en-US" w:eastAsia="zh-CN"/>
        </w:rPr>
        <w:t>依据《职业性接触毒物危害程度分级》，该项目</w:t>
      </w:r>
      <w:r>
        <w:rPr>
          <w:rFonts w:hint="eastAsia"/>
          <w:color w:val="auto"/>
          <w:lang w:val="en-US" w:eastAsia="zh-CN"/>
        </w:rPr>
        <w:t>甲基丙烯酸甲酯</w:t>
      </w:r>
      <w:r>
        <w:rPr>
          <w:rFonts w:hint="default"/>
          <w:color w:val="auto"/>
          <w:lang w:val="en-US" w:eastAsia="zh-CN"/>
        </w:rPr>
        <w:t>、</w:t>
      </w:r>
      <w:r>
        <w:rPr>
          <w:rFonts w:hint="eastAsia"/>
          <w:color w:val="auto"/>
          <w:lang w:val="en-US" w:eastAsia="zh-CN"/>
        </w:rPr>
        <w:t>对苯二酚</w:t>
      </w:r>
      <w:r>
        <w:rPr>
          <w:rFonts w:hint="default"/>
          <w:color w:val="auto"/>
          <w:lang w:val="en-US" w:eastAsia="zh-CN"/>
        </w:rPr>
        <w:t>等物质属于Ⅳ级(轻度危害)。</w:t>
      </w:r>
    </w:p>
    <w:tbl>
      <w:tblPr>
        <w:tblStyle w:val="42"/>
        <w:tblW w:w="9377"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478"/>
        <w:gridCol w:w="1785"/>
        <w:gridCol w:w="1308"/>
        <w:gridCol w:w="878"/>
        <w:gridCol w:w="772"/>
        <w:gridCol w:w="1500"/>
        <w:gridCol w:w="265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69" w:hRule="atLeast"/>
        </w:trPr>
        <w:tc>
          <w:tcPr>
            <w:tcW w:w="478" w:type="dxa"/>
            <w:shd w:val="clear" w:color="auto" w:fill="auto"/>
            <w:noWrap w:val="0"/>
            <w:vAlign w:val="center"/>
          </w:tcPr>
          <w:p>
            <w:pPr>
              <w:spacing w:line="240" w:lineRule="auto"/>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序号</w:t>
            </w:r>
          </w:p>
        </w:tc>
        <w:tc>
          <w:tcPr>
            <w:tcW w:w="1785" w:type="dxa"/>
            <w:shd w:val="clear" w:color="auto" w:fill="auto"/>
            <w:noWrap w:val="0"/>
            <w:vAlign w:val="center"/>
          </w:tcPr>
          <w:p>
            <w:pPr>
              <w:spacing w:line="240" w:lineRule="auto"/>
              <w:jc w:val="center"/>
              <w:rPr>
                <w:rFonts w:hint="eastAsia" w:eastAsia="宋体"/>
                <w:b/>
                <w:color w:val="auto"/>
                <w:kern w:val="0"/>
                <w:sz w:val="21"/>
                <w:szCs w:val="21"/>
                <w:highlight w:val="none"/>
                <w:shd w:val="clear" w:color="auto" w:fill="auto"/>
                <w:lang w:eastAsia="zh-CN"/>
              </w:rPr>
            </w:pPr>
            <w:r>
              <w:rPr>
                <w:rFonts w:hint="eastAsia" w:hAnsi="宋体"/>
                <w:b/>
                <w:color w:val="auto"/>
                <w:kern w:val="0"/>
                <w:sz w:val="21"/>
                <w:szCs w:val="21"/>
                <w:highlight w:val="none"/>
                <w:shd w:val="clear" w:color="auto" w:fill="auto"/>
                <w:lang w:val="en-US" w:eastAsia="zh-CN"/>
              </w:rPr>
              <w:t>物质名称</w:t>
            </w:r>
          </w:p>
        </w:tc>
        <w:tc>
          <w:tcPr>
            <w:tcW w:w="1308" w:type="dxa"/>
            <w:shd w:val="clear" w:color="auto" w:fill="auto"/>
            <w:noWrap w:val="0"/>
            <w:vAlign w:val="center"/>
          </w:tcPr>
          <w:p>
            <w:pPr>
              <w:spacing w:line="240" w:lineRule="auto"/>
              <w:ind w:left="-143" w:leftChars="-51" w:right="-143" w:rightChars="-51"/>
              <w:jc w:val="center"/>
              <w:rPr>
                <w:b/>
                <w:color w:val="auto"/>
                <w:kern w:val="0"/>
                <w:sz w:val="21"/>
                <w:szCs w:val="21"/>
                <w:highlight w:val="none"/>
                <w:shd w:val="clear" w:color="auto" w:fill="auto"/>
              </w:rPr>
            </w:pPr>
            <w:r>
              <w:rPr>
                <w:rFonts w:hAnsi="宋体"/>
                <w:b/>
                <w:color w:val="auto"/>
                <w:kern w:val="0"/>
                <w:sz w:val="21"/>
                <w:szCs w:val="21"/>
                <w:highlight w:val="none"/>
                <w:shd w:val="clear" w:color="auto" w:fill="auto"/>
              </w:rPr>
              <w:t>存在场所</w:t>
            </w:r>
          </w:p>
        </w:tc>
        <w:tc>
          <w:tcPr>
            <w:tcW w:w="878" w:type="dxa"/>
            <w:shd w:val="clear" w:color="auto" w:fill="auto"/>
            <w:noWrap w:val="0"/>
            <w:vAlign w:val="center"/>
          </w:tcPr>
          <w:p>
            <w:pPr>
              <w:spacing w:line="240" w:lineRule="auto"/>
              <w:ind w:left="-143" w:leftChars="-51" w:right="-143" w:rightChars="-51"/>
              <w:jc w:val="center"/>
              <w:rPr>
                <w:rFonts w:hint="default" w:eastAsia="宋体"/>
                <w:b/>
                <w:color w:val="auto"/>
                <w:kern w:val="0"/>
                <w:sz w:val="21"/>
                <w:szCs w:val="21"/>
                <w:highlight w:val="none"/>
                <w:shd w:val="clear" w:color="auto" w:fill="auto"/>
                <w:lang w:val="en-US" w:eastAsia="zh-CN"/>
              </w:rPr>
            </w:pPr>
            <w:r>
              <w:rPr>
                <w:rFonts w:hint="eastAsia"/>
                <w:b/>
                <w:color w:val="auto"/>
                <w:kern w:val="0"/>
                <w:sz w:val="21"/>
                <w:szCs w:val="21"/>
                <w:highlight w:val="none"/>
                <w:shd w:val="clear" w:color="auto" w:fill="auto"/>
                <w:lang w:val="en-US" w:eastAsia="zh-CN"/>
              </w:rPr>
              <w:t>浓度/≥%</w:t>
            </w:r>
          </w:p>
        </w:tc>
        <w:tc>
          <w:tcPr>
            <w:tcW w:w="772" w:type="dxa"/>
            <w:shd w:val="clear" w:color="auto" w:fill="auto"/>
            <w:noWrap w:val="0"/>
            <w:vAlign w:val="center"/>
          </w:tcPr>
          <w:p>
            <w:pPr>
              <w:spacing w:line="240" w:lineRule="auto"/>
              <w:ind w:left="-143" w:leftChars="-51" w:right="-143" w:rightChars="-51"/>
              <w:jc w:val="center"/>
              <w:rPr>
                <w:rFonts w:hint="eastAsia" w:hAnsi="宋体" w:eastAsia="宋体"/>
                <w:b/>
                <w:color w:val="auto"/>
                <w:kern w:val="0"/>
                <w:sz w:val="21"/>
                <w:szCs w:val="21"/>
                <w:highlight w:val="none"/>
                <w:shd w:val="clear" w:color="auto" w:fill="auto"/>
                <w:lang w:val="en-US" w:eastAsia="zh-CN"/>
              </w:rPr>
            </w:pPr>
            <w:r>
              <w:rPr>
                <w:rFonts w:hint="eastAsia" w:hAnsi="宋体"/>
                <w:b/>
                <w:color w:val="auto"/>
                <w:kern w:val="0"/>
                <w:sz w:val="21"/>
                <w:szCs w:val="21"/>
                <w:highlight w:val="none"/>
                <w:shd w:val="clear" w:color="auto" w:fill="auto"/>
                <w:lang w:val="en-US" w:eastAsia="zh-CN"/>
              </w:rPr>
              <w:t>状态</w:t>
            </w:r>
          </w:p>
        </w:tc>
        <w:tc>
          <w:tcPr>
            <w:tcW w:w="1500" w:type="dxa"/>
            <w:shd w:val="clear" w:color="auto" w:fill="auto"/>
            <w:noWrap w:val="0"/>
            <w:vAlign w:val="center"/>
          </w:tcPr>
          <w:p>
            <w:pPr>
              <w:spacing w:line="240" w:lineRule="auto"/>
              <w:ind w:left="-143" w:leftChars="-51" w:right="-143" w:rightChars="-51"/>
              <w:jc w:val="center"/>
              <w:rPr>
                <w:rFonts w:ascii="Times New Roman" w:hAnsi="Times New Roman" w:eastAsia="宋体" w:cs="Times New Roman"/>
                <w:b/>
                <w:color w:val="auto"/>
                <w:kern w:val="0"/>
                <w:sz w:val="21"/>
                <w:szCs w:val="21"/>
                <w:highlight w:val="none"/>
                <w:shd w:val="clear" w:color="auto" w:fill="auto"/>
                <w:lang w:val="en-US" w:eastAsia="zh-CN" w:bidi="ar-SA"/>
              </w:rPr>
            </w:pPr>
            <w:r>
              <w:rPr>
                <w:rFonts w:hint="eastAsia" w:hAnsi="宋体"/>
                <w:b/>
                <w:color w:val="auto"/>
                <w:kern w:val="0"/>
                <w:sz w:val="21"/>
                <w:szCs w:val="21"/>
                <w:highlight w:val="none"/>
                <w:shd w:val="clear" w:color="auto" w:fill="auto"/>
                <w:lang w:val="en-US" w:eastAsia="zh-CN"/>
              </w:rPr>
              <w:t>数量</w:t>
            </w:r>
            <w:r>
              <w:rPr>
                <w:rFonts w:hAnsi="宋体"/>
                <w:b/>
                <w:color w:val="auto"/>
                <w:kern w:val="0"/>
                <w:sz w:val="21"/>
                <w:szCs w:val="21"/>
                <w:highlight w:val="none"/>
                <w:shd w:val="clear" w:color="auto" w:fill="auto"/>
              </w:rPr>
              <w:t>（</w:t>
            </w:r>
            <w:r>
              <w:rPr>
                <w:b/>
                <w:color w:val="auto"/>
                <w:kern w:val="0"/>
                <w:sz w:val="21"/>
                <w:szCs w:val="21"/>
                <w:highlight w:val="none"/>
                <w:shd w:val="clear" w:color="auto" w:fill="auto"/>
              </w:rPr>
              <w:t>t</w:t>
            </w:r>
            <w:r>
              <w:rPr>
                <w:rFonts w:hAnsi="宋体"/>
                <w:b/>
                <w:color w:val="auto"/>
                <w:kern w:val="0"/>
                <w:sz w:val="21"/>
                <w:szCs w:val="21"/>
                <w:highlight w:val="none"/>
                <w:shd w:val="clear" w:color="auto" w:fill="auto"/>
              </w:rPr>
              <w:t>）</w:t>
            </w:r>
          </w:p>
        </w:tc>
        <w:tc>
          <w:tcPr>
            <w:tcW w:w="2656" w:type="dxa"/>
            <w:shd w:val="clear" w:color="auto" w:fill="auto"/>
            <w:noWrap w:val="0"/>
            <w:vAlign w:val="center"/>
          </w:tcPr>
          <w:p>
            <w:pPr>
              <w:spacing w:line="240" w:lineRule="auto"/>
              <w:ind w:left="-143" w:leftChars="-51" w:right="-143" w:rightChars="-51"/>
              <w:jc w:val="center"/>
              <w:rPr>
                <w:rFonts w:hint="default" w:hAnsi="宋体"/>
                <w:b/>
                <w:color w:val="auto"/>
                <w:kern w:val="0"/>
                <w:sz w:val="21"/>
                <w:szCs w:val="21"/>
                <w:highlight w:val="none"/>
                <w:shd w:val="clear" w:color="auto" w:fill="auto"/>
                <w:lang w:val="en-US" w:eastAsia="zh-CN"/>
              </w:rPr>
            </w:pPr>
            <w:r>
              <w:rPr>
                <w:rFonts w:hint="eastAsia" w:hAnsi="宋体"/>
                <w:b/>
                <w:color w:val="auto"/>
                <w:kern w:val="0"/>
                <w:sz w:val="21"/>
                <w:szCs w:val="21"/>
                <w:highlight w:val="none"/>
                <w:shd w:val="clear" w:color="auto" w:fill="auto"/>
                <w:lang w:val="en-US" w:eastAsia="zh-CN"/>
              </w:rPr>
              <w:t>危险性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96" w:hRule="atLeast"/>
        </w:trPr>
        <w:tc>
          <w:tcPr>
            <w:tcW w:w="478" w:type="dxa"/>
            <w:vMerge w:val="restart"/>
            <w:noWrap w:val="0"/>
            <w:vAlign w:val="center"/>
          </w:tcPr>
          <w:p>
            <w:pPr>
              <w:spacing w:line="240" w:lineRule="auto"/>
              <w:jc w:val="center"/>
              <w:rPr>
                <w:rFonts w:hint="eastAsia"/>
                <w:color w:val="auto"/>
                <w:sz w:val="21"/>
                <w:szCs w:val="21"/>
                <w:highlight w:val="none"/>
              </w:rPr>
            </w:pPr>
            <w:r>
              <w:rPr>
                <w:rFonts w:hint="eastAsia"/>
                <w:color w:val="auto"/>
                <w:sz w:val="21"/>
                <w:szCs w:val="21"/>
                <w:highlight w:val="none"/>
              </w:rPr>
              <w:t>1</w:t>
            </w:r>
          </w:p>
        </w:tc>
        <w:tc>
          <w:tcPr>
            <w:tcW w:w="1785" w:type="dxa"/>
            <w:vMerge w:val="restart"/>
            <w:noWrap w:val="0"/>
            <w:vAlign w:val="center"/>
          </w:tcPr>
          <w:p>
            <w:pPr>
              <w:spacing w:line="240" w:lineRule="auto"/>
              <w:jc w:val="center"/>
              <w:rPr>
                <w:color w:val="auto"/>
                <w:sz w:val="21"/>
                <w:szCs w:val="21"/>
                <w:highlight w:val="none"/>
              </w:rPr>
            </w:pPr>
            <w:r>
              <w:rPr>
                <w:color w:val="auto"/>
                <w:sz w:val="21"/>
                <w:szCs w:val="21"/>
                <w:highlight w:val="none"/>
              </w:rPr>
              <w:t>甲基丙烯酸甲酯</w:t>
            </w:r>
          </w:p>
        </w:tc>
        <w:tc>
          <w:tcPr>
            <w:tcW w:w="1308" w:type="dxa"/>
            <w:noWrap w:val="0"/>
            <w:vAlign w:val="center"/>
          </w:tcPr>
          <w:p>
            <w:pPr>
              <w:spacing w:line="240" w:lineRule="auto"/>
              <w:jc w:val="center"/>
              <w:rPr>
                <w:rFonts w:hint="eastAsia" w:hAnsi="宋体"/>
                <w:color w:val="auto"/>
                <w:sz w:val="21"/>
                <w:szCs w:val="21"/>
                <w:highlight w:val="none"/>
              </w:rPr>
            </w:pPr>
            <w:r>
              <w:rPr>
                <w:rFonts w:hint="eastAsia" w:hAnsi="宋体"/>
                <w:color w:val="auto"/>
                <w:sz w:val="21"/>
                <w:szCs w:val="21"/>
                <w:highlight w:val="none"/>
              </w:rPr>
              <w:t>罐区</w:t>
            </w:r>
          </w:p>
        </w:tc>
        <w:tc>
          <w:tcPr>
            <w:tcW w:w="878" w:type="dxa"/>
            <w:noWrap w:val="0"/>
            <w:vAlign w:val="center"/>
          </w:tcPr>
          <w:p>
            <w:pPr>
              <w:spacing w:line="240" w:lineRule="auto"/>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99</w:t>
            </w:r>
          </w:p>
        </w:tc>
        <w:tc>
          <w:tcPr>
            <w:tcW w:w="772" w:type="dxa"/>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液</w:t>
            </w:r>
          </w:p>
        </w:tc>
        <w:tc>
          <w:tcPr>
            <w:tcW w:w="1500" w:type="dxa"/>
            <w:noWrap w:val="0"/>
            <w:vAlign w:val="center"/>
          </w:tcPr>
          <w:p>
            <w:pPr>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376</w:t>
            </w:r>
          </w:p>
        </w:tc>
        <w:tc>
          <w:tcPr>
            <w:tcW w:w="2656" w:type="dxa"/>
            <w:noWrap w:val="0"/>
            <w:vAlign w:val="center"/>
          </w:tcPr>
          <w:p>
            <w:pPr>
              <w:spacing w:line="240" w:lineRule="auto"/>
              <w:jc w:val="center"/>
              <w:rPr>
                <w:rFonts w:hint="eastAsia"/>
                <w:color w:val="auto"/>
                <w:kern w:val="0"/>
                <w:sz w:val="21"/>
                <w:szCs w:val="21"/>
                <w:highlight w:val="none"/>
                <w:lang w:val="en-US" w:eastAsia="zh-CN"/>
              </w:rPr>
            </w:pPr>
            <w:r>
              <w:rPr>
                <w:rFonts w:hint="eastAsia"/>
                <w:color w:val="auto"/>
                <w:sz w:val="21"/>
                <w:szCs w:val="21"/>
              </w:rPr>
              <w:t>Ⅳ级（轻度危害）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96" w:hRule="atLeast"/>
        </w:trPr>
        <w:tc>
          <w:tcPr>
            <w:tcW w:w="478" w:type="dxa"/>
            <w:vMerge w:val="continue"/>
            <w:noWrap w:val="0"/>
            <w:vAlign w:val="center"/>
          </w:tcPr>
          <w:p>
            <w:pPr>
              <w:spacing w:line="240" w:lineRule="auto"/>
              <w:jc w:val="center"/>
              <w:rPr>
                <w:rFonts w:hint="eastAsia"/>
                <w:color w:val="auto"/>
                <w:sz w:val="21"/>
                <w:szCs w:val="21"/>
                <w:highlight w:val="none"/>
              </w:rPr>
            </w:pPr>
          </w:p>
        </w:tc>
        <w:tc>
          <w:tcPr>
            <w:tcW w:w="1785" w:type="dxa"/>
            <w:vMerge w:val="continue"/>
            <w:noWrap w:val="0"/>
            <w:vAlign w:val="center"/>
          </w:tcPr>
          <w:p>
            <w:pPr>
              <w:spacing w:line="240" w:lineRule="auto"/>
              <w:jc w:val="center"/>
              <w:rPr>
                <w:color w:val="auto"/>
                <w:sz w:val="21"/>
                <w:szCs w:val="21"/>
                <w:highlight w:val="none"/>
              </w:rPr>
            </w:pPr>
          </w:p>
        </w:tc>
        <w:tc>
          <w:tcPr>
            <w:tcW w:w="1308" w:type="dxa"/>
            <w:noWrap w:val="0"/>
            <w:vAlign w:val="center"/>
          </w:tcPr>
          <w:p>
            <w:pPr>
              <w:spacing w:line="240" w:lineRule="auto"/>
              <w:jc w:val="center"/>
              <w:rPr>
                <w:rFonts w:hint="default" w:hAnsi="宋体" w:eastAsia="宋体"/>
                <w:color w:val="auto"/>
                <w:sz w:val="21"/>
                <w:szCs w:val="21"/>
                <w:highlight w:val="none"/>
                <w:lang w:val="en-US" w:eastAsia="zh-CN"/>
              </w:rPr>
            </w:pPr>
            <w:r>
              <w:rPr>
                <w:rFonts w:hint="eastAsia" w:hAnsi="宋体"/>
                <w:color w:val="auto"/>
                <w:sz w:val="21"/>
                <w:szCs w:val="21"/>
                <w:highlight w:val="none"/>
                <w:lang w:val="en-US" w:eastAsia="zh-CN"/>
              </w:rPr>
              <w:t>甲类仓库</w:t>
            </w:r>
          </w:p>
        </w:tc>
        <w:tc>
          <w:tcPr>
            <w:tcW w:w="878"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99</w:t>
            </w:r>
          </w:p>
        </w:tc>
        <w:tc>
          <w:tcPr>
            <w:tcW w:w="772" w:type="dxa"/>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液</w:t>
            </w:r>
          </w:p>
        </w:tc>
        <w:tc>
          <w:tcPr>
            <w:tcW w:w="1500" w:type="dxa"/>
            <w:noWrap w:val="0"/>
            <w:vAlign w:val="center"/>
          </w:tcPr>
          <w:p>
            <w:pPr>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20</w:t>
            </w:r>
          </w:p>
        </w:tc>
        <w:tc>
          <w:tcPr>
            <w:tcW w:w="2656" w:type="dxa"/>
            <w:noWrap w:val="0"/>
            <w:vAlign w:val="center"/>
          </w:tcPr>
          <w:p>
            <w:pPr>
              <w:spacing w:line="240" w:lineRule="auto"/>
              <w:jc w:val="center"/>
              <w:rPr>
                <w:rFonts w:hint="eastAsia"/>
                <w:color w:val="auto"/>
                <w:kern w:val="0"/>
                <w:sz w:val="21"/>
                <w:szCs w:val="21"/>
                <w:highlight w:val="none"/>
                <w:lang w:val="en-US" w:eastAsia="zh-CN"/>
              </w:rPr>
            </w:pPr>
            <w:r>
              <w:rPr>
                <w:rFonts w:hint="eastAsia"/>
                <w:color w:val="auto"/>
                <w:sz w:val="21"/>
                <w:szCs w:val="21"/>
              </w:rPr>
              <w:t>Ⅳ级（轻度危害）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96" w:hRule="atLeast"/>
        </w:trPr>
        <w:tc>
          <w:tcPr>
            <w:tcW w:w="478" w:type="dxa"/>
            <w:vMerge w:val="continue"/>
            <w:noWrap w:val="0"/>
            <w:vAlign w:val="center"/>
          </w:tcPr>
          <w:p>
            <w:pPr>
              <w:spacing w:line="240" w:lineRule="auto"/>
              <w:jc w:val="center"/>
              <w:rPr>
                <w:color w:val="auto"/>
                <w:sz w:val="21"/>
                <w:szCs w:val="21"/>
                <w:highlight w:val="none"/>
              </w:rPr>
            </w:pPr>
          </w:p>
        </w:tc>
        <w:tc>
          <w:tcPr>
            <w:tcW w:w="1785" w:type="dxa"/>
            <w:vMerge w:val="continue"/>
            <w:noWrap w:val="0"/>
            <w:vAlign w:val="center"/>
          </w:tcPr>
          <w:p>
            <w:pPr>
              <w:spacing w:line="240" w:lineRule="auto"/>
              <w:jc w:val="center"/>
              <w:rPr>
                <w:color w:val="auto"/>
                <w:sz w:val="21"/>
                <w:szCs w:val="21"/>
                <w:highlight w:val="none"/>
              </w:rPr>
            </w:pPr>
          </w:p>
        </w:tc>
        <w:tc>
          <w:tcPr>
            <w:tcW w:w="1308" w:type="dxa"/>
            <w:noWrap w:val="0"/>
            <w:vAlign w:val="center"/>
          </w:tcPr>
          <w:p>
            <w:pPr>
              <w:spacing w:line="240" w:lineRule="auto"/>
              <w:jc w:val="center"/>
              <w:rPr>
                <w:rFonts w:hAnsi="宋体"/>
                <w:color w:val="auto"/>
                <w:sz w:val="21"/>
                <w:szCs w:val="21"/>
                <w:highlight w:val="none"/>
              </w:rPr>
            </w:pPr>
            <w:r>
              <w:rPr>
                <w:rFonts w:hint="eastAsia" w:hAnsi="宋体"/>
                <w:color w:val="auto"/>
                <w:sz w:val="21"/>
                <w:szCs w:val="21"/>
                <w:highlight w:val="none"/>
                <w:lang w:val="en-US" w:eastAsia="zh-CN"/>
              </w:rPr>
              <w:t>裂解</w:t>
            </w:r>
            <w:r>
              <w:rPr>
                <w:rFonts w:hAnsi="宋体"/>
                <w:color w:val="auto"/>
                <w:sz w:val="21"/>
                <w:szCs w:val="21"/>
                <w:highlight w:val="none"/>
              </w:rPr>
              <w:t>车间</w:t>
            </w:r>
          </w:p>
        </w:tc>
        <w:tc>
          <w:tcPr>
            <w:tcW w:w="878" w:type="dxa"/>
            <w:noWrap w:val="0"/>
            <w:vAlign w:val="center"/>
          </w:tcPr>
          <w:p>
            <w:pPr>
              <w:spacing w:line="240" w:lineRule="auto"/>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90</w:t>
            </w:r>
          </w:p>
        </w:tc>
        <w:tc>
          <w:tcPr>
            <w:tcW w:w="772" w:type="dxa"/>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液</w:t>
            </w:r>
          </w:p>
        </w:tc>
        <w:tc>
          <w:tcPr>
            <w:tcW w:w="1500" w:type="dxa"/>
            <w:noWrap w:val="0"/>
            <w:vAlign w:val="center"/>
          </w:tcPr>
          <w:p>
            <w:pPr>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36.1</w:t>
            </w:r>
          </w:p>
        </w:tc>
        <w:tc>
          <w:tcPr>
            <w:tcW w:w="2656" w:type="dxa"/>
            <w:noWrap w:val="0"/>
            <w:vAlign w:val="center"/>
          </w:tcPr>
          <w:p>
            <w:pPr>
              <w:spacing w:line="240" w:lineRule="auto"/>
              <w:jc w:val="center"/>
              <w:rPr>
                <w:rFonts w:hint="eastAsia"/>
                <w:color w:val="auto"/>
                <w:kern w:val="0"/>
                <w:sz w:val="21"/>
                <w:szCs w:val="21"/>
                <w:highlight w:val="none"/>
                <w:lang w:val="en-US" w:eastAsia="zh-CN"/>
              </w:rPr>
            </w:pPr>
            <w:r>
              <w:rPr>
                <w:rFonts w:hint="eastAsia"/>
                <w:color w:val="auto"/>
                <w:sz w:val="21"/>
                <w:szCs w:val="21"/>
              </w:rPr>
              <w:t>Ⅳ级（轻度危害）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296" w:hRule="atLeast"/>
        </w:trPr>
        <w:tc>
          <w:tcPr>
            <w:tcW w:w="478" w:type="dxa"/>
            <w:vMerge w:val="continue"/>
            <w:noWrap w:val="0"/>
            <w:vAlign w:val="center"/>
          </w:tcPr>
          <w:p>
            <w:pPr>
              <w:spacing w:line="240" w:lineRule="auto"/>
              <w:jc w:val="center"/>
              <w:rPr>
                <w:color w:val="auto"/>
                <w:sz w:val="21"/>
                <w:szCs w:val="21"/>
                <w:highlight w:val="none"/>
              </w:rPr>
            </w:pPr>
          </w:p>
        </w:tc>
        <w:tc>
          <w:tcPr>
            <w:tcW w:w="1785" w:type="dxa"/>
            <w:vMerge w:val="continue"/>
            <w:noWrap w:val="0"/>
            <w:vAlign w:val="center"/>
          </w:tcPr>
          <w:p>
            <w:pPr>
              <w:spacing w:line="240" w:lineRule="auto"/>
              <w:jc w:val="center"/>
              <w:rPr>
                <w:color w:val="auto"/>
                <w:sz w:val="21"/>
                <w:szCs w:val="21"/>
                <w:highlight w:val="none"/>
              </w:rPr>
            </w:pPr>
          </w:p>
        </w:tc>
        <w:tc>
          <w:tcPr>
            <w:tcW w:w="1308" w:type="dxa"/>
            <w:noWrap w:val="0"/>
            <w:vAlign w:val="center"/>
          </w:tcPr>
          <w:p>
            <w:pPr>
              <w:spacing w:line="24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lang w:val="en-US" w:eastAsia="zh-CN"/>
              </w:rPr>
              <w:t>精馏车间</w:t>
            </w:r>
          </w:p>
        </w:tc>
        <w:tc>
          <w:tcPr>
            <w:tcW w:w="878" w:type="dxa"/>
            <w:noWrap w:val="0"/>
            <w:vAlign w:val="center"/>
          </w:tcPr>
          <w:p>
            <w:pPr>
              <w:spacing w:line="240" w:lineRule="auto"/>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99</w:t>
            </w:r>
          </w:p>
        </w:tc>
        <w:tc>
          <w:tcPr>
            <w:tcW w:w="772" w:type="dxa"/>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olor w:val="auto"/>
                <w:sz w:val="21"/>
                <w:szCs w:val="21"/>
                <w:highlight w:val="none"/>
                <w:lang w:val="en-US" w:eastAsia="zh-CN"/>
              </w:rPr>
              <w:t>液</w:t>
            </w:r>
          </w:p>
        </w:tc>
        <w:tc>
          <w:tcPr>
            <w:tcW w:w="1500" w:type="dxa"/>
            <w:noWrap w:val="0"/>
            <w:vAlign w:val="center"/>
          </w:tcPr>
          <w:p>
            <w:pPr>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60</w:t>
            </w:r>
          </w:p>
        </w:tc>
        <w:tc>
          <w:tcPr>
            <w:tcW w:w="2656" w:type="dxa"/>
            <w:noWrap w:val="0"/>
            <w:vAlign w:val="center"/>
          </w:tcPr>
          <w:p>
            <w:pPr>
              <w:spacing w:line="240" w:lineRule="auto"/>
              <w:jc w:val="center"/>
              <w:rPr>
                <w:rFonts w:hint="eastAsia"/>
                <w:color w:val="auto"/>
                <w:kern w:val="0"/>
                <w:sz w:val="21"/>
                <w:szCs w:val="21"/>
                <w:highlight w:val="none"/>
                <w:lang w:val="en-US" w:eastAsia="zh-CN"/>
              </w:rPr>
            </w:pPr>
            <w:r>
              <w:rPr>
                <w:rFonts w:hint="eastAsia"/>
                <w:color w:val="auto"/>
                <w:sz w:val="21"/>
                <w:szCs w:val="21"/>
              </w:rPr>
              <w:t>Ⅳ级（轻度危害）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56" w:hRule="atLeast"/>
        </w:trPr>
        <w:tc>
          <w:tcPr>
            <w:tcW w:w="478" w:type="dxa"/>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2</w:t>
            </w:r>
          </w:p>
        </w:tc>
        <w:tc>
          <w:tcPr>
            <w:tcW w:w="1785" w:type="dxa"/>
            <w:noWrap w:val="0"/>
            <w:vAlign w:val="center"/>
          </w:tcPr>
          <w:p>
            <w:pPr>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对苯二酚</w:t>
            </w:r>
          </w:p>
        </w:tc>
        <w:tc>
          <w:tcPr>
            <w:tcW w:w="1308" w:type="dxa"/>
            <w:noWrap w:val="0"/>
            <w:vAlign w:val="center"/>
          </w:tcPr>
          <w:p>
            <w:pPr>
              <w:spacing w:line="240" w:lineRule="auto"/>
              <w:jc w:val="center"/>
              <w:rPr>
                <w:rFonts w:hint="default" w:hAnsi="宋体"/>
                <w:color w:val="auto"/>
                <w:sz w:val="21"/>
                <w:szCs w:val="21"/>
                <w:highlight w:val="none"/>
                <w:lang w:val="en-US" w:eastAsia="zh-CN"/>
              </w:rPr>
            </w:pPr>
            <w:r>
              <w:rPr>
                <w:rFonts w:hint="eastAsia" w:hAnsi="宋体"/>
                <w:color w:val="auto"/>
                <w:sz w:val="21"/>
                <w:szCs w:val="21"/>
                <w:highlight w:val="none"/>
                <w:lang w:val="en-US" w:eastAsia="zh-CN"/>
              </w:rPr>
              <w:t>甲类仓库</w:t>
            </w:r>
          </w:p>
        </w:tc>
        <w:tc>
          <w:tcPr>
            <w:tcW w:w="878"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99</w:t>
            </w:r>
          </w:p>
        </w:tc>
        <w:tc>
          <w:tcPr>
            <w:tcW w:w="772" w:type="dxa"/>
            <w:noWrap w:val="0"/>
            <w:vAlign w:val="center"/>
          </w:tcPr>
          <w:p>
            <w:pPr>
              <w:spacing w:line="240" w:lineRule="auto"/>
              <w:jc w:val="center"/>
              <w:rPr>
                <w:rFonts w:hint="default"/>
                <w:color w:val="auto"/>
                <w:sz w:val="21"/>
                <w:szCs w:val="21"/>
                <w:highlight w:val="none"/>
                <w:lang w:val="en-US" w:eastAsia="zh-CN"/>
              </w:rPr>
            </w:pPr>
            <w:r>
              <w:rPr>
                <w:rFonts w:hint="eastAsia"/>
                <w:color w:val="auto"/>
                <w:sz w:val="21"/>
                <w:szCs w:val="21"/>
                <w:highlight w:val="none"/>
                <w:lang w:val="en-US" w:eastAsia="zh-CN"/>
              </w:rPr>
              <w:t>固</w:t>
            </w:r>
          </w:p>
        </w:tc>
        <w:tc>
          <w:tcPr>
            <w:tcW w:w="1500" w:type="dxa"/>
            <w:noWrap w:val="0"/>
            <w:vAlign w:val="center"/>
          </w:tcPr>
          <w:p>
            <w:pPr>
              <w:spacing w:line="240"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0.3</w:t>
            </w:r>
          </w:p>
        </w:tc>
        <w:tc>
          <w:tcPr>
            <w:tcW w:w="2656" w:type="dxa"/>
            <w:noWrap w:val="0"/>
            <w:vAlign w:val="center"/>
          </w:tcPr>
          <w:p>
            <w:pPr>
              <w:spacing w:line="240" w:lineRule="auto"/>
              <w:jc w:val="center"/>
              <w:rPr>
                <w:rFonts w:hint="eastAsia"/>
                <w:color w:val="auto"/>
                <w:kern w:val="0"/>
                <w:sz w:val="21"/>
                <w:szCs w:val="21"/>
                <w:highlight w:val="none"/>
                <w:lang w:val="en-US" w:eastAsia="zh-CN"/>
              </w:rPr>
            </w:pPr>
            <w:r>
              <w:rPr>
                <w:rFonts w:hint="eastAsia"/>
                <w:color w:val="auto"/>
                <w:sz w:val="21"/>
                <w:szCs w:val="21"/>
              </w:rPr>
              <w:t>Ⅳ级（轻度危害）</w:t>
            </w:r>
          </w:p>
        </w:tc>
      </w:tr>
    </w:tbl>
    <w:p>
      <w:pPr>
        <w:pStyle w:val="3"/>
        <w:rPr>
          <w:rFonts w:hint="default"/>
          <w:color w:val="auto"/>
          <w:lang w:val="en-US" w:eastAsia="zh-CN"/>
        </w:rPr>
      </w:pPr>
      <w:bookmarkStart w:id="500" w:name="_Toc19664"/>
      <w:bookmarkStart w:id="501" w:name="_Toc14509"/>
      <w:bookmarkStart w:id="502" w:name="_Toc25317"/>
      <w:bookmarkStart w:id="503" w:name="_Toc11628"/>
      <w:bookmarkStart w:id="504" w:name="_Toc1091"/>
      <w:bookmarkStart w:id="505" w:name="_Toc3022"/>
      <w:r>
        <w:rPr>
          <w:rFonts w:hint="default"/>
          <w:color w:val="auto"/>
          <w:lang w:val="en-US" w:eastAsia="zh-CN"/>
        </w:rPr>
        <w:t>6.2 定性定量分析评价结果</w:t>
      </w:r>
      <w:bookmarkEnd w:id="500"/>
      <w:bookmarkEnd w:id="501"/>
      <w:bookmarkEnd w:id="502"/>
      <w:bookmarkEnd w:id="503"/>
      <w:bookmarkEnd w:id="504"/>
      <w:bookmarkEnd w:id="505"/>
    </w:p>
    <w:p>
      <w:pPr>
        <w:pStyle w:val="53"/>
        <w:rPr>
          <w:rFonts w:hint="default"/>
          <w:color w:val="auto"/>
          <w:lang w:val="en-US" w:eastAsia="zh-CN"/>
        </w:rPr>
      </w:pPr>
      <w:r>
        <w:rPr>
          <w:rFonts w:hint="default"/>
          <w:color w:val="auto"/>
          <w:lang w:val="en-US" w:eastAsia="zh-CN"/>
        </w:rPr>
        <w:t>表 6.2-1 各单元危险、有害程度定性分析结果一览表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1025"/>
        <w:gridCol w:w="7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049" w:type="dxa"/>
            <w:gridSpan w:val="2"/>
            <w:vAlign w:val="center"/>
          </w:tcPr>
          <w:p>
            <w:pPr>
              <w:pStyle w:val="59"/>
              <w:spacing w:line="240" w:lineRule="auto"/>
              <w:jc w:val="center"/>
              <w:rPr>
                <w:rFonts w:hint="default"/>
                <w:color w:val="auto"/>
                <w:lang w:val="en-US" w:eastAsia="zh-CN"/>
              </w:rPr>
            </w:pPr>
            <w:r>
              <w:rPr>
                <w:rFonts w:hint="default"/>
                <w:color w:val="auto"/>
                <w:lang w:val="en-US" w:eastAsia="zh-CN"/>
              </w:rPr>
              <w:t>评价单元</w:t>
            </w:r>
          </w:p>
        </w:tc>
        <w:tc>
          <w:tcPr>
            <w:tcW w:w="7237" w:type="dxa"/>
            <w:vAlign w:val="center"/>
          </w:tcPr>
          <w:p>
            <w:pPr>
              <w:pStyle w:val="59"/>
              <w:spacing w:line="240" w:lineRule="auto"/>
              <w:jc w:val="center"/>
              <w:rPr>
                <w:rFonts w:hint="default"/>
                <w:color w:val="auto"/>
                <w:lang w:val="en-US" w:eastAsia="zh-CN"/>
              </w:rPr>
            </w:pPr>
            <w:r>
              <w:rPr>
                <w:rFonts w:hint="default"/>
                <w:color w:val="auto"/>
                <w:lang w:val="en-US" w:eastAsia="zh-CN"/>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9" w:type="dxa"/>
            <w:gridSpan w:val="2"/>
            <w:vAlign w:val="center"/>
          </w:tcPr>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center"/>
              <w:textAlignment w:val="auto"/>
              <w:rPr>
                <w:rFonts w:hint="default"/>
                <w:color w:val="auto"/>
                <w:lang w:val="en-US" w:eastAsia="zh-CN"/>
              </w:rPr>
            </w:pPr>
            <w:r>
              <w:rPr>
                <w:rFonts w:hint="default"/>
                <w:color w:val="auto"/>
                <w:lang w:val="en-US" w:eastAsia="zh-CN"/>
              </w:rPr>
              <w:t>选址与周边环境单元</w:t>
            </w:r>
          </w:p>
        </w:tc>
        <w:tc>
          <w:tcPr>
            <w:tcW w:w="7237" w:type="dxa"/>
            <w:vAlign w:val="center"/>
          </w:tcPr>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1）该项目已通过</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w:t>
            </w:r>
            <w:r>
              <w:rPr>
                <w:rFonts w:hint="default"/>
                <w:color w:val="auto"/>
                <w:lang w:val="en-US" w:eastAsia="zh-CN"/>
              </w:rPr>
              <w:t>发展和改革委员会项目备案。该项目位于江西省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color w:val="auto"/>
                <w:lang w:val="en-US" w:eastAsia="zh-CN"/>
              </w:rPr>
              <w:t>内，</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w:t>
            </w:r>
            <w:r>
              <w:rPr>
                <w:rFonts w:hint="default"/>
                <w:color w:val="auto"/>
                <w:lang w:val="en-US" w:eastAsia="zh-CN"/>
              </w:rPr>
              <w:t>属于2021年江西省首批认定的化工园区。</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2）该项目建于位于江西省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color w:val="auto"/>
                <w:lang w:val="en-US" w:eastAsia="zh-CN"/>
              </w:rPr>
              <w:t>内，厂址选择满足交通运输设施、能源和动力设施、环境保护工程及生活等配套建设用地的要求。</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3）位于江西省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color w:val="auto"/>
                <w:lang w:val="en-US" w:eastAsia="zh-CN"/>
              </w:rPr>
              <w:t>内，有充足、可靠的水源和电源。</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4）该项目选址无不良地质情况，周边无重要的供水水源卫生保护区、国家规定的风景区及森林和自然保护区历史文物古迹保护区等；基地地下无具有开采价值的矿藏。</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5）对该单元进行了30项检查分析，均符合要求。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9" w:type="dxa"/>
            <w:gridSpan w:val="2"/>
            <w:vAlign w:val="center"/>
          </w:tcPr>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center"/>
              <w:textAlignment w:val="auto"/>
              <w:rPr>
                <w:rFonts w:hint="default"/>
                <w:color w:val="auto"/>
                <w:lang w:val="en-US" w:eastAsia="zh-CN"/>
              </w:rPr>
            </w:pPr>
            <w:r>
              <w:rPr>
                <w:rFonts w:hint="default"/>
                <w:color w:val="auto"/>
                <w:lang w:val="en-US" w:eastAsia="zh-CN"/>
              </w:rPr>
              <w:t>平面布置及建构筑物单元</w:t>
            </w:r>
          </w:p>
        </w:tc>
        <w:tc>
          <w:tcPr>
            <w:tcW w:w="7237" w:type="dxa"/>
            <w:vAlign w:val="center"/>
          </w:tcPr>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建构筑物：该项目拟建建构筑物之间的间距符合《精细化工企业工程设计防火标准》GB51283-2020、《建筑设计防火规范（2018 年版）》GB50016-2014 的要求；该项目拟建厂房、仓库的耐火等级、层数、占地面积、防火分区符合规范要求。罐区内平面布置符合《精细化工企业工程设计防火标准》（GB51283-2020）的要求。</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安全检查表法：</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1）该项目的生产装置按工艺流程分区域布置，生产装置区内设备设施的布置紧凑、合理；建构筑物外形规整。</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2）该项目主要建构筑物均为框架结构，拟设置耐火等级符合规范要求。</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3）建筑物、构筑物等设施采用集中布置，进行功能分区，合理地确定通道宽度；生产设施的布置，保证生产人员的安全操作及疏散方便。厂内道路的布置，满足生产、运输、安装、检修、消防安全和施工的要求；有利于功能分区和街区的划分；与厂外道路连接方便、短捷；</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4）生产场所、储存物品的火灾危险性根据生产中使用或产生的物质性质及数量</w:t>
            </w:r>
            <w:r>
              <w:rPr>
                <w:rFonts w:hint="eastAsia"/>
                <w:color w:val="auto"/>
                <w:lang w:val="en-US" w:eastAsia="zh-CN"/>
              </w:rPr>
              <w:t>；</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5）甲、乙类生产场所（仓库）不设置在地下或半地下。员工宿舍未设置在厂房内、仓库内。</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6）该项目厂房、仓库与厂内道路间距满足要求；</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7）对该单元采用安全检查表法分析，共进行了 37 项内容的检查分析，其中 7 项在设计时应考虑。设计时应考虑项为：</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（1）设计时应考虑易燃、易爆危险品生产设施的布置，应保证生产人员的安全操作及疏散方便，并应符合国家现行的有关标准的规定。</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（2）设计时应考虑管道不穿越与其无关的建筑物、构筑物、生产装置、辅助生产及仓储设施、罐区等；</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（3）设计时应考虑有甲</w:t>
            </w:r>
            <w:r>
              <w:rPr>
                <w:rFonts w:hint="eastAsia"/>
                <w:color w:val="auto"/>
                <w:lang w:val="en-US" w:eastAsia="zh-CN"/>
              </w:rPr>
              <w:t>、</w:t>
            </w:r>
            <w:r>
              <w:rPr>
                <w:rFonts w:hint="default"/>
                <w:color w:val="auto"/>
                <w:lang w:val="en-US" w:eastAsia="zh-CN"/>
              </w:rPr>
              <w:t>丙类火灾危险性及毒性介质的管道，除使用该管线的建筑物、构筑物外，均不得采用建筑物、构筑物支撑式敷设；</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（4）设计时应考虑拟建仓库的安全出口不应少于2个。仓库内每个防火分区通向疏散走道、楼梯或室外的出口不宜少于2个，当防火分区的建筑面积不大于100m2 时，可设置1个出口。通向疏散走道或楼梯的门应为乙级防火门。</w:t>
            </w:r>
          </w:p>
          <w:p>
            <w:pPr>
              <w:pStyle w:val="59"/>
              <w:keepNext w:val="0"/>
              <w:keepLines w:val="0"/>
              <w:pageBreakBefore w:val="0"/>
              <w:widowControl w:val="0"/>
              <w:kinsoku/>
              <w:wordWrap/>
              <w:overflowPunct/>
              <w:topLinePunct w:val="0"/>
              <w:autoSpaceDE/>
              <w:autoSpaceDN/>
              <w:bidi w:val="0"/>
              <w:adjustRightInd w:val="0"/>
              <w:snapToGrid w:val="0"/>
              <w:spacing w:line="280" w:lineRule="exact"/>
              <w:ind w:firstLine="0"/>
              <w:jc w:val="both"/>
              <w:textAlignment w:val="auto"/>
              <w:rPr>
                <w:rFonts w:hint="default"/>
                <w:color w:val="auto"/>
                <w:lang w:val="en-US" w:eastAsia="zh-CN"/>
              </w:rPr>
            </w:pPr>
            <w:r>
              <w:rPr>
                <w:rFonts w:hint="default"/>
                <w:color w:val="auto"/>
                <w:lang w:val="en-US" w:eastAsia="zh-CN"/>
              </w:rPr>
              <w:t>（5）设计时应考虑具有化学灼伤危险的生产装置，其设备布置应保证作业场所有足够空间，并保证作业场所畅通，避免交叉作业。如果交叉作业不可避免，在危险作业点应装设避免化学灼伤危险的防护措施。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restart"/>
            <w:vAlign w:val="center"/>
          </w:tcPr>
          <w:p>
            <w:pPr>
              <w:pStyle w:val="59"/>
              <w:spacing w:line="240" w:lineRule="auto"/>
              <w:ind w:firstLine="0"/>
              <w:jc w:val="center"/>
              <w:rPr>
                <w:rFonts w:hint="default"/>
                <w:color w:val="auto"/>
                <w:lang w:val="en-US" w:eastAsia="zh-CN"/>
              </w:rPr>
            </w:pPr>
            <w:r>
              <w:rPr>
                <w:rFonts w:hint="eastAsia"/>
                <w:color w:val="auto"/>
                <w:lang w:val="en-US" w:eastAsia="zh-CN"/>
              </w:rPr>
              <w:t>公用工程及辅助设施单元</w:t>
            </w:r>
          </w:p>
        </w:tc>
        <w:tc>
          <w:tcPr>
            <w:tcW w:w="1025"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电气子单元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通过预先危险分析，电气子单元主要危险、有害因素为：火灾、爆炸、继电保护动作异常、绝缘污闪事故、全厂停电事故危险程度为Ⅲ级（危险的），会造成人员伤亡和系统损坏，要立即采取防范对策措施；触电、电气误操作、无功电容器爆炸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ind w:firstLine="0"/>
              <w:jc w:val="center"/>
              <w:rPr>
                <w:rFonts w:hint="default"/>
                <w:color w:val="auto"/>
                <w:lang w:val="en-US" w:eastAsia="zh-CN"/>
              </w:rPr>
            </w:pPr>
          </w:p>
        </w:tc>
        <w:tc>
          <w:tcPr>
            <w:tcW w:w="1025" w:type="dxa"/>
            <w:vAlign w:val="center"/>
          </w:tcPr>
          <w:p>
            <w:pPr>
              <w:pStyle w:val="59"/>
              <w:rPr>
                <w:rFonts w:hint="default"/>
                <w:color w:val="auto"/>
                <w:lang w:val="en-US" w:eastAsia="zh-CN"/>
              </w:rPr>
            </w:pPr>
            <w:r>
              <w:rPr>
                <w:rFonts w:hint="eastAsia"/>
                <w:color w:val="auto"/>
              </w:rPr>
              <w:t>仪表自动控制子单元</w:t>
            </w:r>
          </w:p>
        </w:tc>
        <w:tc>
          <w:tcPr>
            <w:tcW w:w="7237" w:type="dxa"/>
            <w:vAlign w:val="center"/>
          </w:tcPr>
          <w:p>
            <w:pPr>
              <w:pStyle w:val="59"/>
              <w:rPr>
                <w:rFonts w:hint="default"/>
                <w:color w:val="auto"/>
                <w:lang w:val="en-US" w:eastAsia="zh-CN"/>
              </w:rPr>
            </w:pPr>
            <w:r>
              <w:rPr>
                <w:rFonts w:hint="eastAsia"/>
                <w:color w:val="auto"/>
              </w:rPr>
              <w:t>通过预先危险分析，仪表自动控制子单元主要危险、有害因素为：（中控室）火灾危险程度为Ⅲ级（危险的），会造成人员伤亡和系统损坏，要立即采取防范对策措施；DCS系统错误、DCS系统运行不正常、自动控制调节装置运行不正常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ind w:firstLine="0"/>
              <w:jc w:val="center"/>
              <w:rPr>
                <w:rFonts w:hint="default"/>
                <w:color w:val="auto"/>
                <w:lang w:val="en-US" w:eastAsia="zh-CN"/>
              </w:rPr>
            </w:pPr>
          </w:p>
        </w:tc>
        <w:tc>
          <w:tcPr>
            <w:tcW w:w="1025"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给排水系统子单元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通过预先危险分析，给排水系统子单元主要危险、有害因素为：火灾、中毒窒息、淹溺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ind w:firstLine="0"/>
              <w:jc w:val="center"/>
              <w:rPr>
                <w:rFonts w:hint="default"/>
                <w:color w:val="auto"/>
                <w:lang w:val="en-US" w:eastAsia="zh-CN"/>
              </w:rPr>
            </w:pPr>
          </w:p>
        </w:tc>
        <w:tc>
          <w:tcPr>
            <w:tcW w:w="1025" w:type="dxa"/>
            <w:vAlign w:val="center"/>
          </w:tcPr>
          <w:p>
            <w:pPr>
              <w:pStyle w:val="344"/>
              <w:rPr>
                <w:rFonts w:hint="eastAsia" w:ascii="Times New Roman" w:hAnsi="Times New Roman" w:eastAsia="宋体" w:cs="Times New Roman"/>
                <w:color w:val="auto"/>
                <w:sz w:val="21"/>
                <w:szCs w:val="21"/>
                <w:lang w:val="en-US" w:eastAsia="zh-CN" w:bidi="ar-SA"/>
              </w:rPr>
            </w:pPr>
            <w:r>
              <w:rPr>
                <w:rFonts w:hint="eastAsia"/>
                <w:color w:val="auto"/>
                <w:sz w:val="21"/>
                <w:szCs w:val="21"/>
              </w:rPr>
              <w:t>冷冻站子单元</w:t>
            </w:r>
          </w:p>
        </w:tc>
        <w:tc>
          <w:tcPr>
            <w:tcW w:w="7237" w:type="dxa"/>
            <w:vAlign w:val="center"/>
          </w:tcPr>
          <w:p>
            <w:pPr>
              <w:pStyle w:val="344"/>
              <w:jc w:val="both"/>
              <w:rPr>
                <w:rFonts w:hint="default" w:ascii="Times New Roman" w:hAnsi="Times New Roman" w:eastAsia="宋体" w:cs="Times New Roman"/>
                <w:color w:val="auto"/>
                <w:sz w:val="21"/>
                <w:szCs w:val="21"/>
                <w:lang w:val="en-US" w:eastAsia="zh-CN" w:bidi="ar-SA"/>
              </w:rPr>
            </w:pPr>
            <w:r>
              <w:rPr>
                <w:rFonts w:hint="eastAsia"/>
                <w:color w:val="auto"/>
                <w:sz w:val="21"/>
                <w:szCs w:val="21"/>
              </w:rPr>
              <w:t>通过预先危险分析，冷冻站子单元的主要危险、有害因素为：触电、冻伤、中毒和窒息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ind w:firstLine="0"/>
              <w:jc w:val="center"/>
              <w:rPr>
                <w:rFonts w:hint="default"/>
                <w:color w:val="auto"/>
                <w:lang w:val="en-US" w:eastAsia="zh-CN"/>
              </w:rPr>
            </w:pPr>
          </w:p>
        </w:tc>
        <w:tc>
          <w:tcPr>
            <w:tcW w:w="1025" w:type="dxa"/>
            <w:vAlign w:val="center"/>
          </w:tcPr>
          <w:p>
            <w:pPr>
              <w:pStyle w:val="59"/>
              <w:spacing w:line="240" w:lineRule="auto"/>
              <w:ind w:firstLine="0"/>
              <w:jc w:val="center"/>
              <w:rPr>
                <w:rFonts w:hint="eastAsia"/>
                <w:color w:val="auto"/>
                <w:lang w:val="en-US" w:eastAsia="zh-CN"/>
              </w:rPr>
            </w:pPr>
            <w:r>
              <w:rPr>
                <w:rFonts w:hint="eastAsia"/>
                <w:color w:val="auto"/>
                <w:sz w:val="21"/>
                <w:szCs w:val="21"/>
                <w:lang w:val="en-US" w:eastAsia="zh-CN"/>
              </w:rPr>
              <w:t>废气处理装置子单元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通过预先危险分析，</w:t>
            </w:r>
            <w:r>
              <w:rPr>
                <w:rFonts w:hint="eastAsia"/>
                <w:color w:val="auto"/>
                <w:lang w:val="en-US" w:eastAsia="zh-CN"/>
              </w:rPr>
              <w:t>废气处理装置</w:t>
            </w:r>
            <w:r>
              <w:rPr>
                <w:rFonts w:hint="default"/>
                <w:color w:val="auto"/>
                <w:lang w:val="en-US" w:eastAsia="zh-CN"/>
              </w:rPr>
              <w:t>子单元主要危险、有害因素为：火灾、中毒窒息危险程度为Ⅱ级（临界的），处于事故的边缘状态，暂时还不会造成人员伤亡、系统损坏降低系统性能，但应予排除或采取控制措施。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ind w:firstLine="0"/>
              <w:jc w:val="center"/>
              <w:rPr>
                <w:rFonts w:hint="default"/>
                <w:color w:val="auto"/>
                <w:lang w:val="en-US" w:eastAsia="zh-CN"/>
              </w:rPr>
            </w:pPr>
          </w:p>
        </w:tc>
        <w:tc>
          <w:tcPr>
            <w:tcW w:w="1025" w:type="dxa"/>
            <w:vAlign w:val="center"/>
          </w:tcPr>
          <w:p>
            <w:pPr>
              <w:pStyle w:val="59"/>
              <w:spacing w:line="240" w:lineRule="auto"/>
              <w:ind w:firstLine="0"/>
              <w:jc w:val="center"/>
              <w:rPr>
                <w:rFonts w:hint="default"/>
                <w:color w:val="auto"/>
                <w:lang w:val="en-US" w:eastAsia="zh-CN"/>
              </w:rPr>
            </w:pPr>
            <w:r>
              <w:rPr>
                <w:rFonts w:hint="eastAsia"/>
                <w:color w:val="auto"/>
                <w:lang w:val="en-US" w:eastAsia="zh-CN"/>
              </w:rPr>
              <w:t>空压制氮装置子单元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预先危险性分析空压装置子单元存在的主要危险有害因素有：压缩空气管道阀门开裂、压缩机机体振动、压缩机抱轴或轴承损坏、电气电缆火灾及触电事故的危险等级为Ⅲ级，危险程度是危险的，会造成人员伤亡和系统损坏，必须采取防范对策措施。机械伤害的危险等级为Ⅱ级，危险程度是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restart"/>
            <w:vAlign w:val="center"/>
          </w:tcPr>
          <w:p>
            <w:pPr>
              <w:pStyle w:val="59"/>
              <w:spacing w:line="240" w:lineRule="auto"/>
              <w:ind w:firstLine="0"/>
              <w:jc w:val="center"/>
              <w:rPr>
                <w:rFonts w:hint="default"/>
                <w:color w:val="auto"/>
                <w:lang w:val="en-US" w:eastAsia="zh-CN"/>
              </w:rPr>
            </w:pPr>
            <w:r>
              <w:rPr>
                <w:rFonts w:hint="default"/>
                <w:color w:val="auto"/>
                <w:lang w:val="en-US" w:eastAsia="zh-CN"/>
              </w:rPr>
              <w:t>储运系</w:t>
            </w:r>
          </w:p>
          <w:p>
            <w:pPr>
              <w:pStyle w:val="59"/>
              <w:spacing w:line="240" w:lineRule="auto"/>
              <w:ind w:firstLine="0"/>
              <w:jc w:val="center"/>
              <w:rPr>
                <w:rFonts w:hint="default"/>
                <w:color w:val="auto"/>
                <w:lang w:val="en-US" w:eastAsia="zh-CN"/>
              </w:rPr>
            </w:pPr>
            <w:r>
              <w:rPr>
                <w:rFonts w:hint="default"/>
                <w:color w:val="auto"/>
                <w:lang w:val="en-US" w:eastAsia="zh-CN"/>
              </w:rPr>
              <w:t>统单元</w:t>
            </w:r>
          </w:p>
        </w:tc>
        <w:tc>
          <w:tcPr>
            <w:tcW w:w="1025" w:type="dxa"/>
            <w:vAlign w:val="center"/>
          </w:tcPr>
          <w:p>
            <w:pPr>
              <w:pStyle w:val="59"/>
              <w:spacing w:line="240" w:lineRule="auto"/>
              <w:ind w:firstLine="0"/>
              <w:jc w:val="center"/>
              <w:rPr>
                <w:rFonts w:hint="default"/>
                <w:color w:val="auto"/>
                <w:lang w:val="en-US" w:eastAsia="zh-CN"/>
              </w:rPr>
            </w:pPr>
            <w:r>
              <w:rPr>
                <w:rFonts w:hint="default"/>
                <w:color w:val="auto"/>
                <w:lang w:val="en-US" w:eastAsia="zh-CN"/>
              </w:rPr>
              <w:t>仓库子</w:t>
            </w:r>
            <w:r>
              <w:rPr>
                <w:rFonts w:hint="eastAsia"/>
                <w:color w:val="auto"/>
                <w:lang w:val="en-US" w:eastAsia="zh-CN"/>
              </w:rPr>
              <w:t>单元</w:t>
            </w:r>
          </w:p>
        </w:tc>
        <w:tc>
          <w:tcPr>
            <w:tcW w:w="7237" w:type="dxa"/>
            <w:vAlign w:val="center"/>
          </w:tcPr>
          <w:p>
            <w:pPr>
              <w:pStyle w:val="59"/>
              <w:spacing w:line="240" w:lineRule="auto"/>
              <w:ind w:firstLine="0"/>
              <w:jc w:val="left"/>
              <w:rPr>
                <w:rFonts w:hint="default"/>
                <w:color w:val="auto"/>
                <w:lang w:val="en-US" w:eastAsia="zh-CN"/>
              </w:rPr>
            </w:pPr>
            <w:r>
              <w:rPr>
                <w:rFonts w:hint="default"/>
                <w:color w:val="auto"/>
                <w:lang w:val="en-US" w:eastAsia="zh-CN"/>
              </w:rPr>
              <w:t>通过预先危险分析，该项目仓库子单元主要危险、有害因素有：火灾、爆炸、车辆伤害为Ⅲ级（危险的），中毒和窒息为Ⅱ级（临界的）；Ⅲ级是危险的，会造成人员伤亡和系统损坏，要立即采取防范对策措施；Ⅱ级是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jc w:val="center"/>
              <w:rPr>
                <w:rFonts w:hint="default"/>
                <w:color w:val="auto"/>
                <w:lang w:val="en-US" w:eastAsia="zh-CN"/>
              </w:rPr>
            </w:pPr>
          </w:p>
        </w:tc>
        <w:tc>
          <w:tcPr>
            <w:tcW w:w="1025" w:type="dxa"/>
            <w:vAlign w:val="center"/>
          </w:tcPr>
          <w:p>
            <w:pPr>
              <w:pStyle w:val="59"/>
              <w:spacing w:line="240" w:lineRule="auto"/>
              <w:ind w:firstLine="0"/>
              <w:jc w:val="center"/>
              <w:rPr>
                <w:rFonts w:hint="default"/>
                <w:color w:val="auto"/>
                <w:lang w:val="en-US" w:eastAsia="zh-CN"/>
              </w:rPr>
            </w:pPr>
            <w:r>
              <w:rPr>
                <w:rFonts w:hint="default"/>
                <w:color w:val="auto"/>
                <w:lang w:val="en-US" w:eastAsia="zh-CN"/>
              </w:rPr>
              <w:t>罐区子单元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通通过预先危险分析，罐区子单元主要危险、有害因素为：火灾、爆炸危险程度为Ⅲ级（危险的），会造成人员伤亡和系统损坏，要立即采取防范对策措施；中毒和窒息、灼烫、高处坠落危险程度为Ⅱ级（临界的），处于事故的边缘状态，暂时还不会造成人员伤亡、系统损坏降低系统性能，但应予排除或采取控制措施。</w:t>
            </w:r>
          </w:p>
          <w:p>
            <w:pPr>
              <w:pStyle w:val="59"/>
              <w:spacing w:line="240" w:lineRule="auto"/>
              <w:ind w:firstLine="0"/>
              <w:jc w:val="both"/>
              <w:rPr>
                <w:rFonts w:hint="default"/>
                <w:color w:val="auto"/>
                <w:lang w:val="en-US" w:eastAsia="zh-CN"/>
              </w:rPr>
            </w:pPr>
            <w:r>
              <w:rPr>
                <w:rFonts w:hint="default"/>
                <w:color w:val="auto"/>
                <w:lang w:val="en-US" w:eastAsia="zh-CN"/>
              </w:rPr>
              <w:t>危险度分析：罐区子单元固有危险程度等级为Ⅰ级；危险度等级为Ⅰ级属于高度危险，在公司的生产管理中应确认为危险目标，从安全技术措施及管理措施方面加强对其的管理，降低危险程度，防止事故发生。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4" w:type="dxa"/>
            <w:vMerge w:val="continue"/>
            <w:vAlign w:val="center"/>
          </w:tcPr>
          <w:p>
            <w:pPr>
              <w:pStyle w:val="59"/>
              <w:spacing w:line="240" w:lineRule="auto"/>
              <w:jc w:val="center"/>
              <w:rPr>
                <w:rFonts w:hint="default"/>
                <w:color w:val="auto"/>
                <w:lang w:val="en-US" w:eastAsia="zh-CN"/>
              </w:rPr>
            </w:pPr>
          </w:p>
        </w:tc>
        <w:tc>
          <w:tcPr>
            <w:tcW w:w="1025" w:type="dxa"/>
            <w:vAlign w:val="center"/>
          </w:tcPr>
          <w:p>
            <w:pPr>
              <w:pStyle w:val="59"/>
              <w:spacing w:line="240" w:lineRule="auto"/>
              <w:ind w:firstLine="0"/>
              <w:jc w:val="center"/>
              <w:rPr>
                <w:rFonts w:hint="default"/>
                <w:color w:val="auto"/>
                <w:lang w:val="en-US" w:eastAsia="zh-CN"/>
              </w:rPr>
            </w:pPr>
            <w:r>
              <w:rPr>
                <w:rFonts w:hint="default"/>
                <w:color w:val="auto"/>
                <w:lang w:val="en-US" w:eastAsia="zh-CN"/>
              </w:rPr>
              <w:t>装卸系统子单</w:t>
            </w:r>
          </w:p>
        </w:tc>
        <w:tc>
          <w:tcPr>
            <w:tcW w:w="7237" w:type="dxa"/>
            <w:vAlign w:val="center"/>
          </w:tcPr>
          <w:p>
            <w:pPr>
              <w:pStyle w:val="59"/>
              <w:spacing w:line="240" w:lineRule="auto"/>
              <w:ind w:firstLine="0"/>
              <w:jc w:val="center"/>
              <w:rPr>
                <w:rFonts w:hint="default"/>
                <w:color w:val="auto"/>
                <w:lang w:val="en-US" w:eastAsia="zh-CN"/>
              </w:rPr>
            </w:pPr>
            <w:r>
              <w:rPr>
                <w:rFonts w:hint="default"/>
                <w:color w:val="auto"/>
                <w:lang w:val="en-US" w:eastAsia="zh-CN"/>
              </w:rPr>
              <w:t>通过预先危险分析，装卸子单元主要危险、有害因素为：火灾、爆炸危险程度为Ⅲ级（危险的）会造成人员伤亡和系统损坏，要立即采取防范对策措施；灼烫、车辆伤害危险程度为Ⅱ级（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9" w:type="dxa"/>
            <w:gridSpan w:val="2"/>
            <w:vAlign w:val="center"/>
          </w:tcPr>
          <w:p>
            <w:pPr>
              <w:pStyle w:val="59"/>
              <w:spacing w:line="240" w:lineRule="auto"/>
              <w:ind w:firstLine="0"/>
              <w:jc w:val="center"/>
              <w:rPr>
                <w:rFonts w:hint="default"/>
                <w:color w:val="auto"/>
                <w:lang w:val="en-US" w:eastAsia="zh-CN"/>
              </w:rPr>
            </w:pPr>
            <w:r>
              <w:rPr>
                <w:rFonts w:hint="default"/>
                <w:color w:val="auto"/>
                <w:lang w:val="en-US" w:eastAsia="zh-CN"/>
              </w:rPr>
              <w:t>特种设备单元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通过采用预先危险分析法对特种设备单元进行评价可知，特种设备单元可能发生的事故有：容器爆炸、起重伤害、高处坠落、车辆伤害等。其中容器爆炸的危险等级为Ⅲ级，危险程度是危险的，会造成人员伤亡和系统损坏，要立即采取防范对策措施。起重伤害、高处坠落、车辆伤害的危险等级为Ⅱ级，危险程度是临界的，处于事故的边缘状态，暂时还不会造成人员伤亡、系统损坏降低系统性能，但应予排除或采取控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9" w:type="dxa"/>
            <w:gridSpan w:val="2"/>
            <w:vAlign w:val="center"/>
          </w:tcPr>
          <w:p>
            <w:pPr>
              <w:pStyle w:val="59"/>
              <w:spacing w:line="240" w:lineRule="auto"/>
              <w:ind w:firstLine="0"/>
              <w:jc w:val="center"/>
              <w:rPr>
                <w:rFonts w:hint="default"/>
                <w:color w:val="auto"/>
                <w:lang w:val="en-US" w:eastAsia="zh-CN"/>
              </w:rPr>
            </w:pPr>
            <w:r>
              <w:rPr>
                <w:rFonts w:hint="default"/>
                <w:color w:val="auto"/>
                <w:lang w:val="en-US" w:eastAsia="zh-CN"/>
              </w:rPr>
              <w:t>消防单元</w:t>
            </w:r>
          </w:p>
        </w:tc>
        <w:tc>
          <w:tcPr>
            <w:tcW w:w="7237" w:type="dxa"/>
            <w:vAlign w:val="center"/>
          </w:tcPr>
          <w:p>
            <w:pPr>
              <w:pStyle w:val="59"/>
              <w:spacing w:line="240" w:lineRule="auto"/>
              <w:ind w:firstLine="0"/>
              <w:jc w:val="both"/>
              <w:rPr>
                <w:rFonts w:hint="default"/>
                <w:color w:val="auto"/>
                <w:lang w:val="en-US" w:eastAsia="zh-CN"/>
              </w:rPr>
            </w:pPr>
            <w:r>
              <w:rPr>
                <w:rFonts w:hint="default"/>
                <w:color w:val="auto"/>
                <w:lang w:val="en-US" w:eastAsia="zh-CN"/>
              </w:rPr>
              <w:t>1）该项目建、构筑物耐火级别达到二级。生产区内没有设员工宿舍。</w:t>
            </w:r>
          </w:p>
          <w:p>
            <w:pPr>
              <w:pStyle w:val="59"/>
              <w:spacing w:line="240" w:lineRule="auto"/>
              <w:ind w:firstLine="0"/>
              <w:jc w:val="both"/>
              <w:rPr>
                <w:rFonts w:hint="default"/>
                <w:color w:val="auto"/>
                <w:lang w:val="en-US" w:eastAsia="zh-CN"/>
              </w:rPr>
            </w:pPr>
            <w:r>
              <w:rPr>
                <w:rFonts w:hint="default"/>
                <w:color w:val="auto"/>
                <w:lang w:val="en-US" w:eastAsia="zh-CN"/>
              </w:rPr>
              <w:t>2）依据《可研》，该项目消防供水系统利用在建项目，拟按规范设置室内、外消火栓系统；拟建消防水泵流量能满足项目消防水需求；拟按规定设置小型灭火器材。</w:t>
            </w:r>
          </w:p>
          <w:p>
            <w:pPr>
              <w:pStyle w:val="59"/>
              <w:spacing w:line="240" w:lineRule="auto"/>
              <w:ind w:firstLine="0"/>
              <w:jc w:val="both"/>
              <w:rPr>
                <w:rFonts w:hint="default"/>
                <w:color w:val="auto"/>
                <w:lang w:val="en-US" w:eastAsia="zh-CN"/>
              </w:rPr>
            </w:pPr>
            <w:r>
              <w:rPr>
                <w:rFonts w:hint="default"/>
                <w:color w:val="auto"/>
                <w:lang w:val="en-US" w:eastAsia="zh-CN"/>
              </w:rPr>
              <w:t>3）依据总平面布置图，设置环形消防车道，消防车道至少有两处与其它车道相连。</w:t>
            </w:r>
          </w:p>
          <w:p>
            <w:pPr>
              <w:pStyle w:val="59"/>
              <w:spacing w:line="240" w:lineRule="auto"/>
              <w:ind w:firstLine="0"/>
              <w:jc w:val="both"/>
              <w:rPr>
                <w:rFonts w:hint="default"/>
                <w:color w:val="auto"/>
                <w:lang w:val="en-US" w:eastAsia="zh-CN"/>
              </w:rPr>
            </w:pPr>
            <w:r>
              <w:rPr>
                <w:rFonts w:hint="default"/>
                <w:color w:val="auto"/>
                <w:lang w:val="en-US" w:eastAsia="zh-CN"/>
              </w:rPr>
              <w:t>4）对该单元采用检查表法分析，共进行了 19 项内容的检查分析，其中 3 项在设计时应考虑：</w:t>
            </w:r>
          </w:p>
          <w:p>
            <w:pPr>
              <w:pStyle w:val="59"/>
              <w:spacing w:line="240" w:lineRule="auto"/>
              <w:ind w:firstLine="0"/>
              <w:jc w:val="both"/>
              <w:rPr>
                <w:rFonts w:hint="default"/>
                <w:color w:val="auto"/>
                <w:lang w:val="en-US" w:eastAsia="zh-CN"/>
              </w:rPr>
            </w:pPr>
            <w:r>
              <w:rPr>
                <w:rFonts w:hint="default"/>
                <w:color w:val="auto"/>
                <w:lang w:val="en-US" w:eastAsia="zh-CN"/>
              </w:rPr>
              <w:t>（1）储罐区泡沫站应布置在防火堤外的非爆炸危险区；与可燃液体储罐的防火间距不应小于 20m。</w:t>
            </w:r>
          </w:p>
          <w:p>
            <w:pPr>
              <w:pStyle w:val="59"/>
              <w:spacing w:line="240" w:lineRule="auto"/>
              <w:ind w:firstLine="0"/>
              <w:jc w:val="both"/>
              <w:rPr>
                <w:rFonts w:hint="default"/>
                <w:color w:val="auto"/>
                <w:lang w:val="en-US" w:eastAsia="zh-CN"/>
              </w:rPr>
            </w:pPr>
            <w:r>
              <w:rPr>
                <w:rFonts w:hint="default"/>
                <w:color w:val="auto"/>
                <w:lang w:val="en-US" w:eastAsia="zh-CN"/>
              </w:rPr>
              <w:t>（2）火灾发生时应正常工作的房间，消防作业面的最低照度不应低于正常照明的照度，连续供电时间应满足火灾时工作的需要，且不应少于 3.0h。</w:t>
            </w:r>
          </w:p>
          <w:p>
            <w:pPr>
              <w:pStyle w:val="59"/>
              <w:spacing w:line="240" w:lineRule="auto"/>
              <w:ind w:firstLine="0"/>
              <w:jc w:val="both"/>
              <w:rPr>
                <w:rFonts w:hint="default"/>
                <w:color w:val="auto"/>
                <w:lang w:val="en-US" w:eastAsia="zh-CN"/>
              </w:rPr>
            </w:pPr>
            <w:r>
              <w:rPr>
                <w:rFonts w:hint="default"/>
                <w:color w:val="auto"/>
                <w:lang w:val="en-US" w:eastAsia="zh-CN"/>
              </w:rPr>
              <w:t>（3）消防应急照明在主要通道地面上的最低水平照度值不应低于 11x，消防应急照明灯具和疏散指示标志灯具的蓄电池连续供电时间不应少于 90min。</w:t>
            </w:r>
          </w:p>
        </w:tc>
      </w:tr>
    </w:tbl>
    <w:p>
      <w:pPr>
        <w:pStyle w:val="3"/>
        <w:rPr>
          <w:rFonts w:hint="default"/>
          <w:color w:val="auto"/>
          <w:lang w:val="en-US" w:eastAsia="zh-CN"/>
        </w:rPr>
      </w:pPr>
      <w:bookmarkStart w:id="506" w:name="_Toc18213"/>
      <w:bookmarkStart w:id="507" w:name="_Toc4658"/>
      <w:bookmarkStart w:id="508" w:name="_Toc28188"/>
      <w:bookmarkStart w:id="509" w:name="_Toc5322"/>
      <w:bookmarkStart w:id="510" w:name="_Toc6911"/>
      <w:bookmarkStart w:id="511" w:name="_Toc22753"/>
      <w:r>
        <w:rPr>
          <w:rFonts w:hint="default"/>
          <w:color w:val="auto"/>
          <w:lang w:val="en-US" w:eastAsia="zh-CN"/>
        </w:rPr>
        <w:t>6.3 风险程度的分析结果</w:t>
      </w:r>
      <w:bookmarkEnd w:id="506"/>
      <w:bookmarkEnd w:id="507"/>
      <w:bookmarkEnd w:id="508"/>
      <w:bookmarkEnd w:id="509"/>
      <w:bookmarkEnd w:id="510"/>
      <w:bookmarkEnd w:id="511"/>
    </w:p>
    <w:p>
      <w:pPr>
        <w:pStyle w:val="4"/>
        <w:rPr>
          <w:rFonts w:hint="default"/>
          <w:color w:val="auto"/>
          <w:lang w:val="en-US" w:eastAsia="zh-CN"/>
        </w:rPr>
      </w:pPr>
      <w:bookmarkStart w:id="512" w:name="_Toc17561"/>
      <w:bookmarkStart w:id="513" w:name="_Toc2895"/>
      <w:bookmarkStart w:id="514" w:name="_Toc1770"/>
      <w:bookmarkStart w:id="515" w:name="_Toc12284"/>
      <w:bookmarkStart w:id="516" w:name="_Toc32677"/>
      <w:bookmarkStart w:id="517" w:name="_Toc30933"/>
      <w:r>
        <w:rPr>
          <w:rFonts w:hint="default"/>
          <w:color w:val="auto"/>
          <w:lang w:val="en-US" w:eastAsia="zh-CN"/>
        </w:rPr>
        <w:t>6.3.1 危险化学品泄漏的可能性</w:t>
      </w:r>
      <w:bookmarkEnd w:id="512"/>
      <w:bookmarkEnd w:id="513"/>
      <w:bookmarkEnd w:id="514"/>
      <w:bookmarkEnd w:id="515"/>
      <w:bookmarkEnd w:id="516"/>
      <w:bookmarkEnd w:id="517"/>
    </w:p>
    <w:p>
      <w:pPr>
        <w:pStyle w:val="8"/>
        <w:ind w:firstLine="584" w:firstLineChars="200"/>
        <w:rPr>
          <w:rFonts w:hint="default"/>
          <w:color w:val="auto"/>
          <w:lang w:val="en-US" w:eastAsia="zh-CN"/>
        </w:rPr>
      </w:pPr>
      <w:r>
        <w:rPr>
          <w:rFonts w:hint="default"/>
          <w:color w:val="auto"/>
          <w:lang w:val="en-US" w:eastAsia="zh-CN"/>
        </w:rPr>
        <w:t>该项目可能泄漏危险化学品的地方有设备与管道的连接处、管道与管道的连接处、设备与相关附件连接处、设备本身及密封处等。精馏塔、反应釜、加热器、换热器及各类储罐等容器、设备、管道、储罐的法兰垫片损坏、管线连接阀门损坏，机械设备振动过大或地质沉降以及检修过程中操作不当等都可能引起泄漏。该项目生产过程为半间歇式生产，原料投放、产品生产部分采用密闭系统及人工操作，原料及产品输送设备和管道连接处采用可靠的密封措施。因此，在正常生产的情况下，危险化学品泄漏的可能性较小；但在</w:t>
      </w:r>
      <w:r>
        <w:rPr>
          <w:rFonts w:hint="eastAsia"/>
          <w:color w:val="auto"/>
          <w:lang w:val="en-US" w:eastAsia="zh-CN"/>
        </w:rPr>
        <w:t>裂解</w:t>
      </w:r>
      <w:r>
        <w:rPr>
          <w:rFonts w:hint="default"/>
          <w:color w:val="auto"/>
          <w:lang w:val="en-US" w:eastAsia="zh-CN"/>
        </w:rPr>
        <w:t>、蒸馏、冷凝等过程中，容易产生易燃蒸气；在装卸原料或成品，设备损坏或密封点不严、操作失误以及在生产不正常或停工检修过程中存在危险化学品泄漏的可能性较大。由于引起泄漏从而大量释放易燃、易爆，将会导致火灾、爆炸等重大事故发生，因此，事故的预测首先应制定严格的操作规程及杜绝生产装置的跑、冒、滴、漏。</w:t>
      </w:r>
    </w:p>
    <w:p>
      <w:pPr>
        <w:pStyle w:val="8"/>
        <w:spacing w:line="520" w:lineRule="atLeast"/>
        <w:ind w:firstLine="584" w:firstLineChars="200"/>
        <w:rPr>
          <w:rFonts w:hint="default"/>
          <w:color w:val="auto"/>
          <w:lang w:val="en-US" w:eastAsia="zh-CN"/>
        </w:rPr>
      </w:pPr>
      <w:r>
        <w:rPr>
          <w:rFonts w:hint="default"/>
          <w:color w:val="auto"/>
          <w:lang w:val="en-US" w:eastAsia="zh-CN"/>
        </w:rPr>
        <w:t>该项目</w:t>
      </w:r>
      <w:r>
        <w:rPr>
          <w:rFonts w:hint="eastAsia"/>
          <w:color w:val="auto"/>
          <w:lang w:val="en-US" w:eastAsia="zh-CN"/>
        </w:rPr>
        <w:t>部</w:t>
      </w:r>
      <w:r>
        <w:rPr>
          <w:rFonts w:hint="default"/>
          <w:color w:val="auto"/>
          <w:lang w:val="en-US" w:eastAsia="zh-CN"/>
        </w:rPr>
        <w:t>分工艺操作温度高，在生产过程中部分设备涉及高温同时生产装置中有大量的法兰、阀门、螺纹及气体排放系统、液体排放系统，存在较多的静密封点，且有可燃液体泵等机械设备，存在大量的动密封点；所以</w:t>
      </w:r>
      <w:r>
        <w:rPr>
          <w:rFonts w:hint="default"/>
          <w:color w:val="auto"/>
          <w:spacing w:val="0"/>
          <w:sz w:val="28"/>
          <w:lang w:val="en-US" w:eastAsia="zh-CN"/>
        </w:rPr>
        <w:t>该项目生产装置发生介质泄漏的可能性比较大，且各生产装置操作温度变化较大，可能增加了设备、管道、机泵的动、静密封泄漏几</w:t>
      </w:r>
      <w:r>
        <w:rPr>
          <w:rFonts w:hint="default"/>
          <w:color w:val="auto"/>
          <w:lang w:val="en-US" w:eastAsia="zh-CN"/>
        </w:rPr>
        <w:t>率。</w:t>
      </w:r>
    </w:p>
    <w:p>
      <w:pPr>
        <w:pStyle w:val="8"/>
        <w:spacing w:line="520" w:lineRule="atLeast"/>
        <w:ind w:firstLine="584" w:firstLineChars="200"/>
        <w:rPr>
          <w:rFonts w:hint="default"/>
          <w:color w:val="auto"/>
          <w:lang w:val="en-US" w:eastAsia="zh-CN"/>
        </w:rPr>
      </w:pPr>
      <w:r>
        <w:rPr>
          <w:rFonts w:hint="default"/>
          <w:color w:val="auto"/>
          <w:lang w:val="en-US" w:eastAsia="zh-CN"/>
        </w:rPr>
        <w:t>该项目使用大量的泵作为液体输送设备，如果为了降低造价选用衬胶泵，由于非金属件的几何精度和尺寸精度很难保持不变，而且非金属材料的寿命较短，可靠性差，容易导致轴封泄漏、腐蚀设备。</w:t>
      </w:r>
    </w:p>
    <w:p>
      <w:pPr>
        <w:pStyle w:val="8"/>
        <w:spacing w:line="520" w:lineRule="atLeast"/>
        <w:ind w:firstLine="584" w:firstLineChars="200"/>
        <w:rPr>
          <w:rFonts w:hint="default"/>
          <w:color w:val="auto"/>
          <w:lang w:val="en-US" w:eastAsia="zh-CN"/>
        </w:rPr>
      </w:pPr>
      <w:r>
        <w:rPr>
          <w:rFonts w:hint="default"/>
          <w:color w:val="auto"/>
          <w:lang w:val="en-US" w:eastAsia="zh-CN"/>
        </w:rPr>
        <w:t>因此，该项目最可能泄漏危险化学品的地方有设备与管道的连接处、管道与管道的连接处、设备与相关附件连接处、设备管道本身及密封处等或者操作人员操作失误导致化学品从储罐顶部溢流出来。</w:t>
      </w:r>
    </w:p>
    <w:p>
      <w:pPr>
        <w:pStyle w:val="53"/>
        <w:spacing w:line="240" w:lineRule="auto"/>
        <w:rPr>
          <w:color w:val="auto"/>
        </w:rPr>
      </w:pPr>
      <w:r>
        <w:rPr>
          <w:color w:val="auto"/>
        </w:rPr>
        <w:t>表6.3-1 物料泄漏的可能性分析</w:t>
      </w:r>
    </w:p>
    <w:tbl>
      <w:tblPr>
        <w:tblStyle w:val="4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2"/>
        <w:gridCol w:w="3409"/>
        <w:gridCol w:w="1604"/>
        <w:gridCol w:w="38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522" w:type="dxa"/>
            <w:noWrap w:val="0"/>
            <w:vAlign w:val="center"/>
          </w:tcPr>
          <w:p>
            <w:pPr>
              <w:pStyle w:val="59"/>
              <w:spacing w:line="240" w:lineRule="auto"/>
              <w:jc w:val="center"/>
              <w:rPr>
                <w:color w:val="auto"/>
              </w:rPr>
            </w:pPr>
            <w:r>
              <w:rPr>
                <w:color w:val="auto"/>
              </w:rPr>
              <w:t>序号</w:t>
            </w:r>
          </w:p>
        </w:tc>
        <w:tc>
          <w:tcPr>
            <w:tcW w:w="3409" w:type="dxa"/>
            <w:noWrap w:val="0"/>
            <w:vAlign w:val="center"/>
          </w:tcPr>
          <w:p>
            <w:pPr>
              <w:pStyle w:val="59"/>
              <w:spacing w:line="240" w:lineRule="auto"/>
              <w:jc w:val="center"/>
              <w:rPr>
                <w:color w:val="auto"/>
              </w:rPr>
            </w:pPr>
            <w:r>
              <w:rPr>
                <w:color w:val="auto"/>
              </w:rPr>
              <w:t>发生泄漏的可能原因</w:t>
            </w:r>
          </w:p>
        </w:tc>
        <w:tc>
          <w:tcPr>
            <w:tcW w:w="1604" w:type="dxa"/>
            <w:noWrap w:val="0"/>
            <w:vAlign w:val="center"/>
          </w:tcPr>
          <w:p>
            <w:pPr>
              <w:pStyle w:val="59"/>
              <w:spacing w:line="240" w:lineRule="auto"/>
              <w:jc w:val="center"/>
              <w:rPr>
                <w:color w:val="auto"/>
              </w:rPr>
            </w:pPr>
            <w:r>
              <w:rPr>
                <w:color w:val="auto"/>
              </w:rPr>
              <w:t>可能性分级</w:t>
            </w:r>
          </w:p>
        </w:tc>
        <w:tc>
          <w:tcPr>
            <w:tcW w:w="3865" w:type="dxa"/>
            <w:noWrap w:val="0"/>
            <w:vAlign w:val="center"/>
          </w:tcPr>
          <w:p>
            <w:pPr>
              <w:pStyle w:val="59"/>
              <w:spacing w:line="240" w:lineRule="auto"/>
              <w:jc w:val="center"/>
              <w:rPr>
                <w:color w:val="auto"/>
              </w:rPr>
            </w:pPr>
            <w:r>
              <w:rPr>
                <w:color w:val="auto"/>
              </w:rPr>
              <w:t>预防措施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1</w:t>
            </w:r>
          </w:p>
        </w:tc>
        <w:tc>
          <w:tcPr>
            <w:tcW w:w="3409" w:type="dxa"/>
            <w:noWrap w:val="0"/>
            <w:vAlign w:val="center"/>
          </w:tcPr>
          <w:p>
            <w:pPr>
              <w:pStyle w:val="59"/>
              <w:spacing w:line="240" w:lineRule="auto"/>
              <w:jc w:val="both"/>
              <w:rPr>
                <w:color w:val="auto"/>
              </w:rPr>
            </w:pPr>
            <w:r>
              <w:rPr>
                <w:color w:val="auto"/>
              </w:rPr>
              <w:t>设备、管道法兰、阀门密封不严泄漏</w:t>
            </w:r>
          </w:p>
        </w:tc>
        <w:tc>
          <w:tcPr>
            <w:tcW w:w="1604" w:type="dxa"/>
            <w:noWrap w:val="0"/>
            <w:vAlign w:val="center"/>
          </w:tcPr>
          <w:p>
            <w:pPr>
              <w:pStyle w:val="59"/>
              <w:spacing w:line="240" w:lineRule="auto"/>
              <w:jc w:val="center"/>
              <w:rPr>
                <w:color w:val="auto"/>
              </w:rPr>
            </w:pPr>
            <w:r>
              <w:rPr>
                <w:color w:val="auto"/>
              </w:rPr>
              <w:t>容易发生</w:t>
            </w:r>
          </w:p>
        </w:tc>
        <w:tc>
          <w:tcPr>
            <w:tcW w:w="3865" w:type="dxa"/>
            <w:noWrap w:val="0"/>
            <w:vAlign w:val="center"/>
          </w:tcPr>
          <w:p>
            <w:pPr>
              <w:pStyle w:val="59"/>
              <w:spacing w:line="240" w:lineRule="auto"/>
              <w:jc w:val="both"/>
              <w:rPr>
                <w:color w:val="auto"/>
              </w:rPr>
            </w:pPr>
            <w:r>
              <w:rPr>
                <w:color w:val="auto"/>
              </w:rPr>
              <w:t>对可能发生泄漏的部位进行经常检查，定期检修、保养。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2</w:t>
            </w:r>
          </w:p>
        </w:tc>
        <w:tc>
          <w:tcPr>
            <w:tcW w:w="3409" w:type="dxa"/>
            <w:noWrap w:val="0"/>
            <w:vAlign w:val="center"/>
          </w:tcPr>
          <w:p>
            <w:pPr>
              <w:pStyle w:val="59"/>
              <w:spacing w:line="240" w:lineRule="auto"/>
              <w:jc w:val="both"/>
              <w:rPr>
                <w:color w:val="auto"/>
              </w:rPr>
            </w:pPr>
            <w:r>
              <w:rPr>
                <w:color w:val="auto"/>
              </w:rPr>
              <w:t>安全阀排放、排气口排气、呼吸阀出口、敞口容器的正常挥发</w:t>
            </w:r>
          </w:p>
        </w:tc>
        <w:tc>
          <w:tcPr>
            <w:tcW w:w="1604" w:type="dxa"/>
            <w:noWrap w:val="0"/>
            <w:vAlign w:val="center"/>
          </w:tcPr>
          <w:p>
            <w:pPr>
              <w:pStyle w:val="59"/>
              <w:spacing w:line="240" w:lineRule="auto"/>
              <w:jc w:val="center"/>
              <w:rPr>
                <w:color w:val="auto"/>
              </w:rPr>
            </w:pPr>
            <w:r>
              <w:rPr>
                <w:color w:val="auto"/>
              </w:rPr>
              <w:t>极易发生</w:t>
            </w:r>
          </w:p>
        </w:tc>
        <w:tc>
          <w:tcPr>
            <w:tcW w:w="3865" w:type="dxa"/>
            <w:noWrap w:val="0"/>
            <w:vAlign w:val="center"/>
          </w:tcPr>
          <w:p>
            <w:pPr>
              <w:pStyle w:val="59"/>
              <w:spacing w:line="240" w:lineRule="auto"/>
              <w:jc w:val="both"/>
              <w:rPr>
                <w:color w:val="auto"/>
              </w:rPr>
            </w:pPr>
            <w:r>
              <w:rPr>
                <w:color w:val="auto"/>
              </w:rPr>
              <w:t>尽量将物料密闭操作，排气筒设置足够高度，安全阀排气引至安全地方。即排气筒高度和排放点设置符合规范要求。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3</w:t>
            </w:r>
          </w:p>
        </w:tc>
        <w:tc>
          <w:tcPr>
            <w:tcW w:w="3409" w:type="dxa"/>
            <w:noWrap w:val="0"/>
            <w:vAlign w:val="center"/>
          </w:tcPr>
          <w:p>
            <w:pPr>
              <w:pStyle w:val="59"/>
              <w:spacing w:line="240" w:lineRule="auto"/>
              <w:jc w:val="both"/>
              <w:rPr>
                <w:color w:val="auto"/>
              </w:rPr>
            </w:pPr>
            <w:r>
              <w:rPr>
                <w:color w:val="auto"/>
              </w:rPr>
              <w:t>贮罐或设备液位过高发生溢流泄漏</w:t>
            </w:r>
          </w:p>
        </w:tc>
        <w:tc>
          <w:tcPr>
            <w:tcW w:w="1604" w:type="dxa"/>
            <w:noWrap w:val="0"/>
            <w:vAlign w:val="center"/>
          </w:tcPr>
          <w:p>
            <w:pPr>
              <w:pStyle w:val="59"/>
              <w:spacing w:line="240" w:lineRule="auto"/>
              <w:jc w:val="center"/>
              <w:rPr>
                <w:color w:val="auto"/>
              </w:rPr>
            </w:pPr>
            <w:r>
              <w:rPr>
                <w:color w:val="auto"/>
              </w:rPr>
              <w:t>偶尔发生</w:t>
            </w:r>
          </w:p>
        </w:tc>
        <w:tc>
          <w:tcPr>
            <w:tcW w:w="3865" w:type="dxa"/>
            <w:noWrap w:val="0"/>
            <w:vAlign w:val="center"/>
          </w:tcPr>
          <w:p>
            <w:pPr>
              <w:pStyle w:val="59"/>
              <w:spacing w:line="240" w:lineRule="auto"/>
              <w:jc w:val="both"/>
              <w:rPr>
                <w:color w:val="auto"/>
              </w:rPr>
            </w:pPr>
            <w:r>
              <w:rPr>
                <w:color w:val="auto"/>
              </w:rPr>
              <w:t>贮罐或设备设置液位高报警装置，或设置溢流口，防止溢流。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4</w:t>
            </w:r>
          </w:p>
        </w:tc>
        <w:tc>
          <w:tcPr>
            <w:tcW w:w="3409" w:type="dxa"/>
            <w:noWrap w:val="0"/>
            <w:vAlign w:val="center"/>
          </w:tcPr>
          <w:p>
            <w:pPr>
              <w:pStyle w:val="59"/>
              <w:spacing w:line="240" w:lineRule="auto"/>
              <w:jc w:val="both"/>
              <w:rPr>
                <w:color w:val="auto"/>
              </w:rPr>
            </w:pPr>
            <w:r>
              <w:rPr>
                <w:color w:val="auto"/>
              </w:rPr>
              <w:t>压力容器超压、防爆板动作、高压物料窜入低压系统</w:t>
            </w:r>
          </w:p>
        </w:tc>
        <w:tc>
          <w:tcPr>
            <w:tcW w:w="1604" w:type="dxa"/>
            <w:noWrap w:val="0"/>
            <w:vAlign w:val="center"/>
          </w:tcPr>
          <w:p>
            <w:pPr>
              <w:pStyle w:val="59"/>
              <w:spacing w:line="240" w:lineRule="auto"/>
              <w:jc w:val="center"/>
              <w:rPr>
                <w:color w:val="auto"/>
              </w:rPr>
            </w:pPr>
            <w:r>
              <w:rPr>
                <w:color w:val="auto"/>
              </w:rPr>
              <w:t>偶尔发生</w:t>
            </w:r>
          </w:p>
        </w:tc>
        <w:tc>
          <w:tcPr>
            <w:tcW w:w="3865" w:type="dxa"/>
            <w:noWrap w:val="0"/>
            <w:vAlign w:val="center"/>
          </w:tcPr>
          <w:p>
            <w:pPr>
              <w:pStyle w:val="59"/>
              <w:spacing w:line="240" w:lineRule="auto"/>
              <w:jc w:val="both"/>
              <w:rPr>
                <w:color w:val="auto"/>
              </w:rPr>
            </w:pPr>
            <w:r>
              <w:rPr>
                <w:color w:val="auto"/>
              </w:rPr>
              <w:t>压力容器按规范进行设计，高低压系统之间设置减压阀、安全阀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5</w:t>
            </w:r>
          </w:p>
        </w:tc>
        <w:tc>
          <w:tcPr>
            <w:tcW w:w="3409" w:type="dxa"/>
            <w:noWrap w:val="0"/>
            <w:vAlign w:val="center"/>
          </w:tcPr>
          <w:p>
            <w:pPr>
              <w:pStyle w:val="59"/>
              <w:spacing w:line="240" w:lineRule="auto"/>
              <w:jc w:val="both"/>
              <w:rPr>
                <w:color w:val="auto"/>
              </w:rPr>
            </w:pPr>
            <w:r>
              <w:rPr>
                <w:color w:val="auto"/>
              </w:rPr>
              <w:t>腐蚀泄漏</w:t>
            </w:r>
          </w:p>
        </w:tc>
        <w:tc>
          <w:tcPr>
            <w:tcW w:w="1604" w:type="dxa"/>
            <w:noWrap w:val="0"/>
            <w:vAlign w:val="center"/>
          </w:tcPr>
          <w:p>
            <w:pPr>
              <w:pStyle w:val="59"/>
              <w:spacing w:line="240" w:lineRule="auto"/>
              <w:jc w:val="center"/>
              <w:rPr>
                <w:color w:val="auto"/>
              </w:rPr>
            </w:pPr>
            <w:r>
              <w:rPr>
                <w:color w:val="auto"/>
              </w:rPr>
              <w:t>容易发生</w:t>
            </w:r>
          </w:p>
        </w:tc>
        <w:tc>
          <w:tcPr>
            <w:tcW w:w="3865" w:type="dxa"/>
            <w:noWrap w:val="0"/>
            <w:vAlign w:val="center"/>
          </w:tcPr>
          <w:p>
            <w:pPr>
              <w:pStyle w:val="59"/>
              <w:spacing w:line="240" w:lineRule="auto"/>
              <w:jc w:val="both"/>
              <w:rPr>
                <w:color w:val="auto"/>
              </w:rPr>
            </w:pPr>
            <w:r>
              <w:rPr>
                <w:color w:val="auto"/>
              </w:rPr>
              <w:t>选取相应的防腐材料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22" w:type="dxa"/>
            <w:noWrap w:val="0"/>
            <w:vAlign w:val="center"/>
          </w:tcPr>
          <w:p>
            <w:pPr>
              <w:pStyle w:val="59"/>
              <w:spacing w:line="240" w:lineRule="auto"/>
              <w:jc w:val="center"/>
              <w:rPr>
                <w:color w:val="auto"/>
              </w:rPr>
            </w:pPr>
            <w:r>
              <w:rPr>
                <w:color w:val="auto"/>
              </w:rPr>
              <w:t>6</w:t>
            </w:r>
          </w:p>
        </w:tc>
        <w:tc>
          <w:tcPr>
            <w:tcW w:w="3409" w:type="dxa"/>
            <w:noWrap w:val="0"/>
            <w:vAlign w:val="center"/>
          </w:tcPr>
          <w:p>
            <w:pPr>
              <w:pStyle w:val="59"/>
              <w:spacing w:line="240" w:lineRule="auto"/>
              <w:jc w:val="both"/>
              <w:rPr>
                <w:color w:val="auto"/>
              </w:rPr>
            </w:pPr>
            <w:r>
              <w:rPr>
                <w:color w:val="auto"/>
              </w:rPr>
              <w:t>人员误操作导致物料外泄</w:t>
            </w:r>
          </w:p>
        </w:tc>
        <w:tc>
          <w:tcPr>
            <w:tcW w:w="1604" w:type="dxa"/>
            <w:noWrap w:val="0"/>
            <w:vAlign w:val="center"/>
          </w:tcPr>
          <w:p>
            <w:pPr>
              <w:pStyle w:val="59"/>
              <w:spacing w:line="240" w:lineRule="auto"/>
              <w:jc w:val="center"/>
              <w:rPr>
                <w:color w:val="auto"/>
              </w:rPr>
            </w:pPr>
            <w:r>
              <w:rPr>
                <w:color w:val="auto"/>
              </w:rPr>
              <w:t>容易发生</w:t>
            </w:r>
          </w:p>
        </w:tc>
        <w:tc>
          <w:tcPr>
            <w:tcW w:w="3865" w:type="dxa"/>
            <w:noWrap w:val="0"/>
            <w:vAlign w:val="center"/>
          </w:tcPr>
          <w:p>
            <w:pPr>
              <w:pStyle w:val="59"/>
              <w:spacing w:line="240" w:lineRule="auto"/>
              <w:jc w:val="both"/>
              <w:rPr>
                <w:color w:val="auto"/>
              </w:rPr>
            </w:pPr>
            <w:r>
              <w:rPr>
                <w:color w:val="auto"/>
              </w:rPr>
              <w:t>按操作规程进行作业</w:t>
            </w:r>
          </w:p>
        </w:tc>
      </w:tr>
    </w:tbl>
    <w:p>
      <w:pPr>
        <w:pStyle w:val="4"/>
        <w:spacing w:before="0" w:after="0"/>
        <w:jc w:val="left"/>
        <w:rPr>
          <w:rFonts w:hint="eastAsia"/>
          <w:color w:val="auto"/>
        </w:rPr>
      </w:pPr>
      <w:bookmarkStart w:id="518" w:name="_Toc380587622"/>
      <w:bookmarkStart w:id="519" w:name="_Toc3542"/>
      <w:bookmarkStart w:id="520" w:name="_Toc4316"/>
      <w:bookmarkStart w:id="521" w:name="_Toc31581"/>
      <w:bookmarkStart w:id="522" w:name="_Toc49245492"/>
      <w:bookmarkStart w:id="523" w:name="_Toc91765292"/>
      <w:bookmarkStart w:id="524" w:name="_Toc4888"/>
      <w:bookmarkStart w:id="525" w:name="_Toc336214825"/>
      <w:bookmarkStart w:id="526" w:name="_Toc18529"/>
      <w:bookmarkStart w:id="527" w:name="_Toc1330"/>
      <w:r>
        <w:rPr>
          <w:rFonts w:hint="eastAsia"/>
          <w:color w:val="auto"/>
        </w:rPr>
        <w:t>6.3.2爆炸性、可燃性的危险化学品泄漏造成火灾爆炸事故的条件</w:t>
      </w:r>
      <w:bookmarkEnd w:id="518"/>
      <w:bookmarkEnd w:id="519"/>
      <w:bookmarkEnd w:id="520"/>
      <w:bookmarkEnd w:id="521"/>
      <w:bookmarkEnd w:id="522"/>
      <w:bookmarkEnd w:id="523"/>
      <w:bookmarkEnd w:id="524"/>
      <w:bookmarkEnd w:id="525"/>
      <w:bookmarkEnd w:id="526"/>
      <w:bookmarkEnd w:id="527"/>
    </w:p>
    <w:p>
      <w:pPr>
        <w:pStyle w:val="8"/>
        <w:rPr>
          <w:rFonts w:hint="default"/>
          <w:color w:val="auto"/>
          <w:lang w:val="en-US" w:eastAsia="zh-CN"/>
        </w:rPr>
      </w:pPr>
      <w:r>
        <w:rPr>
          <w:rFonts w:hint="eastAsia" w:ascii="宋体" w:cs="宋体"/>
          <w:color w:val="auto"/>
          <w:sz w:val="28"/>
          <w:szCs w:val="28"/>
        </w:rPr>
        <w:t>该项目涉及了大量的易燃、易爆及有毒物质</w:t>
      </w:r>
      <w:r>
        <w:rPr>
          <w:rFonts w:hint="eastAsia" w:ascii="宋体" w:hAnsi="宋体"/>
          <w:color w:val="auto"/>
          <w:sz w:val="28"/>
          <w:szCs w:val="28"/>
        </w:rPr>
        <w:t>，其</w:t>
      </w:r>
      <w:r>
        <w:rPr>
          <w:rFonts w:hint="eastAsia" w:ascii="宋体" w:cs="宋体"/>
          <w:color w:val="auto"/>
          <w:sz w:val="28"/>
          <w:szCs w:val="28"/>
        </w:rPr>
        <w:t>工艺特点及物料的危险特性决定了该项目存在火灾、爆炸的可能性。</w:t>
      </w:r>
      <w:r>
        <w:rPr>
          <w:rFonts w:hint="eastAsia" w:ascii="宋体" w:hAnsi="宋体"/>
          <w:color w:val="auto"/>
          <w:sz w:val="28"/>
          <w:szCs w:val="28"/>
        </w:rPr>
        <w:t>该项目</w:t>
      </w:r>
      <w:r>
        <w:rPr>
          <w:rFonts w:hint="eastAsia" w:ascii="宋体" w:hAnsi="宋体"/>
          <w:color w:val="auto"/>
          <w:sz w:val="28"/>
          <w:szCs w:val="28"/>
          <w:lang w:val="en-US" w:eastAsia="zh-CN"/>
        </w:rPr>
        <w:t>甲基丙烯酸甲酯</w:t>
      </w:r>
      <w:r>
        <w:rPr>
          <w:rFonts w:hint="eastAsia" w:ascii="宋体" w:hAnsi="宋体"/>
          <w:color w:val="auto"/>
          <w:sz w:val="28"/>
          <w:szCs w:val="28"/>
        </w:rPr>
        <w:t>等属于易燃物质，</w:t>
      </w:r>
      <w:r>
        <w:rPr>
          <w:rFonts w:hint="eastAsia" w:ascii="宋体" w:hAnsi="宋体"/>
          <w:color w:val="auto"/>
          <w:sz w:val="28"/>
          <w:szCs w:val="28"/>
          <w:lang w:val="en-US" w:eastAsia="zh-CN"/>
        </w:rPr>
        <w:t>该项目</w:t>
      </w:r>
      <w:r>
        <w:rPr>
          <w:rFonts w:hint="eastAsia" w:ascii="宋体" w:hAnsi="宋体"/>
          <w:color w:val="auto"/>
          <w:sz w:val="28"/>
          <w:szCs w:val="28"/>
        </w:rPr>
        <w:t>涉及的</w:t>
      </w:r>
      <w:r>
        <w:rPr>
          <w:rFonts w:hint="eastAsia" w:ascii="宋体" w:hAnsi="宋体"/>
          <w:color w:val="auto"/>
          <w:sz w:val="28"/>
          <w:szCs w:val="28"/>
          <w:lang w:val="en-US" w:eastAsia="zh-CN"/>
        </w:rPr>
        <w:t>有机玻璃废料（聚甲基丙烯酸甲酯）、对苯二酚、柴油</w:t>
      </w:r>
      <w:r>
        <w:rPr>
          <w:rFonts w:hint="eastAsia" w:ascii="宋体" w:hAnsi="宋体"/>
          <w:color w:val="auto"/>
          <w:sz w:val="28"/>
          <w:szCs w:val="28"/>
        </w:rPr>
        <w:t>等具有可燃性。</w:t>
      </w:r>
    </w:p>
    <w:p>
      <w:pPr>
        <w:ind w:firstLine="562" w:firstLineChars="200"/>
        <w:rPr>
          <w:rFonts w:hint="default"/>
          <w:b/>
          <w:bCs/>
          <w:color w:val="auto"/>
          <w:sz w:val="28"/>
          <w:szCs w:val="28"/>
          <w:lang w:val="en-US" w:eastAsia="zh-CN"/>
        </w:rPr>
      </w:pPr>
      <w:r>
        <w:rPr>
          <w:rFonts w:hint="default"/>
          <w:b/>
          <w:bCs/>
          <w:color w:val="auto"/>
          <w:sz w:val="28"/>
          <w:szCs w:val="28"/>
          <w:lang w:val="en-US" w:eastAsia="zh-CN"/>
        </w:rPr>
        <w:t>1）爆炸性事故的条件</w:t>
      </w:r>
    </w:p>
    <w:p>
      <w:pPr>
        <w:ind w:firstLine="560" w:firstLineChars="200"/>
        <w:rPr>
          <w:rFonts w:hint="eastAsia"/>
          <w:color w:val="auto"/>
          <w:sz w:val="28"/>
          <w:szCs w:val="28"/>
          <w:lang w:val="en-US" w:eastAsia="zh-CN"/>
        </w:rPr>
      </w:pPr>
      <w:r>
        <w:rPr>
          <w:rFonts w:hint="eastAsia"/>
          <w:color w:val="auto"/>
          <w:sz w:val="28"/>
          <w:szCs w:val="28"/>
          <w:lang w:val="en-US" w:eastAsia="zh-CN"/>
        </w:rPr>
        <w:t>甲基丙烯酸甲酯</w:t>
      </w:r>
      <w:r>
        <w:rPr>
          <w:rFonts w:hint="default"/>
          <w:color w:val="auto"/>
          <w:sz w:val="28"/>
          <w:szCs w:val="28"/>
          <w:lang w:val="en-US" w:eastAsia="zh-CN"/>
        </w:rPr>
        <w:t>等属于易燃易爆物质；液体蒸气为爆炸性的危险品，当发生泄漏后，和空气等氧化剂形成混合物，在相对封闭的空间内其浓度达到爆炸范围时，遇点火源（明火、电火花等）或高温热源可造成爆炸事故</w:t>
      </w:r>
      <w:r>
        <w:rPr>
          <w:rFonts w:hint="eastAsia"/>
          <w:color w:val="auto"/>
          <w:sz w:val="28"/>
          <w:szCs w:val="28"/>
          <w:lang w:val="en-US" w:eastAsia="zh-CN"/>
        </w:rPr>
        <w:t>。</w:t>
      </w:r>
    </w:p>
    <w:p>
      <w:pPr>
        <w:spacing w:line="360" w:lineRule="auto"/>
        <w:ind w:firstLine="562" w:firstLineChars="200"/>
        <w:jc w:val="left"/>
        <w:rPr>
          <w:rFonts w:hint="eastAsia" w:ascii="黑体" w:hAnsi="宋体" w:eastAsia="黑体"/>
          <w:b/>
          <w:bCs/>
          <w:color w:val="auto"/>
          <w:sz w:val="28"/>
          <w:szCs w:val="28"/>
        </w:rPr>
      </w:pPr>
      <w:r>
        <w:rPr>
          <w:rFonts w:hint="eastAsia" w:ascii="黑体" w:hAnsi="宋体" w:eastAsia="黑体"/>
          <w:b/>
          <w:bCs/>
          <w:color w:val="auto"/>
          <w:sz w:val="28"/>
          <w:szCs w:val="28"/>
        </w:rPr>
        <w:t>2）出现火灾事故的条件</w:t>
      </w:r>
    </w:p>
    <w:p>
      <w:pPr>
        <w:ind w:firstLine="560" w:firstLineChars="200"/>
        <w:rPr>
          <w:rFonts w:hint="eastAsia"/>
          <w:color w:val="auto"/>
          <w:sz w:val="28"/>
          <w:szCs w:val="28"/>
        </w:rPr>
      </w:pPr>
      <w:r>
        <w:rPr>
          <w:rFonts w:hint="eastAsia"/>
          <w:color w:val="auto"/>
          <w:sz w:val="28"/>
          <w:szCs w:val="28"/>
        </w:rPr>
        <w:t>该项目</w:t>
      </w:r>
      <w:r>
        <w:rPr>
          <w:rFonts w:hint="eastAsia" w:ascii="宋体" w:hAnsi="宋体"/>
          <w:color w:val="auto"/>
          <w:sz w:val="28"/>
          <w:szCs w:val="28"/>
          <w:lang w:val="en-US" w:eastAsia="zh-CN"/>
        </w:rPr>
        <w:t>甲基丙烯酸甲酯</w:t>
      </w:r>
      <w:r>
        <w:rPr>
          <w:rFonts w:hint="eastAsia" w:ascii="宋体" w:hAnsi="宋体"/>
          <w:color w:val="auto"/>
          <w:sz w:val="28"/>
          <w:szCs w:val="28"/>
        </w:rPr>
        <w:t>等具有可燃性</w:t>
      </w:r>
      <w:r>
        <w:rPr>
          <w:rFonts w:hint="eastAsia"/>
          <w:color w:val="auto"/>
          <w:sz w:val="28"/>
          <w:szCs w:val="28"/>
        </w:rPr>
        <w:t>，在生产作业或储存的过程中存在危险化学品泄漏的可能性较大。如果发生可燃液体泄漏，其蒸气形成混合气体达到燃烧极限并同时遇到高温或火源，则有可能发生火灾事故。</w:t>
      </w:r>
    </w:p>
    <w:p>
      <w:pPr>
        <w:pStyle w:val="4"/>
        <w:spacing w:before="0" w:after="0" w:line="240" w:lineRule="auto"/>
        <w:jc w:val="left"/>
        <w:rPr>
          <w:rFonts w:hint="eastAsia" w:ascii="黑体" w:hAnsi="黑体" w:eastAsia="黑体" w:cs="黑体"/>
          <w:color w:val="auto"/>
        </w:rPr>
      </w:pPr>
      <w:bookmarkStart w:id="528" w:name="_Toc380587623"/>
      <w:bookmarkStart w:id="529" w:name="_Toc49245493"/>
      <w:bookmarkStart w:id="530" w:name="_Toc91765293"/>
      <w:bookmarkStart w:id="531" w:name="_Toc15534"/>
      <w:bookmarkStart w:id="532" w:name="_Toc4062"/>
      <w:bookmarkStart w:id="533" w:name="_Toc14053"/>
      <w:bookmarkStart w:id="534" w:name="_Toc27843"/>
      <w:bookmarkStart w:id="535" w:name="_Toc13174"/>
      <w:bookmarkStart w:id="536" w:name="_Toc336214826"/>
      <w:bookmarkStart w:id="537" w:name="_Toc4609"/>
      <w:r>
        <w:rPr>
          <w:rFonts w:hint="eastAsia" w:ascii="黑体" w:hAnsi="黑体" w:eastAsia="黑体" w:cs="黑体"/>
          <w:color w:val="auto"/>
        </w:rPr>
        <w:t>6.3.3有毒化学品接触最高限值的时间</w:t>
      </w:r>
      <w:bookmarkEnd w:id="528"/>
      <w:bookmarkEnd w:id="529"/>
      <w:bookmarkEnd w:id="530"/>
      <w:bookmarkEnd w:id="531"/>
      <w:bookmarkEnd w:id="532"/>
      <w:bookmarkEnd w:id="533"/>
      <w:bookmarkEnd w:id="534"/>
      <w:bookmarkEnd w:id="535"/>
      <w:bookmarkEnd w:id="536"/>
      <w:bookmarkEnd w:id="537"/>
    </w:p>
    <w:p>
      <w:pPr>
        <w:pStyle w:val="8"/>
        <w:ind w:firstLine="560"/>
        <w:rPr>
          <w:rFonts w:hint="eastAsia"/>
          <w:color w:val="auto"/>
          <w:szCs w:val="28"/>
        </w:rPr>
      </w:pPr>
      <w:r>
        <w:rPr>
          <w:rFonts w:hint="eastAsia" w:ascii="宋体" w:hAnsi="宋体"/>
          <w:bCs/>
          <w:color w:val="auto"/>
          <w:szCs w:val="28"/>
        </w:rPr>
        <w:t>据《职业性接触毒物危害程度分级》，该项目物料</w:t>
      </w:r>
      <w:r>
        <w:rPr>
          <w:rFonts w:hint="eastAsia" w:ascii="宋体" w:hAnsi="宋体"/>
          <w:bCs/>
          <w:color w:val="auto"/>
          <w:szCs w:val="28"/>
          <w:lang w:eastAsia="zh-CN"/>
        </w:rPr>
        <w:t>：</w:t>
      </w:r>
      <w:r>
        <w:rPr>
          <w:rFonts w:hint="eastAsia" w:ascii="宋体" w:hAnsi="宋体"/>
          <w:bCs/>
          <w:color w:val="auto"/>
          <w:szCs w:val="28"/>
          <w:lang w:val="en-US" w:eastAsia="zh-CN"/>
        </w:rPr>
        <w:t>甲基丙烯酸甲酯、对苯二酚</w:t>
      </w:r>
      <w:r>
        <w:rPr>
          <w:rFonts w:hint="eastAsia" w:ascii="宋体" w:hAnsi="宋体"/>
          <w:color w:val="auto"/>
          <w:szCs w:val="28"/>
        </w:rPr>
        <w:t>属于Ⅳ</w:t>
      </w:r>
      <w:r>
        <w:rPr>
          <w:rFonts w:ascii="宋体" w:hAnsi="宋体"/>
          <w:color w:val="auto"/>
          <w:szCs w:val="28"/>
        </w:rPr>
        <w:t>级(轻度危害)</w:t>
      </w:r>
      <w:r>
        <w:rPr>
          <w:rFonts w:hint="eastAsia" w:ascii="宋体" w:hAnsi="宋体"/>
          <w:color w:val="auto"/>
          <w:szCs w:val="28"/>
          <w:lang w:eastAsia="zh-CN"/>
        </w:rPr>
        <w:t>。</w:t>
      </w:r>
      <w:r>
        <w:rPr>
          <w:rFonts w:hint="eastAsia" w:ascii="宋体" w:hAnsi="宋体"/>
          <w:color w:val="auto"/>
          <w:szCs w:val="28"/>
          <w:lang w:val="en-US" w:eastAsia="zh-CN"/>
        </w:rPr>
        <w:t>氮气及污水处理过程中产生的二氧化碳</w:t>
      </w:r>
      <w:r>
        <w:rPr>
          <w:rFonts w:hint="eastAsia" w:ascii="宋体" w:hAnsi="宋体"/>
          <w:color w:val="auto"/>
          <w:szCs w:val="28"/>
        </w:rPr>
        <w:t>具有窒息性。</w:t>
      </w:r>
      <w:r>
        <w:rPr>
          <w:color w:val="auto"/>
          <w:szCs w:val="28"/>
        </w:rPr>
        <w:t>需要说明的是，当</w:t>
      </w:r>
      <w:r>
        <w:rPr>
          <w:rFonts w:hint="eastAsia"/>
          <w:color w:val="auto"/>
          <w:szCs w:val="28"/>
        </w:rPr>
        <w:t>气体、液体状态有毒物质</w:t>
      </w:r>
      <w:r>
        <w:rPr>
          <w:color w:val="auto"/>
          <w:szCs w:val="28"/>
        </w:rPr>
        <w:t>一旦发生泄漏，在泄漏点附近在短时间内</w:t>
      </w:r>
      <w:r>
        <w:rPr>
          <w:rFonts w:hint="eastAsia"/>
          <w:color w:val="auto"/>
          <w:szCs w:val="28"/>
        </w:rPr>
        <w:t>其蒸气浓度</w:t>
      </w:r>
      <w:r>
        <w:rPr>
          <w:color w:val="auto"/>
          <w:szCs w:val="28"/>
        </w:rPr>
        <w:t>已达到中毒极限，对附近的作业人员均可能造成中毒伤害。</w:t>
      </w:r>
      <w:r>
        <w:rPr>
          <w:rFonts w:hint="eastAsia"/>
          <w:color w:val="auto"/>
          <w:szCs w:val="28"/>
        </w:rPr>
        <w:t>固体状态有毒物质人体直接接触可造成中毒。</w:t>
      </w:r>
    </w:p>
    <w:p>
      <w:pPr>
        <w:pStyle w:val="4"/>
        <w:spacing w:before="0" w:after="0" w:line="240" w:lineRule="auto"/>
        <w:jc w:val="left"/>
        <w:rPr>
          <w:rFonts w:hint="eastAsia" w:ascii="黑体" w:hAnsi="黑体" w:cs="黑体"/>
          <w:color w:val="auto"/>
        </w:rPr>
      </w:pPr>
      <w:bookmarkStart w:id="538" w:name="_Toc380587624"/>
      <w:bookmarkStart w:id="539" w:name="_Toc9063"/>
      <w:bookmarkStart w:id="540" w:name="_Toc25022"/>
      <w:bookmarkStart w:id="541" w:name="_Toc12606"/>
      <w:bookmarkStart w:id="542" w:name="_Toc25358"/>
      <w:bookmarkStart w:id="543" w:name="_Toc49245494"/>
      <w:bookmarkStart w:id="544" w:name="_Toc30304"/>
      <w:bookmarkStart w:id="545" w:name="_Toc91765294"/>
      <w:bookmarkStart w:id="546" w:name="_Toc5334"/>
      <w:r>
        <w:rPr>
          <w:rFonts w:hint="eastAsia" w:ascii="黑体" w:hAnsi="黑体" w:cs="黑体"/>
          <w:color w:val="auto"/>
        </w:rPr>
        <w:t>6.3.4</w:t>
      </w:r>
      <w:bookmarkEnd w:id="538"/>
      <w:r>
        <w:rPr>
          <w:rFonts w:hint="eastAsia" w:ascii="黑体" w:hAnsi="黑体" w:cs="黑体"/>
          <w:color w:val="auto"/>
        </w:rPr>
        <w:t>事故模型分析</w:t>
      </w:r>
      <w:bookmarkEnd w:id="539"/>
      <w:bookmarkEnd w:id="540"/>
      <w:bookmarkEnd w:id="541"/>
      <w:bookmarkEnd w:id="542"/>
      <w:bookmarkEnd w:id="543"/>
      <w:bookmarkEnd w:id="544"/>
      <w:bookmarkEnd w:id="545"/>
      <w:bookmarkEnd w:id="546"/>
    </w:p>
    <w:p>
      <w:pPr>
        <w:spacing w:line="360" w:lineRule="auto"/>
        <w:ind w:firstLine="560" w:firstLineChars="200"/>
        <w:jc w:val="left"/>
        <w:rPr>
          <w:rFonts w:hint="eastAsia" w:ascii="宋体" w:hAnsi="宋体"/>
          <w:bCs/>
          <w:color w:val="auto"/>
          <w:sz w:val="28"/>
          <w:szCs w:val="28"/>
        </w:rPr>
      </w:pPr>
      <w:r>
        <w:rPr>
          <w:rFonts w:hint="eastAsia" w:ascii="宋体" w:hAnsi="宋体"/>
          <w:bCs/>
          <w:color w:val="auto"/>
          <w:sz w:val="28"/>
          <w:szCs w:val="28"/>
        </w:rPr>
        <w:t>本评价要使用中国安全生产科学研究院研发的 CASST-QRA 评价软件对该项目拟选定的装置可能发生的危险化学品事故后果进行模拟计算评价。</w:t>
      </w:r>
    </w:p>
    <w:p>
      <w:pPr>
        <w:pStyle w:val="53"/>
        <w:ind w:firstLine="482" w:firstLineChars="200"/>
        <w:jc w:val="center"/>
        <w:rPr>
          <w:rFonts w:hint="eastAsia"/>
          <w:color w:val="auto"/>
        </w:rPr>
      </w:pPr>
      <w:r>
        <w:rPr>
          <w:rFonts w:hint="eastAsia"/>
          <w:color w:val="auto"/>
        </w:rPr>
        <w:t>6.3-2事故后果模拟一览表</w:t>
      </w:r>
    </w:p>
    <w:p>
      <w:pPr>
        <w:ind w:firstLine="560" w:firstLineChars="200"/>
        <w:rPr>
          <w:rFonts w:hint="default"/>
          <w:color w:val="auto"/>
          <w:sz w:val="28"/>
          <w:szCs w:val="28"/>
          <w:highlight w:val="yellow"/>
          <w:lang w:val="en-US" w:eastAsia="zh-CN"/>
        </w:rPr>
      </w:pPr>
      <w:r>
        <w:rPr>
          <w:color w:val="auto"/>
        </w:rPr>
        <w:drawing>
          <wp:anchor distT="0" distB="0" distL="114300" distR="114300" simplePos="0" relativeHeight="251668480" behindDoc="0" locked="0" layoutInCell="1" allowOverlap="1">
            <wp:simplePos x="0" y="0"/>
            <wp:positionH relativeFrom="column">
              <wp:posOffset>82550</wp:posOffset>
            </wp:positionH>
            <wp:positionV relativeFrom="paragraph">
              <wp:posOffset>175895</wp:posOffset>
            </wp:positionV>
            <wp:extent cx="5828030" cy="289433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rcRect t="5671"/>
                    <a:stretch>
                      <a:fillRect/>
                    </a:stretch>
                  </pic:blipFill>
                  <pic:spPr>
                    <a:xfrm>
                      <a:off x="0" y="0"/>
                      <a:ext cx="5828030" cy="2894330"/>
                    </a:xfrm>
                    <a:prstGeom prst="rect">
                      <a:avLst/>
                    </a:prstGeom>
                    <a:noFill/>
                    <a:ln>
                      <a:noFill/>
                    </a:ln>
                  </pic:spPr>
                </pic:pic>
              </a:graphicData>
            </a:graphic>
          </wp:anchor>
        </w:drawing>
      </w:r>
      <w:r>
        <w:rPr>
          <w:rFonts w:hint="default"/>
          <w:color w:val="auto"/>
          <w:sz w:val="28"/>
          <w:szCs w:val="28"/>
          <w:highlight w:val="none"/>
          <w:lang w:val="en-US" w:eastAsia="zh-CN"/>
        </w:rPr>
        <w:t>从上表分析，该项目发生最严重的的事故为池火事故，从表中数据分析，该项目发生事故的影响区域</w:t>
      </w:r>
      <w:r>
        <w:rPr>
          <w:rFonts w:hint="eastAsia"/>
          <w:color w:val="auto"/>
          <w:sz w:val="28"/>
          <w:szCs w:val="28"/>
          <w:highlight w:val="none"/>
          <w:lang w:val="en-US" w:eastAsia="zh-CN"/>
        </w:rPr>
        <w:t>未</w:t>
      </w:r>
      <w:r>
        <w:rPr>
          <w:rFonts w:hint="default"/>
          <w:color w:val="auto"/>
          <w:sz w:val="28"/>
          <w:szCs w:val="28"/>
          <w:highlight w:val="none"/>
          <w:lang w:val="en-US" w:eastAsia="zh-CN"/>
        </w:rPr>
        <w:t>超出厂区；如该项目危险性较大的设备设施发生火灾、爆炸事故；运输过程中发生物料泄漏、交通事故，对周边群众及工厂的生产生活产生影响</w:t>
      </w:r>
      <w:r>
        <w:rPr>
          <w:rFonts w:hint="eastAsia"/>
          <w:color w:val="auto"/>
          <w:sz w:val="28"/>
          <w:szCs w:val="28"/>
          <w:highlight w:val="none"/>
          <w:lang w:val="en-US" w:eastAsia="zh-CN"/>
        </w:rPr>
        <w:t>较小</w:t>
      </w:r>
      <w:r>
        <w:rPr>
          <w:rFonts w:hint="default"/>
          <w:color w:val="auto"/>
          <w:sz w:val="28"/>
          <w:szCs w:val="28"/>
          <w:highlight w:val="none"/>
          <w:lang w:val="en-US" w:eastAsia="zh-CN"/>
        </w:rPr>
        <w:t>；设计时应重点考虑设备选型、泄漏处理及火灾爆炸事故的安全设施及措施设计，避免事故发生，减少事故的发生的概率及影响范围。</w:t>
      </w:r>
    </w:p>
    <w:p>
      <w:pPr>
        <w:pStyle w:val="4"/>
        <w:spacing w:before="0" w:after="0" w:line="240" w:lineRule="auto"/>
        <w:jc w:val="left"/>
        <w:rPr>
          <w:rFonts w:hint="eastAsia" w:ascii="楷体_GB2312" w:hAnsi="黑体" w:eastAsia="楷体_GB2312"/>
          <w:bCs w:val="0"/>
          <w:color w:val="auto"/>
        </w:rPr>
      </w:pPr>
      <w:bookmarkStart w:id="547" w:name="_Toc91765295"/>
      <w:bookmarkStart w:id="548" w:name="_Toc14989"/>
      <w:bookmarkStart w:id="549" w:name="_Toc29221"/>
      <w:bookmarkStart w:id="550" w:name="_Toc22434"/>
      <w:bookmarkStart w:id="551" w:name="_Toc23926343"/>
      <w:bookmarkStart w:id="552" w:name="_Toc7951"/>
      <w:bookmarkStart w:id="553" w:name="_Toc18552"/>
      <w:bookmarkStart w:id="554" w:name="_Toc398"/>
      <w:r>
        <w:rPr>
          <w:rFonts w:hint="eastAsia" w:ascii="楷体_GB2312" w:hAnsi="黑体" w:eastAsia="楷体_GB2312"/>
          <w:bCs w:val="0"/>
          <w:color w:val="auto"/>
        </w:rPr>
        <w:t>6.3.</w:t>
      </w:r>
      <w:r>
        <w:rPr>
          <w:rFonts w:hint="eastAsia" w:ascii="楷体_GB2312" w:hAnsi="黑体" w:eastAsia="楷体_GB2312"/>
          <w:bCs w:val="0"/>
          <w:color w:val="auto"/>
          <w:lang w:eastAsia="zh-CN"/>
        </w:rPr>
        <w:t>5多米诺效应分析</w:t>
      </w:r>
      <w:bookmarkEnd w:id="547"/>
      <w:bookmarkEnd w:id="548"/>
      <w:bookmarkEnd w:id="549"/>
      <w:bookmarkEnd w:id="550"/>
      <w:bookmarkEnd w:id="551"/>
      <w:bookmarkEnd w:id="552"/>
      <w:bookmarkEnd w:id="553"/>
      <w:bookmarkEnd w:id="554"/>
    </w:p>
    <w:p>
      <w:pPr>
        <w:spacing w:line="600" w:lineRule="exact"/>
        <w:ind w:firstLine="560" w:firstLineChars="200"/>
        <w:rPr>
          <w:rFonts w:hint="eastAsia"/>
          <w:color w:val="auto"/>
          <w:sz w:val="28"/>
          <w:szCs w:val="28"/>
          <w:highlight w:val="yellow"/>
        </w:rPr>
      </w:pPr>
      <w:r>
        <w:rPr>
          <w:rFonts w:hint="eastAsia" w:ascii="宋体" w:hAnsi="宋体"/>
          <w:color w:val="auto"/>
          <w:sz w:val="28"/>
          <w:szCs w:val="28"/>
        </w:rPr>
        <w:t>该项目位于</w:t>
      </w:r>
      <w:r>
        <w:rPr>
          <w:rFonts w:hint="eastAsia" w:ascii="宋体" w:hAnsi="宋体"/>
          <w:color w:val="auto"/>
          <w:sz w:val="28"/>
          <w:szCs w:val="28"/>
          <w:lang w:val="en-US" w:eastAsia="zh-CN"/>
        </w:rPr>
        <w:t>江西旺达新材料有限公司厂区</w:t>
      </w:r>
      <w:r>
        <w:rPr>
          <w:rFonts w:hint="eastAsia" w:ascii="宋体" w:hAnsi="宋体"/>
          <w:color w:val="auto"/>
          <w:sz w:val="28"/>
          <w:szCs w:val="28"/>
        </w:rPr>
        <w:t>内，</w:t>
      </w:r>
      <w:r>
        <w:rPr>
          <w:color w:val="auto"/>
          <w:sz w:val="28"/>
          <w:szCs w:val="28"/>
        </w:rPr>
        <w:t>涉及较多易燃、易爆物品</w:t>
      </w:r>
      <w:r>
        <w:rPr>
          <w:rFonts w:hint="eastAsia"/>
          <w:color w:val="auto"/>
          <w:sz w:val="28"/>
          <w:szCs w:val="28"/>
        </w:rPr>
        <w:t>装置、</w:t>
      </w:r>
      <w:r>
        <w:rPr>
          <w:color w:val="auto"/>
          <w:sz w:val="28"/>
          <w:szCs w:val="28"/>
        </w:rPr>
        <w:t>储罐，易发生火灾、爆炸</w:t>
      </w:r>
      <w:r>
        <w:rPr>
          <w:rFonts w:hint="eastAsia"/>
          <w:color w:val="auto"/>
          <w:sz w:val="28"/>
          <w:szCs w:val="28"/>
        </w:rPr>
        <w:t>、物理爆炸</w:t>
      </w:r>
      <w:r>
        <w:rPr>
          <w:color w:val="auto"/>
          <w:sz w:val="28"/>
          <w:szCs w:val="28"/>
        </w:rPr>
        <w:t>等事故</w:t>
      </w:r>
      <w:r>
        <w:rPr>
          <w:rFonts w:hint="eastAsia"/>
          <w:color w:val="auto"/>
          <w:sz w:val="28"/>
          <w:szCs w:val="28"/>
        </w:rPr>
        <w:t>；</w:t>
      </w:r>
      <w:r>
        <w:rPr>
          <w:color w:val="auto"/>
          <w:sz w:val="28"/>
          <w:szCs w:val="28"/>
        </w:rPr>
        <w:t>相邻企业</w:t>
      </w:r>
      <w:r>
        <w:rPr>
          <w:rFonts w:hint="eastAsia"/>
          <w:color w:val="auto"/>
          <w:sz w:val="28"/>
          <w:szCs w:val="28"/>
        </w:rPr>
        <w:t>多为</w:t>
      </w:r>
      <w:r>
        <w:rPr>
          <w:rFonts w:hint="eastAsia"/>
          <w:color w:val="auto"/>
          <w:sz w:val="28"/>
          <w:szCs w:val="28"/>
          <w:lang w:val="en-US" w:eastAsia="zh-CN"/>
        </w:rPr>
        <w:t>工贸</w:t>
      </w:r>
      <w:r>
        <w:rPr>
          <w:color w:val="auto"/>
          <w:sz w:val="28"/>
          <w:szCs w:val="28"/>
        </w:rPr>
        <w:t>企业</w:t>
      </w:r>
      <w:r>
        <w:rPr>
          <w:rFonts w:hint="eastAsia"/>
          <w:color w:val="auto"/>
          <w:sz w:val="28"/>
          <w:szCs w:val="28"/>
        </w:rPr>
        <w:t>；</w:t>
      </w:r>
    </w:p>
    <w:p>
      <w:pPr>
        <w:spacing w:line="600" w:lineRule="exact"/>
        <w:ind w:firstLine="560" w:firstLineChars="200"/>
        <w:rPr>
          <w:rFonts w:hint="eastAsia" w:ascii="宋体" w:hAnsi="宋体" w:cs="SimSun-Identity-H"/>
          <w:color w:val="auto"/>
          <w:kern w:val="0"/>
          <w:szCs w:val="28"/>
        </w:rPr>
      </w:pPr>
      <w:r>
        <w:rPr>
          <w:rFonts w:hint="eastAsia" w:ascii="宋体" w:hAnsi="宋体"/>
          <w:color w:val="auto"/>
          <w:szCs w:val="28"/>
        </w:rPr>
        <w:t>本次评价主要对该项目内可能发生重大的事故</w:t>
      </w:r>
      <w:r>
        <w:rPr>
          <w:color w:val="auto"/>
        </w:rPr>
        <w:t>采用国家安全生产总局所属安</w:t>
      </w:r>
      <w:r>
        <w:rPr>
          <w:rFonts w:ascii="宋体" w:hAnsi="宋体"/>
          <w:color w:val="auto"/>
        </w:rPr>
        <w:t>科院开发的计算软件，并以此为基础开展</w:t>
      </w:r>
      <w:r>
        <w:rPr>
          <w:rFonts w:hint="eastAsia" w:ascii="宋体" w:hAnsi="宋体"/>
          <w:color w:val="auto"/>
          <w:szCs w:val="28"/>
        </w:rPr>
        <w:t>进行</w:t>
      </w:r>
      <w:r>
        <w:rPr>
          <w:rFonts w:hint="eastAsia" w:ascii="宋体" w:hAnsi="宋体" w:cs="SimSun-Identity-H"/>
          <w:color w:val="auto"/>
          <w:kern w:val="0"/>
          <w:szCs w:val="28"/>
        </w:rPr>
        <w:t>模拟计算各种事故情景下的</w:t>
      </w:r>
      <w:r>
        <w:rPr>
          <w:color w:val="auto"/>
          <w:szCs w:val="28"/>
        </w:rPr>
        <w:t>多米诺效应</w:t>
      </w:r>
      <w:r>
        <w:rPr>
          <w:rFonts w:hint="eastAsia" w:ascii="宋体" w:hAnsi="宋体" w:cs="SimSun-Identity-H"/>
          <w:color w:val="auto"/>
          <w:kern w:val="0"/>
          <w:szCs w:val="28"/>
        </w:rPr>
        <w:t>影响范围，计算结果</w:t>
      </w:r>
      <w:r>
        <w:rPr>
          <w:rFonts w:hint="eastAsia" w:ascii="宋体" w:hAnsi="宋体" w:cs="SimSun-Identity-H"/>
          <w:color w:val="auto"/>
          <w:kern w:val="0"/>
          <w:szCs w:val="28"/>
          <w:lang w:eastAsia="zh-CN"/>
        </w:rPr>
        <w:t>：</w:t>
      </w:r>
      <w:r>
        <w:rPr>
          <w:rFonts w:hint="eastAsia" w:ascii="宋体" w:hAnsi="宋体" w:cs="SimSun-Identity-H"/>
          <w:color w:val="auto"/>
          <w:kern w:val="0"/>
          <w:szCs w:val="28"/>
          <w:lang w:val="en-US" w:eastAsia="zh-CN"/>
        </w:rPr>
        <w:t>未出现多米诺效应效应或可忽略不计</w:t>
      </w:r>
      <w:r>
        <w:rPr>
          <w:rFonts w:hint="eastAsia" w:ascii="宋体" w:hAnsi="宋体" w:cs="SimSun-Identity-H"/>
          <w:color w:val="auto"/>
          <w:kern w:val="0"/>
          <w:szCs w:val="28"/>
        </w:rPr>
        <w:t>。</w:t>
      </w:r>
    </w:p>
    <w:p>
      <w:pPr>
        <w:rPr>
          <w:rFonts w:hint="eastAsia"/>
          <w:color w:val="auto"/>
          <w:lang w:val="en-US" w:eastAsia="zh-CN"/>
        </w:rPr>
      </w:pPr>
      <w:bookmarkStart w:id="555" w:name="_Toc4730"/>
      <w:bookmarkStart w:id="556" w:name="_Toc17406"/>
      <w:bookmarkStart w:id="557" w:name="_Toc15456"/>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pStyle w:val="2"/>
        <w:rPr>
          <w:rFonts w:hint="eastAsia" w:ascii="黑体" w:eastAsia="黑体"/>
          <w:color w:val="auto"/>
          <w:sz w:val="32"/>
          <w:szCs w:val="32"/>
        </w:rPr>
      </w:pPr>
      <w:bookmarkStart w:id="558" w:name="_Toc30570"/>
      <w:bookmarkStart w:id="559" w:name="_Toc27789"/>
      <w:bookmarkStart w:id="560" w:name="_Toc16563"/>
      <w:r>
        <w:rPr>
          <w:rFonts w:hint="eastAsia" w:ascii="黑体" w:eastAsia="黑体"/>
          <w:color w:val="auto"/>
          <w:sz w:val="32"/>
          <w:szCs w:val="32"/>
          <w:lang w:val="en-US" w:eastAsia="zh-CN"/>
        </w:rPr>
        <w:t>7</w:t>
      </w:r>
      <w:r>
        <w:rPr>
          <w:rFonts w:hint="eastAsia" w:ascii="黑体" w:eastAsia="黑体"/>
          <w:color w:val="auto"/>
          <w:sz w:val="32"/>
          <w:szCs w:val="32"/>
        </w:rPr>
        <w:t>建设项目安全生产、安全条件的分析结果</w:t>
      </w:r>
      <w:bookmarkEnd w:id="555"/>
      <w:bookmarkEnd w:id="556"/>
      <w:bookmarkEnd w:id="557"/>
      <w:bookmarkEnd w:id="558"/>
      <w:bookmarkEnd w:id="559"/>
      <w:bookmarkEnd w:id="560"/>
    </w:p>
    <w:p>
      <w:pPr>
        <w:pStyle w:val="3"/>
        <w:rPr>
          <w:rFonts w:hint="default"/>
          <w:color w:val="auto"/>
          <w:lang w:val="en-US" w:eastAsia="zh-CN"/>
        </w:rPr>
      </w:pPr>
      <w:bookmarkStart w:id="561" w:name="_Toc4833"/>
      <w:bookmarkStart w:id="562" w:name="_Toc17876"/>
      <w:bookmarkStart w:id="563" w:name="_Toc21560"/>
      <w:bookmarkStart w:id="564" w:name="_Toc3152"/>
      <w:bookmarkStart w:id="565" w:name="_Toc1141"/>
      <w:bookmarkStart w:id="566" w:name="_Toc12233"/>
      <w:r>
        <w:rPr>
          <w:rFonts w:hint="default"/>
          <w:color w:val="auto"/>
          <w:lang w:val="en-US" w:eastAsia="zh-CN"/>
        </w:rPr>
        <w:t>7.1 个人风险和社会风险计算结果</w:t>
      </w:r>
      <w:bookmarkEnd w:id="561"/>
      <w:bookmarkEnd w:id="562"/>
      <w:bookmarkEnd w:id="563"/>
      <w:bookmarkEnd w:id="564"/>
      <w:bookmarkEnd w:id="565"/>
      <w:bookmarkEnd w:id="566"/>
    </w:p>
    <w:p>
      <w:pPr>
        <w:pStyle w:val="4"/>
        <w:rPr>
          <w:rFonts w:hint="default"/>
          <w:color w:val="auto"/>
          <w:lang w:val="en-US" w:eastAsia="zh-CN"/>
        </w:rPr>
      </w:pPr>
      <w:bookmarkStart w:id="567" w:name="_Toc23571"/>
      <w:bookmarkStart w:id="568" w:name="_Toc17134"/>
      <w:bookmarkStart w:id="569" w:name="_Toc31778"/>
      <w:bookmarkStart w:id="570" w:name="_Toc24559"/>
      <w:bookmarkStart w:id="571" w:name="_Toc11084"/>
      <w:bookmarkStart w:id="572" w:name="_Toc16721"/>
      <w:r>
        <w:rPr>
          <w:rFonts w:hint="default"/>
          <w:color w:val="auto"/>
          <w:lang w:val="en-US" w:eastAsia="zh-CN"/>
        </w:rPr>
        <w:t>7.1.1 个人风险和社会风险</w:t>
      </w:r>
      <w:bookmarkEnd w:id="567"/>
      <w:bookmarkEnd w:id="568"/>
      <w:bookmarkEnd w:id="569"/>
      <w:bookmarkEnd w:id="570"/>
      <w:bookmarkEnd w:id="571"/>
      <w:bookmarkEnd w:id="572"/>
    </w:p>
    <w:p>
      <w:pPr>
        <w:ind w:firstLine="562" w:firstLineChars="200"/>
        <w:rPr>
          <w:rFonts w:hint="default"/>
          <w:b/>
          <w:bCs/>
          <w:color w:val="auto"/>
          <w:sz w:val="28"/>
          <w:szCs w:val="24"/>
          <w:lang w:val="en-US" w:eastAsia="zh-CN"/>
        </w:rPr>
      </w:pPr>
      <w:r>
        <w:rPr>
          <w:rFonts w:hint="default"/>
          <w:b/>
          <w:bCs/>
          <w:color w:val="auto"/>
          <w:sz w:val="28"/>
          <w:szCs w:val="24"/>
          <w:lang w:val="en-US" w:eastAsia="zh-CN"/>
        </w:rPr>
        <w:t>1.个人风险</w:t>
      </w:r>
    </w:p>
    <w:p>
      <w:pPr>
        <w:ind w:firstLine="560" w:firstLineChars="200"/>
        <w:rPr>
          <w:rFonts w:hint="default"/>
          <w:color w:val="auto"/>
          <w:sz w:val="28"/>
          <w:szCs w:val="24"/>
          <w:lang w:val="en-US" w:eastAsia="zh-CN"/>
        </w:rPr>
      </w:pPr>
      <w:r>
        <w:rPr>
          <w:rFonts w:hint="default"/>
          <w:color w:val="auto"/>
          <w:sz w:val="28"/>
          <w:szCs w:val="24"/>
          <w:lang w:val="en-US" w:eastAsia="zh-CN"/>
        </w:rPr>
        <w:t>基于危险源信息，利用中国安全生产科学院出版的《CASSTQRA 重大</w:t>
      </w:r>
    </w:p>
    <w:p>
      <w:pPr>
        <w:rPr>
          <w:rFonts w:hint="default"/>
          <w:color w:val="auto"/>
          <w:sz w:val="28"/>
          <w:szCs w:val="24"/>
          <w:lang w:val="en-US" w:eastAsia="zh-CN"/>
        </w:rPr>
      </w:pPr>
      <w:r>
        <w:rPr>
          <w:rFonts w:hint="default"/>
          <w:color w:val="auto"/>
          <w:sz w:val="28"/>
          <w:szCs w:val="24"/>
          <w:lang w:val="en-US" w:eastAsia="zh-CN"/>
        </w:rPr>
        <w:t>危险源区域定量风险评价与管理》软件计算，得出危险化学品泄漏个人风险等值线图（见图 7.1-1）及厂内外社会风险分布图（见图 7.1-2）。</w:t>
      </w:r>
    </w:p>
    <w:p>
      <w:pPr>
        <w:numPr>
          <w:ilvl w:val="0"/>
          <w:numId w:val="6"/>
        </w:numPr>
        <w:spacing w:line="240" w:lineRule="auto"/>
        <w:ind w:firstLine="562" w:firstLineChars="200"/>
        <w:rPr>
          <w:rFonts w:hint="eastAsia"/>
          <w:b/>
          <w:bCs/>
          <w:color w:val="auto"/>
          <w:szCs w:val="24"/>
          <w:lang w:val="en-US" w:eastAsia="zh-CN"/>
        </w:rPr>
      </w:pPr>
      <w:r>
        <w:rPr>
          <w:rFonts w:hint="eastAsia"/>
          <w:b/>
          <w:bCs/>
          <w:color w:val="auto"/>
          <w:sz w:val="28"/>
          <w:szCs w:val="24"/>
          <w:lang w:val="en-US" w:eastAsia="zh-CN"/>
        </w:rPr>
        <w:drawing>
          <wp:anchor distT="0" distB="0" distL="114300" distR="114300" simplePos="0" relativeHeight="251667456" behindDoc="0" locked="0" layoutInCell="1" allowOverlap="1">
            <wp:simplePos x="0" y="0"/>
            <wp:positionH relativeFrom="column">
              <wp:posOffset>217805</wp:posOffset>
            </wp:positionH>
            <wp:positionV relativeFrom="paragraph">
              <wp:posOffset>3183255</wp:posOffset>
            </wp:positionV>
            <wp:extent cx="5525135" cy="2740660"/>
            <wp:effectExtent l="0" t="0" r="18415" b="2540"/>
            <wp:wrapSquare wrapText="bothSides"/>
            <wp:docPr id="2" name="图片 2" descr="个人风险等值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个人风险等值线图"/>
                    <pic:cNvPicPr>
                      <a:picLocks noChangeAspect="1"/>
                    </pic:cNvPicPr>
                  </pic:nvPicPr>
                  <pic:blipFill>
                    <a:blip r:embed="rId21"/>
                    <a:srcRect r="28192" b="34027"/>
                    <a:stretch>
                      <a:fillRect/>
                    </a:stretch>
                  </pic:blipFill>
                  <pic:spPr>
                    <a:xfrm>
                      <a:off x="0" y="0"/>
                      <a:ext cx="5525135" cy="2740660"/>
                    </a:xfrm>
                    <a:prstGeom prst="rect">
                      <a:avLst/>
                    </a:prstGeom>
                  </pic:spPr>
                </pic:pic>
              </a:graphicData>
            </a:graphic>
          </wp:anchor>
        </w:drawing>
      </w:r>
      <w:r>
        <w:rPr>
          <w:rFonts w:hint="eastAsia"/>
          <w:b/>
          <w:bCs/>
          <w:color w:val="auto"/>
          <w:sz w:val="28"/>
          <w:szCs w:val="24"/>
          <w:lang w:val="en-US" w:eastAsia="zh-CN"/>
        </w:rPr>
        <w:drawing>
          <wp:anchor distT="0" distB="0" distL="114300" distR="114300" simplePos="0" relativeHeight="251666432" behindDoc="0" locked="0" layoutInCell="1" allowOverlap="1">
            <wp:simplePos x="0" y="0"/>
            <wp:positionH relativeFrom="column">
              <wp:posOffset>231140</wp:posOffset>
            </wp:positionH>
            <wp:positionV relativeFrom="paragraph">
              <wp:posOffset>401320</wp:posOffset>
            </wp:positionV>
            <wp:extent cx="5524500" cy="2726055"/>
            <wp:effectExtent l="0" t="0" r="0" b="17145"/>
            <wp:wrapSquare wrapText="bothSides"/>
            <wp:docPr id="3" name="图片 3" descr="E9E7YBW35~I$39XNX_OYV8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9E7YBW35~I$39XNX_OYV8P"/>
                    <pic:cNvPicPr>
                      <a:picLocks noChangeAspect="1"/>
                    </pic:cNvPicPr>
                  </pic:nvPicPr>
                  <pic:blipFill>
                    <a:blip r:embed="rId22"/>
                    <a:srcRect r="29111" b="34203"/>
                    <a:stretch>
                      <a:fillRect/>
                    </a:stretch>
                  </pic:blipFill>
                  <pic:spPr>
                    <a:xfrm>
                      <a:off x="0" y="0"/>
                      <a:ext cx="5524500" cy="2726055"/>
                    </a:xfrm>
                    <a:prstGeom prst="rect">
                      <a:avLst/>
                    </a:prstGeom>
                  </pic:spPr>
                </pic:pic>
              </a:graphicData>
            </a:graphic>
          </wp:anchor>
        </w:drawing>
      </w:r>
      <w:r>
        <w:rPr>
          <w:rFonts w:hint="eastAsia"/>
          <w:b/>
          <w:bCs/>
          <w:color w:val="auto"/>
          <w:szCs w:val="24"/>
          <w:lang w:val="en-US" w:eastAsia="zh-CN"/>
        </w:rPr>
        <w:t>个人风险等值线图</w:t>
      </w:r>
    </w:p>
    <w:p>
      <w:pPr>
        <w:pStyle w:val="15"/>
        <w:numPr>
          <w:ilvl w:val="-1"/>
          <w:numId w:val="0"/>
        </w:numPr>
        <w:ind w:firstLine="480" w:firstLineChars="200"/>
        <w:rPr>
          <w:rFonts w:hint="default"/>
          <w:color w:val="auto"/>
          <w:lang w:val="en-US" w:eastAsia="zh-CN"/>
        </w:rPr>
      </w:pPr>
      <w:r>
        <w:rPr>
          <w:rFonts w:hint="eastAsia"/>
          <w:color w:val="auto"/>
          <w:lang w:val="en-US" w:eastAsia="zh-CN"/>
        </w:rPr>
        <w:t>图7.1-1个人风险等值线图</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从图中可以看出，该项目个人风险等值线包括区域内无高敏感防护目标、重要防护目标、一般防护目标。</w:t>
      </w:r>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（2）社会风险曲线（F-N 曲线）</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根据计算结果，社会风险曲线（F-N 曲线）见下图。</w:t>
      </w:r>
    </w:p>
    <w:p>
      <w:pPr>
        <w:pStyle w:val="15"/>
        <w:rPr>
          <w:rFonts w:hint="eastAsia"/>
          <w:color w:val="auto"/>
          <w:lang w:val="en-US" w:eastAsia="zh-CN"/>
        </w:rPr>
      </w:pPr>
      <w:r>
        <w:rPr>
          <w:rFonts w:hint="eastAsia"/>
          <w:b w:val="0"/>
          <w:bCs w:val="0"/>
          <w:color w:val="auto"/>
          <w:sz w:val="28"/>
          <w:szCs w:val="24"/>
          <w:lang w:val="en-US" w:eastAsia="zh-CN"/>
        </w:rPr>
        <w:drawing>
          <wp:anchor distT="0" distB="0" distL="114300" distR="114300" simplePos="0" relativeHeight="251669504" behindDoc="0" locked="0" layoutInCell="1" allowOverlap="1">
            <wp:simplePos x="0" y="0"/>
            <wp:positionH relativeFrom="column">
              <wp:posOffset>38100</wp:posOffset>
            </wp:positionH>
            <wp:positionV relativeFrom="paragraph">
              <wp:posOffset>22860</wp:posOffset>
            </wp:positionV>
            <wp:extent cx="5829300" cy="3536950"/>
            <wp:effectExtent l="0" t="0" r="0" b="6350"/>
            <wp:wrapSquare wrapText="bothSides"/>
            <wp:docPr id="28" name="图片 28" descr="社会风险曲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社会风险曲线图"/>
                    <pic:cNvPicPr>
                      <a:picLocks noChangeAspect="1"/>
                    </pic:cNvPicPr>
                  </pic:nvPicPr>
                  <pic:blipFill>
                    <a:blip r:embed="rId23"/>
                    <a:stretch>
                      <a:fillRect/>
                    </a:stretch>
                  </pic:blipFill>
                  <pic:spPr>
                    <a:xfrm>
                      <a:off x="0" y="0"/>
                      <a:ext cx="5829300" cy="3536950"/>
                    </a:xfrm>
                    <a:prstGeom prst="rect">
                      <a:avLst/>
                    </a:prstGeom>
                  </pic:spPr>
                </pic:pic>
              </a:graphicData>
            </a:graphic>
          </wp:anchor>
        </w:drawing>
      </w:r>
      <w:r>
        <w:rPr>
          <w:rFonts w:hint="eastAsia"/>
          <w:color w:val="auto"/>
          <w:lang w:val="en-US" w:eastAsia="zh-CN"/>
        </w:rPr>
        <w:t>图 7.1-2 该项目社会风险曲线图</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从图中可以看出，该项目没有社会风险。</w:t>
      </w:r>
    </w:p>
    <w:p>
      <w:pPr>
        <w:pStyle w:val="4"/>
        <w:rPr>
          <w:rFonts w:hint="eastAsia"/>
          <w:color w:val="auto"/>
          <w:lang w:val="en-US" w:eastAsia="zh-CN"/>
        </w:rPr>
      </w:pPr>
      <w:bookmarkStart w:id="573" w:name="_Toc7005"/>
      <w:bookmarkStart w:id="574" w:name="_Toc1952"/>
      <w:bookmarkStart w:id="575" w:name="_Toc16730"/>
      <w:bookmarkStart w:id="576" w:name="_Toc3910"/>
      <w:bookmarkStart w:id="577" w:name="_Toc9864"/>
      <w:bookmarkStart w:id="578" w:name="_Toc32758"/>
      <w:r>
        <w:rPr>
          <w:rFonts w:hint="eastAsia"/>
          <w:color w:val="auto"/>
          <w:lang w:val="en-US" w:eastAsia="zh-CN"/>
        </w:rPr>
        <w:t>7.1.2 外部安全防护距离</w:t>
      </w:r>
      <w:bookmarkEnd w:id="573"/>
      <w:bookmarkEnd w:id="574"/>
      <w:bookmarkEnd w:id="575"/>
      <w:bookmarkEnd w:id="576"/>
      <w:bookmarkEnd w:id="577"/>
      <w:bookmarkEnd w:id="578"/>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根据《危险化学品生产装置和储存设施外部安全防护距离确定方法》（GB/T37243-2018）的要求，危险化学品生产、储存装置的需确定外部安全防护距离。根据《危险化学品生产装置和储存设施外部安全防护距离确定方法》《危险化学品生产装置和储存设施风险基准》的要求，经计算该项目个人风险，该项目外部安全防护距离见下表。</w:t>
      </w:r>
    </w:p>
    <w:p>
      <w:pPr>
        <w:pStyle w:val="53"/>
        <w:rPr>
          <w:rFonts w:hint="eastAsia"/>
          <w:color w:val="auto"/>
        </w:rPr>
      </w:pPr>
    </w:p>
    <w:p>
      <w:pPr>
        <w:pStyle w:val="53"/>
        <w:rPr>
          <w:color w:val="auto"/>
        </w:rPr>
      </w:pPr>
      <w:r>
        <w:rPr>
          <w:rFonts w:hint="eastAsia"/>
          <w:color w:val="auto"/>
        </w:rPr>
        <w:t>表</w:t>
      </w:r>
      <w:r>
        <w:rPr>
          <w:color w:val="auto"/>
        </w:rPr>
        <w:t xml:space="preserve">7.1-1  </w:t>
      </w:r>
      <w:r>
        <w:rPr>
          <w:rFonts w:hint="eastAsia"/>
          <w:color w:val="auto"/>
        </w:rPr>
        <w:t>外部安全防护距离一览表</w:t>
      </w:r>
    </w:p>
    <w:tbl>
      <w:tblPr>
        <w:tblStyle w:val="42"/>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2"/>
        <w:gridCol w:w="1842"/>
        <w:gridCol w:w="1008"/>
        <w:gridCol w:w="1050"/>
        <w:gridCol w:w="1007"/>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rFonts w:hint="eastAsia"/>
                <w:color w:val="auto"/>
              </w:rPr>
              <w:t>防护目标</w:t>
            </w:r>
          </w:p>
        </w:tc>
        <w:tc>
          <w:tcPr>
            <w:tcW w:w="1842" w:type="dxa"/>
            <w:tcBorders>
              <w:top w:val="single" w:color="auto" w:sz="4" w:space="0"/>
              <w:left w:val="single" w:color="auto" w:sz="4" w:space="0"/>
              <w:right w:val="single" w:color="auto" w:sz="4" w:space="0"/>
            </w:tcBorders>
            <w:vAlign w:val="center"/>
          </w:tcPr>
          <w:p>
            <w:pPr>
              <w:pStyle w:val="59"/>
              <w:jc w:val="center"/>
              <w:rPr>
                <w:color w:val="auto"/>
              </w:rPr>
            </w:pPr>
            <w:r>
              <w:rPr>
                <w:rFonts w:hint="eastAsia"/>
                <w:color w:val="auto"/>
              </w:rPr>
              <w:t>个人风险基准（次</w:t>
            </w:r>
            <w:r>
              <w:rPr>
                <w:color w:val="auto"/>
              </w:rPr>
              <w:t>/</w:t>
            </w:r>
            <w:r>
              <w:rPr>
                <w:rFonts w:hint="eastAsia"/>
                <w:color w:val="auto"/>
              </w:rPr>
              <w:t>年）≤</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东</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南</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西</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高敏感防护目标</w:t>
            </w:r>
          </w:p>
          <w:p>
            <w:pPr>
              <w:pStyle w:val="59"/>
              <w:rPr>
                <w:color w:val="auto"/>
              </w:rPr>
            </w:pPr>
            <w:r>
              <w:rPr>
                <w:rFonts w:hint="eastAsia"/>
                <w:color w:val="auto"/>
              </w:rPr>
              <w:t>重要防护目标</w:t>
            </w:r>
          </w:p>
          <w:p>
            <w:pPr>
              <w:pStyle w:val="59"/>
              <w:rPr>
                <w:color w:val="auto"/>
              </w:rPr>
            </w:pPr>
            <w:r>
              <w:rPr>
                <w:rFonts w:hint="eastAsia"/>
                <w:color w:val="auto"/>
              </w:rPr>
              <w:t>一般防护目标中的一类防护目标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3</w:t>
            </w:r>
            <w:r>
              <w:rPr>
                <w:rFonts w:hint="eastAsia"/>
                <w:color w:val="auto"/>
              </w:rPr>
              <w:t>×</w:t>
            </w:r>
            <w:r>
              <w:rPr>
                <w:color w:val="auto"/>
              </w:rPr>
              <w:t>10-7</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val="en-US" w:eastAsia="zh-CN"/>
              </w:rPr>
            </w:pPr>
            <w:r>
              <w:rPr>
                <w:rFonts w:hint="eastAsia"/>
                <w:color w:val="auto"/>
                <w:lang w:val="en-US" w:eastAsia="zh-CN"/>
              </w:rPr>
              <w:t>/</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一般防护目标中的二类防护目标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3</w:t>
            </w:r>
            <w:r>
              <w:rPr>
                <w:rFonts w:hint="eastAsia"/>
                <w:color w:val="auto"/>
              </w:rPr>
              <w:t>×</w:t>
            </w:r>
            <w:r>
              <w:rPr>
                <w:color w:val="auto"/>
              </w:rPr>
              <w:t>10-6</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25m</w:t>
            </w:r>
          </w:p>
          <w:p>
            <w:pPr>
              <w:pStyle w:val="59"/>
              <w:jc w:val="center"/>
              <w:rPr>
                <w:color w:val="auto"/>
              </w:rPr>
            </w:pPr>
            <w:r>
              <w:rPr>
                <w:rFonts w:hint="eastAsia"/>
                <w:color w:val="auto"/>
                <w:lang w:val="en-US" w:eastAsia="zh-CN"/>
              </w:rPr>
              <w:t>厂区内</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20m</w:t>
            </w:r>
          </w:p>
          <w:p>
            <w:pPr>
              <w:pStyle w:val="59"/>
              <w:jc w:val="center"/>
              <w:rPr>
                <w:rFonts w:hint="default" w:eastAsia="宋体"/>
                <w:color w:val="auto"/>
                <w:lang w:val="en-US" w:eastAsia="zh-CN"/>
              </w:rPr>
            </w:pPr>
            <w:r>
              <w:rPr>
                <w:rFonts w:hint="eastAsia"/>
                <w:color w:val="auto"/>
                <w:lang w:val="en-US" w:eastAsia="zh-CN"/>
              </w:rPr>
              <w:t>厂区内</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25m</w:t>
            </w:r>
          </w:p>
          <w:p>
            <w:pPr>
              <w:pStyle w:val="59"/>
              <w:jc w:val="center"/>
              <w:rPr>
                <w:color w:val="auto"/>
              </w:rPr>
            </w:pPr>
            <w:r>
              <w:rPr>
                <w:rFonts w:hint="eastAsia"/>
                <w:color w:val="auto"/>
              </w:rPr>
              <w:t>厂区内</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20m</w:t>
            </w:r>
          </w:p>
          <w:p>
            <w:pPr>
              <w:pStyle w:val="59"/>
              <w:jc w:val="center"/>
              <w:rPr>
                <w:color w:val="auto"/>
              </w:rPr>
            </w:pPr>
            <w:r>
              <w:rPr>
                <w:rFonts w:hint="eastAsia"/>
                <w:color w:val="auto"/>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一般防护目标中的三类防护目标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1</w:t>
            </w:r>
            <w:r>
              <w:rPr>
                <w:rFonts w:hint="eastAsia"/>
                <w:color w:val="auto"/>
              </w:rPr>
              <w:t>×</w:t>
            </w:r>
            <w:r>
              <w:rPr>
                <w:color w:val="auto"/>
              </w:rPr>
              <w:t>10-5</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15m</w:t>
            </w:r>
          </w:p>
          <w:p>
            <w:pPr>
              <w:pStyle w:val="59"/>
              <w:jc w:val="center"/>
              <w:rPr>
                <w:rFonts w:hint="default" w:eastAsia="宋体"/>
                <w:color w:val="auto"/>
                <w:lang w:val="en-US" w:eastAsia="zh-CN"/>
              </w:rPr>
            </w:pPr>
            <w:r>
              <w:rPr>
                <w:rFonts w:hint="eastAsia"/>
                <w:color w:val="auto"/>
                <w:lang w:val="en-US" w:eastAsia="zh-CN"/>
              </w:rPr>
              <w:t>厂区内</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12m</w:t>
            </w:r>
          </w:p>
          <w:p>
            <w:pPr>
              <w:pStyle w:val="59"/>
              <w:jc w:val="center"/>
              <w:rPr>
                <w:rFonts w:hint="default"/>
                <w:color w:val="auto"/>
                <w:lang w:val="en-US" w:eastAsia="zh-CN"/>
              </w:rPr>
            </w:pPr>
            <w:r>
              <w:rPr>
                <w:rFonts w:hint="eastAsia"/>
                <w:color w:val="auto"/>
                <w:lang w:val="en-US" w:eastAsia="zh-CN"/>
              </w:rPr>
              <w:t>厂区内</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15m</w:t>
            </w:r>
          </w:p>
          <w:p>
            <w:pPr>
              <w:pStyle w:val="59"/>
              <w:jc w:val="center"/>
              <w:rPr>
                <w:color w:val="auto"/>
              </w:rPr>
            </w:pPr>
            <w:r>
              <w:rPr>
                <w:rFonts w:hint="eastAsia"/>
                <w:color w:val="auto"/>
              </w:rPr>
              <w:t>厂区内</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15m</w:t>
            </w:r>
          </w:p>
          <w:p>
            <w:pPr>
              <w:pStyle w:val="59"/>
              <w:jc w:val="center"/>
              <w:rPr>
                <w:color w:val="auto"/>
              </w:rPr>
            </w:pPr>
            <w:r>
              <w:rPr>
                <w:rFonts w:hint="eastAsia"/>
                <w:color w:val="auto"/>
              </w:rPr>
              <w:t>厂区内</w:t>
            </w:r>
          </w:p>
        </w:tc>
      </w:tr>
    </w:tbl>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结合该公司总平面和周边情况可以看出，该项目外部安全防护距离内无相应的高敏感防护目标、重要防护目标及一般防护目标。</w:t>
      </w:r>
    </w:p>
    <w:p>
      <w:pPr>
        <w:pStyle w:val="4"/>
        <w:rPr>
          <w:rFonts w:hint="eastAsia"/>
          <w:color w:val="auto"/>
          <w:lang w:val="en-US" w:eastAsia="zh-CN"/>
        </w:rPr>
      </w:pPr>
      <w:bookmarkStart w:id="579" w:name="_Toc14099"/>
      <w:bookmarkStart w:id="580" w:name="_Toc6301"/>
      <w:bookmarkStart w:id="581" w:name="_Toc6661"/>
      <w:bookmarkStart w:id="582" w:name="_Toc12722"/>
      <w:bookmarkStart w:id="583" w:name="_Toc251"/>
      <w:bookmarkStart w:id="584" w:name="_Toc9021"/>
      <w:r>
        <w:rPr>
          <w:rFonts w:hint="default"/>
          <w:b/>
          <w:bCs/>
          <w:color w:val="auto"/>
          <w:sz w:val="28"/>
          <w:szCs w:val="32"/>
          <w:lang w:val="en-US" w:eastAsia="zh-CN"/>
        </w:rPr>
        <w:t>7.1.3 项目爆炸、火灾、中毒范围内周边单位24小时内生产经营活动</w:t>
      </w:r>
      <w:r>
        <w:rPr>
          <w:rFonts w:hint="eastAsia"/>
          <w:color w:val="auto"/>
          <w:lang w:val="en-US" w:eastAsia="zh-CN"/>
        </w:rPr>
        <w:t>及居民生活情况</w:t>
      </w:r>
      <w:bookmarkEnd w:id="579"/>
      <w:bookmarkEnd w:id="580"/>
      <w:bookmarkEnd w:id="581"/>
      <w:bookmarkEnd w:id="582"/>
      <w:bookmarkEnd w:id="583"/>
      <w:bookmarkEnd w:id="584"/>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依据本报告6.3.4事故后果模拟分析及企业周边情况，该项目</w:t>
      </w:r>
      <w:r>
        <w:rPr>
          <w:rFonts w:hint="eastAsia"/>
          <w:b w:val="0"/>
          <w:bCs w:val="0"/>
          <w:color w:val="auto"/>
          <w:sz w:val="28"/>
          <w:szCs w:val="24"/>
          <w:highlight w:val="none"/>
          <w:lang w:val="en-US" w:eastAsia="zh-CN"/>
        </w:rPr>
        <w:t>甲基丙烯酸甲酯储罐</w:t>
      </w:r>
      <w:r>
        <w:rPr>
          <w:rFonts w:hint="eastAsia"/>
          <w:b w:val="0"/>
          <w:bCs w:val="0"/>
          <w:color w:val="auto"/>
          <w:sz w:val="28"/>
          <w:szCs w:val="24"/>
          <w:lang w:val="en-US" w:eastAsia="zh-CN"/>
        </w:rPr>
        <w:t>等容器整体破裂、管道完全破裂泄露模式下池火事故的影响范围未超出厂界；该项目与最近居民点距离，均大于模拟计算的伤害范围，即该项目装置发生火灾、爆炸等事故时最近居民点不在伤害范围内。</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该项目应按照本报告的建议设置事故安全泄放设施及DCS控制系统，设备均需有资质厂家设计制造安装。项目建成后仍需加强管理，预防事故发生。</w:t>
      </w:r>
    </w:p>
    <w:p>
      <w:pPr>
        <w:pStyle w:val="4"/>
        <w:rPr>
          <w:rFonts w:hint="eastAsia"/>
          <w:color w:val="auto"/>
          <w:lang w:val="en-US" w:eastAsia="zh-CN"/>
        </w:rPr>
      </w:pPr>
      <w:bookmarkStart w:id="585" w:name="_Toc10099"/>
      <w:bookmarkStart w:id="586" w:name="_Toc25008"/>
      <w:bookmarkStart w:id="587" w:name="_Toc7562"/>
      <w:bookmarkStart w:id="588" w:name="_Toc14148"/>
      <w:bookmarkStart w:id="589" w:name="_Toc4232"/>
      <w:bookmarkStart w:id="590" w:name="_Toc19095"/>
      <w:r>
        <w:rPr>
          <w:rFonts w:hint="eastAsia"/>
          <w:color w:val="auto"/>
          <w:lang w:val="en-US" w:eastAsia="zh-CN"/>
        </w:rPr>
        <w:t>7.1.4与“八类场所”的距离情况</w:t>
      </w:r>
      <w:bookmarkEnd w:id="585"/>
      <w:bookmarkEnd w:id="586"/>
      <w:bookmarkEnd w:id="587"/>
      <w:bookmarkEnd w:id="588"/>
      <w:bookmarkEnd w:id="589"/>
      <w:bookmarkEnd w:id="590"/>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根据《危险化学品重大危险源辨识》对该项目中重大危险源进行辨识。</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经过辨识，该项目不构成危险化学品重大危险源。重大危险源与“八类场所”的距离情况见下表。</w:t>
      </w:r>
    </w:p>
    <w:p>
      <w:pPr>
        <w:pStyle w:val="53"/>
        <w:rPr>
          <w:rFonts w:hint="eastAsia"/>
          <w:color w:val="auto"/>
          <w:lang w:val="en-US" w:eastAsia="zh-CN"/>
        </w:rPr>
      </w:pPr>
      <w:r>
        <w:rPr>
          <w:rFonts w:hint="eastAsia"/>
          <w:color w:val="auto"/>
          <w:lang w:val="en-US" w:eastAsia="zh-CN"/>
        </w:rPr>
        <w:t>表 7.1-2 项目装置与八类场所一览表</w:t>
      </w:r>
    </w:p>
    <w:tbl>
      <w:tblPr>
        <w:tblStyle w:val="42"/>
        <w:tblW w:w="95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3894"/>
        <w:gridCol w:w="4225"/>
        <w:gridCol w:w="8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相关场所</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实际距离</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评价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居民区、商业中心、公园等人口密集区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域</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外部安全防护距离及防火间距范围内无居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民区、商业中心、公园等人口密集区域。</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学校、医院、影剧院、体育场（馆）等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公共设施</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外部安全防护距离内无学校、医院、影剧院、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体育场（馆）等公共设施。</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供水水源、水厂及水源保护区</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外部安全防护距离内无供水水源、水厂及水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源保护区。</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车站、码头（按照国家规定，经批准，专门从事危险化学品装卸作业的除外）、机场以及公路、铁路、水路交通干线、地铁风亭及出入口</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外部安全防护距离内无车站、码头、机场以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及公路、铁路、地铁风亭及出入口。</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基本农田保护区、畜牧区、渔业水域和种子、种畜、水产苗种生产基地</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1000m内无基本农田保护区、畜牧区、渔业</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水域和种子、种畜、水产苗种生产基地。</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符合</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24"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3894"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河流、湖泊、风景名胜区和自然保护区</w:t>
            </w:r>
          </w:p>
        </w:tc>
        <w:tc>
          <w:tcPr>
            <w:tcW w:w="4225"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外部安全防护距离内无河流、湖泊、风景名</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胜区和自然保护区。</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符合</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军事禁区、军事管理区</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1000m范围内无军事禁区、军事管理区。</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符合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38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法律、行政法规规定予以保护的其他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区域</w:t>
            </w:r>
          </w:p>
        </w:tc>
        <w:tc>
          <w:tcPr>
            <w:tcW w:w="4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1000m范围内无法律、行政法规规定予以保护的其他区域。</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符合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要求</w:t>
            </w:r>
          </w:p>
        </w:tc>
      </w:tr>
    </w:tbl>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该项目危险化学品设施与“八类场所”的安全间距符合要求。</w:t>
      </w:r>
    </w:p>
    <w:p>
      <w:pPr>
        <w:pStyle w:val="3"/>
        <w:rPr>
          <w:rFonts w:hint="eastAsia"/>
          <w:color w:val="auto"/>
          <w:lang w:val="en-US" w:eastAsia="zh-CN"/>
        </w:rPr>
      </w:pPr>
      <w:bookmarkStart w:id="591" w:name="_Toc23140"/>
      <w:bookmarkStart w:id="592" w:name="_Toc21718"/>
      <w:bookmarkStart w:id="593" w:name="_Toc9607"/>
      <w:bookmarkStart w:id="594" w:name="_Toc5145"/>
      <w:bookmarkStart w:id="595" w:name="_Toc6829"/>
      <w:bookmarkStart w:id="596" w:name="_Toc10789"/>
      <w:r>
        <w:rPr>
          <w:rFonts w:hint="eastAsia"/>
          <w:color w:val="auto"/>
          <w:lang w:val="en-US" w:eastAsia="zh-CN"/>
        </w:rPr>
        <w:t>7.2 建设项目安全条件分析</w:t>
      </w:r>
      <w:bookmarkEnd w:id="591"/>
      <w:bookmarkEnd w:id="592"/>
      <w:bookmarkEnd w:id="593"/>
      <w:bookmarkEnd w:id="594"/>
      <w:bookmarkEnd w:id="595"/>
      <w:bookmarkEnd w:id="596"/>
    </w:p>
    <w:p>
      <w:pPr>
        <w:pStyle w:val="4"/>
        <w:rPr>
          <w:rFonts w:hint="eastAsia"/>
          <w:color w:val="auto"/>
          <w:lang w:val="en-US" w:eastAsia="zh-CN"/>
        </w:rPr>
      </w:pPr>
      <w:bookmarkStart w:id="597" w:name="_Toc7299"/>
      <w:bookmarkStart w:id="598" w:name="_Toc14117"/>
      <w:bookmarkStart w:id="599" w:name="_Toc32280"/>
      <w:bookmarkStart w:id="600" w:name="_Toc4454"/>
      <w:bookmarkStart w:id="601" w:name="_Toc9552"/>
      <w:bookmarkStart w:id="602" w:name="_Toc27302"/>
      <w:r>
        <w:rPr>
          <w:rFonts w:hint="eastAsia"/>
          <w:color w:val="auto"/>
          <w:lang w:val="en-US" w:eastAsia="zh-CN"/>
        </w:rPr>
        <w:t>7.2.1 建设项目与国家产业政策与布局符合性分析</w:t>
      </w:r>
      <w:bookmarkEnd w:id="597"/>
      <w:bookmarkEnd w:id="598"/>
      <w:bookmarkEnd w:id="599"/>
      <w:bookmarkEnd w:id="600"/>
      <w:bookmarkEnd w:id="601"/>
      <w:bookmarkEnd w:id="602"/>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依照《产业结构调整指导目录（2024年本）》</w:t>
      </w:r>
      <w:r>
        <w:rPr>
          <w:rFonts w:hint="eastAsia"/>
          <w:b w:val="0"/>
          <w:bCs w:val="0"/>
          <w:color w:val="auto"/>
          <w:sz w:val="28"/>
          <w:szCs w:val="24"/>
          <w:highlight w:val="none"/>
          <w:lang w:val="en-US" w:eastAsia="zh-CN"/>
        </w:rPr>
        <w:t>（发展和改革委员会令第 7</w:t>
      </w:r>
      <w:r>
        <w:rPr>
          <w:rFonts w:hint="eastAsia"/>
          <w:b w:val="0"/>
          <w:bCs w:val="0"/>
          <w:color w:val="auto"/>
          <w:sz w:val="28"/>
          <w:szCs w:val="24"/>
          <w:lang w:val="en-US" w:eastAsia="zh-CN"/>
        </w:rPr>
        <w:t>号），江西旺达新材料有限公司年产20000吨有机玻璃原料生产项目不属于“限制类”和“淘汰类”。因此，该项目的建设符合国家产业政策。</w:t>
      </w:r>
    </w:p>
    <w:p>
      <w:pPr>
        <w:pStyle w:val="4"/>
        <w:rPr>
          <w:rFonts w:hint="eastAsia"/>
          <w:color w:val="auto"/>
          <w:lang w:val="en-US" w:eastAsia="zh-CN"/>
        </w:rPr>
      </w:pPr>
      <w:bookmarkStart w:id="603" w:name="_Toc10134"/>
      <w:bookmarkStart w:id="604" w:name="_Toc11074"/>
      <w:bookmarkStart w:id="605" w:name="_Toc17496"/>
      <w:bookmarkStart w:id="606" w:name="_Toc21220"/>
      <w:bookmarkStart w:id="607" w:name="_Toc27201"/>
      <w:bookmarkStart w:id="608" w:name="_Toc16908"/>
      <w:r>
        <w:rPr>
          <w:rFonts w:hint="eastAsia"/>
          <w:color w:val="auto"/>
          <w:lang w:val="en-US" w:eastAsia="zh-CN"/>
        </w:rPr>
        <w:t>7.2.2 建设项目与当地政府区域规划符合性分析</w:t>
      </w:r>
      <w:bookmarkEnd w:id="603"/>
      <w:bookmarkEnd w:id="604"/>
      <w:bookmarkEnd w:id="605"/>
      <w:bookmarkEnd w:id="606"/>
      <w:bookmarkEnd w:id="607"/>
      <w:bookmarkEnd w:id="608"/>
    </w:p>
    <w:p>
      <w:pPr>
        <w:keepNext w:val="0"/>
        <w:keepLines w:val="0"/>
        <w:widowControl/>
        <w:suppressLineNumbers w:val="0"/>
        <w:ind w:firstLine="560" w:firstLineChars="200"/>
        <w:jc w:val="left"/>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根据《长江经济带发展负面清单指南（试行，2022 年版）》、《江西省长江经济带发展负面清单实施细则（试行，2022 年版）》相关内容，本项目符合《长江经济带发展负面清单指南（试行，2022 年版）》和《江西省长江经济带发展负面清单实施细则（试行）》 的要求。</w:t>
      </w:r>
    </w:p>
    <w:p>
      <w:pPr>
        <w:keepNext w:val="0"/>
        <w:keepLines w:val="0"/>
        <w:widowControl/>
        <w:suppressLineNumbers w:val="0"/>
        <w:ind w:firstLine="560" w:firstLineChars="200"/>
        <w:jc w:val="left"/>
        <w:rPr>
          <w:rFonts w:hint="eastAsia"/>
          <w:b w:val="0"/>
          <w:bCs w:val="0"/>
          <w:color w:val="auto"/>
          <w:sz w:val="28"/>
          <w:szCs w:val="24"/>
          <w:lang w:val="en-US" w:eastAsia="zh-CN"/>
        </w:rPr>
      </w:pPr>
      <w:r>
        <w:rPr>
          <w:rFonts w:hint="eastAsia"/>
          <w:b w:val="0"/>
          <w:bCs w:val="0"/>
          <w:color w:val="auto"/>
          <w:sz w:val="28"/>
          <w:szCs w:val="24"/>
          <w:lang w:val="en-US" w:eastAsia="zh-CN"/>
        </w:rPr>
        <w:t>依照《宜春市危险化学品行业安全风险管控若干意见》（宜府办发[2020]332号）和</w:t>
      </w:r>
      <w:r>
        <w:rPr>
          <w:rFonts w:ascii="宋体" w:hAnsi="宋体" w:eastAsia="宋体" w:cs="宋体"/>
          <w:color w:val="auto"/>
          <w:kern w:val="0"/>
          <w:sz w:val="28"/>
          <w:szCs w:val="28"/>
          <w:lang w:val="en-US" w:eastAsia="zh-CN" w:bidi="ar"/>
        </w:rPr>
        <w:fldChar w:fldCharType="begin"/>
      </w:r>
      <w:r>
        <w:rPr>
          <w:rFonts w:ascii="宋体" w:hAnsi="宋体" w:eastAsia="宋体" w:cs="宋体"/>
          <w:color w:val="auto"/>
          <w:kern w:val="0"/>
          <w:sz w:val="28"/>
          <w:szCs w:val="28"/>
          <w:lang w:val="en-US" w:eastAsia="zh-CN" w:bidi="ar"/>
        </w:rPr>
        <w:instrText xml:space="preserve"> HYPERLINK "http://www.yzq.gov.cn/yzqrmzf/fgwj/202209/3571d6a0af13493eb7afdb963b9bfa8c/files/%E5%85%B3%E4%BA%8E%E5%8D%B0%E5%8F%91%E3%80%8A%E6%B1%9F%E8%A5%BF%E7%9C%81%E8%A2%81%E5%B7%9E%E5%8C%BB%E8%8D%AF%E5%B7%A5%E4%B8%9A%E5%9B%AD%E5%8C%96%E5%B7%A5%E9%9B%86%E4%B8%AD%E5%8C%BA%E4%BA%A7%E4%B8%9A%E5%8F%91%E5%B1%95%E6%8C%87%E5%BC%95%E3%80%8B%E3%80%8A%E6%B1%9F%E8%A5%BF%E7%9C%81%E8%A2%81%E5%B7%9E%E5%8C%BB%E8%8D%AF%E5%B7%A5%E4%B8%9A%E5%9B%AD%E5%8C%96%E5%B7%A5%E9%9B%86%E4%B8%AD%E5%8C%BA%E7%A6%81%E6%AD%A2%E3%80%81%E9%99%90%E5%88%B6%E5%92%8C%E6%8E%A7%E5%88%B6%E5%8D%B1%E9%99%A9%E5%8C%96%E5%AD%A6%E5%93%81%E7%9B%AE%E5%BD%95%E3%80%8B%E7%9A%84%E9%80%9A%E7%9F%A5(1).docx" \t "_blank" </w:instrText>
      </w:r>
      <w:r>
        <w:rPr>
          <w:rFonts w:ascii="宋体" w:hAnsi="宋体" w:eastAsia="宋体" w:cs="宋体"/>
          <w:color w:val="auto"/>
          <w:kern w:val="0"/>
          <w:sz w:val="28"/>
          <w:szCs w:val="28"/>
          <w:lang w:val="en-US" w:eastAsia="zh-CN" w:bidi="ar"/>
        </w:rPr>
        <w:fldChar w:fldCharType="separate"/>
      </w:r>
      <w:r>
        <w:rPr>
          <w:rStyle w:val="51"/>
          <w:rFonts w:ascii="宋体" w:hAnsi="宋体" w:eastAsia="宋体" w:cs="宋体"/>
          <w:color w:val="auto"/>
          <w:sz w:val="28"/>
          <w:szCs w:val="28"/>
        </w:rPr>
        <w:t>《江西省袁州医药工业园化工集中区产业发展指引》《江西省袁州医药工业园化工集中区禁止、限制和控制危险化学品目录》</w:t>
      </w:r>
      <w:r>
        <w:rPr>
          <w:rFonts w:ascii="宋体" w:hAnsi="宋体" w:eastAsia="宋体" w:cs="宋体"/>
          <w:color w:val="auto"/>
          <w:kern w:val="0"/>
          <w:sz w:val="28"/>
          <w:szCs w:val="28"/>
          <w:lang w:val="en-US" w:eastAsia="zh-CN" w:bidi="ar"/>
        </w:rPr>
        <w:fldChar w:fldCharType="end"/>
      </w:r>
      <w:r>
        <w:rPr>
          <w:rFonts w:hint="eastAsia" w:ascii="宋体" w:hAnsi="宋体" w:eastAsia="宋体" w:cs="宋体"/>
          <w:color w:val="auto"/>
          <w:kern w:val="0"/>
          <w:sz w:val="28"/>
          <w:szCs w:val="28"/>
          <w:lang w:val="en-US" w:eastAsia="zh-CN" w:bidi="ar"/>
        </w:rPr>
        <w:t>，</w:t>
      </w:r>
      <w:r>
        <w:rPr>
          <w:rFonts w:hint="eastAsia"/>
          <w:b w:val="0"/>
          <w:bCs w:val="0"/>
          <w:color w:val="auto"/>
          <w:sz w:val="28"/>
          <w:szCs w:val="24"/>
          <w:lang w:val="en-US" w:eastAsia="zh-CN"/>
        </w:rPr>
        <w:t>江西旺达新材料有限公司年产20000吨有机玻璃原料生产项目不属于“限制类”和“淘汰类”。</w:t>
      </w:r>
    </w:p>
    <w:p>
      <w:pPr>
        <w:keepNext w:val="0"/>
        <w:keepLines w:val="0"/>
        <w:widowControl/>
        <w:suppressLineNumbers w:val="0"/>
        <w:ind w:firstLine="560" w:firstLineChars="200"/>
        <w:jc w:val="left"/>
        <w:rPr>
          <w:color w:val="auto"/>
        </w:rPr>
      </w:pPr>
      <w:r>
        <w:rPr>
          <w:rFonts w:hint="eastAsia"/>
          <w:b w:val="0"/>
          <w:bCs w:val="0"/>
          <w:color w:val="auto"/>
          <w:sz w:val="28"/>
          <w:szCs w:val="24"/>
          <w:lang w:val="en-US" w:eastAsia="zh-CN"/>
        </w:rPr>
        <w:t>2022年8月18日取得了宜春市袁州区发展和改革委员会项目备案的文件，文号：2208-360902-04-05-436045。</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江西旺达新材料有限公司年产年产20000吨有机玻璃原料生产项目拟建设于江西省宜春市袁州区医药工业园化工集中区内，江西省宜春市袁州区医药工业园是江西省于2021年认证的第一批化工园区。</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在江西省宜春市袁州区医药工业园化工集中区A2区块进行建设，该项目厂区规划及建筑方案经袁州区规划审查委员会2023年第五次会议同意，袁州区规划委员会办公室出具了该审查会议抄告单（袁区规办抄字【2023】第72号），抄告单详见附件。</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综上所述，该项目建设符合当地政府区域规划。</w:t>
      </w:r>
    </w:p>
    <w:p>
      <w:pPr>
        <w:pStyle w:val="4"/>
        <w:rPr>
          <w:rFonts w:hint="eastAsia"/>
          <w:color w:val="auto"/>
          <w:lang w:val="en-US" w:eastAsia="zh-CN"/>
        </w:rPr>
      </w:pPr>
      <w:bookmarkStart w:id="609" w:name="_Toc19748"/>
      <w:bookmarkStart w:id="610" w:name="_Toc8042"/>
      <w:bookmarkStart w:id="611" w:name="_Toc7136"/>
      <w:bookmarkStart w:id="612" w:name="_Toc17718"/>
      <w:bookmarkStart w:id="613" w:name="_Toc26059"/>
      <w:bookmarkStart w:id="614" w:name="_Toc1044"/>
      <w:r>
        <w:rPr>
          <w:rFonts w:hint="eastAsia"/>
          <w:color w:val="auto"/>
          <w:lang w:val="en-US" w:eastAsia="zh-CN"/>
        </w:rPr>
        <w:t>7.2.3 建设项目选址符合性分析</w:t>
      </w:r>
      <w:bookmarkEnd w:id="609"/>
      <w:bookmarkEnd w:id="610"/>
      <w:bookmarkEnd w:id="611"/>
      <w:bookmarkEnd w:id="612"/>
      <w:bookmarkEnd w:id="613"/>
      <w:bookmarkEnd w:id="614"/>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江西旺达新材料有限公司年产年产20000吨有机玻璃原料生产项目拟建设于江西省宜春市袁州区医药工业园化工集中区A2区块内，地理</w:t>
      </w:r>
      <w:r>
        <w:rPr>
          <w:rFonts w:hint="eastAsia"/>
          <w:b w:val="0"/>
          <w:bCs w:val="0"/>
          <w:color w:val="auto"/>
          <w:sz w:val="28"/>
          <w:szCs w:val="24"/>
          <w:highlight w:val="none"/>
          <w:lang w:val="en-US" w:eastAsia="zh-CN"/>
        </w:rPr>
        <w:t>坐标为东经 114.360694°，北纬 27.899885°</w:t>
      </w:r>
      <w:r>
        <w:rPr>
          <w:rFonts w:hint="eastAsia"/>
          <w:b w:val="0"/>
          <w:bCs w:val="0"/>
          <w:color w:val="auto"/>
          <w:sz w:val="28"/>
          <w:szCs w:val="24"/>
          <w:lang w:val="en-US" w:eastAsia="zh-CN"/>
        </w:rPr>
        <w:t>；该项目涉及的生产装置与储存设施与外部居民区距离均大于500m。厂址周边1000m范围内无商业中心、公园等人员密集场所及重要公共设施。项目周边1000m范围内无基本农田保护区、基本草原、畜禽遗传资源保护区、畜禽规模化养殖场（养殖小区）、渔业水域以及种子、种畜禽、水产苗种生产基地；项目周边1000m范围内无湖泊、风景名胜区和自然保护区。项目周边无军事禁区、军事管理区；项目周边无法律、行政法规规定予以保护的其他区域。</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依据附录B.4个人风险和社会风险值，外部安全防护距离内无相应的高敏感防护目标、重要防护目标及一般防护目标。该项目无社会风险。</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该项目所在地有较好的运输条件，并符合本地区产业发展和土地利用总体规划，符合国家产业政策，该项目已通过宜春市袁州区发展和改革委员会项目备案。</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选址及周边环境符合性情况具体见表C.1-1、表C.1-2。该项目选址符合《精细化工企业工程设计防火标准》《危险化学品生产企业安全生产许可证实施办法》（国家安全生产监督管理总局89号令修改）及《危险化学品安全管理条例》（国务院令645号修改）等相关标准要求。</w:t>
      </w:r>
    </w:p>
    <w:p>
      <w:pPr>
        <w:pStyle w:val="4"/>
        <w:numPr>
          <w:ilvl w:val="-1"/>
          <w:numId w:val="0"/>
        </w:numPr>
        <w:ind w:firstLine="562" w:firstLineChars="200"/>
        <w:rPr>
          <w:rFonts w:hint="eastAsia"/>
          <w:color w:val="auto"/>
          <w:lang w:val="en-US" w:eastAsia="zh-CN"/>
        </w:rPr>
      </w:pPr>
      <w:bookmarkStart w:id="615" w:name="_Toc26091"/>
      <w:bookmarkStart w:id="616" w:name="_Toc19450"/>
      <w:bookmarkStart w:id="617" w:name="_Toc19133"/>
      <w:bookmarkStart w:id="618" w:name="_Toc14221"/>
      <w:bookmarkStart w:id="619" w:name="_Toc1822"/>
      <w:bookmarkStart w:id="620" w:name="_Toc25576"/>
      <w:r>
        <w:rPr>
          <w:rFonts w:hint="eastAsia"/>
          <w:color w:val="auto"/>
          <w:lang w:val="en-US" w:eastAsia="zh-CN"/>
        </w:rPr>
        <w:t>7.2.4 建设项目所在地自然条件的影响分析评价</w:t>
      </w:r>
      <w:bookmarkEnd w:id="615"/>
      <w:bookmarkEnd w:id="616"/>
      <w:bookmarkEnd w:id="617"/>
      <w:bookmarkEnd w:id="618"/>
      <w:bookmarkEnd w:id="619"/>
      <w:bookmarkEnd w:id="620"/>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自然条件对该项目的影响因素主要包括地震、不良地质、暑热、冬季低温、雷击、洪水、内涝等因素。其中最主要的因素是地震、不良地质及雷击。</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1.项目为防暑热，在生产岗位应采取防暑降温措施；所在地极端最高气温为41.6℃，高温天气会加大生产物料挥发性，对生产储存装置会造成影响，散发的易燃易爆蒸气易引发火灾、爆炸及其他事故。该项目所在地极端最低气温为-7.8℃，对主体工程无影响，可能因低温冰冻对水管等冻结而造成破裂导致循环水不畅，楼梯打滑造成人员摔跌等。但由于该项目地处江西东部，冰冻期较短，随着气候条件的变化，个别或少数年份甚至未出现冰冻现象。因此，冰冻对该项目的影响较小。</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2.该项目地势较为平坦，厂址其所在地西北部略高东南部略低，平整坡度为1.5%，可确保场地遇水顺利排除。该项目所在地年均降水量 1981.7mm，最多的年降水量为2725mm，最少的年降水量为1289.7mm，且雨量随季节分布不均，第二季度雨量集中，为汛期。暴雨和洪水出现的机会多，为了防止内涝及时排出雨水，避免积水毁坏设备厂房，在厂区内设相应的场地雨水排除系统。</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3.建筑场地平坦开阔且已经人工平整，地层分布较为均匀，地基土均具有一定的承载能力。</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4.该项目厂址所在地的地形平坦，年平均雷暴日数为65天，属于多雷区。厂区内各种高大建构筑物（如车间、贮罐、架空管道等）易受到雷击。该公司各种高大建构筑物（如车间、贮罐、架空管道等主要设备及建构筑物均按规范要求采取相应的防雷措施，防止雷击造成的危害。该项目防静电，防雷及设备安全等接地，厂区内的所有金属管道、支架、容器均做防静电接地。</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5.全年主风向为东北偏东风，年平均风速1.8m/s，最大风速25m/s。该项目建构筑物均按照规范设计和建设，且项目北侧为山体，可阻挡风力，风力影响不大。但如遭遇极端大风天气，则会有一定影响。</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6.根据《建筑抗震设计规范（2016 年版）》GB50011-2010 附录 A，宜春市抗震烈度为6度，加速度0.05g，设计地震分组为第一组。该项目涉及甲类物质的拟建建（构）筑物如：101裂解车间、102精馏车间、201甲类仓库等应提高一度进行设防，其他拟建建（构）筑物按7度进行设防。</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7.厂址所在地无泥石流及地面塌陷等地质现象。</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8.厂区北侧距山体较近，若山体结构不稳固发生山体滑坡，可能会造成该项目建筑倒塌、设备损毁，影响正常生产，甚至会引发安全生产事故，该山体落差较小，进行处理后不会对该项目造成影响。</w:t>
      </w:r>
    </w:p>
    <w:p>
      <w:pPr>
        <w:numPr>
          <w:ilvl w:val="-1"/>
          <w:numId w:val="0"/>
        </w:numPr>
        <w:ind w:firstLine="560" w:firstLineChars="200"/>
        <w:rPr>
          <w:rFonts w:hint="eastAsia"/>
          <w:b w:val="0"/>
          <w:bCs w:val="0"/>
          <w:color w:val="auto"/>
          <w:sz w:val="28"/>
          <w:szCs w:val="24"/>
          <w:highlight w:val="yellow"/>
          <w:lang w:val="en-US" w:eastAsia="zh-CN"/>
        </w:rPr>
      </w:pPr>
      <w:r>
        <w:rPr>
          <w:rFonts w:hint="eastAsia"/>
          <w:b w:val="0"/>
          <w:bCs w:val="0"/>
          <w:color w:val="auto"/>
          <w:sz w:val="28"/>
          <w:szCs w:val="24"/>
          <w:highlight w:val="none"/>
          <w:lang w:val="en-US" w:eastAsia="zh-CN"/>
        </w:rPr>
        <w:t>9.厂区北侧距山体较近，若山体未设置排洪沟或排洪设施不足，可能造成项目围墙倒塌或洪水灌入，影响企业正常生产，但该山体落差较小，进行处理后不会对该项目造成影响。</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综上所述，自然危害因素的发生基本是不可避免的，因为它是自然形成的。正常情况下，自然条件对该项目无不良影响。针对极端的自然有害因素，该项目初步设计中应采取有效的安全控制措施。</w:t>
      </w:r>
    </w:p>
    <w:p>
      <w:pPr>
        <w:pStyle w:val="4"/>
        <w:numPr>
          <w:ilvl w:val="-1"/>
          <w:numId w:val="0"/>
        </w:numPr>
        <w:ind w:firstLine="562" w:firstLineChars="200"/>
        <w:rPr>
          <w:rFonts w:hint="eastAsia"/>
          <w:color w:val="auto"/>
          <w:lang w:val="en-US" w:eastAsia="zh-CN"/>
        </w:rPr>
      </w:pPr>
      <w:bookmarkStart w:id="621" w:name="_Toc195"/>
      <w:bookmarkStart w:id="622" w:name="_Toc24834"/>
      <w:bookmarkStart w:id="623" w:name="_Toc2248"/>
      <w:bookmarkStart w:id="624" w:name="_Toc12520"/>
      <w:bookmarkStart w:id="625" w:name="_Toc24627"/>
      <w:bookmarkStart w:id="626" w:name="_Toc10131"/>
      <w:r>
        <w:rPr>
          <w:rFonts w:hint="eastAsia"/>
          <w:color w:val="auto"/>
          <w:lang w:val="en-US" w:eastAsia="zh-CN"/>
        </w:rPr>
        <w:t>7.2.5 建设项目对周边生产、经营活动和居民生活的影响</w:t>
      </w:r>
      <w:bookmarkEnd w:id="621"/>
      <w:bookmarkEnd w:id="622"/>
      <w:bookmarkEnd w:id="623"/>
      <w:bookmarkEnd w:id="624"/>
      <w:bookmarkEnd w:id="625"/>
      <w:bookmarkEnd w:id="626"/>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存在着火灾、爆炸(包括爆炸、容器爆炸)、灼烫、中毒和窒息、高处坠落、起重伤害、机械伤害、物体打击，触电、淹溺、噪声危害等众多危险有害因素。该项目对周边单位生产经营活动或者居民生活影响的事故主要有火灾、爆炸、中毒和窒息。</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该项目外部安全防火距离范围内无居民区、商业中心、公园等人口密集区域和学校、医院、影剧院、体育场（馆）等公共设施。</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依据现场踏勘情况和该公司提供资料，该公司周边 100m 范围存在非精细化工企业，该项目生产、存储设施与周边企业安全距离满足《精细化工企业工程设计防火标准》的要求。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该项目在施工过程中存在着机械噪声、人员喧哗声，但这些影响是局部的、暂时的，随着施工过程的结束，这些影响也将消失。施工过程中排放的施工废水中污染物的含量很低，生活污水量少且分散。</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对于“三废”，采取相关措施进行处理后再进行排放。如采用废气设置处理装置处理后，通过高排气筒排放。</w:t>
      </w:r>
      <w:r>
        <w:rPr>
          <w:rFonts w:hint="eastAsia"/>
          <w:b w:val="0"/>
          <w:bCs w:val="0"/>
          <w:color w:val="auto"/>
          <w:sz w:val="28"/>
          <w:szCs w:val="24"/>
          <w:highlight w:val="none"/>
          <w:lang w:val="en-US" w:eastAsia="zh-CN"/>
        </w:rPr>
        <w:t>固体废渣按国家有关规定由自建固废处理装置进行处理</w:t>
      </w:r>
      <w:r>
        <w:rPr>
          <w:rFonts w:hint="eastAsia"/>
          <w:b w:val="0"/>
          <w:bCs w:val="0"/>
          <w:color w:val="auto"/>
          <w:sz w:val="28"/>
          <w:szCs w:val="24"/>
          <w:lang w:val="en-US" w:eastAsia="zh-CN"/>
        </w:rPr>
        <w:t>，临时贮存设置贮存仓库，降低了对周围环境的污染。</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厂内主要噪声源为真空机组及泵类，对真空机组及泵类进行必要的降噪处理以及有效的隔音消声措施，保证其达到《工业企业厂界噪声标准》之规</w:t>
      </w:r>
    </w:p>
    <w:p>
      <w:pPr>
        <w:numPr>
          <w:ilvl w:val="-1"/>
          <w:numId w:val="0"/>
        </w:numPr>
        <w:ind w:firstLine="0" w:firstLineChars="0"/>
        <w:rPr>
          <w:rFonts w:hint="eastAsia"/>
          <w:b w:val="0"/>
          <w:bCs w:val="0"/>
          <w:color w:val="auto"/>
          <w:sz w:val="28"/>
          <w:szCs w:val="24"/>
          <w:lang w:val="en-US" w:eastAsia="zh-CN"/>
        </w:rPr>
      </w:pPr>
      <w:r>
        <w:rPr>
          <w:rFonts w:hint="eastAsia"/>
          <w:b w:val="0"/>
          <w:bCs w:val="0"/>
          <w:color w:val="auto"/>
          <w:sz w:val="28"/>
          <w:szCs w:val="24"/>
          <w:lang w:val="en-US" w:eastAsia="zh-CN"/>
        </w:rPr>
        <w:t>定。</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该项目根据消防总用水量设置相应容量的事故污水收集池，以免污染周</w:t>
      </w:r>
    </w:p>
    <w:p>
      <w:pPr>
        <w:numPr>
          <w:ilvl w:val="-1"/>
          <w:numId w:val="0"/>
        </w:numPr>
        <w:ind w:firstLine="0" w:firstLineChars="0"/>
        <w:rPr>
          <w:rFonts w:hint="eastAsia"/>
          <w:b w:val="0"/>
          <w:bCs w:val="0"/>
          <w:color w:val="auto"/>
          <w:sz w:val="28"/>
          <w:szCs w:val="24"/>
          <w:lang w:val="en-US" w:eastAsia="zh-CN"/>
        </w:rPr>
      </w:pPr>
      <w:r>
        <w:rPr>
          <w:rFonts w:hint="eastAsia"/>
          <w:b w:val="0"/>
          <w:bCs w:val="0"/>
          <w:color w:val="auto"/>
          <w:sz w:val="28"/>
          <w:szCs w:val="24"/>
          <w:lang w:val="en-US" w:eastAsia="zh-CN"/>
        </w:rPr>
        <w:t>围水体环境。</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综上所述，该项目在正常生产情况下，对其周边环境不会产生影响。但</w:t>
      </w:r>
    </w:p>
    <w:p>
      <w:pPr>
        <w:numPr>
          <w:ilvl w:val="-1"/>
          <w:numId w:val="0"/>
        </w:numPr>
        <w:ind w:firstLine="0" w:firstLineChars="0"/>
        <w:rPr>
          <w:rFonts w:hint="eastAsia"/>
          <w:b w:val="0"/>
          <w:bCs w:val="0"/>
          <w:color w:val="auto"/>
          <w:sz w:val="28"/>
          <w:szCs w:val="24"/>
          <w:lang w:val="en-US" w:eastAsia="zh-CN"/>
        </w:rPr>
      </w:pPr>
      <w:r>
        <w:rPr>
          <w:rFonts w:hint="eastAsia"/>
          <w:b w:val="0"/>
          <w:bCs w:val="0"/>
          <w:color w:val="auto"/>
          <w:sz w:val="28"/>
          <w:szCs w:val="24"/>
          <w:lang w:val="en-US" w:eastAsia="zh-CN"/>
        </w:rPr>
        <w:t>是，如果该项目危险性较大的设备设施（如蒸馏釜、精馏塔等）发生火灾、爆炸、泄漏事故；运输过程中发生物料泄漏、交通事故，则必定会对周边群众及工厂的生产生活产生影响。</w:t>
      </w:r>
    </w:p>
    <w:p>
      <w:pPr>
        <w:pStyle w:val="4"/>
        <w:numPr>
          <w:ilvl w:val="-1"/>
          <w:numId w:val="0"/>
        </w:numPr>
        <w:ind w:firstLine="562" w:firstLineChars="200"/>
        <w:rPr>
          <w:rFonts w:hint="eastAsia"/>
          <w:color w:val="auto"/>
          <w:lang w:val="en-US" w:eastAsia="zh-CN"/>
        </w:rPr>
      </w:pPr>
      <w:bookmarkStart w:id="627" w:name="_Toc7715"/>
      <w:bookmarkStart w:id="628" w:name="_Toc29809"/>
      <w:bookmarkStart w:id="629" w:name="_Toc28329"/>
      <w:bookmarkStart w:id="630" w:name="_Toc4344"/>
      <w:bookmarkStart w:id="631" w:name="_Toc22398"/>
      <w:bookmarkStart w:id="632" w:name="_Toc22925"/>
      <w:r>
        <w:rPr>
          <w:rFonts w:hint="eastAsia"/>
          <w:color w:val="auto"/>
          <w:lang w:val="en-US" w:eastAsia="zh-CN"/>
        </w:rPr>
        <w:t>7.2.6 建设项目周边生产、经营活动和居民生活情况对建设项目投入生产后的影响</w:t>
      </w:r>
      <w:bookmarkEnd w:id="627"/>
      <w:bookmarkEnd w:id="628"/>
      <w:bookmarkEnd w:id="629"/>
      <w:bookmarkEnd w:id="630"/>
      <w:bookmarkEnd w:id="631"/>
      <w:bookmarkEnd w:id="632"/>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该项目外部安全防火距离范围内无居民区、商业中心、公园等人口密集区域和学校、医院、影剧院、体育场（馆）等公共设施。</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依据现场踏勘情况和该公司提供资料，该公司周边 100m 范围存在非精细化工企业，该项目生产、存储设施与周边企业最近装置安全距离满足《精细化工企业工程设计防火标准》的要求；该项目装置位于宜春市袁州区医药工业园化工集中区内，与最近的居民点、距离最近的企业的距离均满足《精细化工企业工程设计防火标准》防火间距的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周边区域 24h 内均有人员活动，居民的生产经营活动一般不会对该项目的生产产生影响，但是如果没有健全的安全管理制度和措施，致使外部闲散人员能够随意进入该厂，也可对正常的生产经营活动造成不良影响。</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因此，该项目周边居民在正常生产情况下，对该项目的生产、经营活动基本没有影响。</w:t>
      </w:r>
    </w:p>
    <w:p>
      <w:pPr>
        <w:numPr>
          <w:ilvl w:val="-1"/>
          <w:numId w:val="0"/>
        </w:numPr>
        <w:ind w:firstLine="560" w:firstLineChars="200"/>
        <w:rPr>
          <w:rFonts w:hint="eastAsia"/>
          <w:b w:val="0"/>
          <w:bCs w:val="0"/>
          <w:color w:val="auto"/>
          <w:sz w:val="28"/>
          <w:szCs w:val="24"/>
          <w:lang w:val="en-US" w:eastAsia="zh-CN"/>
        </w:rPr>
      </w:pPr>
    </w:p>
    <w:p>
      <w:pPr>
        <w:numPr>
          <w:ilvl w:val="-1"/>
          <w:numId w:val="0"/>
        </w:numPr>
        <w:ind w:firstLine="560" w:firstLineChars="200"/>
        <w:rPr>
          <w:rFonts w:hint="eastAsia"/>
          <w:b w:val="0"/>
          <w:bCs w:val="0"/>
          <w:color w:val="auto"/>
          <w:sz w:val="28"/>
          <w:szCs w:val="24"/>
          <w:lang w:val="en-US" w:eastAsia="zh-CN"/>
        </w:rPr>
      </w:pPr>
    </w:p>
    <w:p>
      <w:pPr>
        <w:numPr>
          <w:ilvl w:val="-1"/>
          <w:numId w:val="0"/>
        </w:numPr>
        <w:ind w:firstLine="560" w:firstLineChars="200"/>
        <w:rPr>
          <w:rFonts w:hint="eastAsia"/>
          <w:b w:val="0"/>
          <w:bCs w:val="0"/>
          <w:color w:val="auto"/>
          <w:sz w:val="28"/>
          <w:szCs w:val="24"/>
          <w:lang w:val="en-US" w:eastAsia="zh-CN"/>
        </w:rPr>
      </w:pPr>
    </w:p>
    <w:p>
      <w:pPr>
        <w:numPr>
          <w:ilvl w:val="-1"/>
          <w:numId w:val="0"/>
        </w:numPr>
        <w:ind w:firstLine="560" w:firstLineChars="200"/>
        <w:rPr>
          <w:rFonts w:hint="eastAsia"/>
          <w:b w:val="0"/>
          <w:bCs w:val="0"/>
          <w:color w:val="auto"/>
          <w:sz w:val="28"/>
          <w:szCs w:val="24"/>
          <w:lang w:val="en-US" w:eastAsia="zh-CN"/>
        </w:rPr>
      </w:pPr>
    </w:p>
    <w:p>
      <w:pPr>
        <w:numPr>
          <w:ilvl w:val="-1"/>
          <w:numId w:val="0"/>
        </w:numPr>
        <w:ind w:firstLine="560" w:firstLineChars="200"/>
        <w:rPr>
          <w:rFonts w:hint="eastAsia"/>
          <w:b w:val="0"/>
          <w:bCs w:val="0"/>
          <w:color w:val="auto"/>
          <w:sz w:val="28"/>
          <w:szCs w:val="24"/>
          <w:lang w:val="en-US" w:eastAsia="zh-CN"/>
        </w:rPr>
      </w:pPr>
    </w:p>
    <w:p>
      <w:pPr>
        <w:pStyle w:val="2"/>
        <w:numPr>
          <w:ilvl w:val="-1"/>
          <w:numId w:val="0"/>
        </w:numPr>
        <w:ind w:firstLine="0" w:firstLineChars="0"/>
        <w:rPr>
          <w:rFonts w:hint="eastAsia"/>
          <w:color w:val="auto"/>
          <w:lang w:val="en-US" w:eastAsia="zh-CN"/>
        </w:rPr>
      </w:pPr>
      <w:bookmarkStart w:id="633" w:name="_Toc11974"/>
      <w:bookmarkStart w:id="634" w:name="_Toc8815"/>
      <w:bookmarkStart w:id="635" w:name="_Toc2298"/>
      <w:bookmarkStart w:id="636" w:name="_Toc30700"/>
      <w:bookmarkStart w:id="637" w:name="_Toc18180"/>
      <w:bookmarkStart w:id="638" w:name="_Toc11688"/>
    </w:p>
    <w:p>
      <w:pPr>
        <w:pStyle w:val="2"/>
        <w:numPr>
          <w:ilvl w:val="-1"/>
          <w:numId w:val="0"/>
        </w:numPr>
        <w:ind w:firstLine="0" w:firstLineChars="0"/>
        <w:rPr>
          <w:rFonts w:hint="eastAsia"/>
          <w:color w:val="auto"/>
          <w:lang w:val="en-US" w:eastAsia="zh-CN"/>
        </w:rPr>
      </w:pPr>
      <w:r>
        <w:rPr>
          <w:rFonts w:hint="eastAsia"/>
          <w:color w:val="auto"/>
          <w:lang w:val="en-US" w:eastAsia="zh-CN"/>
        </w:rPr>
        <w:t>8 主要技术、工艺和装置、设备设施安全可靠性分析结果</w:t>
      </w:r>
      <w:bookmarkEnd w:id="633"/>
      <w:bookmarkEnd w:id="634"/>
      <w:bookmarkEnd w:id="635"/>
      <w:bookmarkEnd w:id="636"/>
      <w:bookmarkEnd w:id="637"/>
      <w:bookmarkEnd w:id="638"/>
    </w:p>
    <w:p>
      <w:pPr>
        <w:pStyle w:val="3"/>
        <w:numPr>
          <w:ilvl w:val="-1"/>
          <w:numId w:val="0"/>
        </w:numPr>
        <w:spacing w:before="0" w:beforeLines="0" w:afterLines="0" w:line="240" w:lineRule="auto"/>
        <w:ind w:firstLine="643" w:firstLineChars="200"/>
        <w:rPr>
          <w:rFonts w:hint="eastAsia"/>
          <w:color w:val="auto"/>
          <w:lang w:val="en-US" w:eastAsia="zh-CN"/>
        </w:rPr>
      </w:pPr>
      <w:bookmarkStart w:id="639" w:name="_Toc20533"/>
      <w:bookmarkStart w:id="640" w:name="_Toc27410"/>
      <w:bookmarkStart w:id="641" w:name="_Toc14807"/>
      <w:bookmarkStart w:id="642" w:name="_Toc4251"/>
      <w:bookmarkStart w:id="643" w:name="_Toc19204"/>
      <w:bookmarkStart w:id="644" w:name="_Toc2320"/>
      <w:r>
        <w:rPr>
          <w:rFonts w:hint="eastAsia"/>
          <w:color w:val="auto"/>
          <w:lang w:val="en-US" w:eastAsia="zh-CN"/>
        </w:rPr>
        <w:t>8.1 主要技术、工艺和装置、设备、设施安全可靠性评价结果</w:t>
      </w:r>
      <w:bookmarkEnd w:id="639"/>
      <w:bookmarkEnd w:id="640"/>
      <w:bookmarkEnd w:id="641"/>
      <w:bookmarkEnd w:id="642"/>
      <w:bookmarkEnd w:id="643"/>
      <w:bookmarkEnd w:id="644"/>
    </w:p>
    <w:p>
      <w:pPr>
        <w:pStyle w:val="4"/>
        <w:numPr>
          <w:ilvl w:val="-1"/>
          <w:numId w:val="0"/>
        </w:numPr>
        <w:ind w:firstLine="562" w:firstLineChars="200"/>
        <w:rPr>
          <w:rFonts w:hint="eastAsia"/>
          <w:color w:val="auto"/>
          <w:lang w:val="en-US" w:eastAsia="zh-CN"/>
        </w:rPr>
      </w:pPr>
      <w:bookmarkStart w:id="645" w:name="_Toc18070"/>
      <w:bookmarkStart w:id="646" w:name="_Toc17924"/>
      <w:bookmarkStart w:id="647" w:name="_Toc31006"/>
      <w:bookmarkStart w:id="648" w:name="_Toc30908"/>
      <w:bookmarkStart w:id="649" w:name="_Toc22512"/>
      <w:bookmarkStart w:id="650" w:name="_Toc6244"/>
      <w:r>
        <w:rPr>
          <w:rFonts w:hint="eastAsia"/>
          <w:color w:val="auto"/>
          <w:lang w:val="en-US" w:eastAsia="zh-CN"/>
        </w:rPr>
        <w:t>8.1.1 总平面布置及建（构）筑物评价</w:t>
      </w:r>
      <w:bookmarkEnd w:id="645"/>
      <w:bookmarkEnd w:id="646"/>
      <w:bookmarkEnd w:id="647"/>
      <w:bookmarkEnd w:id="648"/>
      <w:bookmarkEnd w:id="649"/>
      <w:bookmarkEnd w:id="650"/>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1.总平面布置</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为新建项目，拟建于江西省宜春市袁州区医药工业园化工集中区内；根据表C.2-1、C.2-4的检查结果。该公司总平面按功能分区，分区相互之间保持一定的通道和间距，总平面布置基本合理，总平面布置符合相关标准、规范的要求，部分未明确的本报告中提出相应对策措施。</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厂房、仓库等建、构筑物平面布置等符合《精细化工企业工程设计防火标准》《化工企业总图运输设计规范》《建筑设计防火规范》的要求。但设计时应考虑厂房、仓库的防火分区面积等情况。</w:t>
      </w:r>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2.厂内道路</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公司厂内道路采用城市郊区型，道路系统的布置除满足生产及人行要求外，还考虑满足消防规范的要求。生产装置区道路成环形布置，并与厂外公路相连。厂区道路采用混凝土路面，宽度4-6m。厂区设置宽度不小于4的道路，厂区内设置环形通道。</w:t>
      </w:r>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3.建（构）筑物</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该项目建构筑物均为新建，拟布置在土质均匀、地基承载力较大的地段；拟建建构筑物的结构安全等级按二级考虑，采用现浇钢筋混凝土框架。建筑占地面积、防火分区符合规范要求。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综上所述，该项目装置布置、消防道路，占地面积符合标准、规范的要求。车间内的设备布置、通道的宽度及其上方高度应执行《精细化工企业工程设计防火标准》（GB51283-2020）中的有关规定。</w:t>
      </w:r>
    </w:p>
    <w:p>
      <w:pPr>
        <w:pStyle w:val="4"/>
        <w:numPr>
          <w:ilvl w:val="-1"/>
          <w:numId w:val="0"/>
        </w:numPr>
        <w:ind w:firstLine="562" w:firstLineChars="200"/>
        <w:rPr>
          <w:rFonts w:hint="eastAsia"/>
          <w:color w:val="auto"/>
          <w:lang w:val="en-US" w:eastAsia="zh-CN"/>
        </w:rPr>
      </w:pPr>
      <w:bookmarkStart w:id="651" w:name="_Toc4413"/>
      <w:bookmarkStart w:id="652" w:name="_Toc28897"/>
      <w:bookmarkStart w:id="653" w:name="_Toc15893"/>
      <w:bookmarkStart w:id="654" w:name="_Toc9961"/>
      <w:bookmarkStart w:id="655" w:name="_Toc13212"/>
      <w:bookmarkStart w:id="656" w:name="_Toc13919"/>
      <w:r>
        <w:rPr>
          <w:rFonts w:hint="eastAsia"/>
          <w:color w:val="auto"/>
          <w:lang w:val="en-US" w:eastAsia="zh-CN"/>
        </w:rPr>
        <w:t>8.1.2 工艺技术及生产装置的安全可靠性评价</w:t>
      </w:r>
      <w:bookmarkEnd w:id="651"/>
      <w:bookmarkEnd w:id="652"/>
      <w:bookmarkEnd w:id="653"/>
      <w:bookmarkEnd w:id="654"/>
      <w:bookmarkEnd w:id="655"/>
      <w:bookmarkEnd w:id="656"/>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1.技术、工艺安全可靠性分析</w:t>
      </w:r>
    </w:p>
    <w:p>
      <w:pPr>
        <w:bidi w:val="0"/>
        <w:ind w:firstLine="560" w:firstLineChars="200"/>
        <w:rPr>
          <w:rFonts w:hint="eastAsia"/>
          <w:color w:val="auto"/>
          <w:lang w:val="en-US" w:eastAsia="zh-CN"/>
        </w:rPr>
      </w:pPr>
      <w:r>
        <w:rPr>
          <w:rFonts w:hint="eastAsia"/>
          <w:color w:val="auto"/>
          <w:lang w:val="en-US" w:eastAsia="zh-CN"/>
        </w:rPr>
        <w:t>有机玻璃废料裂解法的工艺技术在国内均有成熟应用的先例，其技术方案是安全、可靠的</w:t>
      </w:r>
      <w:r>
        <w:rPr>
          <w:rFonts w:hint="eastAsia" w:asciiTheme="minorEastAsia" w:hAnsiTheme="minorEastAsia" w:eastAsiaTheme="minorEastAsia" w:cstheme="minorEastAsia"/>
          <w:b w:val="0"/>
          <w:bCs w:val="0"/>
          <w:color w:val="auto"/>
          <w:lang w:val="en-US" w:eastAsia="zh-CN"/>
        </w:rPr>
        <w:t>，</w:t>
      </w:r>
      <w:r>
        <w:rPr>
          <w:rFonts w:hint="eastAsia"/>
          <w:color w:val="auto"/>
          <w:lang w:val="en-US" w:eastAsia="zh-CN"/>
        </w:rPr>
        <w:t>本项目工艺技术来源于企业参考国内现有先进工艺技术进行的自主研发。</w:t>
      </w:r>
    </w:p>
    <w:p>
      <w:pPr>
        <w:autoSpaceDE w:val="0"/>
        <w:bidi w:val="0"/>
        <w:ind w:leftChars="0" w:firstLine="560" w:firstLineChars="200"/>
        <w:rPr>
          <w:rFonts w:hint="default"/>
          <w:color w:val="auto"/>
          <w:lang w:val="en-US" w:eastAsia="zh-CN"/>
        </w:rPr>
      </w:pPr>
      <w:r>
        <w:rPr>
          <w:rFonts w:hint="eastAsia"/>
          <w:color w:val="auto"/>
          <w:lang w:val="en-US" w:eastAsia="zh-CN"/>
        </w:rPr>
        <w:t>2023年10月16日，由江西和元安全科学技术有限公司出具《江西旺达新材料有限公司甲基丙烯酸甲酯项目裂解反应化学反应安全风险研究与评估报告》（见附件）。根据报告可知，该反应为间歇反应，实际加料速度下，</w:t>
      </w:r>
      <w:r>
        <w:rPr>
          <w:rFonts w:hint="default"/>
          <w:color w:val="auto"/>
          <w:lang w:val="en-US" w:eastAsia="zh-CN"/>
        </w:rPr>
        <w:t>Tp≤MTSR&lt;TD24&lt;MTT（400℃~500℃≤500℃&lt;TD24&lt;1000℃）。该工艺危险度等级为2级，潜在分解风险。</w:t>
      </w:r>
    </w:p>
    <w:p>
      <w:pPr>
        <w:bidi w:val="0"/>
        <w:ind w:firstLine="560" w:firstLineChars="200"/>
        <w:rPr>
          <w:rFonts w:hint="default"/>
          <w:color w:val="auto"/>
          <w:lang w:val="en-US" w:eastAsia="zh-CN"/>
        </w:rPr>
      </w:pPr>
      <w:r>
        <w:rPr>
          <w:rFonts w:hint="eastAsia"/>
          <w:color w:val="auto"/>
          <w:lang w:val="en-US" w:eastAsia="zh-CN"/>
        </w:rPr>
        <w:t>2023年12月，由江西和兴元隆工程咨询有限公司编制的《国内首次使用化工工艺安全可靠性论证报告——年产20000吨甲基丙烯酸甲酯》（见附件），并通过专家评审（编号：赣应急学会工艺论证[2023]004号）。根据报告可知，本项目使用的化工工艺满足安全可靠性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上所述，该项目各产品工艺技术成熟，产品合成收率高，质量稳定可靠，“三废”排放量低，且易于治理；其拟采用工艺技术在国内外均有成熟应用的先例，生产出合格产品，不属于国内首次应用工艺，其技术方案是安全、可靠的，能够满足安全生产的要求。</w:t>
      </w:r>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2.装置、设备（施）安全可靠性分析</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1）该项目主要装置设备大部分均拟选用国内正规生产企业；装置中各设备选型均经比较，节能、安全；关键部位配有安全设施或安全附件，如在受超压保护设备相关处设有安全阀等。</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2）该项目的设备类型较多，包括裂解、精馏塔、计量罐、高位槽、中间罐、接收罐、储罐等，结合本工艺过程的特点部分的设备，针对各种介质的性质特点和不同的工艺操作条件，分别采用了相应材质的设备。</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3）工艺装置设置集中控制室，主要生产装置采用 DCS 控制系统，自动化程度较高。对重要的参数如压力、液位、温度流量等引至操作室集中显示、记录、调节、报警。在生产、储运及使用过程中采取严格的防火、防爆、防静电措施。控制系统拟对工艺参数、事故报警、安全联锁实现程序控制，均在设备附近设就地开关，以便事故时及时停车，但可研报告中对控制系统描述深度不足，设计时应予以考虑。</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4）在易燃易爆物料可能泄漏的地方，设置可燃气体探测器，以便及时发现和处理气体泄漏事故，确保装置安全。对厂房、各相关设备及管道设置防雷及防静电接地系统。</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5）处于爆炸危险区域内的电动仪表，均拟按规范要求进行选型设计；现场仪表拟选用全天候型，至少应该满足IP65的防护等级。考虑物料的腐蚀性，部分选用防腐蚀型。</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综合以上分析可以看出，该项目拟采用的装置及设备设施安全可靠，能够满足安全生产的要求，但可研报告中对控制系统描述深度不足，设计时应予以考虑。</w:t>
      </w:r>
    </w:p>
    <w:p>
      <w:pPr>
        <w:pStyle w:val="4"/>
        <w:numPr>
          <w:ilvl w:val="-1"/>
          <w:numId w:val="0"/>
        </w:numPr>
        <w:ind w:firstLine="562" w:firstLineChars="200"/>
        <w:rPr>
          <w:rFonts w:hint="eastAsia"/>
          <w:color w:val="auto"/>
          <w:lang w:val="en-US" w:eastAsia="zh-CN"/>
        </w:rPr>
      </w:pPr>
      <w:bookmarkStart w:id="657" w:name="_Toc19505"/>
      <w:bookmarkStart w:id="658" w:name="_Toc28957"/>
      <w:bookmarkStart w:id="659" w:name="_Toc4008"/>
      <w:bookmarkStart w:id="660" w:name="_Toc23198"/>
      <w:bookmarkStart w:id="661" w:name="_Toc27021"/>
      <w:bookmarkStart w:id="662" w:name="_Toc4911"/>
      <w:r>
        <w:rPr>
          <w:rFonts w:hint="eastAsia"/>
          <w:color w:val="auto"/>
          <w:lang w:val="en-US" w:eastAsia="zh-CN"/>
        </w:rPr>
        <w:t>8.1.3 主要装置、设备、设施与危险化学品生产或者储存过程的匹配性</w:t>
      </w:r>
      <w:bookmarkEnd w:id="657"/>
      <w:bookmarkEnd w:id="658"/>
      <w:bookmarkEnd w:id="659"/>
      <w:bookmarkEnd w:id="660"/>
      <w:bookmarkEnd w:id="661"/>
      <w:bookmarkEnd w:id="662"/>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该项目采用技术为成熟工艺，该项目拟选的生产及配套设备，能确保产品的质量和生产的效率。设备选型符合产品品种和质量需要，能够适应项目生产规模、产品方案及工艺技术方案的要求。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该项目原辅材料、产品存储利用新建仓库和罐区。项目所用原辅材料、产品的存储均不低于10天，且原辅材料均可在国内购买，产品拥有稳定的客源。</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因此，该项目拟采用的主要装置、设备（施）与生产、储存过程是相匹配的。</w:t>
      </w:r>
    </w:p>
    <w:p>
      <w:pPr>
        <w:pStyle w:val="4"/>
        <w:numPr>
          <w:ilvl w:val="-1"/>
          <w:numId w:val="0"/>
        </w:numPr>
        <w:ind w:firstLine="562" w:firstLineChars="200"/>
        <w:rPr>
          <w:rFonts w:hint="eastAsia"/>
          <w:color w:val="auto"/>
          <w:lang w:val="en-US" w:eastAsia="zh-CN"/>
        </w:rPr>
      </w:pPr>
      <w:bookmarkStart w:id="663" w:name="_Toc15093"/>
      <w:bookmarkStart w:id="664" w:name="_Toc8231"/>
      <w:bookmarkStart w:id="665" w:name="_Toc6635"/>
      <w:bookmarkStart w:id="666" w:name="_Toc6061"/>
      <w:bookmarkStart w:id="667" w:name="_Toc10619"/>
      <w:bookmarkStart w:id="668" w:name="_Toc27744"/>
      <w:r>
        <w:rPr>
          <w:rFonts w:hint="eastAsia"/>
          <w:color w:val="auto"/>
          <w:lang w:val="en-US" w:eastAsia="zh-CN"/>
        </w:rPr>
        <w:t>8.1.4 公用工程、辅助设施匹配性评价</w:t>
      </w:r>
      <w:bookmarkEnd w:id="663"/>
      <w:bookmarkEnd w:id="664"/>
      <w:bookmarkEnd w:id="665"/>
      <w:bookmarkEnd w:id="666"/>
      <w:bookmarkEnd w:id="667"/>
      <w:bookmarkEnd w:id="668"/>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该项目主要公用、辅助工程有：给排水、供电、供热、仪表空气氮气系统、冷冻等。</w:t>
      </w:r>
    </w:p>
    <w:p>
      <w:pPr>
        <w:numPr>
          <w:ilvl w:val="-1"/>
          <w:numId w:val="0"/>
        </w:numPr>
        <w:ind w:firstLine="562" w:firstLineChars="200"/>
        <w:rPr>
          <w:rFonts w:hint="eastAsia"/>
          <w:b/>
          <w:bCs/>
          <w:color w:val="auto"/>
          <w:sz w:val="28"/>
          <w:szCs w:val="24"/>
          <w:lang w:val="en-US" w:eastAsia="zh-CN"/>
        </w:rPr>
      </w:pPr>
      <w:r>
        <w:rPr>
          <w:rFonts w:hint="eastAsia"/>
          <w:b/>
          <w:bCs/>
          <w:color w:val="auto"/>
          <w:sz w:val="28"/>
          <w:szCs w:val="24"/>
          <w:lang w:val="en-US" w:eastAsia="zh-CN"/>
        </w:rPr>
        <w:t>1.给排水</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1）给水水源</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该项目生产用水主要为生产车间的设备清洗地面冲洗用水等方面用水和人员生活用水，新鲜水最大需求量为11</w:t>
      </w:r>
      <w:r>
        <w:rPr>
          <w:rFonts w:hint="eastAsia"/>
          <w:b w:val="0"/>
          <w:bCs w:val="0"/>
          <w:color w:val="auto"/>
          <w:sz w:val="28"/>
          <w:szCs w:val="24"/>
          <w:highlight w:val="none"/>
          <w:lang w:val="en-US" w:eastAsia="zh-CN"/>
        </w:rPr>
        <w:t>2m</w:t>
      </w:r>
      <w:r>
        <w:rPr>
          <w:rFonts w:hint="eastAsia"/>
          <w:b w:val="0"/>
          <w:bCs w:val="0"/>
          <w:color w:val="auto"/>
          <w:sz w:val="28"/>
          <w:szCs w:val="24"/>
          <w:highlight w:val="none"/>
          <w:vertAlign w:val="superscript"/>
          <w:lang w:val="en-US" w:eastAsia="zh-CN"/>
        </w:rPr>
        <w:t>3</w:t>
      </w:r>
      <w:r>
        <w:rPr>
          <w:rFonts w:hint="eastAsia"/>
          <w:b w:val="0"/>
          <w:bCs w:val="0"/>
          <w:color w:val="auto"/>
          <w:sz w:val="28"/>
          <w:szCs w:val="24"/>
          <w:highlight w:val="none"/>
          <w:lang w:val="en-US" w:eastAsia="zh-CN"/>
        </w:rPr>
        <w:t>/d</w:t>
      </w:r>
      <w:r>
        <w:rPr>
          <w:rFonts w:hint="eastAsia"/>
          <w:b w:val="0"/>
          <w:bCs w:val="0"/>
          <w:color w:val="auto"/>
          <w:sz w:val="28"/>
          <w:szCs w:val="24"/>
          <w:lang w:val="en-US" w:eastAsia="zh-CN"/>
        </w:rPr>
        <w:t>，该项目用水由厂区自来水总管接入，接入管径DN200，压力≥0.3MPa，供水能力≥120m</w:t>
      </w:r>
      <w:r>
        <w:rPr>
          <w:rFonts w:hint="eastAsia"/>
          <w:b w:val="0"/>
          <w:bCs w:val="0"/>
          <w:color w:val="auto"/>
          <w:sz w:val="28"/>
          <w:szCs w:val="24"/>
          <w:vertAlign w:val="superscript"/>
          <w:lang w:val="en-US" w:eastAsia="zh-CN"/>
        </w:rPr>
        <w:t>3</w:t>
      </w:r>
      <w:r>
        <w:rPr>
          <w:rFonts w:hint="eastAsia"/>
          <w:b w:val="0"/>
          <w:bCs w:val="0"/>
          <w:color w:val="auto"/>
          <w:sz w:val="28"/>
          <w:szCs w:val="24"/>
          <w:lang w:val="en-US" w:eastAsia="zh-CN"/>
        </w:rPr>
        <w:t>/h，供水管网能够满足该项目需求。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2）循环水系统</w:t>
      </w:r>
    </w:p>
    <w:p>
      <w:pPr>
        <w:numPr>
          <w:ilvl w:val="-1"/>
          <w:numId w:val="0"/>
        </w:numPr>
        <w:ind w:firstLine="560" w:firstLineChars="200"/>
        <w:rPr>
          <w:rFonts w:hint="eastAsia"/>
          <w:b w:val="0"/>
          <w:bCs w:val="0"/>
          <w:color w:val="auto"/>
          <w:sz w:val="28"/>
          <w:szCs w:val="24"/>
          <w:highlight w:val="yellow"/>
          <w:lang w:val="en-US" w:eastAsia="zh-CN"/>
        </w:rPr>
      </w:pPr>
      <w:r>
        <w:rPr>
          <w:rFonts w:hint="eastAsia"/>
          <w:b w:val="0"/>
          <w:bCs w:val="0"/>
          <w:color w:val="auto"/>
          <w:sz w:val="28"/>
          <w:szCs w:val="24"/>
          <w:highlight w:val="none"/>
          <w:lang w:val="en-US" w:eastAsia="zh-CN"/>
        </w:rPr>
        <w:t>该项目新建循环水系统，拟设2台75kW循环水泵，1用1备，单台循环水量500t/h，补水48t/d，循环水最大需求量约1000t/d，能够满足项目需求。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3）排水方案</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该项目拟建污水处理设施。污水处理池设计规模为 100 t/d；该项目产生的废水主要为生活污水、设备清洗废水等，</w:t>
      </w:r>
      <w:r>
        <w:rPr>
          <w:rFonts w:hint="eastAsia"/>
          <w:b w:val="0"/>
          <w:bCs w:val="0"/>
          <w:color w:val="auto"/>
          <w:sz w:val="28"/>
          <w:szCs w:val="24"/>
          <w:highlight w:val="none"/>
          <w:lang w:val="en-US" w:eastAsia="zh-CN"/>
        </w:rPr>
        <w:t>其中该项目外排水最大量 57.6t/d</w:t>
      </w:r>
      <w:r>
        <w:rPr>
          <w:rFonts w:hint="eastAsia"/>
          <w:b w:val="0"/>
          <w:bCs w:val="0"/>
          <w:color w:val="auto"/>
          <w:sz w:val="28"/>
          <w:szCs w:val="24"/>
          <w:lang w:val="en-US" w:eastAsia="zh-CN"/>
        </w:rPr>
        <w:t>，拟设污水处理池处理能力满足要求。</w:t>
      </w:r>
    </w:p>
    <w:p>
      <w:pPr>
        <w:numPr>
          <w:ilvl w:val="-1"/>
          <w:numId w:val="0"/>
        </w:numPr>
        <w:ind w:firstLine="560" w:firstLineChars="200"/>
        <w:rPr>
          <w:rFonts w:hint="eastAsia"/>
          <w:b w:val="0"/>
          <w:bCs w:val="0"/>
          <w:color w:val="auto"/>
          <w:sz w:val="28"/>
          <w:szCs w:val="24"/>
          <w:lang w:val="en-US" w:eastAsia="zh-CN"/>
        </w:rPr>
      </w:pPr>
      <w:r>
        <w:rPr>
          <w:rFonts w:hint="eastAsia"/>
          <w:b w:val="0"/>
          <w:bCs w:val="0"/>
          <w:color w:val="auto"/>
          <w:sz w:val="28"/>
          <w:szCs w:val="24"/>
          <w:lang w:val="en-US" w:eastAsia="zh-CN"/>
        </w:rPr>
        <w:t>该项目新建305初期雨水池（有效容积345m</w:t>
      </w:r>
      <w:r>
        <w:rPr>
          <w:rFonts w:hint="eastAsia"/>
          <w:b w:val="0"/>
          <w:bCs w:val="0"/>
          <w:color w:val="auto"/>
          <w:sz w:val="28"/>
          <w:szCs w:val="24"/>
          <w:vertAlign w:val="superscript"/>
          <w:lang w:val="en-US" w:eastAsia="zh-CN"/>
        </w:rPr>
        <w:t>3</w:t>
      </w:r>
      <w:r>
        <w:rPr>
          <w:rFonts w:hint="eastAsia"/>
          <w:b w:val="0"/>
          <w:bCs w:val="0"/>
          <w:color w:val="auto"/>
          <w:sz w:val="28"/>
          <w:szCs w:val="24"/>
          <w:lang w:val="en-US" w:eastAsia="zh-CN"/>
        </w:rPr>
        <w:t>）及303事故应急池（有效容积593m</w:t>
      </w:r>
      <w:r>
        <w:rPr>
          <w:rFonts w:hint="eastAsia"/>
          <w:b w:val="0"/>
          <w:bCs w:val="0"/>
          <w:color w:val="auto"/>
          <w:sz w:val="28"/>
          <w:szCs w:val="24"/>
          <w:vertAlign w:val="superscript"/>
          <w:lang w:val="en-US" w:eastAsia="zh-CN"/>
        </w:rPr>
        <w:t>3</w:t>
      </w:r>
      <w:r>
        <w:rPr>
          <w:rFonts w:hint="eastAsia"/>
          <w:b w:val="0"/>
          <w:bCs w:val="0"/>
          <w:color w:val="auto"/>
          <w:sz w:val="28"/>
          <w:szCs w:val="24"/>
          <w:lang w:val="en-US" w:eastAsia="zh-CN"/>
        </w:rPr>
        <w:t>），项目一次火灾最大消防水量为540m</w:t>
      </w:r>
      <w:r>
        <w:rPr>
          <w:rFonts w:hint="eastAsia"/>
          <w:b w:val="0"/>
          <w:bCs w:val="0"/>
          <w:color w:val="auto"/>
          <w:sz w:val="28"/>
          <w:szCs w:val="24"/>
          <w:vertAlign w:val="superscript"/>
          <w:lang w:val="en-US" w:eastAsia="zh-CN"/>
        </w:rPr>
        <w:t>3</w:t>
      </w:r>
      <w:r>
        <w:rPr>
          <w:rFonts w:hint="eastAsia"/>
          <w:b w:val="0"/>
          <w:bCs w:val="0"/>
          <w:color w:val="auto"/>
          <w:sz w:val="28"/>
          <w:szCs w:val="24"/>
          <w:lang w:val="en-US" w:eastAsia="zh-CN"/>
        </w:rPr>
        <w:t>，罐区防火堤可容纳储罐全部泄漏量，拟建初期雨水池及事故应急池能够满足项目初期雨水收集及消防废水收集要求。</w:t>
      </w:r>
    </w:p>
    <w:p>
      <w:pPr>
        <w:numPr>
          <w:ilvl w:val="0"/>
          <w:numId w:val="0"/>
        </w:numPr>
        <w:ind w:firstLine="562" w:firstLineChars="200"/>
        <w:rPr>
          <w:rFonts w:hint="eastAsia"/>
          <w:b/>
          <w:bCs/>
          <w:color w:val="auto"/>
          <w:sz w:val="28"/>
          <w:szCs w:val="24"/>
          <w:lang w:val="en-US" w:eastAsia="zh-CN"/>
        </w:rPr>
      </w:pPr>
      <w:r>
        <w:rPr>
          <w:rFonts w:hint="eastAsia" w:ascii="Times New Roman" w:hAnsi="Times New Roman" w:eastAsia="宋体" w:cs="Times New Roman"/>
          <w:b/>
          <w:bCs/>
          <w:color w:val="auto"/>
          <w:kern w:val="2"/>
          <w:sz w:val="28"/>
          <w:szCs w:val="24"/>
          <w:lang w:val="en-US" w:eastAsia="zh-CN" w:bidi="ar-SA"/>
        </w:rPr>
        <w:t>2.</w:t>
      </w:r>
      <w:r>
        <w:rPr>
          <w:rFonts w:hint="eastAsia"/>
          <w:b/>
          <w:bCs/>
          <w:color w:val="auto"/>
          <w:sz w:val="28"/>
          <w:szCs w:val="24"/>
          <w:lang w:val="en-US" w:eastAsia="zh-CN"/>
        </w:rPr>
        <w:t>供电</w:t>
      </w:r>
    </w:p>
    <w:p>
      <w:pPr>
        <w:numPr>
          <w:ilvl w:val="0"/>
          <w:numId w:val="0"/>
        </w:numPr>
        <w:bidi w:val="0"/>
        <w:ind w:firstLine="560" w:firstLineChars="200"/>
        <w:rPr>
          <w:rFonts w:hint="eastAsia"/>
          <w:color w:val="auto"/>
          <w:highlight w:val="none"/>
          <w:lang w:val="en-US" w:eastAsia="zh-CN"/>
        </w:rPr>
      </w:pPr>
      <w:r>
        <w:rPr>
          <w:rFonts w:hint="eastAsia"/>
          <w:color w:val="auto"/>
          <w:highlight w:val="none"/>
          <w:lang w:val="en-US" w:eastAsia="zh-CN"/>
        </w:rPr>
        <w:t>1、供电电源选择</w:t>
      </w:r>
    </w:p>
    <w:p>
      <w:pPr>
        <w:spacing w:line="600" w:lineRule="exact"/>
        <w:ind w:firstLine="560" w:firstLineChars="200"/>
        <w:rPr>
          <w:rFonts w:hint="default" w:eastAsia="宋体"/>
          <w:color w:val="auto"/>
          <w:kern w:val="0"/>
          <w:sz w:val="28"/>
          <w:szCs w:val="28"/>
          <w:highlight w:val="none"/>
          <w:lang w:val="en-US" w:eastAsia="zh-CN"/>
        </w:rPr>
      </w:pPr>
      <w:r>
        <w:rPr>
          <w:color w:val="auto"/>
          <w:kern w:val="0"/>
          <w:sz w:val="28"/>
          <w:szCs w:val="28"/>
          <w:highlight w:val="none"/>
        </w:rPr>
        <w:t>供电：</w:t>
      </w:r>
      <w:r>
        <w:rPr>
          <w:rFonts w:hint="eastAsia"/>
          <w:color w:val="auto"/>
          <w:kern w:val="0"/>
          <w:sz w:val="28"/>
          <w:szCs w:val="28"/>
          <w:highlight w:val="none"/>
          <w:lang w:val="en-US" w:eastAsia="zh-CN"/>
        </w:rPr>
        <w:t>袁州医药工业园园区的两路电源分别</w:t>
      </w:r>
      <w:r>
        <w:rPr>
          <w:color w:val="auto"/>
          <w:kern w:val="0"/>
          <w:sz w:val="28"/>
          <w:szCs w:val="28"/>
          <w:highlight w:val="none"/>
        </w:rPr>
        <w:t>引</w:t>
      </w:r>
      <w:r>
        <w:rPr>
          <w:rFonts w:hint="eastAsia"/>
          <w:color w:val="auto"/>
          <w:kern w:val="0"/>
          <w:sz w:val="28"/>
          <w:szCs w:val="28"/>
          <w:highlight w:val="none"/>
          <w:lang w:val="en-US" w:eastAsia="zh-CN"/>
        </w:rPr>
        <w:t>至已建成的110</w:t>
      </w:r>
      <w:r>
        <w:rPr>
          <w:color w:val="auto"/>
          <w:kern w:val="0"/>
          <w:sz w:val="28"/>
          <w:szCs w:val="28"/>
          <w:highlight w:val="none"/>
        </w:rPr>
        <w:t>kV/10kV</w:t>
      </w:r>
      <w:r>
        <w:rPr>
          <w:rFonts w:hint="eastAsia"/>
          <w:color w:val="auto"/>
          <w:kern w:val="0"/>
          <w:sz w:val="28"/>
          <w:szCs w:val="28"/>
          <w:highlight w:val="none"/>
          <w:lang w:val="en-US" w:eastAsia="zh-CN"/>
        </w:rPr>
        <w:t>杆塘</w:t>
      </w:r>
      <w:r>
        <w:rPr>
          <w:color w:val="auto"/>
          <w:kern w:val="0"/>
          <w:sz w:val="28"/>
          <w:szCs w:val="28"/>
          <w:highlight w:val="none"/>
        </w:rPr>
        <w:t>变电站</w:t>
      </w:r>
      <w:r>
        <w:rPr>
          <w:rFonts w:hint="eastAsia"/>
          <w:color w:val="auto"/>
          <w:kern w:val="0"/>
          <w:sz w:val="28"/>
          <w:szCs w:val="28"/>
          <w:highlight w:val="none"/>
          <w:lang w:val="en-US" w:eastAsia="zh-CN"/>
        </w:rPr>
        <w:t>和22</w:t>
      </w:r>
      <w:r>
        <w:rPr>
          <w:color w:val="auto"/>
          <w:kern w:val="0"/>
          <w:sz w:val="28"/>
          <w:szCs w:val="28"/>
          <w:highlight w:val="none"/>
        </w:rPr>
        <w:t>0kV/10kV</w:t>
      </w:r>
      <w:r>
        <w:rPr>
          <w:rFonts w:hint="eastAsia"/>
          <w:color w:val="auto"/>
          <w:kern w:val="0"/>
          <w:sz w:val="28"/>
          <w:szCs w:val="28"/>
          <w:highlight w:val="none"/>
          <w:lang w:val="en-US" w:eastAsia="zh-CN"/>
        </w:rPr>
        <w:t>明怡</w:t>
      </w:r>
      <w:r>
        <w:rPr>
          <w:color w:val="auto"/>
          <w:kern w:val="0"/>
          <w:sz w:val="28"/>
          <w:szCs w:val="28"/>
          <w:highlight w:val="none"/>
        </w:rPr>
        <w:t>变电站，</w:t>
      </w:r>
      <w:r>
        <w:rPr>
          <w:rFonts w:hint="eastAsia"/>
          <w:color w:val="auto"/>
          <w:kern w:val="0"/>
          <w:sz w:val="28"/>
          <w:szCs w:val="28"/>
          <w:highlight w:val="none"/>
          <w:lang w:val="en-US" w:eastAsia="zh-CN"/>
        </w:rPr>
        <w:t>园区10KV双回路</w:t>
      </w:r>
      <w:r>
        <w:rPr>
          <w:color w:val="auto"/>
          <w:kern w:val="0"/>
          <w:sz w:val="28"/>
          <w:szCs w:val="28"/>
          <w:highlight w:val="none"/>
        </w:rPr>
        <w:t>供电线路已架</w:t>
      </w:r>
      <w:r>
        <w:rPr>
          <w:rFonts w:hint="eastAsia"/>
          <w:color w:val="auto"/>
          <w:kern w:val="0"/>
          <w:sz w:val="28"/>
          <w:szCs w:val="28"/>
          <w:highlight w:val="none"/>
          <w:lang w:val="en-US" w:eastAsia="zh-CN"/>
        </w:rPr>
        <w:t>设</w:t>
      </w:r>
      <w:r>
        <w:rPr>
          <w:color w:val="auto"/>
          <w:kern w:val="0"/>
          <w:sz w:val="28"/>
          <w:szCs w:val="28"/>
          <w:highlight w:val="none"/>
        </w:rPr>
        <w:t>至该项目道路旁。</w:t>
      </w:r>
    </w:p>
    <w:p>
      <w:pPr>
        <w:bidi w:val="0"/>
        <w:ind w:firstLine="560" w:firstLineChars="200"/>
        <w:rPr>
          <w:color w:val="auto"/>
          <w:highlight w:val="none"/>
        </w:rPr>
      </w:pPr>
      <w:r>
        <w:rPr>
          <w:rFonts w:hint="eastAsia"/>
          <w:color w:val="auto"/>
          <w:kern w:val="0"/>
          <w:sz w:val="28"/>
          <w:szCs w:val="28"/>
          <w:highlight w:val="none"/>
          <w:lang w:val="en-US" w:eastAsia="zh-CN"/>
        </w:rPr>
        <w:t>该项目电源来自道路旁的10KV双回路供电线路，通过埋地敷设至</w:t>
      </w:r>
      <w:r>
        <w:rPr>
          <w:rFonts w:hint="eastAsia"/>
          <w:color w:val="auto"/>
          <w:highlight w:val="none"/>
          <w:lang w:val="en-US" w:eastAsia="zh-CN"/>
        </w:rPr>
        <w:t>该项目</w:t>
      </w:r>
      <w:r>
        <w:rPr>
          <w:rFonts w:hint="eastAsia"/>
          <w:b w:val="0"/>
          <w:bCs w:val="0"/>
          <w:color w:val="auto"/>
          <w:sz w:val="28"/>
          <w:szCs w:val="24"/>
          <w:highlight w:val="none"/>
          <w:lang w:val="en-US" w:eastAsia="zh-CN"/>
        </w:rPr>
        <w:t>306公用工程间的</w:t>
      </w:r>
      <w:r>
        <w:rPr>
          <w:rFonts w:hint="eastAsia"/>
          <w:color w:val="auto"/>
          <w:highlight w:val="none"/>
          <w:lang w:val="en-US" w:eastAsia="zh-CN"/>
        </w:rPr>
        <w:t>变配电室</w:t>
      </w:r>
      <w:r>
        <w:rPr>
          <w:rFonts w:hint="eastAsia"/>
          <w:b w:val="0"/>
          <w:bCs w:val="0"/>
          <w:color w:val="auto"/>
          <w:sz w:val="28"/>
          <w:szCs w:val="24"/>
          <w:highlight w:val="none"/>
          <w:lang w:val="en-US" w:eastAsia="zh-CN"/>
        </w:rPr>
        <w:t>，变配电室内设1台160KVA 和2台2500KVA干式变压器</w:t>
      </w:r>
      <w:r>
        <w:rPr>
          <w:color w:val="auto"/>
          <w:highlight w:val="none"/>
        </w:rPr>
        <w:t>，变压器低压为铜芯电缆进入配电房总开关柜，通过电缆沟分至各供电单元配电柜，由供电单元地埋至各用电车间。</w:t>
      </w:r>
    </w:p>
    <w:p>
      <w:pPr>
        <w:bidi w:val="0"/>
        <w:ind w:firstLine="560"/>
        <w:rPr>
          <w:color w:val="auto"/>
          <w:kern w:val="0"/>
          <w:sz w:val="28"/>
          <w:szCs w:val="28"/>
          <w:highlight w:val="none"/>
        </w:rPr>
      </w:pPr>
      <w:r>
        <w:rPr>
          <w:rFonts w:hint="eastAsia"/>
          <w:color w:val="auto"/>
          <w:kern w:val="0"/>
          <w:sz w:val="28"/>
          <w:szCs w:val="28"/>
          <w:highlight w:val="none"/>
        </w:rPr>
        <w:t>该项目</w:t>
      </w:r>
      <w:r>
        <w:rPr>
          <w:rFonts w:hint="eastAsia"/>
          <w:color w:val="auto"/>
          <w:kern w:val="0"/>
          <w:sz w:val="28"/>
          <w:szCs w:val="28"/>
          <w:highlight w:val="none"/>
          <w:lang w:val="en-US" w:eastAsia="zh-CN"/>
        </w:rPr>
        <w:t>拟</w:t>
      </w:r>
      <w:r>
        <w:rPr>
          <w:color w:val="auto"/>
          <w:kern w:val="0"/>
          <w:sz w:val="28"/>
          <w:szCs w:val="28"/>
          <w:highlight w:val="none"/>
        </w:rPr>
        <w:t>200kW的柴油发电机组，布置在消防泵房内，</w:t>
      </w:r>
      <w:r>
        <w:rPr>
          <w:rFonts w:hint="eastAsia"/>
          <w:color w:val="auto"/>
          <w:kern w:val="0"/>
          <w:sz w:val="28"/>
          <w:szCs w:val="28"/>
          <w:highlight w:val="none"/>
        </w:rPr>
        <w:t>作为</w:t>
      </w:r>
      <w:r>
        <w:rPr>
          <w:color w:val="auto"/>
          <w:kern w:val="0"/>
          <w:sz w:val="28"/>
          <w:szCs w:val="28"/>
          <w:highlight w:val="none"/>
        </w:rPr>
        <w:t>该项目仪表电源</w:t>
      </w:r>
      <w:r>
        <w:rPr>
          <w:rFonts w:hint="eastAsia"/>
          <w:color w:val="auto"/>
          <w:kern w:val="0"/>
          <w:sz w:val="28"/>
          <w:szCs w:val="28"/>
          <w:highlight w:val="none"/>
          <w:lang w:eastAsia="zh-CN"/>
        </w:rPr>
        <w:t>、</w:t>
      </w:r>
      <w:r>
        <w:rPr>
          <w:color w:val="auto"/>
          <w:sz w:val="28"/>
          <w:szCs w:val="28"/>
          <w:highlight w:val="none"/>
        </w:rPr>
        <w:t>可燃/有毒气体报警探测器、火灾报警系统及车间重要仪表显示用电</w:t>
      </w:r>
      <w:r>
        <w:rPr>
          <w:color w:val="auto"/>
          <w:kern w:val="0"/>
          <w:sz w:val="28"/>
          <w:szCs w:val="28"/>
          <w:highlight w:val="none"/>
        </w:rPr>
        <w:t>等一级重要负荷</w:t>
      </w:r>
      <w:r>
        <w:rPr>
          <w:rFonts w:hint="eastAsia"/>
          <w:color w:val="auto"/>
          <w:kern w:val="0"/>
          <w:sz w:val="28"/>
          <w:szCs w:val="28"/>
          <w:highlight w:val="none"/>
        </w:rPr>
        <w:t>应急</w:t>
      </w:r>
      <w:r>
        <w:rPr>
          <w:color w:val="auto"/>
          <w:kern w:val="0"/>
          <w:sz w:val="28"/>
          <w:szCs w:val="28"/>
          <w:highlight w:val="none"/>
        </w:rPr>
        <w:t>电源。</w:t>
      </w:r>
    </w:p>
    <w:p>
      <w:pPr>
        <w:spacing w:line="600" w:lineRule="exact"/>
        <w:ind w:firstLine="560" w:firstLineChars="200"/>
        <w:rPr>
          <w:color w:val="auto"/>
          <w:sz w:val="28"/>
          <w:szCs w:val="28"/>
          <w:highlight w:val="none"/>
        </w:rPr>
      </w:pPr>
      <w:r>
        <w:rPr>
          <w:color w:val="auto"/>
          <w:sz w:val="28"/>
          <w:szCs w:val="28"/>
          <w:highlight w:val="none"/>
        </w:rPr>
        <w:t>2、负荷等级及供电电源可靠性</w:t>
      </w:r>
    </w:p>
    <w:p>
      <w:pPr>
        <w:pStyle w:val="54"/>
        <w:ind w:firstLine="536"/>
        <w:rPr>
          <w:color w:val="auto"/>
          <w:sz w:val="28"/>
          <w:szCs w:val="28"/>
          <w:highlight w:val="none"/>
        </w:rPr>
      </w:pPr>
      <w:r>
        <w:rPr>
          <w:color w:val="auto"/>
          <w:sz w:val="28"/>
          <w:szCs w:val="28"/>
          <w:highlight w:val="none"/>
        </w:rPr>
        <w:t>本项目仅应急照明、视频监控系统、消防泵、通风系统及尾气吸收系统用电为二级负荷，二级用电负荷约为</w:t>
      </w:r>
      <w:r>
        <w:rPr>
          <w:rFonts w:hint="eastAsia"/>
          <w:color w:val="auto"/>
          <w:sz w:val="28"/>
          <w:szCs w:val="28"/>
          <w:highlight w:val="none"/>
          <w:lang w:val="en-US" w:eastAsia="zh-CN"/>
        </w:rPr>
        <w:t>190</w:t>
      </w:r>
      <w:r>
        <w:rPr>
          <w:color w:val="auto"/>
          <w:sz w:val="28"/>
          <w:szCs w:val="28"/>
          <w:highlight w:val="none"/>
        </w:rPr>
        <w:t>kW，其余均为三级负荷。仪表电源、可燃气体报警探测器、火灾报警系统及车间重要仪表显示用电为一级用电负荷。仪表电源、气体报警系统用电、火灾报警系统用电由UPS电源提供保障，当外电源中断时，UPS电池至少可供系统正常工作120min。车间应急照明系统用电由带有自充功能的蓄电池保障供电，可连续供电90min。</w:t>
      </w:r>
    </w:p>
    <w:p>
      <w:pPr>
        <w:pStyle w:val="54"/>
        <w:ind w:firstLine="536"/>
        <w:rPr>
          <w:color w:val="auto"/>
          <w:spacing w:val="-6"/>
          <w:highlight w:val="none"/>
        </w:rPr>
      </w:pPr>
      <w:r>
        <w:rPr>
          <w:rFonts w:hint="eastAsia"/>
          <w:color w:val="auto"/>
          <w:spacing w:val="-6"/>
          <w:highlight w:val="none"/>
        </w:rPr>
        <w:t>该项目拟选用</w:t>
      </w:r>
      <w:r>
        <w:rPr>
          <w:rFonts w:hint="eastAsia"/>
          <w:color w:val="auto"/>
          <w:highlight w:val="none"/>
        </w:rPr>
        <w:t>1台</w:t>
      </w:r>
      <w:r>
        <w:rPr>
          <w:rFonts w:hint="eastAsia"/>
          <w:color w:val="auto"/>
          <w:highlight w:val="none"/>
          <w:lang w:val="en-US" w:eastAsia="zh-CN"/>
        </w:rPr>
        <w:t>160</w:t>
      </w:r>
      <w:r>
        <w:rPr>
          <w:rFonts w:hint="eastAsia"/>
          <w:color w:val="auto"/>
          <w:highlight w:val="none"/>
        </w:rPr>
        <w:t>KVA和</w:t>
      </w:r>
      <w:r>
        <w:rPr>
          <w:rFonts w:hint="eastAsia"/>
          <w:color w:val="auto"/>
          <w:highlight w:val="none"/>
          <w:lang w:val="en-US" w:eastAsia="zh-CN"/>
        </w:rPr>
        <w:t>2</w:t>
      </w:r>
      <w:r>
        <w:rPr>
          <w:rFonts w:hint="eastAsia"/>
          <w:color w:val="auto"/>
          <w:highlight w:val="none"/>
        </w:rPr>
        <w:t>台</w:t>
      </w:r>
      <w:r>
        <w:rPr>
          <w:color w:val="auto"/>
          <w:highlight w:val="none"/>
        </w:rPr>
        <w:t>25</w:t>
      </w:r>
      <w:r>
        <w:rPr>
          <w:rFonts w:hint="eastAsia"/>
          <w:color w:val="auto"/>
          <w:highlight w:val="none"/>
          <w:lang w:val="en-US" w:eastAsia="zh-CN"/>
        </w:rPr>
        <w:t>0</w:t>
      </w:r>
      <w:r>
        <w:rPr>
          <w:color w:val="auto"/>
          <w:highlight w:val="none"/>
        </w:rPr>
        <w:t>0</w:t>
      </w:r>
      <w:r>
        <w:rPr>
          <w:rFonts w:hint="eastAsia"/>
          <w:color w:val="auto"/>
          <w:highlight w:val="none"/>
        </w:rPr>
        <w:t>KVA干式变压器</w:t>
      </w:r>
      <w:r>
        <w:rPr>
          <w:rFonts w:hint="eastAsia"/>
          <w:color w:val="auto"/>
          <w:spacing w:val="-6"/>
          <w:highlight w:val="none"/>
        </w:rPr>
        <w:t>，</w:t>
      </w:r>
      <w:r>
        <w:rPr>
          <w:rFonts w:hint="eastAsia"/>
          <w:color w:val="auto"/>
          <w:highlight w:val="none"/>
        </w:rPr>
        <w:t>负荷率</w:t>
      </w:r>
      <w:r>
        <w:rPr>
          <w:rFonts w:hint="eastAsia"/>
          <w:color w:val="auto"/>
          <w:highlight w:val="none"/>
          <w:lang w:val="en-US" w:eastAsia="zh-CN"/>
        </w:rPr>
        <w:t>约</w:t>
      </w:r>
      <w:r>
        <w:rPr>
          <w:rFonts w:hint="eastAsia"/>
          <w:color w:val="auto"/>
          <w:highlight w:val="none"/>
        </w:rPr>
        <w:t>为</w:t>
      </w:r>
      <w:r>
        <w:rPr>
          <w:rFonts w:hint="eastAsia"/>
          <w:color w:val="auto"/>
          <w:highlight w:val="none"/>
          <w:lang w:val="en-US" w:eastAsia="zh-CN"/>
        </w:rPr>
        <w:t>70</w:t>
      </w:r>
      <w:r>
        <w:rPr>
          <w:rFonts w:hint="eastAsia"/>
          <w:color w:val="auto"/>
          <w:highlight w:val="none"/>
        </w:rPr>
        <w:t>%，可以</w:t>
      </w:r>
      <w:r>
        <w:rPr>
          <w:rFonts w:hint="eastAsia"/>
          <w:color w:val="auto"/>
          <w:spacing w:val="-6"/>
          <w:highlight w:val="none"/>
        </w:rPr>
        <w:t>满足项目需求。</w:t>
      </w:r>
    </w:p>
    <w:p>
      <w:pPr>
        <w:numPr>
          <w:ilvl w:val="-1"/>
          <w:numId w:val="0"/>
        </w:numPr>
        <w:ind w:firstLine="562" w:firstLineChars="200"/>
        <w:rPr>
          <w:rFonts w:hint="eastAsia"/>
          <w:b/>
          <w:bCs/>
          <w:color w:val="auto"/>
          <w:sz w:val="28"/>
          <w:szCs w:val="24"/>
          <w:highlight w:val="none"/>
          <w:lang w:val="en-US" w:eastAsia="zh-CN"/>
        </w:rPr>
      </w:pPr>
      <w:r>
        <w:rPr>
          <w:rFonts w:hint="eastAsia"/>
          <w:b/>
          <w:bCs/>
          <w:color w:val="auto"/>
          <w:sz w:val="28"/>
          <w:szCs w:val="24"/>
          <w:highlight w:val="none"/>
          <w:lang w:val="en-US" w:eastAsia="zh-CN"/>
        </w:rPr>
        <w:t>3.供热</w:t>
      </w:r>
    </w:p>
    <w:p>
      <w:pPr>
        <w:numPr>
          <w:ilvl w:val="-1"/>
          <w:numId w:val="0"/>
        </w:numPr>
        <w:ind w:firstLine="560" w:firstLineChars="200"/>
        <w:rPr>
          <w:rFonts w:hint="eastAsia"/>
          <w:b w:val="0"/>
          <w:bCs w:val="0"/>
          <w:color w:val="auto"/>
          <w:sz w:val="28"/>
          <w:szCs w:val="24"/>
          <w:highlight w:val="yellow"/>
          <w:lang w:val="en-US" w:eastAsia="zh-CN"/>
        </w:rPr>
      </w:pPr>
      <w:r>
        <w:rPr>
          <w:rFonts w:hint="eastAsia"/>
          <w:b w:val="0"/>
          <w:bCs w:val="0"/>
          <w:color w:val="auto"/>
          <w:sz w:val="28"/>
          <w:szCs w:val="24"/>
          <w:highlight w:val="none"/>
          <w:lang w:val="en-US" w:eastAsia="zh-CN"/>
        </w:rPr>
        <w:t>该项目用热属于间断性用热，主要用热形式为蒸汽；该项目蒸汽热源来依托园区供给，供汽压力为1.2MPa、250℃的蒸汽，园区蒸汽供应能力每小时供气26吨；项目平均用汽负荷为3.5t/h，蒸汽供应满足该项目需求。</w:t>
      </w:r>
    </w:p>
    <w:p>
      <w:pPr>
        <w:numPr>
          <w:ilvl w:val="-1"/>
          <w:numId w:val="0"/>
        </w:numPr>
        <w:ind w:firstLine="562" w:firstLineChars="200"/>
        <w:rPr>
          <w:rFonts w:hint="eastAsia"/>
          <w:b/>
          <w:bCs/>
          <w:i w:val="0"/>
          <w:iCs w:val="0"/>
          <w:color w:val="auto"/>
          <w:sz w:val="28"/>
          <w:szCs w:val="24"/>
          <w:highlight w:val="none"/>
          <w:lang w:val="en-US" w:eastAsia="zh-CN"/>
        </w:rPr>
      </w:pPr>
      <w:r>
        <w:rPr>
          <w:rFonts w:hint="eastAsia"/>
          <w:b/>
          <w:bCs/>
          <w:i w:val="0"/>
          <w:iCs w:val="0"/>
          <w:color w:val="auto"/>
          <w:sz w:val="28"/>
          <w:szCs w:val="24"/>
          <w:highlight w:val="none"/>
          <w:lang w:val="en-US" w:eastAsia="zh-CN"/>
        </w:rPr>
        <w:t>4.压缩空气、氮气系统</w:t>
      </w:r>
    </w:p>
    <w:p>
      <w:pPr>
        <w:pStyle w:val="54"/>
        <w:ind w:firstLine="560"/>
        <w:rPr>
          <w:i w:val="0"/>
          <w:iCs w:val="0"/>
          <w:color w:val="auto"/>
          <w:highlight w:val="none"/>
        </w:rPr>
      </w:pPr>
      <w:r>
        <w:rPr>
          <w:i w:val="0"/>
          <w:iCs w:val="0"/>
          <w:color w:val="auto"/>
          <w:highlight w:val="none"/>
        </w:rPr>
        <w:t>拟建项目需用压缩空气和保护氮气，</w:t>
      </w:r>
      <w:r>
        <w:rPr>
          <w:rFonts w:hint="eastAsia"/>
          <w:i w:val="0"/>
          <w:iCs w:val="0"/>
          <w:color w:val="auto"/>
          <w:highlight w:val="none"/>
        </w:rPr>
        <w:t>拟在</w:t>
      </w:r>
      <w:r>
        <w:rPr>
          <w:rFonts w:hint="eastAsia"/>
          <w:i w:val="0"/>
          <w:iCs w:val="0"/>
          <w:color w:val="auto"/>
          <w:highlight w:val="none"/>
          <w:lang w:val="en-US" w:eastAsia="zh-CN"/>
        </w:rPr>
        <w:t>306公用工程间</w:t>
      </w:r>
      <w:r>
        <w:rPr>
          <w:rFonts w:hint="eastAsia"/>
          <w:i w:val="0"/>
          <w:iCs w:val="0"/>
          <w:color w:val="auto"/>
          <w:highlight w:val="none"/>
        </w:rPr>
        <w:t>设置</w:t>
      </w:r>
      <w:r>
        <w:rPr>
          <w:i w:val="0"/>
          <w:iCs w:val="0"/>
          <w:color w:val="auto"/>
          <w:highlight w:val="none"/>
        </w:rPr>
        <w:t>2台</w:t>
      </w:r>
      <w:r>
        <w:rPr>
          <w:rFonts w:hint="eastAsia"/>
          <w:i w:val="0"/>
          <w:iCs w:val="0"/>
          <w:color w:val="auto"/>
          <w:highlight w:val="none"/>
          <w:lang w:val="en-US" w:eastAsia="zh-CN"/>
        </w:rPr>
        <w:t>3.6</w:t>
      </w:r>
      <w:r>
        <w:rPr>
          <w:rFonts w:hint="eastAsia"/>
          <w:i w:val="0"/>
          <w:iCs w:val="0"/>
          <w:color w:val="auto"/>
          <w:highlight w:val="none"/>
        </w:rPr>
        <w:t>m</w:t>
      </w:r>
      <w:r>
        <w:rPr>
          <w:rFonts w:hint="eastAsia"/>
          <w:i w:val="0"/>
          <w:iCs w:val="0"/>
          <w:color w:val="auto"/>
          <w:highlight w:val="none"/>
          <w:vertAlign w:val="superscript"/>
        </w:rPr>
        <w:t>3</w:t>
      </w:r>
      <w:r>
        <w:rPr>
          <w:rFonts w:hint="eastAsia"/>
          <w:i w:val="0"/>
          <w:iCs w:val="0"/>
          <w:color w:val="auto"/>
          <w:highlight w:val="none"/>
        </w:rPr>
        <w:t>/min、排气压力0.8MPa</w:t>
      </w:r>
      <w:r>
        <w:rPr>
          <w:i w:val="0"/>
          <w:iCs w:val="0"/>
          <w:color w:val="auto"/>
          <w:highlight w:val="none"/>
        </w:rPr>
        <w:t>的</w:t>
      </w:r>
      <w:r>
        <w:rPr>
          <w:rFonts w:hint="eastAsia"/>
          <w:i w:val="0"/>
          <w:iCs w:val="0"/>
          <w:color w:val="auto"/>
          <w:highlight w:val="none"/>
        </w:rPr>
        <w:t>螺杆空气压缩机（</w:t>
      </w:r>
      <w:r>
        <w:rPr>
          <w:i w:val="0"/>
          <w:iCs w:val="0"/>
          <w:color w:val="auto"/>
          <w:highlight w:val="none"/>
        </w:rPr>
        <w:t>1</w:t>
      </w:r>
      <w:r>
        <w:rPr>
          <w:rFonts w:hint="eastAsia"/>
          <w:i w:val="0"/>
          <w:iCs w:val="0"/>
          <w:color w:val="auto"/>
          <w:highlight w:val="none"/>
        </w:rPr>
        <w:t>用1备）</w:t>
      </w:r>
      <w:r>
        <w:rPr>
          <w:i w:val="0"/>
          <w:iCs w:val="0"/>
          <w:color w:val="auto"/>
          <w:highlight w:val="none"/>
        </w:rPr>
        <w:t>和</w:t>
      </w:r>
      <w:r>
        <w:rPr>
          <w:rFonts w:hint="eastAsia"/>
          <w:i w:val="0"/>
          <w:iCs w:val="0"/>
          <w:color w:val="auto"/>
          <w:highlight w:val="none"/>
        </w:rPr>
        <w:t>2台</w:t>
      </w:r>
      <w:r>
        <w:rPr>
          <w:i w:val="0"/>
          <w:iCs w:val="0"/>
          <w:color w:val="auto"/>
          <w:highlight w:val="none"/>
        </w:rPr>
        <w:t>1</w:t>
      </w:r>
      <w:r>
        <w:rPr>
          <w:rFonts w:hint="eastAsia"/>
          <w:i w:val="0"/>
          <w:iCs w:val="0"/>
          <w:color w:val="auto"/>
          <w:highlight w:val="none"/>
        </w:rPr>
        <w:t>Nm</w:t>
      </w:r>
      <w:r>
        <w:rPr>
          <w:rFonts w:hint="eastAsia"/>
          <w:i w:val="0"/>
          <w:iCs w:val="0"/>
          <w:color w:val="auto"/>
          <w:highlight w:val="none"/>
          <w:vertAlign w:val="superscript"/>
        </w:rPr>
        <w:t>3</w:t>
      </w:r>
      <w:r>
        <w:rPr>
          <w:rFonts w:hint="eastAsia"/>
          <w:i w:val="0"/>
          <w:iCs w:val="0"/>
          <w:color w:val="auto"/>
          <w:highlight w:val="none"/>
        </w:rPr>
        <w:t>/min制氮机组（</w:t>
      </w:r>
      <w:r>
        <w:rPr>
          <w:i w:val="0"/>
          <w:iCs w:val="0"/>
          <w:color w:val="auto"/>
          <w:highlight w:val="none"/>
        </w:rPr>
        <w:t>1</w:t>
      </w:r>
      <w:r>
        <w:rPr>
          <w:rFonts w:hint="eastAsia"/>
          <w:i w:val="0"/>
          <w:iCs w:val="0"/>
          <w:color w:val="auto"/>
          <w:highlight w:val="none"/>
        </w:rPr>
        <w:t>用1备），</w:t>
      </w:r>
      <w:r>
        <w:rPr>
          <w:i w:val="0"/>
          <w:iCs w:val="0"/>
          <w:color w:val="auto"/>
          <w:highlight w:val="none"/>
        </w:rPr>
        <w:t>以满足项目工艺要求。</w:t>
      </w:r>
    </w:p>
    <w:p>
      <w:pPr>
        <w:pStyle w:val="54"/>
        <w:ind w:firstLine="560"/>
        <w:rPr>
          <w:rFonts w:hint="eastAsia"/>
          <w:i w:val="0"/>
          <w:iCs w:val="0"/>
          <w:color w:val="auto"/>
          <w:highlight w:val="none"/>
        </w:rPr>
      </w:pPr>
      <w:r>
        <w:rPr>
          <w:rFonts w:hint="eastAsia"/>
          <w:i w:val="0"/>
          <w:iCs w:val="0"/>
          <w:color w:val="auto"/>
          <w:highlight w:val="none"/>
        </w:rPr>
        <w:t>该项目压缩空气主要用于仪表用气，项目压缩空气最大需求总量为</w:t>
      </w:r>
      <w:r>
        <w:rPr>
          <w:rFonts w:hint="eastAsia"/>
          <w:i w:val="0"/>
          <w:iCs w:val="0"/>
          <w:color w:val="auto"/>
          <w:highlight w:val="none"/>
          <w:lang w:val="en-US" w:eastAsia="zh-CN"/>
        </w:rPr>
        <w:t>8</w:t>
      </w:r>
      <w:r>
        <w:rPr>
          <w:rFonts w:hint="eastAsia"/>
          <w:i w:val="0"/>
          <w:iCs w:val="0"/>
          <w:color w:val="auto"/>
          <w:highlight w:val="none"/>
        </w:rPr>
        <w:t>m</w:t>
      </w:r>
      <w:r>
        <w:rPr>
          <w:rFonts w:hint="eastAsia"/>
          <w:i w:val="0"/>
          <w:iCs w:val="0"/>
          <w:color w:val="auto"/>
          <w:highlight w:val="none"/>
          <w:vertAlign w:val="superscript"/>
        </w:rPr>
        <w:t>3</w:t>
      </w:r>
      <w:r>
        <w:rPr>
          <w:rFonts w:hint="eastAsia"/>
          <w:i w:val="0"/>
          <w:iCs w:val="0"/>
          <w:color w:val="auto"/>
          <w:highlight w:val="none"/>
        </w:rPr>
        <w:t>/h，拟设</w:t>
      </w:r>
      <w:r>
        <w:rPr>
          <w:i w:val="0"/>
          <w:iCs w:val="0"/>
          <w:color w:val="auto"/>
          <w:highlight w:val="none"/>
        </w:rPr>
        <w:t>2</w:t>
      </w:r>
      <w:r>
        <w:rPr>
          <w:rFonts w:hint="eastAsia"/>
          <w:i w:val="0"/>
          <w:iCs w:val="0"/>
          <w:color w:val="auto"/>
          <w:highlight w:val="none"/>
        </w:rPr>
        <w:t>台</w:t>
      </w:r>
      <w:r>
        <w:rPr>
          <w:rFonts w:hint="eastAsia"/>
          <w:i w:val="0"/>
          <w:iCs w:val="0"/>
          <w:color w:val="auto"/>
          <w:highlight w:val="none"/>
          <w:lang w:val="en-US" w:eastAsia="zh-CN"/>
        </w:rPr>
        <w:t>3</w:t>
      </w:r>
      <w:r>
        <w:rPr>
          <w:rFonts w:hint="eastAsia"/>
          <w:i w:val="0"/>
          <w:iCs w:val="0"/>
          <w:color w:val="auto"/>
          <w:highlight w:val="none"/>
        </w:rPr>
        <w:t>m</w:t>
      </w:r>
      <w:r>
        <w:rPr>
          <w:i w:val="0"/>
          <w:iCs w:val="0"/>
          <w:color w:val="auto"/>
          <w:highlight w:val="none"/>
          <w:vertAlign w:val="superscript"/>
        </w:rPr>
        <w:t>3</w:t>
      </w:r>
      <w:r>
        <w:rPr>
          <w:rFonts w:hint="eastAsia"/>
          <w:i w:val="0"/>
          <w:iCs w:val="0"/>
          <w:color w:val="auto"/>
          <w:highlight w:val="none"/>
        </w:rPr>
        <w:t>压缩空气储罐，能够满足压缩空气需求。</w:t>
      </w:r>
    </w:p>
    <w:p>
      <w:pPr>
        <w:pStyle w:val="54"/>
        <w:ind w:firstLine="560"/>
        <w:rPr>
          <w:i w:val="0"/>
          <w:iCs w:val="0"/>
          <w:color w:val="auto"/>
          <w:highlight w:val="none"/>
        </w:rPr>
      </w:pPr>
      <w:r>
        <w:rPr>
          <w:rFonts w:hint="eastAsia"/>
          <w:i w:val="0"/>
          <w:iCs w:val="0"/>
          <w:color w:val="auto"/>
          <w:highlight w:val="none"/>
        </w:rPr>
        <w:t>该项目使用的氮气，主要用于装置反应釜的置换及储罐的氮封。项目拟在3</w:t>
      </w:r>
      <w:r>
        <w:rPr>
          <w:i w:val="0"/>
          <w:iCs w:val="0"/>
          <w:color w:val="auto"/>
          <w:highlight w:val="none"/>
        </w:rPr>
        <w:t>01</w:t>
      </w:r>
      <w:r>
        <w:rPr>
          <w:rFonts w:hint="eastAsia"/>
          <w:i w:val="0"/>
          <w:iCs w:val="0"/>
          <w:color w:val="auto"/>
          <w:highlight w:val="none"/>
        </w:rPr>
        <w:t>公用工程间的空压制氮间设2台</w:t>
      </w:r>
      <w:r>
        <w:rPr>
          <w:i w:val="0"/>
          <w:iCs w:val="0"/>
          <w:color w:val="auto"/>
          <w:highlight w:val="none"/>
        </w:rPr>
        <w:t>1</w:t>
      </w:r>
      <w:r>
        <w:rPr>
          <w:rFonts w:hint="eastAsia"/>
          <w:i w:val="0"/>
          <w:iCs w:val="0"/>
          <w:color w:val="auto"/>
          <w:highlight w:val="none"/>
        </w:rPr>
        <w:t>Nm</w:t>
      </w:r>
      <w:r>
        <w:rPr>
          <w:rFonts w:hint="eastAsia"/>
          <w:i w:val="0"/>
          <w:iCs w:val="0"/>
          <w:color w:val="auto"/>
          <w:highlight w:val="none"/>
          <w:vertAlign w:val="superscript"/>
        </w:rPr>
        <w:t>3</w:t>
      </w:r>
      <w:r>
        <w:rPr>
          <w:rFonts w:hint="eastAsia"/>
          <w:i w:val="0"/>
          <w:iCs w:val="0"/>
          <w:color w:val="auto"/>
          <w:highlight w:val="none"/>
        </w:rPr>
        <w:t>/min制氮机组（</w:t>
      </w:r>
      <w:r>
        <w:rPr>
          <w:i w:val="0"/>
          <w:iCs w:val="0"/>
          <w:color w:val="auto"/>
          <w:highlight w:val="none"/>
        </w:rPr>
        <w:t>1</w:t>
      </w:r>
      <w:r>
        <w:rPr>
          <w:rFonts w:hint="eastAsia"/>
          <w:i w:val="0"/>
          <w:iCs w:val="0"/>
          <w:color w:val="auto"/>
          <w:highlight w:val="none"/>
        </w:rPr>
        <w:t>用1备），</w:t>
      </w:r>
      <w:r>
        <w:rPr>
          <w:i w:val="0"/>
          <w:iCs w:val="0"/>
          <w:color w:val="auto"/>
          <w:highlight w:val="none"/>
        </w:rPr>
        <w:t>2</w:t>
      </w:r>
      <w:r>
        <w:rPr>
          <w:rFonts w:hint="eastAsia"/>
          <w:i w:val="0"/>
          <w:iCs w:val="0"/>
          <w:color w:val="auto"/>
          <w:highlight w:val="none"/>
        </w:rPr>
        <w:t>台</w:t>
      </w:r>
      <w:r>
        <w:rPr>
          <w:i w:val="0"/>
          <w:iCs w:val="0"/>
          <w:color w:val="auto"/>
          <w:highlight w:val="none"/>
        </w:rPr>
        <w:t>3</w:t>
      </w:r>
      <w:r>
        <w:rPr>
          <w:rFonts w:hint="eastAsia"/>
          <w:i w:val="0"/>
          <w:iCs w:val="0"/>
          <w:color w:val="auto"/>
          <w:highlight w:val="none"/>
        </w:rPr>
        <w:t>m</w:t>
      </w:r>
      <w:r>
        <w:rPr>
          <w:i w:val="0"/>
          <w:iCs w:val="0"/>
          <w:color w:val="auto"/>
          <w:highlight w:val="none"/>
          <w:vertAlign w:val="superscript"/>
        </w:rPr>
        <w:t>3</w:t>
      </w:r>
      <w:r>
        <w:rPr>
          <w:rFonts w:hint="eastAsia"/>
          <w:i w:val="0"/>
          <w:iCs w:val="0"/>
          <w:color w:val="auto"/>
          <w:highlight w:val="none"/>
        </w:rPr>
        <w:t>氮气储罐，该项目氮气平均需求量</w:t>
      </w:r>
      <w:r>
        <w:rPr>
          <w:i w:val="0"/>
          <w:iCs w:val="0"/>
          <w:color w:val="auto"/>
          <w:highlight w:val="none"/>
        </w:rPr>
        <w:t>0.6</w:t>
      </w:r>
      <w:r>
        <w:rPr>
          <w:rFonts w:hint="eastAsia"/>
          <w:i w:val="0"/>
          <w:iCs w:val="0"/>
          <w:color w:val="auto"/>
          <w:highlight w:val="none"/>
        </w:rPr>
        <w:t>Nm</w:t>
      </w:r>
      <w:r>
        <w:rPr>
          <w:rFonts w:hint="eastAsia"/>
          <w:i w:val="0"/>
          <w:iCs w:val="0"/>
          <w:color w:val="auto"/>
          <w:highlight w:val="none"/>
          <w:vertAlign w:val="superscript"/>
        </w:rPr>
        <w:t>3</w:t>
      </w:r>
      <w:r>
        <w:rPr>
          <w:rFonts w:hint="eastAsia"/>
          <w:i w:val="0"/>
          <w:iCs w:val="0"/>
          <w:color w:val="auto"/>
          <w:highlight w:val="none"/>
        </w:rPr>
        <w:t>/min，能够满足氮气用量需求。</w:t>
      </w:r>
    </w:p>
    <w:p>
      <w:pPr>
        <w:numPr>
          <w:ilvl w:val="-1"/>
          <w:numId w:val="0"/>
        </w:numPr>
        <w:ind w:firstLine="562" w:firstLineChars="200"/>
        <w:rPr>
          <w:rFonts w:hint="eastAsia"/>
          <w:b/>
          <w:bCs/>
          <w:color w:val="auto"/>
          <w:sz w:val="28"/>
          <w:szCs w:val="24"/>
          <w:highlight w:val="none"/>
          <w:lang w:val="en-US" w:eastAsia="zh-CN"/>
        </w:rPr>
      </w:pPr>
      <w:r>
        <w:rPr>
          <w:rFonts w:hint="eastAsia"/>
          <w:b/>
          <w:bCs/>
          <w:color w:val="auto"/>
          <w:sz w:val="28"/>
          <w:szCs w:val="24"/>
          <w:highlight w:val="none"/>
          <w:lang w:val="en-US" w:eastAsia="zh-CN"/>
        </w:rPr>
        <w:t>5.冷冻</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该项目工艺生产需用5℃冷冻水20m</w:t>
      </w:r>
      <w:r>
        <w:rPr>
          <w:rFonts w:hint="eastAsia"/>
          <w:b w:val="0"/>
          <w:bCs w:val="0"/>
          <w:color w:val="auto"/>
          <w:sz w:val="28"/>
          <w:szCs w:val="24"/>
          <w:highlight w:val="none"/>
          <w:vertAlign w:val="superscript"/>
          <w:lang w:val="en-US" w:eastAsia="zh-CN"/>
        </w:rPr>
        <w:t>3</w:t>
      </w:r>
      <w:r>
        <w:rPr>
          <w:rFonts w:hint="eastAsia"/>
          <w:b w:val="0"/>
          <w:bCs w:val="0"/>
          <w:color w:val="auto"/>
          <w:sz w:val="28"/>
          <w:szCs w:val="24"/>
          <w:highlight w:val="none"/>
          <w:lang w:val="en-US" w:eastAsia="zh-CN"/>
        </w:rPr>
        <w:t>/h，拟设置4台Q=14.03m</w:t>
      </w:r>
      <w:r>
        <w:rPr>
          <w:rFonts w:hint="eastAsia"/>
          <w:b w:val="0"/>
          <w:bCs w:val="0"/>
          <w:color w:val="auto"/>
          <w:sz w:val="28"/>
          <w:szCs w:val="24"/>
          <w:highlight w:val="none"/>
          <w:vertAlign w:val="superscript"/>
          <w:lang w:val="en-US" w:eastAsia="zh-CN"/>
        </w:rPr>
        <w:t>3</w:t>
      </w:r>
      <w:r>
        <w:rPr>
          <w:rFonts w:hint="eastAsia"/>
          <w:b w:val="0"/>
          <w:bCs w:val="0"/>
          <w:color w:val="auto"/>
          <w:sz w:val="28"/>
          <w:szCs w:val="24"/>
          <w:highlight w:val="none"/>
          <w:lang w:val="en-US" w:eastAsia="zh-CN"/>
        </w:rPr>
        <w:t>/h的水冷式冷水机，2用2备，冷水机功率22.5KW。可以满足项目要求。</w:t>
      </w:r>
    </w:p>
    <w:p>
      <w:pPr>
        <w:numPr>
          <w:ilvl w:val="-1"/>
          <w:numId w:val="0"/>
        </w:numPr>
        <w:ind w:firstLine="562" w:firstLineChars="200"/>
        <w:rPr>
          <w:rFonts w:hint="eastAsia"/>
          <w:b/>
          <w:bCs/>
          <w:color w:val="auto"/>
          <w:sz w:val="28"/>
          <w:szCs w:val="24"/>
          <w:highlight w:val="none"/>
          <w:lang w:val="en-US" w:eastAsia="zh-CN"/>
        </w:rPr>
      </w:pPr>
      <w:r>
        <w:rPr>
          <w:rFonts w:hint="eastAsia"/>
          <w:b/>
          <w:bCs/>
          <w:color w:val="auto"/>
          <w:sz w:val="28"/>
          <w:szCs w:val="24"/>
          <w:highlight w:val="none"/>
          <w:lang w:val="en-US" w:eastAsia="zh-CN"/>
        </w:rPr>
        <w:t>6.仓库</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该项目拟建201甲类仓库，其中防火分区一占地面积为50m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lang w:val="en-US" w:eastAsia="zh-CN"/>
        </w:rPr>
        <w:t>，，防火分区二占地面积为24m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lang w:val="en-US" w:eastAsia="zh-CN"/>
        </w:rPr>
        <w:t>用于存储项目20t 危废，防火分区三占地面积为10m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，用于存储2t阻聚剂（对苯二酚），</w:t>
      </w:r>
      <w:r>
        <w:rPr>
          <w:rFonts w:hint="eastAsia"/>
          <w:b w:val="0"/>
          <w:bCs w:val="0"/>
          <w:color w:val="auto"/>
          <w:sz w:val="28"/>
          <w:szCs w:val="24"/>
          <w:highlight w:val="none"/>
          <w:lang w:val="en-US" w:eastAsia="zh-CN"/>
        </w:rPr>
        <w:t>根据《危险化学品仓库储存通则》的要求就行储存，仓库的储存系数在 0.5 左右，可以满足项目储存需求。</w:t>
      </w:r>
    </w:p>
    <w:p>
      <w:pPr>
        <w:numPr>
          <w:ilvl w:val="-1"/>
          <w:numId w:val="0"/>
        </w:numPr>
        <w:ind w:firstLine="560" w:firstLineChars="200"/>
        <w:rPr>
          <w:rFonts w:hint="default"/>
          <w:b w:val="0"/>
          <w:bCs w:val="0"/>
          <w:color w:val="auto"/>
          <w:sz w:val="28"/>
          <w:szCs w:val="24"/>
          <w:highlight w:val="yellow"/>
          <w:vertAlign w:val="baseline"/>
          <w:lang w:val="en-US" w:eastAsia="zh-CN"/>
        </w:rPr>
      </w:pPr>
      <w:r>
        <w:rPr>
          <w:rFonts w:hint="eastAsia"/>
          <w:b w:val="0"/>
          <w:bCs w:val="0"/>
          <w:color w:val="auto"/>
          <w:sz w:val="28"/>
          <w:szCs w:val="24"/>
          <w:highlight w:val="none"/>
          <w:lang w:val="en-US" w:eastAsia="zh-CN"/>
        </w:rPr>
        <w:t>该项目拟建202丙类仓库一，其中防火分区一占地面积为43m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w:t>
      </w:r>
      <w:r>
        <w:rPr>
          <w:rFonts w:hint="eastAsia"/>
          <w:b w:val="0"/>
          <w:bCs w:val="0"/>
          <w:color w:val="auto"/>
          <w:sz w:val="28"/>
          <w:szCs w:val="24"/>
          <w:highlight w:val="none"/>
          <w:lang w:val="en-US" w:eastAsia="zh-CN"/>
        </w:rPr>
        <w:t>设置氮气间</w:t>
      </w:r>
      <w:r>
        <w:rPr>
          <w:rFonts w:hint="eastAsia"/>
          <w:b w:val="0"/>
          <w:bCs w:val="0"/>
          <w:color w:val="auto"/>
          <w:sz w:val="28"/>
          <w:szCs w:val="24"/>
          <w:highlight w:val="none"/>
          <w:vertAlign w:val="baseline"/>
          <w:lang w:val="en-US" w:eastAsia="zh-CN"/>
        </w:rPr>
        <w:t>；防火分区二占地面积40m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，用于一般固废的暂存；防火分区三为预留部分，占地面积为50m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w:t>
      </w:r>
    </w:p>
    <w:p>
      <w:pPr>
        <w:numPr>
          <w:ilvl w:val="-1"/>
          <w:numId w:val="0"/>
        </w:numPr>
        <w:ind w:firstLine="560" w:firstLineChars="200"/>
        <w:rPr>
          <w:rFonts w:hint="default"/>
          <w:b w:val="0"/>
          <w:bCs w:val="0"/>
          <w:color w:val="auto"/>
          <w:sz w:val="28"/>
          <w:szCs w:val="24"/>
          <w:highlight w:val="none"/>
          <w:vertAlign w:val="baseline"/>
          <w:lang w:val="en-US" w:eastAsia="zh-CN"/>
        </w:rPr>
      </w:pPr>
      <w:r>
        <w:rPr>
          <w:rFonts w:hint="eastAsia"/>
          <w:b w:val="0"/>
          <w:bCs w:val="0"/>
          <w:color w:val="auto"/>
          <w:sz w:val="28"/>
          <w:szCs w:val="24"/>
          <w:highlight w:val="none"/>
          <w:vertAlign w:val="baseline"/>
          <w:lang w:val="en-US" w:eastAsia="zh-CN"/>
        </w:rPr>
        <w:t>该项目拟建204丙类仓库二，其中防火分区一占地面积为800m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，用于存储600t有机玻璃废料；防火分区二占地面积为240m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，用于原料的人工分拣；防火分区三占地面积175m</w:t>
      </w:r>
      <w:r>
        <w:rPr>
          <w:rFonts w:hint="eastAsia"/>
          <w:b w:val="0"/>
          <w:bCs w:val="0"/>
          <w:color w:val="auto"/>
          <w:sz w:val="28"/>
          <w:szCs w:val="24"/>
          <w:highlight w:val="none"/>
          <w:vertAlign w:val="superscript"/>
          <w:lang w:val="en-US" w:eastAsia="zh-CN"/>
        </w:rPr>
        <w:t>2</w:t>
      </w:r>
      <w:r>
        <w:rPr>
          <w:rFonts w:hint="eastAsia"/>
          <w:b w:val="0"/>
          <w:bCs w:val="0"/>
          <w:color w:val="auto"/>
          <w:sz w:val="28"/>
          <w:szCs w:val="24"/>
          <w:highlight w:val="none"/>
          <w:vertAlign w:val="baseline"/>
          <w:lang w:val="en-US" w:eastAsia="zh-CN"/>
        </w:rPr>
        <w:t>，用于原料的破碎工序。</w:t>
      </w:r>
    </w:p>
    <w:p>
      <w:pPr>
        <w:numPr>
          <w:ilvl w:val="-1"/>
          <w:numId w:val="0"/>
        </w:numPr>
        <w:ind w:firstLine="562" w:firstLineChars="200"/>
        <w:rPr>
          <w:rFonts w:hint="default"/>
          <w:b/>
          <w:bCs/>
          <w:color w:val="auto"/>
          <w:sz w:val="28"/>
          <w:szCs w:val="24"/>
          <w:highlight w:val="none"/>
          <w:lang w:val="en-US" w:eastAsia="zh-CN"/>
        </w:rPr>
      </w:pPr>
      <w:r>
        <w:rPr>
          <w:rFonts w:hint="eastAsia"/>
          <w:b/>
          <w:bCs/>
          <w:color w:val="auto"/>
          <w:sz w:val="28"/>
          <w:szCs w:val="24"/>
          <w:highlight w:val="none"/>
          <w:lang w:val="en-US" w:eastAsia="zh-CN"/>
        </w:rPr>
        <w:t>7.三废处理</w:t>
      </w:r>
    </w:p>
    <w:p>
      <w:pPr>
        <w:bidi w:val="0"/>
        <w:rPr>
          <w:rFonts w:hint="eastAsia"/>
          <w:color w:val="auto"/>
          <w:lang w:val="en-US" w:eastAsia="zh-CN"/>
        </w:rPr>
      </w:pPr>
      <w:bookmarkStart w:id="669" w:name="_Toc22344"/>
      <w:bookmarkStart w:id="670" w:name="_Toc28011"/>
      <w:bookmarkStart w:id="671" w:name="_Toc17089"/>
      <w:bookmarkStart w:id="672" w:name="_Toc20693"/>
      <w:bookmarkStart w:id="673" w:name="_Toc12547"/>
      <w:r>
        <w:rPr>
          <w:rFonts w:hint="eastAsia"/>
          <w:color w:val="auto"/>
          <w:lang w:val="en-US" w:eastAsia="zh-CN"/>
        </w:rPr>
        <w:t xml:space="preserve">    1、废气</w:t>
      </w:r>
    </w:p>
    <w:p>
      <w:pPr>
        <w:bidi w:val="0"/>
        <w:ind w:firstLine="560" w:firstLineChars="200"/>
        <w:rPr>
          <w:rFonts w:hint="eastAsia" w:cs="Times New Roman"/>
          <w:color w:val="auto"/>
          <w:highlight w:val="none"/>
          <w:lang w:val="en-US" w:eastAsia="zh-CN"/>
        </w:rPr>
      </w:pPr>
      <w:r>
        <w:rPr>
          <w:rFonts w:hint="eastAsia" w:cs="Times New Roman"/>
          <w:color w:val="auto"/>
          <w:highlight w:val="none"/>
          <w:lang w:val="en-US" w:eastAsia="zh-CN"/>
        </w:rPr>
        <w:t>该项目全厂配备2套废气处理设备，共设置2根排气筒（DA001、DA002），分别排放生产废气，具体如下：</w:t>
      </w:r>
    </w:p>
    <w:p>
      <w:pPr>
        <w:bidi w:val="0"/>
        <w:ind w:firstLine="560" w:firstLineChars="200"/>
        <w:rPr>
          <w:rFonts w:hint="eastAsia" w:cs="Times New Roman"/>
          <w:color w:val="auto"/>
          <w:highlight w:val="none"/>
          <w:lang w:val="en-US" w:eastAsia="zh-CN"/>
        </w:rPr>
      </w:pPr>
      <w:r>
        <w:rPr>
          <w:rFonts w:hint="eastAsia" w:cs="Times New Roman"/>
          <w:color w:val="auto"/>
          <w:highlight w:val="none"/>
          <w:lang w:val="en-US" w:eastAsia="zh-CN"/>
        </w:rPr>
        <w:t>DA001:排放破碎废气，高15m；</w:t>
      </w:r>
    </w:p>
    <w:p>
      <w:pPr>
        <w:bidi w:val="0"/>
        <w:ind w:firstLine="560" w:firstLineChars="200"/>
        <w:rPr>
          <w:rFonts w:hint="eastAsia" w:ascii="宋体" w:hAnsi="宋体" w:cs="宋体"/>
          <w:color w:val="auto"/>
          <w:highlight w:val="none"/>
          <w:lang w:val="en-US" w:eastAsia="zh-CN"/>
        </w:rPr>
      </w:pPr>
      <w:r>
        <w:rPr>
          <w:rFonts w:hint="eastAsia" w:cs="Times New Roman"/>
          <w:color w:val="auto"/>
          <w:highlight w:val="none"/>
          <w:lang w:val="en-US" w:eastAsia="zh-CN"/>
        </w:rPr>
        <w:t>DA002:排放裂解未凝气、精馏未凝气、储罐大小呼吸废气、TO燃烧废气，高15m。</w:t>
      </w:r>
    </w:p>
    <w:p>
      <w:pPr>
        <w:bidi w:val="0"/>
        <w:ind w:firstLine="560" w:firstLineChars="200"/>
        <w:rPr>
          <w:rFonts w:hint="eastAsia" w:ascii="宋体" w:hAnsi="宋体" w:eastAsia="宋体" w:cs="宋体"/>
          <w:color w:val="auto"/>
          <w:sz w:val="28"/>
          <w:szCs w:val="28"/>
          <w:highlight w:val="none"/>
          <w:lang w:eastAsia="zh-CN"/>
        </w:rPr>
      </w:pPr>
      <w:r>
        <w:rPr>
          <w:rFonts w:hint="eastAsia" w:cs="Times New Roman"/>
          <w:color w:val="auto"/>
          <w:highlight w:val="none"/>
          <w:lang w:val="en-US" w:eastAsia="zh-CN"/>
        </w:rPr>
        <w:t>该项目拟</w:t>
      </w:r>
      <w:r>
        <w:rPr>
          <w:rFonts w:hint="default" w:ascii="Times New Roman" w:hAnsi="Times New Roman" w:cs="Times New Roman"/>
          <w:color w:val="auto"/>
          <w:highlight w:val="none"/>
          <w:lang w:val="en-US" w:eastAsia="zh-CN"/>
        </w:rPr>
        <w:t>在裂解炉上方设置集气罩，将进料及除渣过程中逸散出来的有机废气采用集气罩收集后与裂解未凝气体及精馏未凝气体一同经一套冷凝器冷凝后再送往TO设备。</w:t>
      </w:r>
      <w:r>
        <w:rPr>
          <w:rFonts w:ascii="宋体" w:hAnsi="宋体" w:eastAsia="宋体" w:cs="宋体"/>
          <w:color w:val="auto"/>
          <w:sz w:val="28"/>
          <w:szCs w:val="28"/>
          <w:highlight w:val="none"/>
        </w:rPr>
        <w:t>另外要求工作人员在投料及除渣完毕后立即盖上裂解炉盖，尽量缩短投料及除渣时间，并加强裂解车间的机械通风及厂区绿化，加快无组织进料及除渣废气于车间内的扩散</w:t>
      </w:r>
      <w:r>
        <w:rPr>
          <w:rFonts w:hint="eastAsia" w:ascii="宋体" w:hAnsi="宋体" w:eastAsia="宋体" w:cs="宋体"/>
          <w:color w:val="auto"/>
          <w:sz w:val="28"/>
          <w:szCs w:val="28"/>
          <w:highlight w:val="none"/>
          <w:lang w:eastAsia="zh-CN"/>
        </w:rPr>
        <w:t>。</w:t>
      </w:r>
    </w:p>
    <w:p>
      <w:pPr>
        <w:bidi w:val="0"/>
        <w:ind w:firstLine="56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裂解工序的废气在进料和除渣时会有0.1%的废气以无组织形式排放，其他时候裂 解和精馏工序设备都是密闭的，废气通过与设备连接的管道收集。</w:t>
      </w:r>
    </w:p>
    <w:p>
      <w:pPr>
        <w:bidi w:val="0"/>
        <w:ind w:firstLine="560" w:firstLineChars="200"/>
        <w:rPr>
          <w:rFonts w:hint="default" w:ascii="Times New Roman" w:hAnsi="Times New Roman" w:cs="Times New Roman"/>
          <w:color w:val="auto"/>
          <w:lang w:val="en-US" w:eastAsia="zh-CN"/>
        </w:rPr>
      </w:pPr>
      <w:r>
        <w:rPr>
          <w:rFonts w:hint="eastAsia" w:cs="Times New Roman"/>
          <w:color w:val="auto"/>
          <w:highlight w:val="none"/>
          <w:lang w:val="en-US" w:eastAsia="zh-CN"/>
        </w:rPr>
        <w:t>该</w:t>
      </w:r>
      <w:r>
        <w:rPr>
          <w:rFonts w:hint="default" w:ascii="Times New Roman" w:hAnsi="Times New Roman" w:cs="Times New Roman"/>
          <w:color w:val="auto"/>
          <w:highlight w:val="none"/>
          <w:lang w:val="en-US" w:eastAsia="zh-CN"/>
        </w:rPr>
        <w:t>项目储罐区废气经管道收集后</w:t>
      </w:r>
      <w:r>
        <w:rPr>
          <w:rFonts w:hint="eastAsia" w:cs="Times New Roman"/>
          <w:color w:val="auto"/>
          <w:highlight w:val="none"/>
          <w:lang w:val="en-US" w:eastAsia="zh-CN"/>
        </w:rPr>
        <w:t>引至TO炉焚烧</w:t>
      </w:r>
      <w:r>
        <w:rPr>
          <w:rFonts w:hint="default" w:ascii="Times New Roman" w:hAnsi="Times New Roman" w:cs="Times New Roman"/>
          <w:color w:val="auto"/>
          <w:highlight w:val="none"/>
          <w:lang w:val="en-US" w:eastAsia="zh-CN"/>
        </w:rPr>
        <w:t>，有少部分未收集废气以无组织形式排放</w:t>
      </w:r>
      <w:r>
        <w:rPr>
          <w:rFonts w:hint="eastAsia" w:cs="Times New Roman"/>
          <w:color w:val="auto"/>
          <w:highlight w:val="none"/>
          <w:lang w:val="en-US" w:eastAsia="zh-CN"/>
        </w:rPr>
        <w:t>。</w:t>
      </w:r>
    </w:p>
    <w:p>
      <w:pPr>
        <w:bidi w:val="0"/>
        <w:ind w:firstLine="560" w:firstLineChars="200"/>
        <w:rPr>
          <w:rFonts w:hint="eastAsia"/>
          <w:color w:val="auto"/>
          <w:lang w:val="en-US" w:eastAsia="zh-CN"/>
        </w:rPr>
      </w:pPr>
      <w:r>
        <w:rPr>
          <w:rFonts w:hint="eastAsia"/>
          <w:color w:val="auto"/>
          <w:lang w:val="en-US" w:eastAsia="zh-CN"/>
        </w:rPr>
        <w:t>2、废水</w:t>
      </w:r>
    </w:p>
    <w:p>
      <w:pPr>
        <w:bidi w:val="0"/>
        <w:ind w:firstLine="560" w:firstLineChars="200"/>
        <w:rPr>
          <w:rFonts w:hint="default"/>
          <w:color w:val="auto"/>
          <w:lang w:val="en-US" w:eastAsia="zh-CN"/>
        </w:rPr>
      </w:pPr>
      <w:r>
        <w:rPr>
          <w:rFonts w:hint="eastAsia"/>
          <w:color w:val="auto"/>
          <w:lang w:val="en-US" w:eastAsia="zh-CN"/>
        </w:rPr>
        <w:t>该</w:t>
      </w:r>
      <w:r>
        <w:rPr>
          <w:rFonts w:hint="default"/>
          <w:color w:val="auto"/>
          <w:lang w:val="en-US" w:eastAsia="zh-CN"/>
        </w:rPr>
        <w:t>项目生活废水经化粪池处理后满足宜春经开区污水处理厂接管标准，经污水处理厂深度处理，处理后尾水执行《城镇污水处理厂污染物排放标准》（GB18918-2002）中一级A标准，最终排入袁河。</w:t>
      </w:r>
    </w:p>
    <w:p>
      <w:pPr>
        <w:bidi w:val="0"/>
        <w:ind w:firstLine="560" w:firstLineChars="200"/>
        <w:rPr>
          <w:rFonts w:hint="default"/>
          <w:color w:val="auto"/>
          <w:lang w:val="en-US" w:eastAsia="zh-CN"/>
        </w:rPr>
      </w:pPr>
      <w:r>
        <w:rPr>
          <w:rFonts w:hint="eastAsia"/>
          <w:color w:val="auto"/>
          <w:lang w:val="en-US" w:eastAsia="zh-CN"/>
        </w:rPr>
        <w:t>该</w:t>
      </w:r>
      <w:r>
        <w:rPr>
          <w:rFonts w:hint="default"/>
          <w:color w:val="auto"/>
          <w:lang w:val="en-US" w:eastAsia="zh-CN"/>
        </w:rPr>
        <w:t>项目已位于</w:t>
      </w:r>
      <w:r>
        <w:rPr>
          <w:rFonts w:hint="eastAsia"/>
          <w:color w:val="auto"/>
          <w:lang w:val="en-US" w:eastAsia="zh-CN"/>
        </w:rPr>
        <w:t>宜春经开区</w:t>
      </w:r>
      <w:r>
        <w:rPr>
          <w:rFonts w:hint="default"/>
          <w:color w:val="auto"/>
          <w:lang w:val="en-US" w:eastAsia="zh-CN"/>
        </w:rPr>
        <w:t>污水处理厂服务范围内，项目废水可纳入该污水处理厂处理，本项目废水排放占污水处理厂设计处理能力的 0.0096%，生活废水水质相对简单对污水处理厂的负荷影响较小。因此，项目废水依托宜春经开区污水处理厂处理可行。在废水排放口应设置转换阀，当发生废水事故性排放时，可关闭阀门，防止废水超标排放。循环水由于设备失灵管道破裂等原因造成泄漏后应立即停止生产，关闭全厂排雨水管道出口总阀，采用沙袋堵住出口，将废水引至雨水处理池进行处理。</w:t>
      </w:r>
    </w:p>
    <w:p>
      <w:pPr>
        <w:numPr>
          <w:ilvl w:val="0"/>
          <w:numId w:val="0"/>
        </w:numPr>
        <w:bidi w:val="0"/>
        <w:ind w:firstLine="560" w:firstLineChars="200"/>
        <w:rPr>
          <w:rFonts w:hint="default"/>
          <w:color w:val="auto"/>
          <w:highlight w:val="none"/>
          <w:lang w:val="en-US" w:eastAsia="zh-CN"/>
        </w:rPr>
      </w:pPr>
      <w:r>
        <w:rPr>
          <w:rFonts w:hint="eastAsia" w:ascii="Times New Roman" w:hAnsi="Times New Roman" w:eastAsia="宋体" w:cs="Times New Roman"/>
          <w:color w:val="auto"/>
          <w:kern w:val="2"/>
          <w:sz w:val="28"/>
          <w:szCs w:val="24"/>
          <w:highlight w:val="none"/>
          <w:lang w:val="en-US" w:eastAsia="zh-CN" w:bidi="ar-SA"/>
        </w:rPr>
        <w:t>3、</w:t>
      </w:r>
      <w:r>
        <w:rPr>
          <w:rFonts w:hint="eastAsia"/>
          <w:color w:val="auto"/>
          <w:highlight w:val="none"/>
          <w:lang w:val="en-US" w:eastAsia="zh-CN"/>
        </w:rPr>
        <w:t>固废</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 xml:space="preserve">项目固体废弃物主要是工业固体废物和生活垃圾。 </w:t>
      </w:r>
    </w:p>
    <w:p>
      <w:pPr>
        <w:numPr>
          <w:ilvl w:val="0"/>
          <w:numId w:val="5"/>
        </w:numPr>
        <w:bidi w:val="0"/>
        <w:ind w:firstLine="560" w:firstLineChars="200"/>
        <w:rPr>
          <w:rFonts w:hint="default"/>
          <w:color w:val="auto"/>
          <w:highlight w:val="none"/>
          <w:lang w:val="en-US" w:eastAsia="zh-CN"/>
        </w:rPr>
      </w:pPr>
      <w:r>
        <w:rPr>
          <w:rFonts w:hint="default"/>
          <w:color w:val="auto"/>
          <w:highlight w:val="none"/>
          <w:lang w:val="en-US" w:eastAsia="zh-CN"/>
        </w:rPr>
        <w:t xml:space="preserve">一般工业固体废物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主要来源于生产过程中S1除尘布袋收集的粉尘、S2除尘废布袋、S3分拣杂物。</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①收集的粉尘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根据工程分析，</w:t>
      </w:r>
      <w:r>
        <w:rPr>
          <w:rFonts w:hint="eastAsia"/>
          <w:color w:val="auto"/>
          <w:highlight w:val="none"/>
          <w:lang w:val="en-US" w:eastAsia="zh-CN"/>
        </w:rPr>
        <w:t>该</w:t>
      </w:r>
      <w:r>
        <w:rPr>
          <w:rFonts w:hint="default"/>
          <w:color w:val="auto"/>
          <w:highlight w:val="none"/>
          <w:lang w:val="en-US" w:eastAsia="zh-CN"/>
        </w:rPr>
        <w:t xml:space="preserve">项目除尘布袋收集的粉尘约7.34t/a。收集后外售处理。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②除尘废布袋</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除尘废布袋由生产厂家回收，正常使用情况下布袋除尘器中布袋的更换周期约为2年一换，根据建设单位提供的设备资料，布袋除尘器内布袋条数总计为288个。则平均年产生废布袋144个。</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 ③分拣杂物</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 xml:space="preserve">项目外购的亚克力板表面有纸塑包装、标签等，在挑选过程由人工剥离，该过程会产生一定量的挑拣杂物，其产生量约为221.95t/a。收集后统一外售给废品回收站。 </w:t>
      </w:r>
    </w:p>
    <w:p>
      <w:pPr>
        <w:numPr>
          <w:ilvl w:val="0"/>
          <w:numId w:val="5"/>
        </w:numPr>
        <w:bidi w:val="0"/>
        <w:ind w:firstLine="560" w:firstLineChars="200"/>
        <w:rPr>
          <w:rFonts w:hint="default"/>
          <w:color w:val="auto"/>
          <w:highlight w:val="none"/>
          <w:lang w:val="en-US" w:eastAsia="zh-CN"/>
        </w:rPr>
      </w:pPr>
      <w:r>
        <w:rPr>
          <w:rFonts w:hint="default"/>
          <w:color w:val="auto"/>
          <w:highlight w:val="none"/>
          <w:lang w:val="en-US" w:eastAsia="zh-CN"/>
        </w:rPr>
        <w:t>生活垃圾：</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本项目员工共计</w:t>
      </w:r>
      <w:r>
        <w:rPr>
          <w:rFonts w:hint="eastAsia"/>
          <w:color w:val="auto"/>
          <w:highlight w:val="none"/>
          <w:lang w:val="en-US" w:eastAsia="zh-CN"/>
        </w:rPr>
        <w:t>30</w:t>
      </w:r>
      <w:r>
        <w:rPr>
          <w:rFonts w:hint="default"/>
          <w:color w:val="auto"/>
          <w:highlight w:val="none"/>
          <w:lang w:val="en-US" w:eastAsia="zh-CN"/>
        </w:rPr>
        <w:t xml:space="preserve">人，生活垃圾按人均垃圾量1.0kg/（人·d）估算，则生活垃圾产生量9t/a。生活垃圾分类收集后，由环卫部门统一清运处置。 </w:t>
      </w:r>
    </w:p>
    <w:p>
      <w:pPr>
        <w:numPr>
          <w:ilvl w:val="-1"/>
          <w:numId w:val="0"/>
        </w:numPr>
        <w:bidi w:val="0"/>
        <w:ind w:firstLine="560" w:firstLineChars="200"/>
        <w:rPr>
          <w:rFonts w:hint="default"/>
          <w:color w:val="auto"/>
          <w:highlight w:val="none"/>
          <w:lang w:val="en-US" w:eastAsia="zh-CN"/>
        </w:rPr>
      </w:pPr>
      <w:r>
        <w:rPr>
          <w:rFonts w:hint="default"/>
          <w:color w:val="auto"/>
          <w:highlight w:val="none"/>
          <w:lang w:val="en-US" w:eastAsia="zh-CN"/>
        </w:rPr>
        <w:t>（3）危险废物</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①裂解残渣 </w:t>
      </w:r>
    </w:p>
    <w:p>
      <w:pPr>
        <w:bidi w:val="0"/>
        <w:ind w:firstLine="560" w:firstLineChars="200"/>
        <w:rPr>
          <w:rFonts w:hint="default"/>
          <w:color w:val="auto"/>
          <w:highlight w:val="none"/>
          <w:lang w:val="en-US" w:eastAsia="zh-CN"/>
        </w:rPr>
      </w:pPr>
      <w:r>
        <w:rPr>
          <w:rFonts w:hint="default"/>
          <w:color w:val="auto"/>
          <w:highlight w:val="none"/>
          <w:lang w:val="en-US" w:eastAsia="zh-CN"/>
        </w:rPr>
        <w:t>根据物料平衡分析可知，项目裂解炉裂解过程中将产生一定量的残渣，产生量约为109.83t/a，据查《国家危险废物名录（2021年版）》，裂解残渣属于"HW11精（蒸）馏残渣"中非特定行业900-013-11其他化工生产过程（不包括以生物质为主要原料的 加工过程）中精馏、蒸馏和热解工艺产生的高沸点釜底残余物。裂解残渣收集后暂存在</w:t>
      </w:r>
      <w:r>
        <w:rPr>
          <w:rFonts w:hint="eastAsia"/>
          <w:color w:val="auto"/>
          <w:highlight w:val="none"/>
          <w:lang w:val="en-US" w:eastAsia="zh-CN"/>
        </w:rPr>
        <w:t>甲类仓库危废间</w:t>
      </w:r>
      <w:r>
        <w:rPr>
          <w:rFonts w:hint="default"/>
          <w:color w:val="auto"/>
          <w:highlight w:val="none"/>
          <w:lang w:val="en-US" w:eastAsia="zh-CN"/>
        </w:rPr>
        <w:t>储存桶中，并委托有相应资质的单位处置。</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②废矿物油 </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废物类别：HW08废矿物油与含矿物油废物，废物代码：900-249-08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项目在设备维护、维修过程中产生的废矿物油约为0.02t/a，定期交由有资质的单位综合利用。</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③废油桶 </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废物类别：HW08废矿物油与含矿物油废物，废物代码：900-249-08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项目产生的废矿物油包装桶约为0.01t/a，定期交由有资质的单位综合利用。</w:t>
      </w:r>
    </w:p>
    <w:p>
      <w:pPr>
        <w:bidi w:val="0"/>
        <w:ind w:firstLine="560" w:firstLineChars="200"/>
        <w:rPr>
          <w:rFonts w:hint="default"/>
          <w:color w:val="auto"/>
          <w:highlight w:val="none"/>
          <w:lang w:val="en-US" w:eastAsia="zh-CN"/>
        </w:rPr>
      </w:pPr>
      <w:r>
        <w:rPr>
          <w:rFonts w:hint="default"/>
          <w:color w:val="auto"/>
          <w:highlight w:val="none"/>
          <w:lang w:val="en-US" w:eastAsia="zh-CN"/>
        </w:rPr>
        <w:t xml:space="preserve"> ④精馏残液 </w:t>
      </w:r>
    </w:p>
    <w:p>
      <w:pPr>
        <w:bidi w:val="0"/>
        <w:ind w:firstLine="560" w:firstLineChars="200"/>
        <w:rPr>
          <w:rFonts w:hint="default"/>
          <w:color w:val="auto"/>
          <w:highlight w:val="none"/>
          <w:lang w:val="en-US" w:eastAsia="zh-CN"/>
        </w:rPr>
      </w:pPr>
      <w:r>
        <w:rPr>
          <w:rFonts w:hint="eastAsia"/>
          <w:color w:val="auto"/>
          <w:highlight w:val="none"/>
          <w:lang w:val="en-US" w:eastAsia="zh-CN"/>
        </w:rPr>
        <w:t>该</w:t>
      </w:r>
      <w:r>
        <w:rPr>
          <w:rFonts w:hint="default"/>
          <w:color w:val="auto"/>
          <w:highlight w:val="none"/>
          <w:lang w:val="en-US" w:eastAsia="zh-CN"/>
        </w:rPr>
        <w:t>项目废甲酯罐收集的精馏残液约1790.99t/a</w:t>
      </w:r>
      <w:r>
        <w:rPr>
          <w:rFonts w:hint="eastAsia"/>
          <w:color w:val="auto"/>
          <w:highlight w:val="none"/>
          <w:lang w:val="en-US" w:eastAsia="zh-CN"/>
        </w:rPr>
        <w:t>，</w:t>
      </w:r>
      <w:r>
        <w:rPr>
          <w:rFonts w:hint="default"/>
          <w:color w:val="auto"/>
          <w:highlight w:val="none"/>
          <w:lang w:val="en-US" w:eastAsia="zh-CN"/>
        </w:rPr>
        <w:t>精馏残液</w:t>
      </w:r>
      <w:r>
        <w:rPr>
          <w:rFonts w:hint="eastAsia"/>
          <w:color w:val="auto"/>
          <w:highlight w:val="none"/>
          <w:lang w:val="en-US" w:eastAsia="zh-CN"/>
        </w:rPr>
        <w:t>（主要成分：聚甲基丙烯酸甲酯、2-甲基5亚甲基己二酸二甲酯、环己烯（烷）二甲酸二甲酯类、环戊烯（烷）二甲酸二甲酯类等），精馏残液作为燃料油供TO炉，TO炉预估年消耗燃料油200~1500t/a</w:t>
      </w:r>
      <w:r>
        <w:rPr>
          <w:rFonts w:hint="default"/>
          <w:color w:val="auto"/>
          <w:highlight w:val="none"/>
          <w:lang w:val="en-US" w:eastAsia="zh-CN"/>
        </w:rPr>
        <w:t>。裂解炉残渣</w:t>
      </w:r>
      <w:r>
        <w:rPr>
          <w:rFonts w:hint="eastAsia"/>
          <w:color w:val="auto"/>
          <w:highlight w:val="none"/>
          <w:lang w:val="en-US" w:eastAsia="zh-CN"/>
        </w:rPr>
        <w:t>（主要成分：硬脂酸、邻苯二甲酸二丁酯）</w:t>
      </w:r>
      <w:r>
        <w:rPr>
          <w:rFonts w:hint="default"/>
          <w:color w:val="auto"/>
          <w:highlight w:val="none"/>
          <w:lang w:val="en-US" w:eastAsia="zh-CN"/>
        </w:rPr>
        <w:t>委托具有危险固废处置资质的单位进行处理。</w:t>
      </w:r>
    </w:p>
    <w:p>
      <w:pPr>
        <w:bidi w:val="0"/>
        <w:ind w:firstLine="560" w:firstLineChars="200"/>
        <w:rPr>
          <w:rFonts w:hint="default"/>
          <w:color w:val="auto"/>
          <w:highlight w:val="none"/>
          <w:lang w:val="en-US" w:eastAsia="zh-CN"/>
        </w:rPr>
      </w:pPr>
      <w:r>
        <w:rPr>
          <w:rFonts w:hint="default"/>
          <w:color w:val="auto"/>
          <w:highlight w:val="none"/>
          <w:lang w:val="en-US" w:eastAsia="zh-CN"/>
        </w:rPr>
        <w:t>生活垃圾委托环卫部门处置。</w:t>
      </w:r>
    </w:p>
    <w:p>
      <w:pPr>
        <w:bidi w:val="0"/>
        <w:ind w:firstLine="560" w:firstLineChars="200"/>
        <w:rPr>
          <w:rFonts w:hint="default"/>
          <w:color w:val="auto"/>
          <w:lang w:val="en-US" w:eastAsia="zh-CN"/>
        </w:rPr>
      </w:pPr>
      <w:r>
        <w:rPr>
          <w:rFonts w:hint="eastAsia"/>
          <w:color w:val="auto"/>
          <w:lang w:val="en-US" w:eastAsia="zh-CN"/>
        </w:rPr>
        <w:t>综上所述，该项目“三废”处理设施安全可靠，能满足该项目需求。</w:t>
      </w:r>
    </w:p>
    <w:p>
      <w:pPr>
        <w:pStyle w:val="3"/>
        <w:numPr>
          <w:ilvl w:val="-1"/>
          <w:numId w:val="0"/>
        </w:numPr>
        <w:ind w:firstLine="643" w:firstLineChars="200"/>
        <w:rPr>
          <w:rFonts w:hint="eastAsia"/>
          <w:color w:val="auto"/>
          <w:lang w:val="en-US" w:eastAsia="zh-CN"/>
        </w:rPr>
      </w:pPr>
      <w:bookmarkStart w:id="674" w:name="_Toc930"/>
      <w:r>
        <w:rPr>
          <w:rFonts w:hint="eastAsia"/>
          <w:color w:val="auto"/>
          <w:lang w:val="en-US" w:eastAsia="zh-CN"/>
        </w:rPr>
        <w:t>8.2 事故案例的后果及原因</w:t>
      </w:r>
      <w:bookmarkEnd w:id="669"/>
      <w:bookmarkEnd w:id="670"/>
      <w:bookmarkEnd w:id="671"/>
      <w:bookmarkEnd w:id="672"/>
      <w:bookmarkEnd w:id="673"/>
      <w:bookmarkEnd w:id="674"/>
    </w:p>
    <w:p>
      <w:pPr>
        <w:numPr>
          <w:ilvl w:val="-1"/>
          <w:numId w:val="0"/>
        </w:numPr>
        <w:ind w:firstLine="562" w:firstLineChars="200"/>
        <w:rPr>
          <w:rFonts w:hint="default"/>
          <w:b/>
          <w:bCs/>
          <w:color w:val="auto"/>
          <w:sz w:val="28"/>
          <w:szCs w:val="24"/>
          <w:highlight w:val="none"/>
          <w:lang w:val="en-US" w:eastAsia="zh-CN"/>
        </w:rPr>
      </w:pPr>
      <w:r>
        <w:rPr>
          <w:rFonts w:hint="eastAsia"/>
          <w:b/>
          <w:bCs/>
          <w:color w:val="auto"/>
          <w:sz w:val="28"/>
          <w:szCs w:val="24"/>
          <w:highlight w:val="none"/>
          <w:lang w:val="en-US" w:eastAsia="zh-CN"/>
        </w:rPr>
        <w:t>案例一：</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1998年11月18日，广州黄埔佛兴液化储运公司在灌装甲基丙烯酸甲酯时发生爆炸燃烧事故，造成2人死亡，1人轻伤，直接经济损失227633元，总损失80万元。</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一、事故情况</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广州黄埔佛兴液化储运公司成立于1994年8月，私营企业，该公司位于长洲镇下庄的仓库区为一级易燃易爆危险化学品储存仓库，主要装卸、储运化工原料及苯类、醇类危险化学品，储存规模为每年5万吨。</w:t>
      </w:r>
    </w:p>
    <w:p>
      <w:pPr>
        <w:numPr>
          <w:ilvl w:val="-1"/>
          <w:numId w:val="0"/>
        </w:numPr>
        <w:ind w:firstLine="0" w:firstLineChars="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　　1998年11月2日，广州荔湾区雅采化轻公司购买的435吨易燃易爆液体化工品甲基丙烯酸甲酯由船运抵佛兴公司仓库区码头，存放于仓库区内仓B组储罐中。然后租车提货分送到珠江三角洲各用户。</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18日上午8时30分，雅采化轻公司所租车车主暨司机梁某会同该公司的业务员莫某开车一起进入佛兴公司的仓库区提货。槽罐车停在内仓AB组储罐车台处装车架下，没有接地，正常装车时应把接地线接地夹接于槽罐车车体金属架处，以导走在灌装过程中产生的静电。佛兴公司员工按规定叫两人离开作业现场，但两人说外面风大，仍要坐在槽罐车驾驶室里。</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8时45分，在罐装了约3分钟时(通常罐装一辆车需10多分钟)，槽罐车突然爆炸起火，装车台顿时一片火海。接报警后，消防车迅速赶到，经奋力扑救，起火后约35分钟(即9时20分)，火被扑灭。</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槽罐车整体被毁，领班班长陈某死在槽罐车罐顶的中部，莫某死在驾驶室的前面，梁某死在离驾驶室正前面6米处。操作工关某轻伤，后经医生诊断为全身多处烧伤，面积达25%。事故造成直接经济损失227633元，总损失80万元。</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二、原因分析</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1.直接原因</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爆炸燃烧是由于在向槽罐车灌装甲基丙烯酸甲酯过程中，输液管内液体流速较快(经计算流速为2.2米/秒)，且输液管没有深入到槽罐底部，液体形成比较大的落差，导致产生大量静电;消防员陶某违反操作规程，对槽罐车没有按规定使用接地导线进行接地，加上空气湿度低的因素，导致槽罐内产生的大量静电积聚;静电积聚到一定电压放电产生静电火花，引爆槽罐内挥发的甲基丙烯酸甲酯易燃易爆气体。所以，没有按规定使用接地线对槽罐车进行接地，静电积聚产生静电火花引爆易燃易爆气体，是发生“11.18”重大死亡事故的直接原因。</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2.间接原因</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1)作业中工人手动操作阀门凭感觉控制流量，控制不准，液体流速过快产生静电。输送橡胶管没有深入到槽底部，液体冲击产生大量静电。</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2)佛兴公司当天灌装易燃易爆危险品使用的是非防静电的简易橡胶管，致使产生大量静电且不容易导走。</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3)车主私自改装车辆，无证运输，雅采化轻公司对租用车辆不进行资格确认。</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4)司机梁某、业务员莫某二人不遵守有关规定，不听劝阻，罐装时仍坐于槽罐车驾驶室。</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三、处理结果</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经事故调查和结案批复，除三位死者由于死亡不予追究外，消防员陶某受刑事处分，其余有2人做出深刻检查，并处于罚款，两公司也受降级使用等处分。</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四、事故教训</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对新办的生产、使用、储存危险化学品的单位，严格履行“三同时”审批、验收手续;私营企业、乡镇街道企业、三资企业，大多数缺少安全管理人员，特别是对危险性大的企业，要有专人负责安全工作，推行注册安全主任、安全督导员制度，使这些企业有专门人员从事安全工作。</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2.在灌装操作时，灌注人员不能站在罐顶上，各操作员工操作点与罐装车保持安全距离。装车时由流量表计数，无需人在罐顶看灌注情况。灌注时，非操作人员一律离开现场。</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3.对新进公司的员工严格进行三级安全教育并做好记录，公司主要领导对仓库区要进行周检、月检，仓库区负责人对仓库设备及作业进行日检，并进行不定期的突击检查，对查出的问题严格进行整改。</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五、事故评析</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佛兴液化储运公司下庄仓库区是一级易燃易爆危险化学品储存仓库，安全规章制度也健全，但制度是写在墙上或纸上的东西，不执行就什么意义也没有，等于做摆设。</w:t>
      </w:r>
    </w:p>
    <w:p>
      <w:pPr>
        <w:keepNext w:val="0"/>
        <w:keepLines w:val="0"/>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在易燃易爆危险场所，这类现象时常发生，刚开始的时候，人们还认认真真、一丝不苟，可时间久了，由于经验思维的长久刺激，感到危险场所也不过如此，做了这么久也没问题，加上这一行做久了，轻车熟路，以为自己“艺高人胆大”，这么危险的作业，连按规定使用接地线对槽罐车接地也不进行!安全意识彻底淡薄下来。</w:t>
      </w:r>
    </w:p>
    <w:p>
      <w:pPr>
        <w:keepNext w:val="0"/>
        <w:keepLines w:val="0"/>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解决这类现象，仅仅靠员工自觉是远不行的。安全生产是长期工程，要慎之又慎，对工人的管理更是丝毫马虎不得，除了贴在墙上，写在纸上的规章制度外，更要有管理人员的经常督促、经常检查，反反复复对员工进行安全意识灌输，就像背英语单词一样，今天背熟了，过几天忘了，接着背，经过多次反复，就能记熟记牢。安全生产意识也是这样，多强调了就会对员工形成习惯，就可以大大减少不接地诸如此类的违规操作，特别是在广东这样一个地方，员工的流动性相对比较大，新手、生手多，管理人员的责任担子更重，更要耐心督导员工注意做好安全生产工作。</w:t>
      </w:r>
    </w:p>
    <w:p>
      <w:pPr>
        <w:keepNext w:val="0"/>
        <w:keepLines w:val="0"/>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很多事故的教训以及安全生产管理经验告诉我们，企业的相关方(对企业的安全生产工作有影响的组织和个人)对企业安全生产的影响越来越大，要予以重视。很多企业的事故，不是本单位的原因，而是外来施工单位造成的。雅采化轻公司租用不符合运输危险化学品安全要求的设施，佛兴公司对外来车辆的监管不严，对外来人员要求不严，都是企业没有重视和正确处理相关的问题。司机梁某，业务员莫某缺乏安全意识，不听劝阻，硬要坐在驾驶室，佛兴公司没有采取相应措施阻止他们，这么危险的场所，执行规定是不能讲情面的，讲了情面看似对其很友善，实则是对他的生命不负责任。</w:t>
      </w:r>
    </w:p>
    <w:p>
      <w:pPr>
        <w:pageBreakBefore w:val="0"/>
        <w:widowControl w:val="0"/>
        <w:numPr>
          <w:ilvl w:val="-1"/>
          <w:numId w:val="0"/>
        </w:numPr>
        <w:kinsoku/>
        <w:wordWrap/>
        <w:overflowPunct/>
        <w:topLinePunct w:val="0"/>
        <w:autoSpaceDE/>
        <w:autoSpaceDN/>
        <w:bidi w:val="0"/>
        <w:adjustRightInd/>
        <w:snapToGrid/>
        <w:spacing w:line="600" w:lineRule="exact"/>
        <w:ind w:firstLine="562" w:firstLineChars="200"/>
        <w:textAlignment w:val="auto"/>
        <w:rPr>
          <w:rFonts w:hint="eastAsia"/>
          <w:b/>
          <w:color w:val="auto"/>
          <w:sz w:val="28"/>
          <w:szCs w:val="28"/>
          <w:lang w:val="en-US" w:eastAsia="zh-CN"/>
        </w:rPr>
      </w:pPr>
      <w:r>
        <w:rPr>
          <w:rFonts w:hint="eastAsia"/>
          <w:b/>
          <w:color w:val="auto"/>
          <w:sz w:val="28"/>
          <w:szCs w:val="28"/>
          <w:lang w:val="en-US" w:eastAsia="zh-CN"/>
        </w:rPr>
        <w:t>案例二：</w:t>
      </w:r>
    </w:p>
    <w:p>
      <w:pPr>
        <w:pageBreakBefore w:val="0"/>
        <w:widowControl w:val="0"/>
        <w:numPr>
          <w:ilvl w:val="-1"/>
          <w:numId w:val="0"/>
        </w:numPr>
        <w:kinsoku/>
        <w:wordWrap/>
        <w:overflowPunct/>
        <w:topLinePunct w:val="0"/>
        <w:autoSpaceDE/>
        <w:autoSpaceDN/>
        <w:bidi w:val="0"/>
        <w:adjustRightInd/>
        <w:snapToGrid/>
        <w:spacing w:line="600" w:lineRule="exact"/>
        <w:ind w:firstLine="562" w:firstLineChars="200"/>
        <w:textAlignment w:val="auto"/>
        <w:rPr>
          <w:rFonts w:hint="eastAsia"/>
          <w:b/>
          <w:color w:val="auto"/>
          <w:sz w:val="28"/>
          <w:szCs w:val="28"/>
        </w:rPr>
      </w:pPr>
      <w:r>
        <w:rPr>
          <w:rFonts w:hint="eastAsia"/>
          <w:b/>
          <w:color w:val="auto"/>
          <w:sz w:val="28"/>
          <w:szCs w:val="28"/>
        </w:rPr>
        <w:t>“2005.9.28”燃爆事故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1、事故经过</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2005年9月28日凌晨6时39分，开发区某公司的板材工厂，在做投产各项准备，对2楼的浆液贮槽进行了甲基丙烯酸甲酯清洗，洗涤后发现槽底有块状固体异物，操作工王某在打开人孔盖后发现在槽内壁上部有一圈薄膜状固体聚合块</w:t>
      </w:r>
      <w:r>
        <w:rPr>
          <w:rFonts w:hint="eastAsia"/>
          <w:color w:val="auto"/>
          <w:sz w:val="28"/>
          <w:szCs w:val="28"/>
          <w:lang w:val="en-US" w:eastAsia="zh-CN"/>
        </w:rPr>
        <w:t>附</w:t>
      </w:r>
      <w:r>
        <w:rPr>
          <w:rFonts w:hint="eastAsia"/>
          <w:color w:val="auto"/>
          <w:sz w:val="28"/>
          <w:szCs w:val="28"/>
        </w:rPr>
        <w:t xml:space="preserve">着，立刻向班长汇报，班长指令王某用甲基丙烯酸甲酯冲洗后发现无效果。刘某在木棒(3m长)前端缠上白布，斜着从人孔伸进去捅捣内壁上薄膜，王某在人孔的上方观察内部脱落状况。在捅捣下第一块薄膜后开始第二块的时候，槽内发生燃爆，在事故中有两位员工发生了烧伤。 </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2、事故原因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（1）直接原因：设备清洗中，使用木棒</w:t>
      </w:r>
      <w:r>
        <w:rPr>
          <w:rFonts w:hint="eastAsia"/>
          <w:color w:val="auto"/>
          <w:sz w:val="28"/>
          <w:szCs w:val="28"/>
          <w:lang w:val="en-US" w:eastAsia="zh-CN"/>
        </w:rPr>
        <w:t>捅</w:t>
      </w:r>
      <w:r>
        <w:rPr>
          <w:rFonts w:hint="eastAsia"/>
          <w:color w:val="auto"/>
          <w:sz w:val="28"/>
          <w:szCs w:val="28"/>
        </w:rPr>
        <w:t>捣薄膜状固化物时因摩擦产生了静电。当固化块被捅下掉落时，静电在膜与槽内壁之间产生空隙，发生了放电。此时槽内虽然没有甲基丙烯酸甲酯液体，但甲基丙烯酸甲酯气体浓度正好处于爆炸极限浓度内，于是造成了瞬间起火爆燃。</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（2）间接原因</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①操作人员安全意识不强，明知浆液贮槽内存在甲基丙烯酸甲酯蒸气，且此种操作无操作标准书属于非正常操作行为，在未进行可燃气体测试、未向课长汇报的情况下擅自实施异物去除作业而发生事故。</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②安全管理制度不健全。制造课对于可能存在的非正常作业未制定管理规定和联络途径，关键设备的人孔盖没有采取防止随意打开的措施。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③安全教育培训不够。虽然受伤人员在上岗前都接受过公司的三级安全教育、危险化学品知识教育及静电方面的安全教育，但是从该起事故看出，两受伤人员对甲基丙烯酸甲酯蒸气的危害性及有关静电方面的知识掌握程度不牢。</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3、防范措施</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（1）规范设备清洗作业，在火灾爆炸空间作业严格按照规范使用防静电工具。</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（2）加强操作人员安全培训，增强安全意识，提高非正常操作行为防范事故的能力。</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color w:val="auto"/>
          <w:sz w:val="28"/>
          <w:szCs w:val="28"/>
        </w:rPr>
      </w:pPr>
      <w:r>
        <w:rPr>
          <w:rFonts w:hint="eastAsia"/>
          <w:color w:val="auto"/>
          <w:sz w:val="28"/>
          <w:szCs w:val="28"/>
        </w:rPr>
        <w:t>（3）健全安全管理制度。制造科对于可能存在的非正常作业制定管理规定和联络途径，关键设备的人孔盖采取防止随意打开的措施。</w:t>
      </w:r>
    </w:p>
    <w:p>
      <w:pPr>
        <w:numPr>
          <w:ilvl w:val="-1"/>
          <w:numId w:val="0"/>
        </w:numPr>
        <w:ind w:firstLine="560" w:firstLineChars="200"/>
        <w:rPr>
          <w:rFonts w:hint="eastAsia"/>
          <w:b w:val="0"/>
          <w:bCs w:val="0"/>
          <w:color w:val="auto"/>
          <w:sz w:val="28"/>
          <w:szCs w:val="24"/>
          <w:highlight w:val="yellow"/>
          <w:lang w:val="en-US" w:eastAsia="zh-CN"/>
        </w:rPr>
      </w:pPr>
      <w:r>
        <w:rPr>
          <w:rFonts w:hint="eastAsia"/>
          <w:color w:val="auto"/>
          <w:sz w:val="28"/>
          <w:szCs w:val="28"/>
        </w:rPr>
        <w:t>（4）严格开展三级安全教育及日常安全教育培训。切实提高人员对甲基丙烯酸甲酯蒸气的危害性及有关静电方面的知识和事故处理能力</w:t>
      </w: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pStyle w:val="2"/>
        <w:numPr>
          <w:ilvl w:val="-1"/>
          <w:numId w:val="0"/>
        </w:numPr>
        <w:ind w:firstLine="562" w:firstLineChars="200"/>
        <w:rPr>
          <w:rFonts w:hint="default"/>
          <w:b/>
          <w:bCs/>
          <w:color w:val="auto"/>
          <w:sz w:val="28"/>
          <w:szCs w:val="24"/>
          <w:highlight w:val="none"/>
          <w:lang w:val="en-US" w:eastAsia="zh-CN"/>
        </w:rPr>
      </w:pPr>
      <w:bookmarkStart w:id="675" w:name="_Toc10940"/>
      <w:bookmarkStart w:id="676" w:name="_Toc20134"/>
      <w:bookmarkStart w:id="677" w:name="_Toc25520"/>
      <w:bookmarkStart w:id="678" w:name="_Toc30112"/>
      <w:bookmarkStart w:id="679" w:name="_Toc17676"/>
      <w:bookmarkStart w:id="680" w:name="_Toc8235"/>
      <w:r>
        <w:rPr>
          <w:rFonts w:hint="default"/>
          <w:b/>
          <w:bCs/>
          <w:color w:val="auto"/>
          <w:sz w:val="28"/>
          <w:szCs w:val="24"/>
          <w:highlight w:val="none"/>
          <w:lang w:val="en-US" w:eastAsia="zh-CN"/>
        </w:rPr>
        <w:t>9 安全对策措施与建议</w:t>
      </w:r>
      <w:bookmarkEnd w:id="675"/>
      <w:bookmarkEnd w:id="676"/>
      <w:bookmarkEnd w:id="677"/>
      <w:bookmarkEnd w:id="678"/>
      <w:bookmarkEnd w:id="679"/>
      <w:bookmarkEnd w:id="680"/>
    </w:p>
    <w:p>
      <w:pPr>
        <w:pStyle w:val="3"/>
        <w:numPr>
          <w:ilvl w:val="-1"/>
          <w:numId w:val="0"/>
        </w:numPr>
        <w:ind w:firstLine="562" w:firstLineChars="200"/>
        <w:rPr>
          <w:rFonts w:hint="default"/>
          <w:b/>
          <w:bCs/>
          <w:color w:val="auto"/>
          <w:sz w:val="28"/>
          <w:szCs w:val="24"/>
          <w:highlight w:val="none"/>
          <w:lang w:val="en-US" w:eastAsia="zh-CN"/>
        </w:rPr>
      </w:pPr>
      <w:bookmarkStart w:id="681" w:name="_Toc28489"/>
      <w:bookmarkStart w:id="682" w:name="_Toc32581"/>
      <w:bookmarkStart w:id="683" w:name="_Toc29574"/>
      <w:bookmarkStart w:id="684" w:name="_Toc7787"/>
      <w:bookmarkStart w:id="685" w:name="_Toc19720"/>
      <w:bookmarkStart w:id="686" w:name="_Toc24319"/>
      <w:r>
        <w:rPr>
          <w:rFonts w:hint="default"/>
          <w:b/>
          <w:bCs/>
          <w:color w:val="auto"/>
          <w:sz w:val="28"/>
          <w:szCs w:val="24"/>
          <w:highlight w:val="none"/>
          <w:lang w:val="en-US" w:eastAsia="zh-CN"/>
        </w:rPr>
        <w:t>9.1 安全对策措施与建议的依据和原则</w:t>
      </w:r>
      <w:bookmarkEnd w:id="681"/>
      <w:bookmarkEnd w:id="682"/>
      <w:bookmarkEnd w:id="683"/>
      <w:bookmarkEnd w:id="684"/>
      <w:bookmarkEnd w:id="685"/>
      <w:bookmarkEnd w:id="686"/>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安全对策措施建议的依据：</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1、工程的危险、有害因素的辨识分析；</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2、符合性评价的结果；</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3、国家有关安全生产法律、法规、规章、标准、规范。</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安全对策措施建议的原则：</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1、安全技术措施等级顺序：</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1）直接安全技术措施；2）间接安全技术措施；3）指示性安全技术措施；</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4）若间接、指示性安全技术措施仍然不能避免事故，则应采取安全操作规程、安全教育、安全培训和个体防护等措施来预防、减弱系统的危险、危害程度。</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2、根据安全技术措施等级顺序的要求应遵循的具体原则：</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1）消除；2）预防；3）减弱；4）隔离；5）连锁；6）警告。</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3、安全对策措施建议具有针对性、可操作性和经济合理性。</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4、对策措施符合国家有关法规、标准及规范的规定。</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5、在满足基本安全要求的基础上，对项目重大危险源或重大风险控制提出保障安全运行的对策建议。</w:t>
      </w:r>
    </w:p>
    <w:p>
      <w:pPr>
        <w:pStyle w:val="3"/>
        <w:numPr>
          <w:ilvl w:val="-1"/>
          <w:numId w:val="0"/>
        </w:numPr>
        <w:ind w:firstLine="562" w:firstLineChars="200"/>
        <w:rPr>
          <w:rFonts w:hint="default"/>
          <w:b/>
          <w:bCs/>
          <w:color w:val="auto"/>
          <w:sz w:val="28"/>
          <w:szCs w:val="24"/>
          <w:highlight w:val="none"/>
          <w:lang w:val="en-US" w:eastAsia="zh-CN"/>
        </w:rPr>
      </w:pPr>
      <w:bookmarkStart w:id="687" w:name="_Toc19618"/>
      <w:bookmarkStart w:id="688" w:name="_Toc30209"/>
      <w:bookmarkStart w:id="689" w:name="_Toc27174"/>
      <w:bookmarkStart w:id="690" w:name="_Toc27027"/>
      <w:bookmarkStart w:id="691" w:name="_Toc367"/>
      <w:bookmarkStart w:id="692" w:name="_Toc15004"/>
      <w:r>
        <w:rPr>
          <w:rFonts w:hint="default"/>
          <w:b/>
          <w:bCs/>
          <w:color w:val="auto"/>
          <w:sz w:val="28"/>
          <w:szCs w:val="24"/>
          <w:highlight w:val="none"/>
          <w:lang w:val="en-US" w:eastAsia="zh-CN"/>
        </w:rPr>
        <w:t>9.2 《可研》中已有的安全对策措施</w:t>
      </w:r>
      <w:bookmarkEnd w:id="687"/>
      <w:bookmarkEnd w:id="688"/>
      <w:bookmarkEnd w:id="689"/>
      <w:bookmarkEnd w:id="690"/>
      <w:bookmarkEnd w:id="691"/>
      <w:bookmarkEnd w:id="692"/>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根据生产工艺的特性，结合原材料、中间体、产品的危险特性，严格执行国家有关规定，贯彻“以防为主，以消为辅”的方针，在安全方面采取各种有效的防范措施。具体有以下安全措施：</w:t>
      </w:r>
    </w:p>
    <w:p>
      <w:pPr>
        <w:numPr>
          <w:ilvl w:val="-1"/>
          <w:numId w:val="0"/>
        </w:numPr>
        <w:ind w:firstLine="562" w:firstLineChars="200"/>
        <w:rPr>
          <w:rFonts w:hint="eastAsia"/>
          <w:b/>
          <w:bCs/>
          <w:color w:val="auto"/>
          <w:sz w:val="28"/>
          <w:szCs w:val="24"/>
          <w:highlight w:val="none"/>
          <w:lang w:val="en-US" w:eastAsia="zh-CN"/>
        </w:rPr>
      </w:pPr>
      <w:r>
        <w:rPr>
          <w:rFonts w:hint="eastAsia"/>
          <w:b/>
          <w:bCs/>
          <w:color w:val="auto"/>
          <w:sz w:val="28"/>
          <w:szCs w:val="24"/>
          <w:highlight w:val="none"/>
          <w:lang w:val="en-US" w:eastAsia="zh-CN"/>
        </w:rPr>
        <w:t>一、选址</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1.厂址选择符合所在地区的规划，符合国家产业布局政策和宏观规划战略。</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2.厂址选择有利于资源合理配置；有利于节约用地和少占耕地及减少拆迁量；有利于依托社会或依托现有设施。</w:t>
      </w:r>
    </w:p>
    <w:p>
      <w:pPr>
        <w:numPr>
          <w:ilvl w:val="-1"/>
          <w:numId w:val="0"/>
        </w:numPr>
        <w:ind w:firstLine="560" w:firstLineChars="200"/>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3.厂址选择有利于建设和运行；有利于运输和原材料、动力供应。</w:t>
      </w:r>
    </w:p>
    <w:p>
      <w:pPr>
        <w:numPr>
          <w:ilvl w:val="-1"/>
          <w:numId w:val="0"/>
        </w:numPr>
        <w:ind w:firstLine="560" w:firstLineChars="200"/>
        <w:jc w:val="left"/>
        <w:rPr>
          <w:rFonts w:hint="eastAsia"/>
          <w:b w:val="0"/>
          <w:bCs w:val="0"/>
          <w:color w:val="auto"/>
          <w:sz w:val="28"/>
          <w:szCs w:val="24"/>
          <w:highlight w:val="none"/>
          <w:lang w:val="en-US" w:eastAsia="zh-CN"/>
        </w:rPr>
      </w:pPr>
      <w:r>
        <w:rPr>
          <w:rFonts w:hint="eastAsia"/>
          <w:b w:val="0"/>
          <w:bCs w:val="0"/>
          <w:color w:val="auto"/>
          <w:sz w:val="28"/>
          <w:szCs w:val="24"/>
          <w:highlight w:val="none"/>
          <w:lang w:val="en-US" w:eastAsia="zh-CN"/>
        </w:rPr>
        <w:t>4.厂址选择有利于环境保护、生态平衡、可持续发展；有利于劳动安全及卫生、消防；有利于节省投资、降低成本、增强产品竞争力、提高经济效益。</w:t>
      </w:r>
    </w:p>
    <w:p>
      <w:pPr>
        <w:numPr>
          <w:ilvl w:val="-1"/>
          <w:numId w:val="0"/>
        </w:numPr>
        <w:ind w:firstLine="562" w:firstLineChars="200"/>
        <w:rPr>
          <w:rFonts w:hint="eastAsia"/>
          <w:b/>
          <w:bCs/>
          <w:color w:val="auto"/>
          <w:sz w:val="28"/>
          <w:szCs w:val="24"/>
          <w:highlight w:val="none"/>
          <w:lang w:val="en-US" w:eastAsia="zh-CN"/>
        </w:rPr>
      </w:pPr>
      <w:r>
        <w:rPr>
          <w:rFonts w:hint="eastAsia"/>
          <w:b/>
          <w:bCs/>
          <w:color w:val="auto"/>
          <w:sz w:val="28"/>
          <w:szCs w:val="24"/>
          <w:highlight w:val="none"/>
          <w:lang w:val="en-US" w:eastAsia="zh-CN"/>
        </w:rPr>
        <w:t>二、总平面布置</w:t>
      </w:r>
    </w:p>
    <w:p>
      <w:pPr>
        <w:tabs>
          <w:tab w:val="left" w:pos="1980"/>
        </w:tabs>
        <w:ind w:firstLine="560" w:firstLineChars="200"/>
        <w:rPr>
          <w:rFonts w:hint="eastAsia" w:ascii="宋体" w:hAnsi="宋体"/>
          <w:color w:val="auto"/>
          <w:sz w:val="28"/>
        </w:rPr>
      </w:pPr>
      <w:r>
        <w:rPr>
          <w:rFonts w:hint="eastAsia" w:ascii="宋体" w:hAnsi="宋体"/>
          <w:color w:val="auto"/>
          <w:sz w:val="28"/>
        </w:rPr>
        <w:t>1）满足工艺流程需要；</w:t>
      </w:r>
    </w:p>
    <w:p>
      <w:pPr>
        <w:tabs>
          <w:tab w:val="left" w:pos="1980"/>
        </w:tabs>
        <w:ind w:firstLine="560" w:firstLineChars="200"/>
        <w:rPr>
          <w:rFonts w:hint="eastAsia" w:ascii="宋体" w:hAnsi="宋体"/>
          <w:color w:val="auto"/>
          <w:sz w:val="28"/>
        </w:rPr>
      </w:pPr>
      <w:r>
        <w:rPr>
          <w:rFonts w:hint="eastAsia" w:ascii="宋体" w:hAnsi="宋体"/>
          <w:color w:val="auto"/>
          <w:sz w:val="28"/>
        </w:rPr>
        <w:t>2）物流短捷、顺畅；</w:t>
      </w:r>
    </w:p>
    <w:p>
      <w:pPr>
        <w:tabs>
          <w:tab w:val="left" w:pos="1980"/>
        </w:tabs>
        <w:ind w:firstLine="560" w:firstLineChars="200"/>
        <w:rPr>
          <w:rFonts w:hint="eastAsia" w:ascii="宋体" w:hAnsi="宋体"/>
          <w:color w:val="auto"/>
          <w:sz w:val="28"/>
        </w:rPr>
      </w:pPr>
      <w:r>
        <w:rPr>
          <w:rFonts w:hint="eastAsia" w:ascii="宋体" w:hAnsi="宋体"/>
          <w:color w:val="auto"/>
          <w:sz w:val="28"/>
        </w:rPr>
        <w:t>3）功能分区明确、人货分流；</w:t>
      </w:r>
    </w:p>
    <w:p>
      <w:pPr>
        <w:tabs>
          <w:tab w:val="left" w:pos="1980"/>
        </w:tabs>
        <w:ind w:firstLine="560" w:firstLineChars="200"/>
        <w:rPr>
          <w:rFonts w:hint="eastAsia" w:ascii="宋体" w:hAnsi="宋体"/>
          <w:color w:val="auto"/>
          <w:sz w:val="28"/>
        </w:rPr>
      </w:pPr>
      <w:r>
        <w:rPr>
          <w:rFonts w:hint="eastAsia" w:ascii="宋体" w:hAnsi="宋体"/>
          <w:color w:val="auto"/>
          <w:sz w:val="28"/>
        </w:rPr>
        <w:t>4）厂房联合设置，提高土地利用率；</w:t>
      </w:r>
    </w:p>
    <w:p>
      <w:pPr>
        <w:tabs>
          <w:tab w:val="left" w:pos="1980"/>
        </w:tabs>
        <w:ind w:firstLine="560" w:firstLineChars="200"/>
        <w:rPr>
          <w:rFonts w:hint="eastAsia" w:ascii="宋体" w:hAnsi="宋体"/>
          <w:color w:val="auto"/>
          <w:sz w:val="28"/>
        </w:rPr>
      </w:pPr>
      <w:r>
        <w:rPr>
          <w:rFonts w:hint="eastAsia" w:ascii="宋体" w:hAnsi="宋体"/>
          <w:color w:val="auto"/>
          <w:sz w:val="28"/>
        </w:rPr>
        <w:t>5）适应自然条件，减少土方工程量；</w:t>
      </w:r>
    </w:p>
    <w:p>
      <w:pPr>
        <w:tabs>
          <w:tab w:val="left" w:pos="1980"/>
        </w:tabs>
        <w:ind w:firstLine="560" w:firstLineChars="200"/>
        <w:rPr>
          <w:rFonts w:hint="eastAsia" w:ascii="宋体" w:hAnsi="宋体"/>
          <w:color w:val="auto"/>
          <w:sz w:val="28"/>
        </w:rPr>
      </w:pPr>
      <w:r>
        <w:rPr>
          <w:rFonts w:hint="eastAsia" w:ascii="宋体" w:hAnsi="宋体"/>
          <w:color w:val="auto"/>
          <w:sz w:val="28"/>
        </w:rPr>
        <w:t>6）绿化、美化厂区；</w:t>
      </w:r>
    </w:p>
    <w:p>
      <w:pPr>
        <w:tabs>
          <w:tab w:val="left" w:pos="1980"/>
        </w:tabs>
        <w:ind w:firstLine="560" w:firstLineChars="200"/>
        <w:rPr>
          <w:rFonts w:hint="eastAsia" w:ascii="宋体" w:hAnsi="宋体"/>
          <w:color w:val="auto"/>
          <w:sz w:val="28"/>
        </w:rPr>
      </w:pPr>
      <w:r>
        <w:rPr>
          <w:rFonts w:hint="eastAsia" w:ascii="宋体" w:hAnsi="宋体"/>
          <w:color w:val="auto"/>
          <w:sz w:val="28"/>
        </w:rPr>
        <w:t xml:space="preserve">7）满足安全、防火等规范要求。 </w:t>
      </w:r>
    </w:p>
    <w:p>
      <w:pPr>
        <w:numPr>
          <w:ilvl w:val="0"/>
          <w:numId w:val="0"/>
        </w:numPr>
        <w:ind w:firstLine="560" w:firstLineChars="200"/>
        <w:rPr>
          <w:rFonts w:hint="eastAsia" w:ascii="宋体" w:hAnsi="宋体"/>
          <w:b/>
          <w:bCs/>
          <w:color w:val="auto"/>
          <w:sz w:val="28"/>
          <w:szCs w:val="28"/>
        </w:rPr>
      </w:pPr>
      <w:r>
        <w:rPr>
          <w:rFonts w:hint="eastAsia"/>
          <w:b w:val="0"/>
          <w:bCs w:val="0"/>
          <w:color w:val="auto"/>
          <w:sz w:val="28"/>
          <w:szCs w:val="24"/>
          <w:highlight w:val="none"/>
          <w:lang w:val="en-US" w:eastAsia="zh-CN"/>
        </w:rPr>
        <w:t>三、</w:t>
      </w:r>
      <w:r>
        <w:rPr>
          <w:rFonts w:hint="eastAsia" w:ascii="宋体" w:hAnsi="宋体"/>
          <w:b/>
          <w:bCs/>
          <w:color w:val="auto"/>
          <w:sz w:val="28"/>
          <w:szCs w:val="28"/>
        </w:rPr>
        <w:t>运输</w:t>
      </w:r>
    </w:p>
    <w:p>
      <w:pPr>
        <w:ind w:firstLine="560" w:firstLineChars="200"/>
        <w:rPr>
          <w:rFonts w:hint="eastAsia" w:ascii="宋体" w:hAnsi="宋体"/>
          <w:color w:val="auto"/>
          <w:sz w:val="28"/>
          <w:szCs w:val="28"/>
        </w:rPr>
      </w:pPr>
      <w:r>
        <w:rPr>
          <w:rFonts w:hint="eastAsia" w:ascii="宋体" w:hAnsi="宋体"/>
          <w:color w:val="auto"/>
          <w:sz w:val="28"/>
          <w:szCs w:val="28"/>
        </w:rPr>
        <w:t>本项目所需原料主要由供货方送货上门，化工危险品由专业运输车辆运送。产品的外运由客户自行提取或委托社会运输力量承担。</w:t>
      </w:r>
    </w:p>
    <w:p>
      <w:pPr>
        <w:numPr>
          <w:ilvl w:val="0"/>
          <w:numId w:val="0"/>
        </w:numPr>
        <w:ind w:firstLine="562" w:firstLineChars="200"/>
        <w:rPr>
          <w:rFonts w:hint="eastAsia" w:ascii="宋体" w:hAnsi="宋体"/>
          <w:b/>
          <w:bCs/>
          <w:color w:val="auto"/>
          <w:sz w:val="28"/>
        </w:rPr>
      </w:pPr>
      <w:r>
        <w:rPr>
          <w:rFonts w:hint="eastAsia" w:ascii="宋体" w:hAnsi="宋体" w:eastAsia="宋体" w:cs="Times New Roman"/>
          <w:b/>
          <w:bCs/>
          <w:color w:val="auto"/>
          <w:kern w:val="2"/>
          <w:sz w:val="28"/>
          <w:szCs w:val="24"/>
          <w:lang w:val="en-US" w:eastAsia="zh-CN" w:bidi="ar-SA"/>
        </w:rPr>
        <w:t>四、</w:t>
      </w:r>
      <w:r>
        <w:rPr>
          <w:rFonts w:hint="eastAsia" w:ascii="宋体" w:hAnsi="宋体"/>
          <w:b/>
          <w:bCs/>
          <w:color w:val="auto"/>
          <w:sz w:val="28"/>
        </w:rPr>
        <w:t>消防</w:t>
      </w:r>
    </w:p>
    <w:p>
      <w:pPr>
        <w:ind w:firstLine="560" w:firstLineChars="200"/>
        <w:rPr>
          <w:rFonts w:hint="eastAsia" w:ascii="宋体" w:hAnsi="宋体"/>
          <w:color w:val="auto"/>
          <w:sz w:val="28"/>
        </w:rPr>
      </w:pPr>
      <w:r>
        <w:rPr>
          <w:rFonts w:hint="eastAsia" w:ascii="宋体" w:hAnsi="宋体"/>
          <w:color w:val="auto"/>
          <w:sz w:val="28"/>
        </w:rPr>
        <w:t>本项目的生产类别为丙类，建筑物防火按二级耐火等级标准设计。</w:t>
      </w:r>
    </w:p>
    <w:p>
      <w:pPr>
        <w:ind w:firstLine="560" w:firstLineChars="200"/>
        <w:rPr>
          <w:rFonts w:hint="eastAsia" w:ascii="宋体" w:hAnsi="宋体"/>
          <w:color w:val="auto"/>
          <w:sz w:val="28"/>
        </w:rPr>
      </w:pPr>
      <w:r>
        <w:rPr>
          <w:rFonts w:hint="eastAsia" w:ascii="宋体" w:hAnsi="宋体"/>
          <w:color w:val="auto"/>
          <w:sz w:val="28"/>
        </w:rPr>
        <w:t>生产车间按消防规范要求，考虑了各建筑物、构筑物之间的防火间距和消防通道；生产车间、仓库在主要通道等均设应急照明和疏散指示灯；在车间内设置</w:t>
      </w:r>
      <w:r>
        <w:rPr>
          <w:rFonts w:ascii="宋体" w:hAnsi="宋体"/>
          <w:color w:val="auto"/>
          <w:sz w:val="28"/>
        </w:rPr>
        <w:t>SN65</w:t>
      </w:r>
      <w:r>
        <w:rPr>
          <w:rFonts w:hint="eastAsia" w:ascii="宋体" w:hAnsi="宋体"/>
          <w:color w:val="auto"/>
          <w:sz w:val="28"/>
        </w:rPr>
        <w:t>型室内消火栓及</w:t>
      </w:r>
      <w:r>
        <w:rPr>
          <w:rFonts w:ascii="宋体" w:hAnsi="宋体"/>
          <w:color w:val="auto"/>
          <w:sz w:val="28"/>
        </w:rPr>
        <w:t>1211</w:t>
      </w:r>
      <w:r>
        <w:rPr>
          <w:rFonts w:hint="eastAsia" w:ascii="宋体" w:hAnsi="宋体"/>
          <w:color w:val="auto"/>
          <w:sz w:val="28"/>
        </w:rPr>
        <w:t>灭火器。室外按间距≤</w:t>
      </w:r>
      <w:r>
        <w:rPr>
          <w:rFonts w:ascii="宋体" w:hAnsi="宋体"/>
          <w:color w:val="auto"/>
          <w:sz w:val="28"/>
        </w:rPr>
        <w:t>120m</w:t>
      </w:r>
      <w:r>
        <w:rPr>
          <w:rFonts w:hint="eastAsia" w:ascii="宋体" w:hAnsi="宋体"/>
          <w:color w:val="auto"/>
          <w:sz w:val="28"/>
        </w:rPr>
        <w:t>,保护半径≤</w:t>
      </w:r>
      <w:r>
        <w:rPr>
          <w:rFonts w:ascii="宋体" w:hAnsi="宋体"/>
          <w:color w:val="auto"/>
          <w:sz w:val="28"/>
        </w:rPr>
        <w:t>150m</w:t>
      </w:r>
      <w:r>
        <w:rPr>
          <w:rFonts w:hint="eastAsia" w:ascii="宋体" w:hAnsi="宋体"/>
          <w:color w:val="auto"/>
          <w:sz w:val="28"/>
        </w:rPr>
        <w:t>,设置多个地上灭火栓。</w:t>
      </w:r>
    </w:p>
    <w:p>
      <w:pPr>
        <w:ind w:firstLine="562" w:firstLineChars="200"/>
        <w:rPr>
          <w:rFonts w:hint="eastAsia" w:ascii="宋体" w:hAnsi="宋体"/>
          <w:b/>
          <w:color w:val="auto"/>
          <w:sz w:val="28"/>
        </w:rPr>
      </w:pPr>
      <w:r>
        <w:rPr>
          <w:rFonts w:hint="eastAsia" w:ascii="宋体" w:hAnsi="宋体"/>
          <w:b/>
          <w:color w:val="auto"/>
          <w:sz w:val="28"/>
          <w:lang w:val="en-US" w:eastAsia="zh-CN"/>
        </w:rPr>
        <w:t>五、</w:t>
      </w:r>
      <w:r>
        <w:rPr>
          <w:rFonts w:hint="eastAsia" w:ascii="宋体" w:hAnsi="宋体"/>
          <w:b/>
          <w:color w:val="auto"/>
          <w:sz w:val="28"/>
        </w:rPr>
        <w:t>安全生产措施</w:t>
      </w:r>
    </w:p>
    <w:p>
      <w:pPr>
        <w:ind w:firstLine="560" w:firstLineChars="200"/>
        <w:rPr>
          <w:rFonts w:hint="eastAsia" w:ascii="宋体" w:hAnsi="宋体"/>
          <w:color w:val="auto"/>
          <w:sz w:val="28"/>
        </w:rPr>
      </w:pPr>
      <w:r>
        <w:rPr>
          <w:rFonts w:hint="eastAsia" w:ascii="宋体" w:hAnsi="宋体"/>
          <w:color w:val="auto"/>
          <w:sz w:val="28"/>
        </w:rPr>
        <w:t>本项目生产属化工医药范围，其生产过程中有可能会对人体产生危害的因素。为保证安全生产，采取下列措施。</w:t>
      </w:r>
    </w:p>
    <w:p>
      <w:pPr>
        <w:ind w:firstLine="560" w:firstLineChars="200"/>
        <w:rPr>
          <w:rFonts w:ascii="宋体"/>
          <w:color w:val="auto"/>
          <w:sz w:val="28"/>
          <w:szCs w:val="28"/>
        </w:rPr>
      </w:pPr>
      <w:r>
        <w:rPr>
          <w:rFonts w:ascii="宋体" w:hAnsi="宋体"/>
          <w:color w:val="auto"/>
          <w:sz w:val="28"/>
          <w:szCs w:val="28"/>
        </w:rPr>
        <w:t>1</w:t>
      </w:r>
      <w:r>
        <w:rPr>
          <w:rFonts w:hint="eastAsia" w:ascii="宋体" w:hAnsi="宋体"/>
          <w:color w:val="auto"/>
          <w:sz w:val="28"/>
          <w:szCs w:val="28"/>
        </w:rPr>
        <w:t>、加强甲类场所通风（如安装防爆型风机），使甲类场所换气次数达到</w:t>
      </w:r>
      <w:r>
        <w:rPr>
          <w:rFonts w:ascii="宋体" w:hAnsi="宋体"/>
          <w:color w:val="auto"/>
          <w:sz w:val="28"/>
          <w:szCs w:val="28"/>
        </w:rPr>
        <w:t>15</w:t>
      </w:r>
      <w:r>
        <w:rPr>
          <w:rFonts w:hint="eastAsia" w:ascii="宋体" w:hAnsi="宋体"/>
          <w:color w:val="auto"/>
          <w:sz w:val="28"/>
          <w:szCs w:val="28"/>
        </w:rPr>
        <w:t>次</w:t>
      </w:r>
      <w:r>
        <w:rPr>
          <w:rFonts w:ascii="宋体" w:hAnsi="宋体"/>
          <w:color w:val="auto"/>
          <w:sz w:val="28"/>
          <w:szCs w:val="28"/>
        </w:rPr>
        <w:t>/</w:t>
      </w:r>
      <w:r>
        <w:rPr>
          <w:rFonts w:hint="eastAsia" w:ascii="宋体" w:hAnsi="宋体"/>
          <w:color w:val="auto"/>
          <w:sz w:val="28"/>
          <w:szCs w:val="28"/>
        </w:rPr>
        <w:t>时，减少无组织排放，放空管尽量集中，尽量做到集中排放，易燃易爆介质的放空管线上装设阻火器。</w:t>
      </w:r>
    </w:p>
    <w:p>
      <w:pPr>
        <w:ind w:firstLine="420" w:firstLineChars="150"/>
        <w:rPr>
          <w:rFonts w:ascii="宋体"/>
          <w:color w:val="auto"/>
          <w:sz w:val="28"/>
          <w:szCs w:val="28"/>
        </w:rPr>
      </w:pPr>
      <w:r>
        <w:rPr>
          <w:rFonts w:ascii="宋体" w:hAnsi="宋体"/>
          <w:color w:val="auto"/>
          <w:sz w:val="28"/>
          <w:szCs w:val="28"/>
        </w:rPr>
        <w:t xml:space="preserve"> 2</w:t>
      </w:r>
      <w:r>
        <w:rPr>
          <w:rFonts w:hint="eastAsia" w:ascii="宋体" w:hAnsi="宋体"/>
          <w:color w:val="auto"/>
          <w:sz w:val="28"/>
          <w:szCs w:val="28"/>
        </w:rPr>
        <w:t>、加强对涉及易燃物料的设备检漏、试漏和维护保养，防止泄漏和空气渗入，并配置可燃气体检测报警装置监测车间内可燃物质的浓度，可燃气体报警装置应定期进行标定。</w:t>
      </w:r>
    </w:p>
    <w:p>
      <w:pPr>
        <w:ind w:firstLine="420" w:firstLineChars="150"/>
        <w:rPr>
          <w:rFonts w:ascii="宋体"/>
          <w:color w:val="auto"/>
          <w:sz w:val="28"/>
          <w:szCs w:val="28"/>
        </w:rPr>
      </w:pPr>
      <w:r>
        <w:rPr>
          <w:rFonts w:ascii="宋体" w:hAnsi="宋体"/>
          <w:color w:val="auto"/>
          <w:sz w:val="28"/>
          <w:szCs w:val="28"/>
        </w:rPr>
        <w:t xml:space="preserve"> 3</w:t>
      </w:r>
      <w:r>
        <w:rPr>
          <w:rFonts w:hint="eastAsia" w:ascii="宋体" w:hAnsi="宋体"/>
          <w:color w:val="auto"/>
          <w:sz w:val="28"/>
          <w:szCs w:val="28"/>
        </w:rPr>
        <w:t>、散发比空气重的甲类气体的场所铺设不发火材质的地面；钢平台上面铺导静电橡皮垫。</w:t>
      </w:r>
    </w:p>
    <w:p>
      <w:pPr>
        <w:ind w:firstLine="280" w:firstLineChars="100"/>
        <w:rPr>
          <w:rFonts w:ascii="宋体"/>
          <w:color w:val="auto"/>
          <w:sz w:val="28"/>
          <w:szCs w:val="28"/>
        </w:rPr>
      </w:pPr>
      <w:r>
        <w:rPr>
          <w:rFonts w:ascii="宋体" w:hAnsi="宋体"/>
          <w:color w:val="auto"/>
          <w:sz w:val="28"/>
          <w:szCs w:val="28"/>
        </w:rPr>
        <w:t xml:space="preserve"> </w:t>
      </w:r>
      <w:r>
        <w:rPr>
          <w:rFonts w:hint="eastAsia" w:ascii="宋体" w:hAnsi="宋体"/>
          <w:color w:val="auto"/>
          <w:sz w:val="28"/>
          <w:szCs w:val="28"/>
        </w:rPr>
        <w:t xml:space="preserve"> </w:t>
      </w:r>
      <w:r>
        <w:rPr>
          <w:rFonts w:ascii="宋体" w:hAnsi="宋体"/>
          <w:color w:val="auto"/>
          <w:sz w:val="28"/>
          <w:szCs w:val="28"/>
        </w:rPr>
        <w:t>4</w:t>
      </w:r>
      <w:r>
        <w:rPr>
          <w:rFonts w:hint="eastAsia" w:ascii="宋体" w:hAnsi="宋体"/>
          <w:color w:val="auto"/>
          <w:sz w:val="28"/>
          <w:szCs w:val="28"/>
        </w:rPr>
        <w:t>、严格控制甲基丙烯酸甲酯在管内的流速，一半流速应小于</w:t>
      </w:r>
      <w:r>
        <w:rPr>
          <w:rFonts w:ascii="宋体" w:hAnsi="宋体"/>
          <w:color w:val="auto"/>
          <w:sz w:val="28"/>
          <w:szCs w:val="28"/>
        </w:rPr>
        <w:t>1m/s</w:t>
      </w:r>
      <w:r>
        <w:rPr>
          <w:rFonts w:hint="eastAsia" w:ascii="宋体" w:hAnsi="宋体"/>
          <w:color w:val="auto"/>
          <w:sz w:val="28"/>
          <w:szCs w:val="28"/>
        </w:rPr>
        <w:t>。对抽物料的真空泵，电机应为隔爆型。</w:t>
      </w:r>
    </w:p>
    <w:p>
      <w:pPr>
        <w:ind w:firstLine="420" w:firstLineChars="150"/>
        <w:rPr>
          <w:rFonts w:ascii="宋体"/>
          <w:color w:val="auto"/>
          <w:sz w:val="28"/>
          <w:szCs w:val="28"/>
        </w:rPr>
      </w:pPr>
      <w:r>
        <w:rPr>
          <w:rFonts w:ascii="宋体" w:hAnsi="宋体"/>
          <w:color w:val="auto"/>
          <w:sz w:val="28"/>
          <w:szCs w:val="28"/>
        </w:rPr>
        <w:t xml:space="preserve"> 5</w:t>
      </w:r>
      <w:r>
        <w:rPr>
          <w:rFonts w:hint="eastAsia" w:ascii="宋体" w:hAnsi="宋体"/>
          <w:color w:val="auto"/>
          <w:sz w:val="28"/>
          <w:szCs w:val="28"/>
        </w:rPr>
        <w:t>、加强对以下几种火源的管理：</w:t>
      </w:r>
    </w:p>
    <w:p>
      <w:pPr>
        <w:ind w:firstLine="560" w:firstLineChars="200"/>
        <w:rPr>
          <w:rFonts w:ascii="宋体"/>
          <w:color w:val="auto"/>
          <w:sz w:val="28"/>
          <w:szCs w:val="28"/>
        </w:rPr>
      </w:pPr>
      <w:r>
        <w:rPr>
          <w:rFonts w:ascii="宋体" w:hAnsi="宋体"/>
          <w:color w:val="auto"/>
          <w:sz w:val="28"/>
          <w:szCs w:val="28"/>
        </w:rPr>
        <w:t>1</w:t>
      </w:r>
      <w:r>
        <w:rPr>
          <w:rFonts w:hint="eastAsia" w:ascii="宋体" w:hAnsi="宋体"/>
          <w:color w:val="auto"/>
          <w:sz w:val="28"/>
          <w:szCs w:val="28"/>
        </w:rPr>
        <w:t>）明火：如生产过程中的加热用火和维修用火等；</w:t>
      </w:r>
    </w:p>
    <w:p>
      <w:pPr>
        <w:ind w:firstLine="280" w:firstLineChars="100"/>
        <w:rPr>
          <w:rFonts w:ascii="宋体"/>
          <w:color w:val="auto"/>
          <w:sz w:val="28"/>
          <w:szCs w:val="28"/>
        </w:rPr>
      </w:pPr>
      <w:r>
        <w:rPr>
          <w:rFonts w:ascii="宋体" w:hAnsi="宋体"/>
          <w:color w:val="auto"/>
          <w:sz w:val="28"/>
          <w:szCs w:val="28"/>
        </w:rPr>
        <w:t xml:space="preserve">  2</w:t>
      </w:r>
      <w:r>
        <w:rPr>
          <w:rFonts w:hint="eastAsia" w:ascii="宋体" w:hAnsi="宋体"/>
          <w:color w:val="auto"/>
          <w:sz w:val="28"/>
          <w:szCs w:val="28"/>
        </w:rPr>
        <w:t>）摩擦与撞击；</w:t>
      </w:r>
    </w:p>
    <w:p>
      <w:pPr>
        <w:ind w:firstLine="280" w:firstLineChars="100"/>
        <w:rPr>
          <w:rFonts w:ascii="宋体"/>
          <w:color w:val="auto"/>
          <w:sz w:val="28"/>
          <w:szCs w:val="28"/>
        </w:rPr>
      </w:pPr>
      <w:r>
        <w:rPr>
          <w:rFonts w:ascii="宋体" w:hAnsi="宋体"/>
          <w:color w:val="auto"/>
          <w:sz w:val="28"/>
          <w:szCs w:val="28"/>
        </w:rPr>
        <w:t xml:space="preserve"> </w:t>
      </w:r>
      <w:r>
        <w:rPr>
          <w:rFonts w:hint="eastAsia" w:ascii="宋体" w:hAnsi="宋体"/>
          <w:color w:val="auto"/>
          <w:sz w:val="28"/>
          <w:szCs w:val="28"/>
        </w:rPr>
        <w:t xml:space="preserve"> </w:t>
      </w:r>
      <w:r>
        <w:rPr>
          <w:rFonts w:ascii="宋体" w:hAnsi="宋体"/>
          <w:color w:val="auto"/>
          <w:sz w:val="28"/>
          <w:szCs w:val="28"/>
        </w:rPr>
        <w:t>3</w:t>
      </w:r>
      <w:r>
        <w:rPr>
          <w:rFonts w:hint="eastAsia" w:ascii="宋体" w:hAnsi="宋体"/>
          <w:color w:val="auto"/>
          <w:sz w:val="28"/>
          <w:szCs w:val="28"/>
        </w:rPr>
        <w:t>）电气火花和静电火花；</w:t>
      </w:r>
    </w:p>
    <w:p>
      <w:pPr>
        <w:ind w:firstLine="280" w:firstLineChars="100"/>
        <w:rPr>
          <w:rFonts w:ascii="宋体"/>
          <w:color w:val="auto"/>
          <w:sz w:val="28"/>
          <w:szCs w:val="28"/>
        </w:rPr>
      </w:pPr>
      <w:r>
        <w:rPr>
          <w:rFonts w:ascii="宋体" w:hAnsi="宋体"/>
          <w:color w:val="auto"/>
          <w:sz w:val="28"/>
          <w:szCs w:val="28"/>
        </w:rPr>
        <w:t xml:space="preserve"> </w:t>
      </w:r>
      <w:r>
        <w:rPr>
          <w:rFonts w:hint="eastAsia" w:ascii="宋体" w:hAnsi="宋体"/>
          <w:color w:val="auto"/>
          <w:sz w:val="28"/>
          <w:szCs w:val="28"/>
        </w:rPr>
        <w:t xml:space="preserve"> </w:t>
      </w:r>
      <w:r>
        <w:rPr>
          <w:rFonts w:ascii="宋体" w:hAnsi="宋体"/>
          <w:color w:val="auto"/>
          <w:sz w:val="28"/>
          <w:szCs w:val="28"/>
        </w:rPr>
        <w:t>4</w:t>
      </w:r>
      <w:r>
        <w:rPr>
          <w:rFonts w:hint="eastAsia" w:ascii="宋体" w:hAnsi="宋体"/>
          <w:color w:val="auto"/>
          <w:sz w:val="28"/>
          <w:szCs w:val="28"/>
        </w:rPr>
        <w:t>）其他火源：高温表面可产生自然的物质、烟囱、烟头、机动车辆排气管、光热射线等。</w:t>
      </w:r>
    </w:p>
    <w:p>
      <w:pPr>
        <w:ind w:firstLine="560" w:firstLineChars="200"/>
        <w:rPr>
          <w:rFonts w:ascii="宋体"/>
          <w:color w:val="auto"/>
          <w:sz w:val="28"/>
          <w:szCs w:val="28"/>
        </w:rPr>
      </w:pPr>
      <w:r>
        <w:rPr>
          <w:rFonts w:ascii="宋体" w:hAnsi="宋体"/>
          <w:color w:val="auto"/>
          <w:sz w:val="28"/>
          <w:szCs w:val="28"/>
        </w:rPr>
        <w:t>6</w:t>
      </w:r>
      <w:r>
        <w:rPr>
          <w:rFonts w:hint="eastAsia" w:ascii="宋体" w:hAnsi="宋体"/>
          <w:color w:val="auto"/>
          <w:sz w:val="28"/>
          <w:szCs w:val="28"/>
        </w:rPr>
        <w:t>、建立健全各项检修消防安全制度（动火、检修、现场监护等管理制度），严格审批手续。制定设备检修安全操作规范，检修作业应严格按照《化工企业厂区作业安全规程》（</w:t>
      </w:r>
      <w:r>
        <w:rPr>
          <w:rFonts w:ascii="宋体" w:hAnsi="宋体"/>
          <w:color w:val="auto"/>
          <w:sz w:val="28"/>
          <w:szCs w:val="28"/>
        </w:rPr>
        <w:t>HG23011</w:t>
      </w:r>
      <w:r>
        <w:rPr>
          <w:rFonts w:hint="eastAsia" w:ascii="宋体" w:hAnsi="宋体"/>
          <w:color w:val="auto"/>
          <w:sz w:val="28"/>
          <w:szCs w:val="28"/>
        </w:rPr>
        <w:t>-</w:t>
      </w:r>
      <w:r>
        <w:rPr>
          <w:rFonts w:ascii="宋体" w:hAnsi="宋体"/>
          <w:color w:val="auto"/>
          <w:sz w:val="28"/>
          <w:szCs w:val="28"/>
        </w:rPr>
        <w:t>23018-1999</w:t>
      </w:r>
      <w:r>
        <w:rPr>
          <w:rFonts w:hint="eastAsia" w:ascii="宋体" w:hAnsi="宋体"/>
          <w:color w:val="auto"/>
          <w:sz w:val="28"/>
          <w:szCs w:val="28"/>
        </w:rPr>
        <w:t>）有关规定执行。</w:t>
      </w:r>
    </w:p>
    <w:p>
      <w:pPr>
        <w:ind w:firstLine="560" w:firstLineChars="200"/>
        <w:rPr>
          <w:rFonts w:ascii="宋体"/>
          <w:color w:val="auto"/>
          <w:sz w:val="28"/>
          <w:szCs w:val="28"/>
        </w:rPr>
      </w:pPr>
      <w:r>
        <w:rPr>
          <w:rFonts w:ascii="宋体" w:hAnsi="宋体"/>
          <w:color w:val="auto"/>
          <w:sz w:val="28"/>
          <w:szCs w:val="28"/>
        </w:rPr>
        <w:t>7</w:t>
      </w:r>
      <w:r>
        <w:rPr>
          <w:rFonts w:hint="eastAsia" w:ascii="宋体" w:hAnsi="宋体"/>
          <w:color w:val="auto"/>
          <w:sz w:val="28"/>
          <w:szCs w:val="28"/>
        </w:rPr>
        <w:t>、生产、贮存场所应严格控制动火用火，严格按照原化工部制定的“四十一”条禁令执行；制定场所应严格执行动火作业审批制度，动火前应检测可燃物的浓度，动火现场有专人监护，并配备足够的适用的消防器材。</w:t>
      </w:r>
    </w:p>
    <w:p>
      <w:pPr>
        <w:ind w:firstLine="560" w:firstLineChars="200"/>
        <w:rPr>
          <w:rFonts w:ascii="宋体"/>
          <w:color w:val="auto"/>
          <w:sz w:val="28"/>
          <w:szCs w:val="28"/>
        </w:rPr>
      </w:pPr>
      <w:r>
        <w:rPr>
          <w:rFonts w:ascii="宋体" w:hAnsi="宋体"/>
          <w:color w:val="auto"/>
          <w:sz w:val="28"/>
          <w:szCs w:val="28"/>
        </w:rPr>
        <w:t>8</w:t>
      </w:r>
      <w:r>
        <w:rPr>
          <w:rFonts w:hint="eastAsia" w:ascii="宋体" w:hAnsi="宋体"/>
          <w:color w:val="auto"/>
          <w:sz w:val="28"/>
          <w:szCs w:val="28"/>
        </w:rPr>
        <w:t>、生产设备应密封操作，要防止甲基丙烯酸甲酯液体及其蒸汽外溢。甲基丙烯酸甲酯在空气中的最高允许浓度为</w:t>
      </w:r>
      <w:r>
        <w:rPr>
          <w:rFonts w:hint="eastAsia" w:ascii="宋体" w:hAnsi="宋体"/>
          <w:color w:val="auto"/>
          <w:sz w:val="28"/>
          <w:szCs w:val="28"/>
          <w:lang w:val="en-US" w:eastAsia="zh-CN"/>
        </w:rPr>
        <w:t>30</w:t>
      </w:r>
      <w:r>
        <w:rPr>
          <w:rFonts w:ascii="宋体" w:hAnsi="宋体"/>
          <w:color w:val="auto"/>
          <w:sz w:val="28"/>
          <w:szCs w:val="28"/>
        </w:rPr>
        <w:t>mg/m</w:t>
      </w:r>
      <w:r>
        <w:rPr>
          <w:rFonts w:hint="eastAsia" w:ascii="宋体" w:hAnsi="宋体"/>
          <w:color w:val="auto"/>
          <w:sz w:val="28"/>
          <w:szCs w:val="28"/>
        </w:rPr>
        <w:t>³（</w:t>
      </w:r>
      <w:r>
        <w:rPr>
          <w:rFonts w:hint="eastAsia" w:ascii="宋体" w:hAnsi="宋体"/>
          <w:color w:val="auto"/>
          <w:sz w:val="28"/>
          <w:szCs w:val="28"/>
          <w:lang w:val="en-US" w:eastAsia="zh-CN"/>
        </w:rPr>
        <w:t>GB8776-88</w:t>
      </w:r>
      <w:r>
        <w:rPr>
          <w:rFonts w:hint="eastAsia" w:ascii="宋体" w:hAnsi="宋体"/>
          <w:color w:val="auto"/>
          <w:sz w:val="28"/>
          <w:szCs w:val="28"/>
        </w:rPr>
        <w:t>）。如发生超标，需查明原因，加以杜绝。作业人员应穿防静电工作服等，尽可能站在上风向侧操作。</w:t>
      </w:r>
    </w:p>
    <w:p>
      <w:pPr>
        <w:ind w:firstLine="560" w:firstLineChars="200"/>
        <w:rPr>
          <w:rFonts w:ascii="宋体"/>
          <w:color w:val="auto"/>
          <w:sz w:val="28"/>
          <w:szCs w:val="28"/>
        </w:rPr>
      </w:pPr>
      <w:r>
        <w:rPr>
          <w:rFonts w:ascii="宋体" w:hAnsi="宋体"/>
          <w:color w:val="auto"/>
          <w:sz w:val="28"/>
          <w:szCs w:val="28"/>
        </w:rPr>
        <w:t>9</w:t>
      </w:r>
      <w:r>
        <w:rPr>
          <w:rFonts w:hint="eastAsia" w:ascii="宋体" w:hAnsi="宋体"/>
          <w:color w:val="auto"/>
          <w:sz w:val="28"/>
          <w:szCs w:val="28"/>
        </w:rPr>
        <w:t>、停开车前应对系统认真检查核实，如各阀门管线是否存在缺陷；抽、堵的盲板是否正确；各仪表、信号装置是否正常；各阀门开关位置是否正确等。</w:t>
      </w:r>
    </w:p>
    <w:p>
      <w:pPr>
        <w:ind w:firstLine="560" w:firstLineChars="200"/>
        <w:rPr>
          <w:rFonts w:ascii="宋体"/>
          <w:color w:val="auto"/>
          <w:sz w:val="28"/>
          <w:szCs w:val="28"/>
        </w:rPr>
      </w:pPr>
      <w:r>
        <w:rPr>
          <w:rFonts w:ascii="宋体" w:hAnsi="宋体"/>
          <w:color w:val="auto"/>
          <w:sz w:val="28"/>
          <w:szCs w:val="28"/>
        </w:rPr>
        <w:t>10</w:t>
      </w:r>
      <w:r>
        <w:rPr>
          <w:rFonts w:hint="eastAsia" w:ascii="宋体" w:hAnsi="宋体"/>
          <w:color w:val="auto"/>
          <w:sz w:val="28"/>
          <w:szCs w:val="28"/>
        </w:rPr>
        <w:t>、含可燃液体的生产污水管道应在装置围堰的排水口处、建（构）筑物的排水口处、支管与干管的交汇处设置阻火水封井。甲类场所的管、沟不应和相邻厂房的管、沟想通，该场所的下水道应设有隔油设施。</w:t>
      </w:r>
    </w:p>
    <w:p>
      <w:pPr>
        <w:ind w:firstLine="560" w:firstLineChars="200"/>
        <w:rPr>
          <w:rFonts w:ascii="宋体"/>
          <w:color w:val="auto"/>
          <w:sz w:val="28"/>
          <w:szCs w:val="28"/>
        </w:rPr>
      </w:pPr>
      <w:r>
        <w:rPr>
          <w:rFonts w:ascii="宋体" w:hAnsi="宋体"/>
          <w:color w:val="auto"/>
          <w:sz w:val="28"/>
          <w:szCs w:val="28"/>
        </w:rPr>
        <w:t>11</w:t>
      </w:r>
      <w:r>
        <w:rPr>
          <w:rFonts w:hint="eastAsia" w:ascii="宋体" w:hAnsi="宋体"/>
          <w:color w:val="auto"/>
          <w:sz w:val="28"/>
          <w:szCs w:val="28"/>
        </w:rPr>
        <w:t>、设备检修过程中应认真落实设备停车、置换、清洗和隔离措施。设备停运、置换、清洗和隔离措施是检修中防火、防爆的关键操作环节，置换时应采用蒸汽、氮气等惰性气体，也可用注水排气法，置换和清洗后应取样分析，合格后方可进行检修作业。并加强对临时工及外来施工人员的管理，检修的电工、焊工、气焊切割等人员要有相应的上岗证方可操作。</w:t>
      </w:r>
    </w:p>
    <w:p>
      <w:pPr>
        <w:ind w:firstLine="560" w:firstLineChars="200"/>
        <w:rPr>
          <w:rFonts w:ascii="宋体"/>
          <w:color w:val="auto"/>
          <w:sz w:val="28"/>
          <w:szCs w:val="28"/>
        </w:rPr>
      </w:pPr>
      <w:r>
        <w:rPr>
          <w:rFonts w:hint="eastAsia" w:ascii="宋体" w:hAnsi="宋体"/>
          <w:color w:val="auto"/>
          <w:sz w:val="28"/>
          <w:szCs w:val="28"/>
        </w:rPr>
        <w:t>12、对操作人员的培训教育，使之熟悉操作规程、工艺控制参数及原物料、中间产物存在的危险性，严格操作纪律，防止操作失误。</w:t>
      </w:r>
    </w:p>
    <w:p>
      <w:pPr>
        <w:ind w:firstLine="560" w:firstLineChars="200"/>
        <w:rPr>
          <w:rFonts w:ascii="宋体"/>
          <w:color w:val="auto"/>
          <w:sz w:val="28"/>
          <w:szCs w:val="28"/>
        </w:rPr>
      </w:pPr>
      <w:r>
        <w:rPr>
          <w:rFonts w:hint="eastAsia" w:ascii="宋体" w:hAnsi="宋体"/>
          <w:color w:val="auto"/>
          <w:sz w:val="28"/>
          <w:szCs w:val="28"/>
        </w:rPr>
        <w:t>13、定期对生产设备及主、辅料管道、蒸汽管道、阀门、阀件等辅助设施进行检修，做好维护保养，保证设备完好运行，防止跑、冒、滴、漏。有条件时应使用可远距离操纵的控制、连锁系统和报警装置。</w:t>
      </w:r>
    </w:p>
    <w:p>
      <w:pPr>
        <w:ind w:firstLine="560" w:firstLineChars="200"/>
        <w:rPr>
          <w:rFonts w:ascii="宋体"/>
          <w:color w:val="auto"/>
          <w:sz w:val="28"/>
          <w:szCs w:val="28"/>
        </w:rPr>
      </w:pPr>
      <w:r>
        <w:rPr>
          <w:rFonts w:hint="eastAsia" w:ascii="宋体" w:hAnsi="宋体"/>
          <w:color w:val="auto"/>
          <w:sz w:val="28"/>
          <w:szCs w:val="28"/>
        </w:rPr>
        <w:t>14、生产、贮存场所等建筑物和化工装置均应设置防雷装置，并按规定委托有相应资质的单位进行防雷检测，并对检测不合格项进行整改。</w:t>
      </w:r>
    </w:p>
    <w:p>
      <w:pPr>
        <w:ind w:firstLine="560" w:firstLineChars="200"/>
        <w:rPr>
          <w:rFonts w:ascii="宋体"/>
          <w:color w:val="auto"/>
          <w:sz w:val="28"/>
          <w:szCs w:val="28"/>
        </w:rPr>
      </w:pPr>
      <w:r>
        <w:rPr>
          <w:rFonts w:hint="eastAsia" w:ascii="宋体" w:hAnsi="宋体"/>
          <w:color w:val="auto"/>
          <w:sz w:val="28"/>
          <w:szCs w:val="28"/>
        </w:rPr>
        <w:t>15、装置、设备、管道等应委托有资质的单位进行防静电检测；甲类区域内电气设施的配置、电气线路敷设应符合《爆炸和火灾危险环境电力装置设计规范》（</w:t>
      </w:r>
      <w:r>
        <w:rPr>
          <w:rFonts w:ascii="宋体" w:hAnsi="宋体"/>
          <w:color w:val="auto"/>
          <w:sz w:val="28"/>
          <w:szCs w:val="28"/>
        </w:rPr>
        <w:t>GB50058-92</w:t>
      </w:r>
      <w:r>
        <w:rPr>
          <w:rFonts w:hint="eastAsia" w:ascii="宋体" w:hAnsi="宋体"/>
          <w:color w:val="auto"/>
          <w:sz w:val="28"/>
          <w:szCs w:val="28"/>
        </w:rPr>
        <w:t>）的规定，要委托有资质的单位检测，并对检测不合格项进行整改。</w:t>
      </w:r>
    </w:p>
    <w:p>
      <w:pPr>
        <w:ind w:firstLine="560" w:firstLineChars="200"/>
        <w:rPr>
          <w:rFonts w:ascii="宋体"/>
          <w:color w:val="auto"/>
          <w:sz w:val="28"/>
          <w:szCs w:val="28"/>
        </w:rPr>
      </w:pPr>
      <w:r>
        <w:rPr>
          <w:rFonts w:hint="eastAsia" w:ascii="宋体" w:hAnsi="宋体"/>
          <w:color w:val="auto"/>
          <w:sz w:val="28"/>
          <w:szCs w:val="28"/>
        </w:rPr>
        <w:t>16、危险爆炸区域内各类低压用电设备、插座应安装防爆型漏电保护器。安装漏电防护装置应严格按照规范要求执行。禁止使用临时线路，尽可能少用移动式电具。如必须使用，要有严格的安全措施。</w:t>
      </w:r>
    </w:p>
    <w:p>
      <w:pPr>
        <w:numPr>
          <w:ilvl w:val="0"/>
          <w:numId w:val="7"/>
        </w:numPr>
        <w:rPr>
          <w:rFonts w:ascii="宋体"/>
          <w:color w:val="auto"/>
          <w:sz w:val="28"/>
          <w:szCs w:val="28"/>
        </w:rPr>
      </w:pPr>
      <w:r>
        <w:rPr>
          <w:rFonts w:hint="eastAsia" w:ascii="宋体" w:hAnsi="宋体"/>
          <w:color w:val="auto"/>
          <w:sz w:val="28"/>
          <w:szCs w:val="28"/>
        </w:rPr>
        <w:t>厂房出入口应设置应急指示灯及事故照明应急灯。</w:t>
      </w:r>
    </w:p>
    <w:p>
      <w:pPr>
        <w:ind w:firstLine="560" w:firstLineChars="200"/>
        <w:rPr>
          <w:rFonts w:hint="eastAsia" w:ascii="宋体" w:hAnsi="宋体"/>
          <w:color w:val="auto"/>
          <w:sz w:val="28"/>
          <w:szCs w:val="28"/>
        </w:rPr>
      </w:pPr>
      <w:r>
        <w:rPr>
          <w:rFonts w:hint="eastAsia" w:ascii="宋体" w:hAnsi="宋体"/>
          <w:color w:val="auto"/>
          <w:sz w:val="28"/>
          <w:szCs w:val="28"/>
        </w:rPr>
        <w:t>18、企业应设立安全生产管理机构并配备专职安全生产管理人员；企业主要负责人、安全生产管理人员和特种作业人员（如锅炉、压力容器、电工、电焊作业等）须经专门培训，并经考核合格后持证上岗，并保持特种作业人员的相对稳定性。</w:t>
      </w:r>
    </w:p>
    <w:p>
      <w:pPr>
        <w:ind w:firstLine="560" w:firstLineChars="200"/>
        <w:rPr>
          <w:rFonts w:hint="eastAsia" w:ascii="宋体" w:hAnsi="宋体"/>
          <w:color w:val="auto"/>
          <w:sz w:val="28"/>
          <w:szCs w:val="28"/>
        </w:rPr>
      </w:pPr>
      <w:r>
        <w:rPr>
          <w:rFonts w:hint="eastAsia" w:ascii="宋体" w:hAnsi="宋体"/>
          <w:color w:val="auto"/>
          <w:sz w:val="28"/>
          <w:szCs w:val="28"/>
        </w:rPr>
        <w:t>19、对新进企业职工或调整岗位的职工必须进行三级安全教育，所有人员上岗前均要按规定进行就业体检。不断加强对全体职工职业培训、教育，使职工具有高度的安全责任心、慎密的态度，并且要熟悉相应的业务，有熟练的操作技能，具备有关物料、设备、设施、防止工艺参数变动等危险、危害知识和应急处理能力。</w:t>
      </w:r>
    </w:p>
    <w:p>
      <w:pPr>
        <w:ind w:firstLine="560" w:firstLineChars="200"/>
        <w:rPr>
          <w:rFonts w:ascii="宋体"/>
          <w:color w:val="auto"/>
          <w:sz w:val="28"/>
          <w:szCs w:val="28"/>
        </w:rPr>
      </w:pPr>
      <w:r>
        <w:rPr>
          <w:rFonts w:hint="eastAsia" w:ascii="宋体" w:hAnsi="宋体"/>
          <w:color w:val="auto"/>
          <w:sz w:val="28"/>
          <w:szCs w:val="28"/>
        </w:rPr>
        <w:t>20、制定并落实劳保用品使用、发放规章制度；培训工人正确使用佩戴劳防用品；建议企业配备自给正压式呼吸器、防静电工作服，以便泄露应急处理时应急处理人员佩戴。</w:t>
      </w:r>
    </w:p>
    <w:p>
      <w:pPr>
        <w:ind w:firstLine="560" w:firstLineChars="200"/>
        <w:rPr>
          <w:rFonts w:ascii="宋体"/>
          <w:color w:val="auto"/>
          <w:sz w:val="28"/>
          <w:szCs w:val="28"/>
        </w:rPr>
      </w:pPr>
      <w:r>
        <w:rPr>
          <w:rFonts w:hint="eastAsia" w:ascii="宋体" w:hAnsi="宋体"/>
          <w:color w:val="auto"/>
          <w:sz w:val="28"/>
          <w:szCs w:val="28"/>
        </w:rPr>
        <w:t>21、对应急预案不断进行修订和完善，并及时报当地安全生产监督部门备案。建立配备有针对性的消防设施，配备符合规范要求的干粉、抗醇泡沫或二氧化碳灭火器，分散布置在明显和便于取用的地方，定期进行检查，保持完整好用。同时定期组织演练，使每个职工都会使用消防器材，有效地扑救初期火灾，防止事故的蔓延。</w:t>
      </w:r>
    </w:p>
    <w:p>
      <w:pPr>
        <w:pStyle w:val="3"/>
        <w:rPr>
          <w:rFonts w:hint="default"/>
          <w:color w:val="auto"/>
          <w:lang w:val="en-US" w:eastAsia="zh-CN"/>
        </w:rPr>
      </w:pPr>
      <w:bookmarkStart w:id="693" w:name="_Toc22099"/>
      <w:bookmarkStart w:id="694" w:name="_Toc13606"/>
      <w:bookmarkStart w:id="695" w:name="_Toc4345"/>
      <w:bookmarkStart w:id="696" w:name="_Toc18546"/>
      <w:bookmarkStart w:id="697" w:name="_Toc9731"/>
      <w:bookmarkStart w:id="698" w:name="_Toc7572"/>
      <w:r>
        <w:rPr>
          <w:rFonts w:hint="default"/>
          <w:color w:val="auto"/>
          <w:lang w:val="en-US" w:eastAsia="zh-CN"/>
        </w:rPr>
        <w:t>9.3 本评价提出的安全对策措施</w:t>
      </w:r>
      <w:bookmarkEnd w:id="693"/>
      <w:bookmarkEnd w:id="694"/>
      <w:bookmarkEnd w:id="695"/>
      <w:bookmarkEnd w:id="696"/>
      <w:bookmarkEnd w:id="697"/>
      <w:bookmarkEnd w:id="698"/>
    </w:p>
    <w:p>
      <w:pPr>
        <w:pStyle w:val="4"/>
        <w:rPr>
          <w:rFonts w:hint="default"/>
          <w:color w:val="auto"/>
          <w:lang w:val="en-US" w:eastAsia="zh-CN"/>
        </w:rPr>
      </w:pPr>
      <w:bookmarkStart w:id="699" w:name="_Toc24964"/>
      <w:bookmarkStart w:id="700" w:name="_Toc31140"/>
      <w:bookmarkStart w:id="701" w:name="_Toc1429"/>
      <w:bookmarkStart w:id="702" w:name="_Toc8698"/>
      <w:bookmarkStart w:id="703" w:name="_Toc31715"/>
      <w:bookmarkStart w:id="704" w:name="_Toc22487"/>
      <w:r>
        <w:rPr>
          <w:rFonts w:hint="default"/>
          <w:color w:val="auto"/>
          <w:lang w:val="en-US" w:eastAsia="zh-CN"/>
        </w:rPr>
        <w:t>9.3.1 建设项目的选址方面</w:t>
      </w:r>
      <w:bookmarkEnd w:id="699"/>
      <w:bookmarkEnd w:id="700"/>
      <w:bookmarkEnd w:id="701"/>
      <w:bookmarkEnd w:id="702"/>
      <w:bookmarkEnd w:id="703"/>
      <w:bookmarkEnd w:id="704"/>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1）该公司所在地地震烈度为</w:t>
      </w:r>
      <w:r>
        <w:rPr>
          <w:rFonts w:hint="eastAsia"/>
          <w:b w:val="0"/>
          <w:bCs w:val="0"/>
          <w:color w:val="auto"/>
          <w:sz w:val="28"/>
          <w:szCs w:val="24"/>
          <w:lang w:val="en-US" w:eastAsia="zh-CN"/>
        </w:rPr>
        <w:t>6</w:t>
      </w:r>
      <w:r>
        <w:rPr>
          <w:rFonts w:hint="default"/>
          <w:b w:val="0"/>
          <w:bCs w:val="0"/>
          <w:color w:val="auto"/>
          <w:sz w:val="28"/>
          <w:szCs w:val="24"/>
          <w:lang w:val="en-US" w:eastAsia="zh-CN"/>
        </w:rPr>
        <w:t>度，建设单位应根据场地地震基本烈度，作抗震设防。新建建、构筑物抗震设防按《建筑抗震设计规范（2016 年版）》（GB50011-2010）和《构筑物抗震设计规范》（GB50191-2012）执行，其中其中重点设防目标建构筑物</w:t>
      </w:r>
      <w:r>
        <w:rPr>
          <w:rFonts w:hint="eastAsia"/>
          <w:b w:val="0"/>
          <w:bCs w:val="0"/>
          <w:color w:val="auto"/>
          <w:sz w:val="28"/>
          <w:szCs w:val="24"/>
          <w:lang w:val="en-US" w:eastAsia="zh-CN"/>
        </w:rPr>
        <w:t>：101裂解车间、102精馏车间、201甲类仓库</w:t>
      </w:r>
      <w:r>
        <w:rPr>
          <w:rFonts w:hint="default"/>
          <w:b w:val="0"/>
          <w:bCs w:val="0"/>
          <w:color w:val="auto"/>
          <w:sz w:val="28"/>
          <w:szCs w:val="24"/>
          <w:lang w:val="en-US" w:eastAsia="zh-CN"/>
        </w:rPr>
        <w:t>抗震设防应提高一度进行设防。</w:t>
      </w:r>
    </w:p>
    <w:p>
      <w:pPr>
        <w:ind w:firstLine="560" w:firstLineChars="200"/>
        <w:rPr>
          <w:rFonts w:hint="default"/>
          <w:color w:val="auto"/>
          <w:lang w:val="en-US" w:eastAsia="zh-CN"/>
        </w:rPr>
      </w:pPr>
      <w:r>
        <w:rPr>
          <w:rFonts w:hint="default"/>
          <w:color w:val="auto"/>
          <w:lang w:val="en-US" w:eastAsia="zh-CN"/>
        </w:rPr>
        <w:t>2）在工程设计前应根据勘查结果和地质资料和工程的要求，因地制宜，</w:t>
      </w:r>
    </w:p>
    <w:p>
      <w:pPr>
        <w:rPr>
          <w:rFonts w:hint="default"/>
          <w:color w:val="auto"/>
          <w:lang w:val="en-US" w:eastAsia="zh-CN"/>
        </w:rPr>
      </w:pPr>
      <w:r>
        <w:rPr>
          <w:rFonts w:hint="default"/>
          <w:color w:val="auto"/>
          <w:lang w:val="en-US" w:eastAsia="zh-CN"/>
        </w:rPr>
        <w:t>采取以地基处理为主的综合措施，对所有建筑、设备、设施等的基础采取相应的加固处理措施，防止地基湿陷对建筑物产生危害。按要求做好该项目的埋地电缆、排水的设计与施工。</w:t>
      </w:r>
    </w:p>
    <w:p>
      <w:pPr>
        <w:ind w:firstLine="560" w:firstLineChars="200"/>
        <w:rPr>
          <w:rFonts w:hint="default"/>
          <w:color w:val="auto"/>
          <w:lang w:val="en-US" w:eastAsia="zh-CN"/>
        </w:rPr>
      </w:pPr>
      <w:r>
        <w:rPr>
          <w:rFonts w:hint="default"/>
          <w:color w:val="auto"/>
          <w:lang w:val="en-US" w:eastAsia="zh-CN"/>
        </w:rPr>
        <w:t>3）厂区</w:t>
      </w:r>
      <w:r>
        <w:rPr>
          <w:rFonts w:hint="eastAsia"/>
          <w:color w:val="auto"/>
          <w:lang w:val="en-US" w:eastAsia="zh-CN"/>
        </w:rPr>
        <w:t>北</w:t>
      </w:r>
      <w:r>
        <w:rPr>
          <w:rFonts w:hint="default"/>
          <w:color w:val="auto"/>
          <w:lang w:val="en-US" w:eastAsia="zh-CN"/>
        </w:rPr>
        <w:t>侧为山体，项目设计和建设时应根据山体的实际情况做好防止山体滑坡和防山火的设计、施工，必要时应对山体边缘进行加固。</w:t>
      </w:r>
    </w:p>
    <w:p>
      <w:pPr>
        <w:pStyle w:val="4"/>
        <w:rPr>
          <w:rFonts w:hint="default"/>
          <w:color w:val="auto"/>
          <w:lang w:val="en-US" w:eastAsia="zh-CN"/>
        </w:rPr>
      </w:pPr>
      <w:bookmarkStart w:id="705" w:name="_Toc909"/>
      <w:bookmarkStart w:id="706" w:name="_Toc17510"/>
      <w:bookmarkStart w:id="707" w:name="_Toc22022"/>
      <w:bookmarkStart w:id="708" w:name="_Toc14013"/>
      <w:bookmarkStart w:id="709" w:name="_Toc13619"/>
      <w:bookmarkStart w:id="710" w:name="_Toc7156"/>
      <w:r>
        <w:rPr>
          <w:rFonts w:hint="default"/>
          <w:color w:val="auto"/>
          <w:lang w:val="en-US" w:eastAsia="zh-CN"/>
        </w:rPr>
        <w:t>9.3.2 建设项目中主要装置、设备设施的布局及建构筑物方面</w:t>
      </w:r>
      <w:bookmarkEnd w:id="705"/>
      <w:bookmarkEnd w:id="706"/>
      <w:bookmarkEnd w:id="707"/>
      <w:bookmarkEnd w:id="708"/>
      <w:bookmarkEnd w:id="709"/>
      <w:bookmarkEnd w:id="710"/>
    </w:p>
    <w:p>
      <w:pPr>
        <w:ind w:firstLine="560" w:firstLineChars="200"/>
        <w:rPr>
          <w:rFonts w:hint="default"/>
          <w:color w:val="auto"/>
          <w:lang w:val="en-US" w:eastAsia="zh-CN"/>
        </w:rPr>
      </w:pPr>
      <w:r>
        <w:rPr>
          <w:rFonts w:hint="default"/>
          <w:color w:val="auto"/>
          <w:lang w:val="en-US" w:eastAsia="zh-CN"/>
        </w:rPr>
        <w:t>1）101</w:t>
      </w:r>
      <w:r>
        <w:rPr>
          <w:rFonts w:hint="eastAsia"/>
          <w:color w:val="auto"/>
          <w:lang w:val="en-US" w:eastAsia="zh-CN"/>
        </w:rPr>
        <w:t>裂解</w:t>
      </w:r>
      <w:r>
        <w:rPr>
          <w:rFonts w:hint="default"/>
          <w:color w:val="auto"/>
          <w:lang w:val="en-US" w:eastAsia="zh-CN"/>
        </w:rPr>
        <w:t>车间</w:t>
      </w:r>
      <w:r>
        <w:rPr>
          <w:rFonts w:hint="eastAsia"/>
          <w:color w:val="auto"/>
          <w:lang w:val="en-US" w:eastAsia="zh-CN"/>
        </w:rPr>
        <w:t>、102精馏车间</w:t>
      </w:r>
      <w:r>
        <w:rPr>
          <w:rFonts w:hint="default"/>
          <w:color w:val="auto"/>
          <w:lang w:val="en-US" w:eastAsia="zh-CN"/>
        </w:rPr>
        <w:t>的布置，应保证生产人员的安全操作及疏散方便，并应符合国家现行的有关标准的规定；车间内的设备布置、通道的宽度及其上方高度应执行《化工装置设备布置设计规定》（HG/T 20546）中的有关规定。</w:t>
      </w:r>
    </w:p>
    <w:p>
      <w:pPr>
        <w:ind w:firstLine="560" w:firstLineChars="200"/>
        <w:rPr>
          <w:rFonts w:hint="default"/>
          <w:color w:val="auto"/>
          <w:lang w:val="en-US" w:eastAsia="zh-CN"/>
        </w:rPr>
      </w:pPr>
      <w:r>
        <w:rPr>
          <w:rFonts w:hint="default"/>
          <w:color w:val="auto"/>
          <w:lang w:val="en-US" w:eastAsia="zh-CN"/>
        </w:rPr>
        <w:t>2）</w:t>
      </w:r>
      <w:r>
        <w:rPr>
          <w:rFonts w:hint="default"/>
          <w:color w:val="auto"/>
          <w:highlight w:val="none"/>
          <w:lang w:val="en-US" w:eastAsia="zh-CN"/>
        </w:rPr>
        <w:t>设计时应考虑</w:t>
      </w:r>
      <w:r>
        <w:rPr>
          <w:rFonts w:hint="eastAsia"/>
          <w:color w:val="auto"/>
          <w:highlight w:val="none"/>
          <w:lang w:val="en-US" w:eastAsia="zh-CN"/>
        </w:rPr>
        <w:t>每个防火分区或一个防火分区的每个楼层，</w:t>
      </w:r>
      <w:r>
        <w:rPr>
          <w:rFonts w:hint="default"/>
          <w:color w:val="auto"/>
          <w:highlight w:val="none"/>
          <w:lang w:val="en-US" w:eastAsia="zh-CN"/>
        </w:rPr>
        <w:t>安全出口不应少于2个</w:t>
      </w:r>
      <w:r>
        <w:rPr>
          <w:rFonts w:hint="default"/>
          <w:color w:val="auto"/>
          <w:lang w:val="en-US" w:eastAsia="zh-CN"/>
        </w:rPr>
        <w:t>。</w:t>
      </w:r>
      <w:r>
        <w:rPr>
          <w:rFonts w:hint="eastAsia"/>
          <w:color w:val="auto"/>
          <w:lang w:val="en-US" w:eastAsia="zh-CN"/>
        </w:rPr>
        <w:t>204丙类</w:t>
      </w:r>
      <w:r>
        <w:rPr>
          <w:rFonts w:hint="default"/>
          <w:color w:val="auto"/>
          <w:lang w:val="en-US" w:eastAsia="zh-CN"/>
        </w:rPr>
        <w:t>仓库</w:t>
      </w:r>
      <w:r>
        <w:rPr>
          <w:rFonts w:hint="eastAsia"/>
          <w:color w:val="auto"/>
          <w:lang w:val="en-US" w:eastAsia="zh-CN"/>
        </w:rPr>
        <w:t>二</w:t>
      </w:r>
      <w:r>
        <w:rPr>
          <w:rFonts w:hint="default"/>
          <w:color w:val="auto"/>
          <w:lang w:val="en-US" w:eastAsia="zh-CN"/>
        </w:rPr>
        <w:t>内每个防火分区通向疏散走道或室外的出口不宜少于 2 个。</w:t>
      </w:r>
      <w:r>
        <w:rPr>
          <w:rFonts w:hint="eastAsia"/>
          <w:color w:val="auto"/>
          <w:lang w:val="en-US" w:eastAsia="zh-CN"/>
        </w:rPr>
        <w:t>204丙类仓库二防火分区间应设置防火墙，如因工艺要求确需开口时，应采用等效措施，如：设置防火卷帘。</w:t>
      </w:r>
    </w:p>
    <w:p>
      <w:pPr>
        <w:ind w:firstLine="560" w:firstLineChars="200"/>
        <w:rPr>
          <w:rFonts w:hint="default"/>
          <w:color w:val="auto"/>
          <w:lang w:val="en-US" w:eastAsia="zh-CN"/>
        </w:rPr>
      </w:pPr>
      <w:r>
        <w:rPr>
          <w:rFonts w:hint="default"/>
          <w:color w:val="auto"/>
          <w:lang w:val="en-US" w:eastAsia="zh-CN"/>
        </w:rPr>
        <w:t>3）精馏塔等高塔类设备应采取有效的固定措施以防止在风载荷等影响下发生超过规定范围的位移。</w:t>
      </w:r>
    </w:p>
    <w:p>
      <w:pPr>
        <w:ind w:firstLine="560" w:firstLineChars="200"/>
        <w:rPr>
          <w:rFonts w:hint="default"/>
          <w:color w:val="auto"/>
          <w:lang w:val="en-US" w:eastAsia="zh-CN"/>
        </w:rPr>
      </w:pPr>
      <w:r>
        <w:rPr>
          <w:rFonts w:hint="default"/>
          <w:color w:val="auto"/>
          <w:lang w:val="en-US" w:eastAsia="zh-CN"/>
        </w:rPr>
        <w:t>4）企业标高高于园区道路标高，设计时应做好对厂区防流散设施的设</w:t>
      </w:r>
    </w:p>
    <w:p>
      <w:pPr>
        <w:rPr>
          <w:rFonts w:hint="default"/>
          <w:color w:val="auto"/>
          <w:lang w:val="en-US" w:eastAsia="zh-CN"/>
        </w:rPr>
      </w:pPr>
      <w:r>
        <w:rPr>
          <w:rFonts w:hint="default"/>
          <w:color w:val="auto"/>
          <w:lang w:val="en-US" w:eastAsia="zh-CN"/>
        </w:rPr>
        <w:t>计。</w:t>
      </w:r>
    </w:p>
    <w:p>
      <w:pPr>
        <w:ind w:firstLine="560" w:firstLineChars="200"/>
        <w:rPr>
          <w:rFonts w:hint="default"/>
          <w:color w:val="auto"/>
          <w:lang w:val="en-US" w:eastAsia="zh-CN"/>
        </w:rPr>
      </w:pPr>
      <w:r>
        <w:rPr>
          <w:rFonts w:hint="default"/>
          <w:color w:val="auto"/>
          <w:lang w:val="en-US" w:eastAsia="zh-CN"/>
        </w:rPr>
        <w:t>5）在满足工艺要求的情况下，工艺设备应紧凑布置，限制和减小爆炸危险区域的范围。</w:t>
      </w:r>
    </w:p>
    <w:p>
      <w:pPr>
        <w:ind w:firstLine="560" w:firstLineChars="200"/>
        <w:rPr>
          <w:rFonts w:hint="default"/>
          <w:color w:val="auto"/>
          <w:lang w:val="en-US" w:eastAsia="zh-CN"/>
        </w:rPr>
      </w:pPr>
      <w:r>
        <w:rPr>
          <w:rFonts w:hint="default"/>
          <w:color w:val="auto"/>
          <w:lang w:val="en-US" w:eastAsia="zh-CN"/>
        </w:rPr>
        <w:t>6）生产设施内部的设备、管道等布置应符合安全生产、检修、维护和消防的要求。</w:t>
      </w:r>
    </w:p>
    <w:p>
      <w:pPr>
        <w:ind w:firstLine="560" w:firstLineChars="200"/>
        <w:rPr>
          <w:rFonts w:hint="default"/>
          <w:color w:val="auto"/>
          <w:lang w:val="en-US" w:eastAsia="zh-CN"/>
        </w:rPr>
      </w:pPr>
      <w:r>
        <w:rPr>
          <w:rFonts w:hint="default"/>
          <w:color w:val="auto"/>
          <w:lang w:val="en-US" w:eastAsia="zh-CN"/>
        </w:rPr>
        <w:t>7）易燃、易爆危险品生产设施的布置，应保证生产人员的安全操作及疏散方便，并应符合国家现行的有关标准的规定。</w:t>
      </w:r>
    </w:p>
    <w:p>
      <w:pPr>
        <w:ind w:firstLine="560" w:firstLineChars="200"/>
        <w:rPr>
          <w:rFonts w:hint="default"/>
          <w:color w:val="auto"/>
          <w:lang w:val="en-US" w:eastAsia="zh-CN"/>
        </w:rPr>
      </w:pPr>
      <w:r>
        <w:rPr>
          <w:rFonts w:hint="default"/>
          <w:color w:val="auto"/>
          <w:lang w:val="en-US" w:eastAsia="zh-CN"/>
        </w:rPr>
        <w:t>8）有爆炸危险的甲类工艺设备</w:t>
      </w:r>
      <w:r>
        <w:rPr>
          <w:rFonts w:hint="eastAsia"/>
          <w:color w:val="auto"/>
          <w:lang w:val="en-US" w:eastAsia="zh-CN"/>
        </w:rPr>
        <w:t>的</w:t>
      </w:r>
      <w:r>
        <w:rPr>
          <w:rFonts w:hint="default"/>
          <w:color w:val="auto"/>
          <w:lang w:val="en-US" w:eastAsia="zh-CN"/>
        </w:rPr>
        <w:t>101</w:t>
      </w:r>
      <w:r>
        <w:rPr>
          <w:rFonts w:hint="eastAsia"/>
          <w:color w:val="auto"/>
          <w:lang w:val="en-US" w:eastAsia="zh-CN"/>
        </w:rPr>
        <w:t>裂解</w:t>
      </w:r>
      <w:r>
        <w:rPr>
          <w:rFonts w:hint="default"/>
          <w:color w:val="auto"/>
          <w:lang w:val="en-US" w:eastAsia="zh-CN"/>
        </w:rPr>
        <w:t>车间，</w:t>
      </w:r>
      <w:r>
        <w:rPr>
          <w:rFonts w:hint="eastAsia"/>
          <w:color w:val="auto"/>
          <w:lang w:val="en-US" w:eastAsia="zh-CN"/>
        </w:rPr>
        <w:t>应</w:t>
      </w:r>
      <w:r>
        <w:rPr>
          <w:rFonts w:hint="default"/>
          <w:color w:val="auto"/>
          <w:lang w:val="en-US" w:eastAsia="zh-CN"/>
        </w:rPr>
        <w:t>采取相应的防爆、泄压措施。设计时应考虑该项目爆炸危险区域不应覆盖进出厂区的原料、产品的运输道路（主要道路）。</w:t>
      </w:r>
    </w:p>
    <w:p>
      <w:pPr>
        <w:ind w:firstLine="560" w:firstLineChars="200"/>
        <w:rPr>
          <w:rFonts w:hint="default"/>
          <w:color w:val="auto"/>
          <w:lang w:val="en-US" w:eastAsia="zh-CN"/>
        </w:rPr>
      </w:pPr>
      <w:r>
        <w:rPr>
          <w:rFonts w:hint="default"/>
          <w:color w:val="auto"/>
          <w:lang w:val="en-US" w:eastAsia="zh-CN"/>
        </w:rPr>
        <w:t>9）全厂性工艺、热力及公用工程管道宜与厂内道路平行架空敷设，循环水及其他水管道可埋地敷设；除泡沫混合液管道外，地上管道不应环绕生产设施或储罐（组）布置，且不得影响消防扑救作业。</w:t>
      </w:r>
    </w:p>
    <w:p>
      <w:pPr>
        <w:ind w:firstLine="560" w:firstLineChars="200"/>
        <w:rPr>
          <w:rFonts w:hint="default"/>
          <w:color w:val="auto"/>
          <w:lang w:val="en-US" w:eastAsia="zh-CN"/>
        </w:rPr>
      </w:pPr>
      <w:r>
        <w:rPr>
          <w:rFonts w:hint="default"/>
          <w:color w:val="auto"/>
          <w:lang w:val="en-US" w:eastAsia="zh-CN"/>
        </w:rPr>
        <w:t>10）管道及其桁架跨越厂内道路的净空高度不应小于 5m。</w:t>
      </w:r>
    </w:p>
    <w:p>
      <w:pPr>
        <w:ind w:firstLine="560" w:firstLineChars="200"/>
        <w:rPr>
          <w:rFonts w:hint="default"/>
          <w:color w:val="auto"/>
          <w:lang w:val="en-US" w:eastAsia="zh-CN"/>
        </w:rPr>
      </w:pPr>
      <w:r>
        <w:rPr>
          <w:rFonts w:hint="default"/>
          <w:color w:val="auto"/>
          <w:lang w:val="en-US" w:eastAsia="zh-CN"/>
        </w:rPr>
        <w:t>11）永久性的地上、地下管道，严禁穿越与其无关的生产设施、生产线、仓库、储罐（组）和建（构）筑物。</w:t>
      </w:r>
    </w:p>
    <w:p>
      <w:pPr>
        <w:ind w:firstLine="560" w:firstLineChars="200"/>
        <w:rPr>
          <w:rFonts w:hint="default"/>
          <w:color w:val="auto"/>
          <w:lang w:val="en-US" w:eastAsia="zh-CN"/>
        </w:rPr>
      </w:pPr>
      <w:r>
        <w:rPr>
          <w:rFonts w:hint="default"/>
          <w:color w:val="auto"/>
          <w:lang w:val="en-US" w:eastAsia="zh-CN"/>
        </w:rPr>
        <w:t>12）热力管道不得与甲类可燃液体管道敷设在同一条管沟内。</w:t>
      </w:r>
    </w:p>
    <w:p>
      <w:pPr>
        <w:ind w:firstLine="560" w:firstLineChars="200"/>
        <w:rPr>
          <w:rFonts w:hint="default"/>
          <w:color w:val="auto"/>
          <w:lang w:val="en-US" w:eastAsia="zh-CN"/>
        </w:rPr>
      </w:pPr>
      <w:r>
        <w:rPr>
          <w:rFonts w:hint="default"/>
          <w:color w:val="auto"/>
          <w:lang w:val="en-US" w:eastAsia="zh-CN"/>
        </w:rPr>
        <w:t>13）拟建 20</w:t>
      </w:r>
      <w:r>
        <w:rPr>
          <w:rFonts w:hint="eastAsia"/>
          <w:color w:val="auto"/>
          <w:lang w:val="en-US" w:eastAsia="zh-CN"/>
        </w:rPr>
        <w:t>1甲类</w:t>
      </w:r>
      <w:r>
        <w:rPr>
          <w:rFonts w:hint="default"/>
          <w:color w:val="auto"/>
          <w:lang w:val="en-US" w:eastAsia="zh-CN"/>
        </w:rPr>
        <w:t>仓库的柱间支撑耐火极限不应低于 2.50h。水平支撑的楼盖支撑耐火极限不应低于 1.50h，屋盖支撑耐火极限不应低于 1.00h。</w:t>
      </w:r>
    </w:p>
    <w:p>
      <w:pPr>
        <w:ind w:firstLine="560" w:firstLineChars="200"/>
        <w:rPr>
          <w:rFonts w:hint="default"/>
          <w:color w:val="auto"/>
          <w:lang w:val="en-US" w:eastAsia="zh-CN"/>
        </w:rPr>
      </w:pPr>
      <w:r>
        <w:rPr>
          <w:rFonts w:hint="default"/>
          <w:color w:val="auto"/>
          <w:lang w:val="en-US" w:eastAsia="zh-CN"/>
        </w:rPr>
        <w:t>14）厂房内设备构架的承重结构构件应采用不燃烧体。当甲、乙、丙类液体的设备承重构架、支架、裙座及管廊（架）采用钢结构时，应采取耐火极限不低于 2.00h 的保护措施。</w:t>
      </w:r>
    </w:p>
    <w:p>
      <w:pPr>
        <w:ind w:firstLine="560" w:firstLineChars="200"/>
        <w:rPr>
          <w:rFonts w:hint="default"/>
          <w:color w:val="auto"/>
          <w:lang w:val="en-US" w:eastAsia="zh-CN"/>
        </w:rPr>
      </w:pPr>
      <w:r>
        <w:rPr>
          <w:rFonts w:hint="default"/>
          <w:color w:val="auto"/>
          <w:lang w:val="en-US" w:eastAsia="zh-CN"/>
        </w:rPr>
        <w:t>15）爆炸危险环境内配电箱、现场控制柜应采用相应防爆等级的配电箱、现场控制柜。</w:t>
      </w:r>
    </w:p>
    <w:p>
      <w:pPr>
        <w:ind w:firstLine="560" w:firstLineChars="200"/>
        <w:rPr>
          <w:rFonts w:hint="default"/>
          <w:color w:val="auto"/>
          <w:lang w:val="en-US" w:eastAsia="zh-CN"/>
        </w:rPr>
      </w:pPr>
      <w:r>
        <w:rPr>
          <w:rFonts w:hint="default"/>
          <w:color w:val="auto"/>
          <w:lang w:val="en-US" w:eastAsia="zh-CN"/>
        </w:rPr>
        <w:t>16）变配电室不应正对甲类车间等爆炸危险区域开门；长度大于 7m 的配电间应设置 2 个安全出口，且安全出口宜位于两端，安全出口的门应向外开。</w:t>
      </w:r>
    </w:p>
    <w:p>
      <w:pPr>
        <w:ind w:firstLine="560" w:firstLineChars="200"/>
        <w:rPr>
          <w:rFonts w:hint="default"/>
          <w:color w:val="auto"/>
          <w:lang w:val="en-US" w:eastAsia="zh-CN"/>
        </w:rPr>
      </w:pPr>
      <w:r>
        <w:rPr>
          <w:rFonts w:hint="default"/>
          <w:color w:val="auto"/>
          <w:lang w:val="en-US" w:eastAsia="zh-CN"/>
        </w:rPr>
        <w:t>17）爆炸危险区域范围内的疏散门，开启方向应朝向爆炸危险性较小的区域一侧；爆炸危险场所的外门口应为防滑坡道，且不应设置台阶。</w:t>
      </w:r>
    </w:p>
    <w:p>
      <w:pPr>
        <w:ind w:firstLine="560" w:firstLineChars="200"/>
        <w:rPr>
          <w:rFonts w:hint="default"/>
          <w:color w:val="auto"/>
          <w:lang w:val="en-US" w:eastAsia="zh-CN"/>
        </w:rPr>
      </w:pPr>
      <w:r>
        <w:rPr>
          <w:rFonts w:hint="default"/>
          <w:color w:val="auto"/>
          <w:lang w:val="en-US" w:eastAsia="zh-CN"/>
        </w:rPr>
        <w:t>18）厂房内的设备操作及检修平台的安全疏散通道应符合下列规定：</w:t>
      </w:r>
    </w:p>
    <w:p>
      <w:pPr>
        <w:ind w:firstLine="560" w:firstLineChars="200"/>
        <w:rPr>
          <w:rFonts w:hint="default"/>
          <w:color w:val="auto"/>
          <w:lang w:val="en-US" w:eastAsia="zh-CN"/>
        </w:rPr>
      </w:pPr>
      <w:r>
        <w:rPr>
          <w:rFonts w:hint="default"/>
          <w:color w:val="auto"/>
          <w:lang w:val="en-US" w:eastAsia="zh-CN"/>
        </w:rPr>
        <w:t>（1）设备操作及检修平台应设置不少于两个通往楼地面的梯子作为安全疏散通道，当甲类设备平台面积不大于100㎡、乙类设备平台面积不大于150㎡、丙类设备平台面积不大于250㎡时，可只设一个梯子；</w:t>
      </w:r>
    </w:p>
    <w:p>
      <w:pPr>
        <w:ind w:firstLine="560" w:firstLineChars="200"/>
        <w:rPr>
          <w:rFonts w:hint="default"/>
          <w:color w:val="auto"/>
          <w:lang w:val="en-US" w:eastAsia="zh-CN"/>
        </w:rPr>
      </w:pPr>
      <w:r>
        <w:rPr>
          <w:rFonts w:hint="default"/>
          <w:color w:val="auto"/>
          <w:lang w:val="en-US" w:eastAsia="zh-CN"/>
        </w:rPr>
        <w:t>（2）相邻的设备平台宜用走桥连通，与相邻平台连通的走桥可作为一个安全疏散通道；</w:t>
      </w:r>
    </w:p>
    <w:p>
      <w:pPr>
        <w:ind w:firstLine="560" w:firstLineChars="200"/>
        <w:rPr>
          <w:rFonts w:hint="default"/>
          <w:color w:val="auto"/>
          <w:lang w:val="en-US" w:eastAsia="zh-CN"/>
        </w:rPr>
      </w:pPr>
      <w:r>
        <w:rPr>
          <w:rFonts w:hint="default"/>
          <w:color w:val="auto"/>
          <w:lang w:val="en-US" w:eastAsia="zh-CN"/>
        </w:rPr>
        <w:t>（3）主要设备平台及需要进行频繁操作的设备平台，疏散梯应采用斜梯，斜梯倾斜角度不宜大于45°；</w:t>
      </w:r>
    </w:p>
    <w:p>
      <w:pPr>
        <w:ind w:firstLine="560" w:firstLineChars="200"/>
        <w:rPr>
          <w:rFonts w:hint="default"/>
          <w:color w:val="auto"/>
          <w:lang w:val="en-US" w:eastAsia="zh-CN"/>
        </w:rPr>
      </w:pPr>
      <w:r>
        <w:rPr>
          <w:rFonts w:hint="default"/>
          <w:color w:val="auto"/>
          <w:lang w:val="en-US" w:eastAsia="zh-CN"/>
        </w:rPr>
        <w:t>（4）设备平台内任一点至最近安全出口的直线距离应符合现行国家标准《建筑设计防火规范（2018 年版）》GB50016-2014有关规定，当厂房内设置自动灭火系统时，其疏散距离可增加 25%。</w:t>
      </w:r>
    </w:p>
    <w:p>
      <w:pPr>
        <w:ind w:firstLine="560" w:firstLineChars="200"/>
        <w:rPr>
          <w:rFonts w:hint="default"/>
          <w:color w:val="auto"/>
          <w:lang w:val="en-US" w:eastAsia="zh-CN"/>
        </w:rPr>
      </w:pPr>
      <w:r>
        <w:rPr>
          <w:rFonts w:hint="default"/>
          <w:color w:val="auto"/>
          <w:lang w:val="en-US" w:eastAsia="zh-CN"/>
        </w:rPr>
        <w:t>19）电力电缆不宜穿越机柜室、工程师室，当受条件限制需要穿过时，应采取屏蔽措施。</w:t>
      </w:r>
    </w:p>
    <w:p>
      <w:pPr>
        <w:ind w:firstLine="560" w:firstLineChars="200"/>
        <w:rPr>
          <w:rFonts w:hint="default"/>
          <w:color w:val="auto"/>
          <w:lang w:val="en-US" w:eastAsia="zh-CN"/>
        </w:rPr>
      </w:pPr>
      <w:r>
        <w:rPr>
          <w:rFonts w:hint="default"/>
          <w:color w:val="auto"/>
          <w:lang w:val="en-US" w:eastAsia="zh-CN"/>
        </w:rPr>
        <w:t>20）</w:t>
      </w:r>
      <w:r>
        <w:rPr>
          <w:rFonts w:hint="eastAsia"/>
          <w:color w:val="auto"/>
          <w:lang w:val="en-US" w:eastAsia="zh-CN"/>
        </w:rPr>
        <w:t>307</w:t>
      </w:r>
      <w:r>
        <w:rPr>
          <w:rFonts w:hint="default"/>
          <w:color w:val="auto"/>
          <w:lang w:val="en-US" w:eastAsia="zh-CN"/>
        </w:rPr>
        <w:t>中心控制室的建筑、结构应进行抗爆强度计算，根据抗爆计算分析结果进行抗爆设计。</w:t>
      </w:r>
    </w:p>
    <w:p>
      <w:pPr>
        <w:ind w:firstLine="560" w:firstLineChars="200"/>
        <w:rPr>
          <w:rFonts w:hint="default"/>
          <w:color w:val="auto"/>
          <w:lang w:val="en-US" w:eastAsia="zh-CN"/>
        </w:rPr>
      </w:pPr>
      <w:r>
        <w:rPr>
          <w:rFonts w:hint="default"/>
          <w:color w:val="auto"/>
          <w:lang w:val="en-US" w:eastAsia="zh-CN"/>
        </w:rPr>
        <w:t>21）操作室、工程师室地面宜采用不易起灰尘的防静电、防滑建筑材料，也可采用活动地板；机柜室宜采用活动地板。活动地板应符合下列规定：</w:t>
      </w:r>
    </w:p>
    <w:p>
      <w:pPr>
        <w:ind w:firstLine="560" w:firstLineChars="200"/>
        <w:rPr>
          <w:rFonts w:hint="default"/>
          <w:color w:val="auto"/>
          <w:lang w:val="en-US" w:eastAsia="zh-CN"/>
        </w:rPr>
      </w:pPr>
      <w:r>
        <w:rPr>
          <w:rFonts w:hint="default"/>
          <w:color w:val="auto"/>
          <w:lang w:val="en-US" w:eastAsia="zh-CN"/>
        </w:rPr>
        <w:t>（1）应采用普通型或重型活动地板；</w:t>
      </w:r>
    </w:p>
    <w:p>
      <w:pPr>
        <w:ind w:firstLine="560" w:firstLineChars="200"/>
        <w:rPr>
          <w:rFonts w:hint="default"/>
          <w:color w:val="auto"/>
          <w:lang w:val="en-US" w:eastAsia="zh-CN"/>
        </w:rPr>
      </w:pPr>
      <w:r>
        <w:rPr>
          <w:rFonts w:hint="default"/>
          <w:color w:val="auto"/>
          <w:lang w:val="en-US" w:eastAsia="zh-CN"/>
        </w:rPr>
        <w:t>（2）活动地板应具有防静电、防火、防水性能；</w:t>
      </w:r>
    </w:p>
    <w:p>
      <w:pPr>
        <w:ind w:firstLine="560" w:firstLineChars="200"/>
        <w:rPr>
          <w:rFonts w:hint="default"/>
          <w:color w:val="auto"/>
          <w:lang w:val="en-US" w:eastAsia="zh-CN"/>
        </w:rPr>
      </w:pPr>
      <w:r>
        <w:rPr>
          <w:rFonts w:hint="default"/>
          <w:color w:val="auto"/>
          <w:lang w:val="en-US" w:eastAsia="zh-CN"/>
        </w:rPr>
        <w:t>（3）活动地板均布荷载不应小于23000N/m</w:t>
      </w:r>
      <w:r>
        <w:rPr>
          <w:rFonts w:hint="default"/>
          <w:color w:val="auto"/>
          <w:vertAlign w:val="superscript"/>
          <w:lang w:val="en-US" w:eastAsia="zh-CN"/>
        </w:rPr>
        <w:t>2</w:t>
      </w:r>
      <w:r>
        <w:rPr>
          <w:rFonts w:hint="default"/>
          <w:color w:val="auto"/>
          <w:lang w:val="en-US" w:eastAsia="zh-CN"/>
        </w:rPr>
        <w:t>；</w:t>
      </w:r>
    </w:p>
    <w:p>
      <w:pPr>
        <w:ind w:firstLine="560" w:firstLineChars="200"/>
        <w:rPr>
          <w:rFonts w:hint="default"/>
          <w:color w:val="auto"/>
          <w:lang w:val="en-US" w:eastAsia="zh-CN"/>
        </w:rPr>
      </w:pPr>
      <w:r>
        <w:rPr>
          <w:rFonts w:hint="default"/>
          <w:color w:val="auto"/>
          <w:lang w:val="en-US" w:eastAsia="zh-CN"/>
        </w:rPr>
        <w:t>（4）活动地板表面平面度不应大于0.6mm；</w:t>
      </w:r>
    </w:p>
    <w:p>
      <w:pPr>
        <w:ind w:firstLine="560" w:firstLineChars="200"/>
        <w:rPr>
          <w:rFonts w:hint="default"/>
          <w:color w:val="auto"/>
          <w:lang w:val="en-US" w:eastAsia="zh-CN"/>
        </w:rPr>
      </w:pPr>
      <w:r>
        <w:rPr>
          <w:rFonts w:hint="default"/>
          <w:color w:val="auto"/>
          <w:lang w:val="en-US" w:eastAsia="zh-CN"/>
        </w:rPr>
        <w:t>（5）活动地板的系统电阻值应为1.0×10°Q~1.0×100Ω；</w:t>
      </w:r>
    </w:p>
    <w:p>
      <w:pPr>
        <w:ind w:firstLine="560" w:firstLineChars="200"/>
        <w:rPr>
          <w:rFonts w:hint="default"/>
          <w:color w:val="auto"/>
          <w:lang w:val="en-US" w:eastAsia="zh-CN"/>
        </w:rPr>
      </w:pPr>
      <w:r>
        <w:rPr>
          <w:rFonts w:hint="default"/>
          <w:color w:val="auto"/>
          <w:lang w:val="en-US" w:eastAsia="zh-CN"/>
        </w:rPr>
        <w:t>（6）活动地板面距离基础地面高度不宜小于0.3m；</w:t>
      </w:r>
    </w:p>
    <w:p>
      <w:pPr>
        <w:ind w:firstLine="560" w:firstLineChars="200"/>
        <w:rPr>
          <w:rFonts w:hint="default"/>
          <w:color w:val="auto"/>
          <w:lang w:val="en-US" w:eastAsia="zh-CN"/>
        </w:rPr>
      </w:pPr>
      <w:r>
        <w:rPr>
          <w:rFonts w:hint="eastAsia"/>
          <w:color w:val="auto"/>
          <w:lang w:val="en-US" w:eastAsia="zh-CN"/>
        </w:rPr>
        <w:t>（7）</w:t>
      </w:r>
      <w:r>
        <w:rPr>
          <w:rFonts w:hint="default"/>
          <w:color w:val="auto"/>
          <w:lang w:val="en-US" w:eastAsia="zh-CN"/>
        </w:rPr>
        <w:t>活动地板的基础地面应为不易起灰尘的建筑材料。</w:t>
      </w:r>
    </w:p>
    <w:p>
      <w:pPr>
        <w:ind w:firstLine="560" w:firstLineChars="200"/>
        <w:rPr>
          <w:rFonts w:hint="default"/>
          <w:color w:val="auto"/>
          <w:lang w:val="en-US" w:eastAsia="zh-CN"/>
        </w:rPr>
      </w:pPr>
      <w:r>
        <w:rPr>
          <w:rFonts w:hint="default"/>
          <w:color w:val="auto"/>
          <w:lang w:val="en-US" w:eastAsia="zh-CN"/>
        </w:rPr>
        <w:t>22</w:t>
      </w:r>
      <w:r>
        <w:rPr>
          <w:rFonts w:hint="eastAsia"/>
          <w:color w:val="auto"/>
          <w:lang w:val="en-US" w:eastAsia="zh-CN"/>
        </w:rPr>
        <w:t>）307</w:t>
      </w:r>
      <w:r>
        <w:rPr>
          <w:rFonts w:hint="default"/>
          <w:color w:val="auto"/>
          <w:lang w:val="en-US" w:eastAsia="zh-CN"/>
        </w:rPr>
        <w:t>中心控制室活动地板的基础地面与室外地面高差不应小于0.3m。</w:t>
      </w:r>
    </w:p>
    <w:p>
      <w:pPr>
        <w:ind w:firstLine="560" w:firstLineChars="200"/>
        <w:rPr>
          <w:rFonts w:hint="default"/>
          <w:color w:val="auto"/>
          <w:lang w:val="en-US" w:eastAsia="zh-CN"/>
        </w:rPr>
      </w:pPr>
      <w:r>
        <w:rPr>
          <w:rFonts w:hint="default"/>
          <w:color w:val="auto"/>
          <w:lang w:val="en-US" w:eastAsia="zh-CN"/>
        </w:rPr>
        <w:t>23）</w:t>
      </w:r>
      <w:r>
        <w:rPr>
          <w:rFonts w:hint="eastAsia"/>
          <w:color w:val="auto"/>
          <w:lang w:val="en-US" w:eastAsia="zh-CN"/>
        </w:rPr>
        <w:t>307</w:t>
      </w:r>
      <w:r>
        <w:rPr>
          <w:rFonts w:hint="default"/>
          <w:color w:val="auto"/>
          <w:lang w:val="en-US" w:eastAsia="zh-CN"/>
        </w:rPr>
        <w:t>中心控制室门的设置，应符合下列规定：</w:t>
      </w:r>
    </w:p>
    <w:p>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kern w:val="2"/>
          <w:sz w:val="28"/>
          <w:szCs w:val="24"/>
          <w:lang w:val="en-US" w:eastAsia="zh-CN" w:bidi="ar-SA"/>
        </w:rPr>
        <w:t>（1）</w:t>
      </w:r>
      <w:r>
        <w:rPr>
          <w:rFonts w:hint="default"/>
          <w:color w:val="auto"/>
          <w:lang w:val="en-US" w:eastAsia="zh-CN"/>
        </w:rPr>
        <w:t>应满足安全和设备进出的要求；</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（2）控制室通向室外门的数量应根据控制室大小及建筑设计要求确定；</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（3）抗爆结构控制室的门应设置隔离前室作为缓冲区；</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（4）控制室中的机柜室不应设置直接通向建筑物室外的门；</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（5）控制室通向室外的门应设置抗爆门。</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24）散发较空气重的可燃蒸气的</w:t>
      </w:r>
      <w:r>
        <w:rPr>
          <w:rFonts w:hint="eastAsia"/>
          <w:b w:val="0"/>
          <w:bCs w:val="0"/>
          <w:color w:val="auto"/>
          <w:sz w:val="28"/>
          <w:szCs w:val="24"/>
          <w:lang w:val="en-US" w:eastAsia="zh-CN"/>
        </w:rPr>
        <w:t>101裂解车间</w:t>
      </w:r>
      <w:r>
        <w:rPr>
          <w:rFonts w:hint="default"/>
          <w:b w:val="0"/>
          <w:bCs w:val="0"/>
          <w:color w:val="auto"/>
          <w:sz w:val="28"/>
          <w:szCs w:val="24"/>
          <w:lang w:val="en-US" w:eastAsia="zh-CN"/>
        </w:rPr>
        <w:t>、20</w:t>
      </w:r>
      <w:r>
        <w:rPr>
          <w:rFonts w:hint="eastAsia"/>
          <w:b w:val="0"/>
          <w:bCs w:val="0"/>
          <w:color w:val="auto"/>
          <w:sz w:val="28"/>
          <w:szCs w:val="24"/>
          <w:lang w:val="en-US" w:eastAsia="zh-CN"/>
        </w:rPr>
        <w:t>1甲</w:t>
      </w:r>
      <w:r>
        <w:rPr>
          <w:rFonts w:hint="default"/>
          <w:b w:val="0"/>
          <w:bCs w:val="0"/>
          <w:color w:val="auto"/>
          <w:sz w:val="28"/>
          <w:szCs w:val="24"/>
          <w:lang w:val="en-US" w:eastAsia="zh-CN"/>
        </w:rPr>
        <w:t>类仓库应符合下列规定：</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（1）应采用不发火花的地面。采用绝缘材料作整体面层时，应采取防静电措施；</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（2）厂房内不宜设置地沟，确需设置时，其盖板应严密，地沟应采取防止可燃蒸气在地沟积聚的有效措施，且应在与相邻厂房连通处采用防火材料密封。</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2</w:t>
      </w:r>
      <w:r>
        <w:rPr>
          <w:rFonts w:hint="eastAsia"/>
          <w:b w:val="0"/>
          <w:bCs w:val="0"/>
          <w:color w:val="auto"/>
          <w:sz w:val="28"/>
          <w:szCs w:val="24"/>
          <w:lang w:val="en-US" w:eastAsia="zh-CN"/>
        </w:rPr>
        <w:t>5</w:t>
      </w:r>
      <w:r>
        <w:rPr>
          <w:rFonts w:hint="default"/>
          <w:b w:val="0"/>
          <w:bCs w:val="0"/>
          <w:color w:val="auto"/>
          <w:sz w:val="28"/>
          <w:szCs w:val="24"/>
          <w:lang w:val="en-US" w:eastAsia="zh-CN"/>
        </w:rPr>
        <w:t>）使用和生产甲类液体的厂房，其管、沟不应与相邻厂房的管、沟相通，下水道应设置隔油设施。</w:t>
      </w:r>
    </w:p>
    <w:p>
      <w:pPr>
        <w:ind w:firstLine="560" w:firstLineChars="200"/>
        <w:rPr>
          <w:rFonts w:hint="default"/>
          <w:b w:val="0"/>
          <w:bCs w:val="0"/>
          <w:color w:val="auto"/>
          <w:sz w:val="28"/>
          <w:szCs w:val="24"/>
          <w:lang w:val="en-US" w:eastAsia="zh-CN"/>
        </w:rPr>
      </w:pPr>
      <w:r>
        <w:rPr>
          <w:rFonts w:hint="default"/>
          <w:b w:val="0"/>
          <w:bCs w:val="0"/>
          <w:color w:val="auto"/>
          <w:sz w:val="28"/>
          <w:szCs w:val="24"/>
          <w:lang w:val="en-US" w:eastAsia="zh-CN"/>
        </w:rPr>
        <w:t>2</w:t>
      </w:r>
      <w:r>
        <w:rPr>
          <w:rFonts w:hint="eastAsia"/>
          <w:b w:val="0"/>
          <w:bCs w:val="0"/>
          <w:color w:val="auto"/>
          <w:sz w:val="28"/>
          <w:szCs w:val="24"/>
          <w:lang w:val="en-US" w:eastAsia="zh-CN"/>
        </w:rPr>
        <w:t>6</w:t>
      </w:r>
      <w:r>
        <w:rPr>
          <w:rFonts w:hint="default"/>
          <w:b w:val="0"/>
          <w:bCs w:val="0"/>
          <w:color w:val="auto"/>
          <w:sz w:val="28"/>
          <w:szCs w:val="24"/>
          <w:lang w:val="en-US" w:eastAsia="zh-CN"/>
        </w:rPr>
        <w:t>）101</w:t>
      </w:r>
      <w:r>
        <w:rPr>
          <w:rFonts w:hint="eastAsia"/>
          <w:b w:val="0"/>
          <w:bCs w:val="0"/>
          <w:color w:val="auto"/>
          <w:sz w:val="28"/>
          <w:szCs w:val="24"/>
          <w:lang w:val="en-US" w:eastAsia="zh-CN"/>
        </w:rPr>
        <w:t>裂解</w:t>
      </w:r>
      <w:r>
        <w:rPr>
          <w:rFonts w:hint="default"/>
          <w:b w:val="0"/>
          <w:bCs w:val="0"/>
          <w:color w:val="auto"/>
          <w:sz w:val="28"/>
          <w:szCs w:val="24"/>
          <w:lang w:val="en-US" w:eastAsia="zh-CN"/>
        </w:rPr>
        <w:t>车间内作业场所一般不允许储存危险化学品原料、产品，</w:t>
      </w:r>
    </w:p>
    <w:p>
      <w:pPr>
        <w:rPr>
          <w:rFonts w:hint="default"/>
          <w:b w:val="0"/>
          <w:bCs w:val="0"/>
          <w:color w:val="auto"/>
          <w:sz w:val="28"/>
          <w:szCs w:val="24"/>
          <w:lang w:val="en-US" w:eastAsia="zh-CN"/>
        </w:rPr>
      </w:pPr>
      <w:r>
        <w:rPr>
          <w:rFonts w:hint="default"/>
          <w:b w:val="0"/>
          <w:bCs w:val="0"/>
          <w:color w:val="auto"/>
          <w:sz w:val="28"/>
          <w:szCs w:val="24"/>
          <w:lang w:val="en-US" w:eastAsia="zh-CN"/>
        </w:rPr>
        <w:t>如果条件需要必须储存时，所存放危险化学品量或设置的中间储罐内危险化学品存放量不应超过一天的用量。</w:t>
      </w:r>
    </w:p>
    <w:p>
      <w:pPr>
        <w:numPr>
          <w:ilvl w:val="0"/>
          <w:numId w:val="0"/>
        </w:numPr>
        <w:ind w:firstLine="560" w:firstLineChars="200"/>
        <w:rPr>
          <w:rFonts w:hint="default"/>
          <w:b w:val="0"/>
          <w:bCs w:val="0"/>
          <w:color w:val="auto"/>
          <w:sz w:val="28"/>
          <w:szCs w:val="24"/>
          <w:lang w:val="en-US" w:eastAsia="zh-CN"/>
        </w:rPr>
      </w:pPr>
      <w:r>
        <w:rPr>
          <w:rFonts w:hint="default" w:ascii="Times New Roman" w:hAnsi="Times New Roman" w:eastAsia="宋体" w:cs="Times New Roman"/>
          <w:b w:val="0"/>
          <w:bCs w:val="0"/>
          <w:color w:val="auto"/>
          <w:kern w:val="2"/>
          <w:sz w:val="28"/>
          <w:szCs w:val="24"/>
          <w:lang w:val="en-US" w:eastAsia="zh-CN" w:bidi="ar-SA"/>
        </w:rPr>
        <w:t>2</w:t>
      </w:r>
      <w:r>
        <w:rPr>
          <w:rFonts w:hint="eastAsia" w:cs="Times New Roman"/>
          <w:b w:val="0"/>
          <w:bCs w:val="0"/>
          <w:color w:val="auto"/>
          <w:kern w:val="2"/>
          <w:sz w:val="28"/>
          <w:szCs w:val="24"/>
          <w:lang w:val="en-US" w:eastAsia="zh-CN" w:bidi="ar-SA"/>
        </w:rPr>
        <w:t>7</w:t>
      </w:r>
      <w:r>
        <w:rPr>
          <w:rFonts w:hint="default" w:ascii="Times New Roman" w:hAnsi="Times New Roman" w:eastAsia="宋体" w:cs="Times New Roman"/>
          <w:b w:val="0"/>
          <w:bCs w:val="0"/>
          <w:color w:val="auto"/>
          <w:kern w:val="2"/>
          <w:sz w:val="28"/>
          <w:szCs w:val="24"/>
          <w:lang w:val="en-US" w:eastAsia="zh-CN" w:bidi="ar-SA"/>
        </w:rPr>
        <w:t>）</w:t>
      </w:r>
      <w:r>
        <w:rPr>
          <w:rFonts w:hint="default"/>
          <w:b w:val="0"/>
          <w:bCs w:val="0"/>
          <w:color w:val="auto"/>
          <w:sz w:val="28"/>
          <w:szCs w:val="24"/>
          <w:lang w:val="en-US" w:eastAsia="zh-CN"/>
        </w:rPr>
        <w:t>应严格控制作业场所危险化学品的存放量。有条件的企业尽量使用管道输送。若作业现场需要使用桶装物料直接加料，应划出专门的中间物料存放区，物料存放区与生产作业区域应采用防火隔墙进行分隔，尽量做到使用溶剂区域无物料堆放。</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8</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中心控制室的安全出口应分散布置，相邻2个安全出口最近边缘之间的水平距离不应小于5m。</w:t>
      </w:r>
    </w:p>
    <w:p>
      <w:pPr>
        <w:ind w:firstLine="560" w:firstLineChars="200"/>
        <w:rPr>
          <w:rFonts w:hint="default"/>
          <w:color w:val="auto"/>
          <w:lang w:val="en-US" w:eastAsia="zh-CN"/>
        </w:rPr>
      </w:pPr>
      <w:r>
        <w:rPr>
          <w:rFonts w:hint="eastAsia"/>
          <w:color w:val="auto"/>
          <w:lang w:val="en-US" w:eastAsia="zh-CN"/>
        </w:rPr>
        <w:t>29</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中心控制室屋顶应为耐火极限不低于1h的现浇顶。</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0</w:t>
      </w:r>
      <w:r>
        <w:rPr>
          <w:rFonts w:hint="default"/>
          <w:color w:val="auto"/>
          <w:lang w:val="en-US" w:eastAsia="zh-CN"/>
        </w:rPr>
        <w:t>）抗爆控制室的建筑屋面不得采用装配式架空隔热构造，女儿墙高度应在满足屋面防水构造要求的情况下取最小值，并宜采用钢筋混凝土结构。</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1</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中心控制室外墙不应设置雨篷、挑檐等附属结构。</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2</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中心控制室不得设置变形缝。</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3</w:t>
      </w:r>
      <w:r>
        <w:rPr>
          <w:rFonts w:hint="default"/>
          <w:color w:val="auto"/>
          <w:lang w:val="en-US" w:eastAsia="zh-CN"/>
        </w:rPr>
        <w:t xml:space="preserve">）在 </w:t>
      </w:r>
      <w:r>
        <w:rPr>
          <w:rFonts w:hint="eastAsia"/>
          <w:color w:val="auto"/>
          <w:lang w:val="en-US" w:eastAsia="zh-CN"/>
        </w:rPr>
        <w:t>307</w:t>
      </w:r>
      <w:r>
        <w:rPr>
          <w:rFonts w:hint="default"/>
          <w:color w:val="auto"/>
          <w:lang w:val="en-US" w:eastAsia="zh-CN"/>
        </w:rPr>
        <w:t>中心控制室人员通道外门的室内侧，应设置隔离前室。</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4</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中心控制室活动地板下地面以上的外墙上不得开设电缆进线洞口。基础墙体洞口应采取封堵措施，并应满足抗爆要求。</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5</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中心控制室操作室内、外地面高差不应小于600mm，其中活动地板下地面与室外地面的高差不应小于300mm。空气调节设备机房室内、外高差不应小于300mm。</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6</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中心控制室窗户应符合下列要求：</w:t>
      </w:r>
    </w:p>
    <w:p>
      <w:pPr>
        <w:ind w:firstLine="560" w:firstLineChars="200"/>
        <w:rPr>
          <w:rFonts w:hint="default"/>
          <w:color w:val="auto"/>
          <w:lang w:val="en-US" w:eastAsia="zh-CN"/>
        </w:rPr>
      </w:pPr>
      <w:r>
        <w:rPr>
          <w:rFonts w:hint="default"/>
          <w:color w:val="auto"/>
          <w:lang w:val="en-US" w:eastAsia="zh-CN"/>
        </w:rPr>
        <w:t>（1）外窗应选用固定抗爆防护窗，计算荷载与所在建筑墙面计算冲击波超压应相同。</w:t>
      </w:r>
    </w:p>
    <w:p>
      <w:pPr>
        <w:ind w:firstLine="560" w:firstLineChars="200"/>
        <w:rPr>
          <w:rFonts w:hint="default"/>
          <w:color w:val="auto"/>
          <w:lang w:val="en-US" w:eastAsia="zh-CN"/>
        </w:rPr>
      </w:pPr>
      <w:r>
        <w:rPr>
          <w:rFonts w:hint="default"/>
          <w:color w:val="auto"/>
          <w:lang w:val="en-US" w:eastAsia="zh-CN"/>
        </w:rPr>
        <w:t>（2）内窗及室内疏散通道两侧的玻璃隔墙应采用金属框架，并应配置夹膜玻璃或钢化玻璃。</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7</w:t>
      </w:r>
      <w:r>
        <w:rPr>
          <w:rFonts w:hint="default"/>
          <w:color w:val="auto"/>
          <w:lang w:val="en-US" w:eastAsia="zh-CN"/>
        </w:rPr>
        <w:t>）作业场所、仓库应设置安全通道；应设应急照明、安全标志和疏散指示标志；通道和出口应保持畅通；出入口的设置应符合有关规定。</w:t>
      </w:r>
    </w:p>
    <w:p>
      <w:pPr>
        <w:ind w:firstLine="560" w:firstLineChars="200"/>
        <w:rPr>
          <w:rFonts w:hint="default"/>
          <w:color w:val="auto"/>
          <w:lang w:val="en-US" w:eastAsia="zh-CN"/>
        </w:rPr>
      </w:pPr>
      <w:r>
        <w:rPr>
          <w:rFonts w:hint="eastAsia"/>
          <w:color w:val="auto"/>
          <w:lang w:val="en-US" w:eastAsia="zh-CN"/>
        </w:rPr>
        <w:t>38</w:t>
      </w:r>
      <w:r>
        <w:rPr>
          <w:rFonts w:hint="default"/>
          <w:color w:val="auto"/>
          <w:lang w:val="en-US" w:eastAsia="zh-CN"/>
        </w:rPr>
        <w:t>）</w:t>
      </w:r>
      <w:r>
        <w:rPr>
          <w:rFonts w:hint="eastAsia"/>
          <w:color w:val="auto"/>
          <w:lang w:val="en-US" w:eastAsia="zh-CN"/>
        </w:rPr>
        <w:t>101裂解车间、102精馏车间</w:t>
      </w:r>
      <w:r>
        <w:rPr>
          <w:rFonts w:hint="default"/>
          <w:color w:val="auto"/>
          <w:lang w:val="en-US" w:eastAsia="zh-CN"/>
        </w:rPr>
        <w:t>内的各种散发热量的设备和管道应采取有效的隔热措施。设备及管道的保温设计应符合现行国家标准《设备及管道绝热技术通则》GB/T 4272-2008的规定。</w:t>
      </w:r>
    </w:p>
    <w:p>
      <w:pPr>
        <w:ind w:firstLine="560" w:firstLineChars="200"/>
        <w:rPr>
          <w:rFonts w:hint="default"/>
          <w:color w:val="auto"/>
          <w:lang w:val="en-US" w:eastAsia="zh-CN"/>
        </w:rPr>
      </w:pPr>
      <w:r>
        <w:rPr>
          <w:rFonts w:hint="eastAsia"/>
          <w:color w:val="auto"/>
          <w:lang w:val="en-US" w:eastAsia="zh-CN"/>
        </w:rPr>
        <w:t>39</w:t>
      </w:r>
      <w:r>
        <w:rPr>
          <w:rFonts w:hint="default"/>
          <w:color w:val="auto"/>
          <w:lang w:val="en-US" w:eastAsia="zh-CN"/>
        </w:rPr>
        <w:t>）</w:t>
      </w:r>
      <w:r>
        <w:rPr>
          <w:rFonts w:hint="eastAsia"/>
          <w:color w:val="auto"/>
          <w:lang w:val="en-US" w:eastAsia="zh-CN"/>
        </w:rPr>
        <w:t>102精馏车间</w:t>
      </w:r>
      <w:r>
        <w:rPr>
          <w:rFonts w:hint="default"/>
          <w:color w:val="auto"/>
          <w:lang w:val="en-US" w:eastAsia="zh-CN"/>
        </w:rPr>
        <w:t>四周应设置护栏等防止高处坠落的围护结构。</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0</w:t>
      </w:r>
      <w:r>
        <w:rPr>
          <w:rFonts w:hint="default"/>
          <w:color w:val="auto"/>
          <w:lang w:val="en-US" w:eastAsia="zh-CN"/>
        </w:rPr>
        <w:t>）有甲类火灾危险性介质的管道，除使用该管线的建筑物、构筑物外，均不得采用建筑物、构筑物支撑式敷设。</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1</w:t>
      </w:r>
      <w:r>
        <w:rPr>
          <w:rFonts w:hint="default"/>
          <w:color w:val="auto"/>
          <w:lang w:val="en-US" w:eastAsia="zh-CN"/>
        </w:rPr>
        <w:t>）管线敷设方式符合下列规定：</w:t>
      </w:r>
    </w:p>
    <w:p>
      <w:pPr>
        <w:ind w:firstLine="560" w:firstLineChars="200"/>
        <w:rPr>
          <w:rFonts w:hint="default"/>
          <w:color w:val="auto"/>
          <w:lang w:val="en-US" w:eastAsia="zh-CN"/>
        </w:rPr>
      </w:pPr>
      <w:r>
        <w:rPr>
          <w:rFonts w:hint="default"/>
          <w:color w:val="auto"/>
          <w:lang w:val="en-US" w:eastAsia="zh-CN"/>
        </w:rPr>
        <w:t>（1）有可燃性、爆炸危险性、毒性及腐蚀性介质的管道，应采用地上敷设；</w:t>
      </w:r>
    </w:p>
    <w:p>
      <w:pPr>
        <w:ind w:firstLine="560" w:firstLineChars="200"/>
        <w:rPr>
          <w:rFonts w:hint="default"/>
          <w:color w:val="auto"/>
          <w:lang w:val="en-US" w:eastAsia="zh-CN"/>
        </w:rPr>
      </w:pPr>
      <w:r>
        <w:rPr>
          <w:rFonts w:hint="default"/>
          <w:color w:val="auto"/>
          <w:lang w:val="en-US" w:eastAsia="zh-CN"/>
        </w:rPr>
        <w:t>（2）在散发比空气重的可燃、有毒性气体的场所，不应采用管沟敷设；必须采用管沟敷设时，应采取防止可燃气体在管沟内积聚的措施。</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2</w:t>
      </w:r>
      <w:r>
        <w:rPr>
          <w:rFonts w:hint="default"/>
          <w:color w:val="auto"/>
          <w:lang w:val="en-US" w:eastAsia="zh-CN"/>
        </w:rPr>
        <w:t>）管线系统的支撑和隔热应安全可靠，对热胀冷缩产生的应力和位移，应有预防措施。</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3</w:t>
      </w:r>
      <w:r>
        <w:rPr>
          <w:rFonts w:hint="default"/>
          <w:color w:val="auto"/>
          <w:lang w:val="en-US" w:eastAsia="zh-CN"/>
        </w:rPr>
        <w:t>）管道及管架应采用油漆进行防腐。对碳钢和铁素体合金钢类工艺管道、管架首先按《涂覆涂料前钢材表面处理 表面清洁度的目视评定》（GB/T 8923.1~8923.4）要求进行表面处理，再进行油漆防腐。酸性储罐、管线金属表面原则上采用中等防腐等级进行涂漆。</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4</w:t>
      </w:r>
      <w:r>
        <w:rPr>
          <w:rFonts w:hint="default"/>
          <w:color w:val="auto"/>
          <w:lang w:val="en-US" w:eastAsia="zh-CN"/>
        </w:rPr>
        <w:t>）输送强腐蚀介质的地下管道，应设置在管沟内；管沟与厂房或重要设备的基础的水平净距离，不宜小于1m。穿越楼面的管道和电缆，宜集中设置。不耐腐蚀的管道或电缆，不应埋设在有腐蚀性液态介质作用的底层地面下。</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5</w:t>
      </w:r>
      <w:r>
        <w:rPr>
          <w:rFonts w:hint="default"/>
          <w:color w:val="auto"/>
          <w:lang w:val="en-US" w:eastAsia="zh-CN"/>
        </w:rPr>
        <w:t>）具有化学灼伤危险的生产装置，其设备布置应保证作业场所有足够空间，并保证作业场所畅通，避免交叉作业。如果交叉作业不可避免，在危险作业点应装设避免化学灼伤危险的防护措施。</w:t>
      </w:r>
    </w:p>
    <w:p>
      <w:pPr>
        <w:ind w:firstLine="560" w:firstLineChars="200"/>
        <w:rPr>
          <w:rFonts w:hint="default"/>
          <w:color w:val="auto"/>
          <w:lang w:val="en-US" w:eastAsia="zh-CN"/>
        </w:rPr>
      </w:pPr>
      <w:r>
        <w:rPr>
          <w:rFonts w:hint="default"/>
          <w:color w:val="auto"/>
          <w:lang w:val="en-US" w:eastAsia="zh-CN"/>
        </w:rPr>
        <w:t>4</w:t>
      </w:r>
      <w:r>
        <w:rPr>
          <w:rFonts w:hint="eastAsia"/>
          <w:color w:val="auto"/>
          <w:lang w:val="en-US" w:eastAsia="zh-CN"/>
        </w:rPr>
        <w:t>6</w:t>
      </w:r>
      <w:r>
        <w:rPr>
          <w:rFonts w:hint="default"/>
          <w:color w:val="auto"/>
          <w:lang w:val="en-US" w:eastAsia="zh-CN"/>
        </w:rPr>
        <w:t>）建筑防腐按现行国家标准《建筑防腐蚀工程施工规范》GB 50212-2014的规定执行。生产或储存腐蚀性溶液的大型设备不宜邻近厂房基础。储罐、储槽的周围应设围堤；基础附近有腐蚀性溶液的储槽或储罐的地坑时，基础的底面应低于储槽或地坑的底面不小于500mm。《工业建筑防腐蚀设计标准》3.2.2，4.8.4。</w:t>
      </w:r>
    </w:p>
    <w:p>
      <w:pPr>
        <w:ind w:firstLine="560" w:firstLineChars="200"/>
        <w:rPr>
          <w:rFonts w:hint="default"/>
          <w:color w:val="auto"/>
          <w:lang w:val="en-US" w:eastAsia="zh-CN"/>
        </w:rPr>
      </w:pPr>
      <w:r>
        <w:rPr>
          <w:rFonts w:hint="eastAsia"/>
          <w:color w:val="auto"/>
          <w:lang w:val="en-US" w:eastAsia="zh-CN"/>
        </w:rPr>
        <w:t>47</w:t>
      </w:r>
      <w:r>
        <w:rPr>
          <w:rFonts w:hint="default"/>
          <w:color w:val="auto"/>
          <w:lang w:val="en-US" w:eastAsia="zh-CN"/>
        </w:rPr>
        <w:t>）重要构件和难以维修的构件不应采用表面原始锈蚀等级为D级钢材制作，宜采用长使用年限以上的防护涂层。</w:t>
      </w:r>
    </w:p>
    <w:p>
      <w:pPr>
        <w:ind w:firstLine="560" w:firstLineChars="200"/>
        <w:rPr>
          <w:rFonts w:hint="default"/>
          <w:color w:val="auto"/>
          <w:lang w:val="en-US" w:eastAsia="zh-CN"/>
        </w:rPr>
      </w:pPr>
      <w:r>
        <w:rPr>
          <w:rFonts w:hint="eastAsia"/>
          <w:color w:val="auto"/>
          <w:lang w:val="en-US" w:eastAsia="zh-CN"/>
        </w:rPr>
        <w:t>48</w:t>
      </w:r>
      <w:r>
        <w:rPr>
          <w:rFonts w:hint="default"/>
          <w:color w:val="auto"/>
          <w:lang w:val="en-US" w:eastAsia="zh-CN"/>
        </w:rPr>
        <w:t>）钢结构杆件截面的选择应符合下列规定：</w:t>
      </w:r>
    </w:p>
    <w:p>
      <w:pPr>
        <w:ind w:firstLine="560" w:firstLineChars="200"/>
        <w:rPr>
          <w:rFonts w:hint="default"/>
          <w:color w:val="auto"/>
          <w:lang w:val="en-US" w:eastAsia="zh-CN"/>
        </w:rPr>
      </w:pPr>
      <w:r>
        <w:rPr>
          <w:rFonts w:hint="default"/>
          <w:color w:val="auto"/>
          <w:lang w:val="en-US" w:eastAsia="zh-CN"/>
        </w:rPr>
        <w:t>（1）杆件应采用实腹式或闭口截面，闭口截面端部应进行封闭；对封闭截面杆件进行热浸镀锌时，应采取开孔防爆措施；</w:t>
      </w:r>
    </w:p>
    <w:p>
      <w:pPr>
        <w:ind w:firstLine="560" w:firstLineChars="200"/>
        <w:rPr>
          <w:rFonts w:hint="default"/>
          <w:color w:val="auto"/>
          <w:lang w:val="en-US" w:eastAsia="zh-CN"/>
        </w:rPr>
      </w:pPr>
      <w:r>
        <w:rPr>
          <w:rFonts w:hint="default"/>
          <w:color w:val="auto"/>
          <w:lang w:val="en-US" w:eastAsia="zh-CN"/>
        </w:rPr>
        <w:t>（</w:t>
      </w:r>
      <w:r>
        <w:rPr>
          <w:rFonts w:hint="eastAsia"/>
          <w:color w:val="auto"/>
          <w:lang w:val="en-US" w:eastAsia="zh-CN"/>
        </w:rPr>
        <w:t>2</w:t>
      </w:r>
      <w:r>
        <w:rPr>
          <w:rFonts w:hint="default"/>
          <w:color w:val="auto"/>
          <w:lang w:val="en-US" w:eastAsia="zh-CN"/>
        </w:rPr>
        <w:t>）当采用型钢组合的构件时，型钢间的空隙宽度应符合防护层施工和维修的要求、并应符合现行国家标准《色漆和清漆防护涂料体系对钢结构的防腐蚀保护第 3 部分：设计依据》GB/T30790.3的规定。</w:t>
      </w:r>
    </w:p>
    <w:p>
      <w:pPr>
        <w:ind w:firstLine="560" w:firstLineChars="200"/>
        <w:rPr>
          <w:rFonts w:hint="default"/>
          <w:color w:val="auto"/>
          <w:lang w:val="en-US" w:eastAsia="zh-CN"/>
        </w:rPr>
      </w:pPr>
      <w:r>
        <w:rPr>
          <w:rFonts w:hint="eastAsia"/>
          <w:color w:val="auto"/>
          <w:lang w:val="en-US" w:eastAsia="zh-CN"/>
        </w:rPr>
        <w:t>49</w:t>
      </w:r>
      <w:r>
        <w:rPr>
          <w:rFonts w:hint="default"/>
          <w:color w:val="auto"/>
          <w:lang w:val="en-US" w:eastAsia="zh-CN"/>
        </w:rPr>
        <w:t>）钢结构杆件截面的厚度宜符合下列规定：</w:t>
      </w:r>
    </w:p>
    <w:p>
      <w:pPr>
        <w:ind w:firstLine="560" w:firstLineChars="200"/>
        <w:rPr>
          <w:rFonts w:hint="default"/>
          <w:color w:val="auto"/>
          <w:lang w:val="en-US" w:eastAsia="zh-CN"/>
        </w:rPr>
      </w:pPr>
      <w:r>
        <w:rPr>
          <w:rFonts w:hint="default"/>
          <w:color w:val="auto"/>
          <w:lang w:val="en-US" w:eastAsia="zh-CN"/>
        </w:rPr>
        <w:t>（1）钢板组合的杆件，不宜小于6mm；</w:t>
      </w:r>
    </w:p>
    <w:p>
      <w:pPr>
        <w:ind w:firstLine="560" w:firstLineChars="200"/>
        <w:rPr>
          <w:rFonts w:hint="default"/>
          <w:color w:val="auto"/>
          <w:lang w:val="en-US" w:eastAsia="zh-CN"/>
        </w:rPr>
      </w:pPr>
      <w:r>
        <w:rPr>
          <w:rFonts w:hint="default"/>
          <w:color w:val="auto"/>
          <w:lang w:val="en-US" w:eastAsia="zh-CN"/>
        </w:rPr>
        <w:t>（2）闭口截面杆件，不宜小于4mm；</w:t>
      </w:r>
    </w:p>
    <w:p>
      <w:pPr>
        <w:ind w:firstLine="560" w:firstLineChars="200"/>
        <w:rPr>
          <w:rFonts w:hint="default"/>
          <w:color w:val="auto"/>
          <w:lang w:val="en-US" w:eastAsia="zh-CN"/>
        </w:rPr>
      </w:pPr>
      <w:r>
        <w:rPr>
          <w:rFonts w:hint="eastAsia"/>
          <w:color w:val="auto"/>
          <w:lang w:val="en-US" w:eastAsia="zh-CN"/>
        </w:rPr>
        <w:t>（</w:t>
      </w:r>
      <w:r>
        <w:rPr>
          <w:rFonts w:hint="default"/>
          <w:color w:val="auto"/>
          <w:lang w:val="en-US" w:eastAsia="zh-CN"/>
        </w:rPr>
        <w:t>3</w:t>
      </w:r>
      <w:r>
        <w:rPr>
          <w:rFonts w:hint="eastAsia"/>
          <w:color w:val="auto"/>
          <w:lang w:val="en-US" w:eastAsia="zh-CN"/>
        </w:rPr>
        <w:t>）</w:t>
      </w:r>
      <w:r>
        <w:rPr>
          <w:rFonts w:hint="default"/>
          <w:color w:val="auto"/>
          <w:lang w:val="en-US" w:eastAsia="zh-CN"/>
        </w:rPr>
        <w:t>角钢截面的厚度不宜小于5mm。</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0</w:t>
      </w:r>
      <w:r>
        <w:rPr>
          <w:rFonts w:hint="default"/>
          <w:color w:val="auto"/>
          <w:lang w:val="en-US" w:eastAsia="zh-CN"/>
        </w:rPr>
        <w:t>）门式刚架构件宜采用热轧H型钢，当采用T型钢或钢板组合时，应采用双面连续焊缝。</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1</w:t>
      </w:r>
      <w:r>
        <w:rPr>
          <w:rFonts w:hint="default"/>
          <w:color w:val="auto"/>
          <w:lang w:val="en-US" w:eastAsia="zh-CN"/>
        </w:rPr>
        <w:t>）网架结构宜采用管形截面、球型节点，并应符合下列规定：</w:t>
      </w:r>
    </w:p>
    <w:p>
      <w:pPr>
        <w:ind w:firstLine="560" w:firstLineChars="200"/>
        <w:rPr>
          <w:rFonts w:hint="default"/>
          <w:color w:val="auto"/>
          <w:lang w:val="en-US" w:eastAsia="zh-CN"/>
        </w:rPr>
      </w:pPr>
      <w:r>
        <w:rPr>
          <w:rFonts w:hint="default"/>
          <w:color w:val="auto"/>
          <w:lang w:val="en-US" w:eastAsia="zh-CN"/>
        </w:rPr>
        <w:t>当采用螺栓球节点时，杆件与螺栓球的接缝应采用密封材料填嵌严密，多余螺栓孔应封堵。</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2</w:t>
      </w:r>
      <w:r>
        <w:rPr>
          <w:rFonts w:hint="default"/>
          <w:color w:val="auto"/>
          <w:lang w:val="en-US" w:eastAsia="zh-CN"/>
        </w:rPr>
        <w:t>）不同金属材料接触的部位，宜采取隔离措施。</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3</w:t>
      </w:r>
      <w:r>
        <w:rPr>
          <w:rFonts w:hint="default"/>
          <w:color w:val="auto"/>
          <w:lang w:val="en-US" w:eastAsia="zh-CN"/>
        </w:rPr>
        <w:t>）桁架、柱、主梁等重要钢构件和闭口截面杆件的焊缝，应采用连续焊缝。角焊缝的焊脚尺寸不宜小于8mm；当杆件厚度小于8mm时，焊脚尺寸不应小于杆件厚度；加劲肋应切角，切角的尺寸应满足排水、施工维修要求。</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4</w:t>
      </w:r>
      <w:r>
        <w:rPr>
          <w:rFonts w:hint="default"/>
          <w:color w:val="auto"/>
          <w:lang w:val="en-US" w:eastAsia="zh-CN"/>
        </w:rPr>
        <w:t>）焊条、螺栓、垫圈、节点板等连接构件的耐腐蚀性能，不应低于主体材料。螺栓直径不应小于12mm。垫圈不应采用弹簧垫圈。螺栓、螺母和垫圈应采用热镀锌或热浸锌防护，安装后再采用与主体结构相同的防腐蚀措施。</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5</w:t>
      </w:r>
      <w:r>
        <w:rPr>
          <w:rFonts w:hint="default"/>
          <w:color w:val="auto"/>
          <w:lang w:val="en-US" w:eastAsia="zh-CN"/>
        </w:rPr>
        <w:t>）构件采用高强螺栓连接的接触面的除锈等级，不应低于Sa2</w:t>
      </w:r>
      <w:r>
        <w:rPr>
          <w:rFonts w:hint="eastAsia"/>
          <w:color w:val="auto"/>
          <w:lang w:val="en-US" w:eastAsia="zh-CN"/>
        </w:rPr>
        <w:t>½</w:t>
      </w:r>
      <w:r>
        <w:rPr>
          <w:rFonts w:hint="default"/>
          <w:color w:val="auto"/>
          <w:lang w:val="en-US" w:eastAsia="zh-CN"/>
        </w:rPr>
        <w:t>。；连接处的缝隙，应嵌刮耐腐蚀密封膏。</w:t>
      </w:r>
    </w:p>
    <w:p>
      <w:pPr>
        <w:ind w:firstLine="560" w:firstLineChars="200"/>
        <w:rPr>
          <w:rFonts w:hint="default"/>
          <w:color w:val="auto"/>
          <w:lang w:val="en-US" w:eastAsia="zh-CN"/>
        </w:rPr>
      </w:pPr>
      <w:r>
        <w:rPr>
          <w:rFonts w:hint="default"/>
          <w:color w:val="auto"/>
          <w:lang w:val="en-US" w:eastAsia="zh-CN"/>
        </w:rPr>
        <w:t>5</w:t>
      </w:r>
      <w:r>
        <w:rPr>
          <w:rFonts w:hint="eastAsia"/>
          <w:color w:val="auto"/>
          <w:lang w:val="en-US" w:eastAsia="zh-CN"/>
        </w:rPr>
        <w:t>6</w:t>
      </w:r>
      <w:r>
        <w:rPr>
          <w:rFonts w:hint="default"/>
          <w:color w:val="auto"/>
          <w:lang w:val="en-US" w:eastAsia="zh-CN"/>
        </w:rPr>
        <w:t>）钢柱柱脚应置于混凝土基础上。经常用水清理冲洗地面的场地，基础顶面宜高出地面不小于 300mm。当腐蚀性等级为强时，钢柱柱脚及钢柱宜采C25细石混凝土包裹，混凝土厚度不小于60mm，包裹高度不小于800mm，顶面30°外坡。《工业建筑防腐蚀设计标准》4.3.1~4.3.11。</w:t>
      </w:r>
    </w:p>
    <w:p>
      <w:pPr>
        <w:ind w:firstLine="560" w:firstLineChars="200"/>
        <w:rPr>
          <w:rFonts w:hint="default"/>
          <w:color w:val="auto"/>
          <w:lang w:val="en-US" w:eastAsia="zh-CN"/>
        </w:rPr>
      </w:pPr>
      <w:r>
        <w:rPr>
          <w:rFonts w:hint="eastAsia"/>
          <w:color w:val="auto"/>
          <w:lang w:val="en-US" w:eastAsia="zh-CN"/>
        </w:rPr>
        <w:t>57</w:t>
      </w:r>
      <w:r>
        <w:rPr>
          <w:rFonts w:hint="default"/>
          <w:color w:val="auto"/>
          <w:lang w:val="en-US" w:eastAsia="zh-CN"/>
        </w:rPr>
        <w:t>）当采用钢与混凝土的结合梁结构时，应符合下列规定：</w:t>
      </w:r>
    </w:p>
    <w:p>
      <w:pPr>
        <w:ind w:firstLine="560" w:firstLineChars="200"/>
        <w:rPr>
          <w:rFonts w:hint="default"/>
          <w:color w:val="auto"/>
          <w:lang w:val="en-US" w:eastAsia="zh-CN"/>
        </w:rPr>
      </w:pPr>
      <w:r>
        <w:rPr>
          <w:rFonts w:hint="default"/>
          <w:color w:val="auto"/>
          <w:lang w:val="en-US" w:eastAsia="zh-CN"/>
        </w:rPr>
        <w:t>（1）可用于气态介质的弱腐蚀环境，且楼面无液态介质作用；</w:t>
      </w:r>
    </w:p>
    <w:p>
      <w:pPr>
        <w:ind w:firstLine="560" w:firstLineChars="200"/>
        <w:rPr>
          <w:rFonts w:hint="default"/>
          <w:color w:val="auto"/>
          <w:lang w:val="en-US" w:eastAsia="zh-CN"/>
        </w:rPr>
      </w:pPr>
      <w:r>
        <w:rPr>
          <w:rFonts w:hint="default"/>
          <w:color w:val="auto"/>
          <w:lang w:val="en-US" w:eastAsia="zh-CN"/>
        </w:rPr>
        <w:t>（2）混凝土翼板与钢梁的结合处应密封。</w:t>
      </w:r>
    </w:p>
    <w:p>
      <w:pPr>
        <w:ind w:firstLine="560" w:firstLineChars="200"/>
        <w:rPr>
          <w:rFonts w:hint="default"/>
          <w:color w:val="auto"/>
          <w:lang w:val="en-US" w:eastAsia="zh-CN"/>
        </w:rPr>
      </w:pPr>
      <w:r>
        <w:rPr>
          <w:rFonts w:hint="eastAsia"/>
          <w:color w:val="auto"/>
          <w:lang w:val="en-US" w:eastAsia="zh-CN"/>
        </w:rPr>
        <w:t>58</w:t>
      </w:r>
      <w:r>
        <w:rPr>
          <w:rFonts w:hint="default"/>
          <w:color w:val="auto"/>
          <w:lang w:val="en-US" w:eastAsia="zh-CN"/>
        </w:rPr>
        <w:t>）主管廊的宽度和管架跨度的确定，应考虑下列因素：</w:t>
      </w:r>
    </w:p>
    <w:p>
      <w:pPr>
        <w:ind w:firstLine="560" w:firstLineChars="200"/>
        <w:rPr>
          <w:rFonts w:hint="default"/>
          <w:color w:val="auto"/>
          <w:lang w:val="en-US" w:eastAsia="zh-CN"/>
        </w:rPr>
      </w:pPr>
      <w:r>
        <w:rPr>
          <w:rFonts w:hint="default"/>
          <w:color w:val="auto"/>
          <w:lang w:val="en-US" w:eastAsia="zh-CN"/>
        </w:rPr>
        <w:t>（1）管道的数量及其间距；</w:t>
      </w:r>
    </w:p>
    <w:p>
      <w:pPr>
        <w:ind w:firstLine="560" w:firstLineChars="200"/>
        <w:rPr>
          <w:rFonts w:hint="default"/>
          <w:color w:val="auto"/>
          <w:lang w:val="en-US" w:eastAsia="zh-CN"/>
        </w:rPr>
      </w:pPr>
      <w:r>
        <w:rPr>
          <w:rFonts w:hint="default"/>
          <w:color w:val="auto"/>
          <w:lang w:val="en-US" w:eastAsia="zh-CN"/>
        </w:rPr>
        <w:t>（2）架空敷设的仪表引线和电力电缆的槽架所需的宽度；</w:t>
      </w:r>
    </w:p>
    <w:p>
      <w:pPr>
        <w:ind w:firstLine="560" w:firstLineChars="200"/>
        <w:rPr>
          <w:rFonts w:hint="default"/>
          <w:color w:val="auto"/>
          <w:lang w:val="en-US" w:eastAsia="zh-CN"/>
        </w:rPr>
      </w:pPr>
      <w:r>
        <w:rPr>
          <w:rFonts w:hint="default"/>
          <w:color w:val="auto"/>
          <w:lang w:val="en-US" w:eastAsia="zh-CN"/>
        </w:rPr>
        <w:t>（3）预留管道所需的宽度；</w:t>
      </w:r>
    </w:p>
    <w:p>
      <w:pPr>
        <w:ind w:firstLine="560" w:firstLineChars="200"/>
        <w:rPr>
          <w:rFonts w:hint="default"/>
          <w:color w:val="auto"/>
          <w:lang w:val="en-US" w:eastAsia="zh-CN"/>
        </w:rPr>
      </w:pPr>
      <w:r>
        <w:rPr>
          <w:rFonts w:hint="default"/>
          <w:color w:val="auto"/>
          <w:lang w:val="en-US" w:eastAsia="zh-CN"/>
        </w:rPr>
        <w:t>（4）主管廊上布置空冷器时，管廊管架立柱中心宜与空冷器构架支柱中心对齐；</w:t>
      </w:r>
    </w:p>
    <w:p>
      <w:pPr>
        <w:ind w:firstLine="560" w:firstLineChars="200"/>
        <w:rPr>
          <w:rFonts w:hint="default"/>
          <w:color w:val="auto"/>
          <w:lang w:val="en-US" w:eastAsia="zh-CN"/>
        </w:rPr>
      </w:pPr>
      <w:r>
        <w:rPr>
          <w:rFonts w:hint="default"/>
          <w:color w:val="auto"/>
          <w:lang w:val="en-US" w:eastAsia="zh-CN"/>
        </w:rPr>
        <w:t>（5）主管廊下布置泵时，应考虑泵底盘尺寸及泵所需要操作和检修通道的宽度；</w:t>
      </w:r>
    </w:p>
    <w:p>
      <w:pPr>
        <w:ind w:firstLine="560" w:firstLineChars="200"/>
        <w:rPr>
          <w:rFonts w:hint="default"/>
          <w:color w:val="auto"/>
          <w:lang w:val="en-US" w:eastAsia="zh-CN"/>
        </w:rPr>
      </w:pPr>
      <w:r>
        <w:rPr>
          <w:rFonts w:hint="default"/>
          <w:color w:val="auto"/>
          <w:lang w:val="en-US" w:eastAsia="zh-CN"/>
        </w:rPr>
        <w:t>（6）单跨管架跨度不宜大于10m；</w:t>
      </w:r>
    </w:p>
    <w:p>
      <w:pPr>
        <w:ind w:firstLine="560" w:firstLineChars="200"/>
        <w:rPr>
          <w:rFonts w:hint="default"/>
          <w:color w:val="auto"/>
          <w:lang w:val="en-US" w:eastAsia="zh-CN"/>
        </w:rPr>
      </w:pPr>
      <w:r>
        <w:rPr>
          <w:rFonts w:hint="eastAsia"/>
          <w:color w:val="auto"/>
          <w:lang w:val="en-US" w:eastAsia="zh-CN"/>
        </w:rPr>
        <w:t>59</w:t>
      </w:r>
      <w:r>
        <w:rPr>
          <w:rFonts w:hint="default"/>
          <w:color w:val="auto"/>
          <w:lang w:val="en-US" w:eastAsia="zh-CN"/>
        </w:rPr>
        <w:t>）主管廊可以布置成单层或多层，最下一层的净空应按管廊下设备高度、设备连接管道的高度和操作、检修通道要求的高度确定，且不应小于3m。</w:t>
      </w:r>
    </w:p>
    <w:p>
      <w:pPr>
        <w:ind w:firstLine="560" w:firstLineChars="200"/>
        <w:rPr>
          <w:rFonts w:hint="default"/>
          <w:color w:val="auto"/>
          <w:lang w:val="en-US" w:eastAsia="zh-CN"/>
        </w:rPr>
      </w:pPr>
      <w:r>
        <w:rPr>
          <w:rFonts w:hint="default"/>
          <w:color w:val="auto"/>
          <w:lang w:val="en-US" w:eastAsia="zh-CN"/>
        </w:rPr>
        <w:t>管廊下作为消防通道时，管廊至地面的最小净高不应小于4.5m。主管廊管架间距应满足大多数管道的跨距要求，通常为6-9m。当采用混凝土管架时，横梁上应埋设一根0.20mm圆钢，以减少管道与横梁间的摩擦力。</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0</w:t>
      </w:r>
      <w:r>
        <w:rPr>
          <w:rFonts w:hint="default"/>
          <w:color w:val="auto"/>
          <w:lang w:val="en-US" w:eastAsia="zh-CN"/>
        </w:rPr>
        <w:t>）厂区内的全厂性管道的敷设，应与厂区内的装置(单元)、道路、建筑物、构筑物等协调，避免管道包围装置(单元)，减少管道与道路的交叉。</w:t>
      </w:r>
    </w:p>
    <w:p>
      <w:pPr>
        <w:ind w:firstLine="560" w:firstLineChars="200"/>
        <w:rPr>
          <w:rFonts w:hint="default"/>
          <w:color w:val="auto"/>
          <w:lang w:val="en-US" w:eastAsia="zh-CN"/>
        </w:rPr>
      </w:pPr>
      <w:r>
        <w:rPr>
          <w:rFonts w:hint="default"/>
          <w:color w:val="auto"/>
          <w:lang w:val="en-US" w:eastAsia="zh-CN"/>
        </w:rPr>
        <w:t>管道应架空或地上敷设；如确有需要，可埋地或敷设在管沟内。管道宜集中成排布置。地上的管道应敷设在管架或管墩上。管道系统应有正确和可靠的支承，不应发生管道与其支承件脱离、管道扭曲、下垂或立管不垂直的现象。</w:t>
      </w:r>
    </w:p>
    <w:p>
      <w:pPr>
        <w:ind w:firstLine="560" w:firstLineChars="200"/>
        <w:rPr>
          <w:rFonts w:hint="default"/>
          <w:color w:val="auto"/>
          <w:lang w:val="en-US" w:eastAsia="zh-CN"/>
        </w:rPr>
      </w:pPr>
      <w:r>
        <w:rPr>
          <w:rFonts w:hint="default"/>
          <w:color w:val="auto"/>
          <w:lang w:val="en-US" w:eastAsia="zh-CN"/>
        </w:rPr>
        <w:t>管道布置宜做到“步步高”或“步步低”，减少气袋或液袋。否则应根据操作、检修要求设置放空、放净。管道布置应减少“盲肠气。</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1</w:t>
      </w:r>
      <w:r>
        <w:rPr>
          <w:rFonts w:hint="default"/>
          <w:color w:val="auto"/>
          <w:lang w:val="en-US" w:eastAsia="zh-CN"/>
        </w:rPr>
        <w:t>）气液两相流的管道由一路分为两路或多路时，管道布置应考虑对称性或满足管道及仪表流程图的要求。管道除与阀门、仪表、设备等需要用法兰或螺纹连接者外，应采用焊接连接。</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2</w:t>
      </w:r>
      <w:r>
        <w:rPr>
          <w:rFonts w:hint="default"/>
          <w:color w:val="auto"/>
          <w:lang w:val="en-US" w:eastAsia="zh-CN"/>
        </w:rPr>
        <w:t>）管道穿过建筑物的楼板、屋顶或墙面时，应加套管，套管与管道间的空隙应密封。套管的直径应大于管道隔热层的外径，并不得影响管道的热位移。管道上的焊缝不应在套管内，并距离套管端部不应小于150mm。套管应高出楼板、屋顶面50mm。管道穿过屋顶时应设防雨罩。管道不应穿过防火墙或防爆墙。</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3</w:t>
      </w:r>
      <w:r>
        <w:rPr>
          <w:rFonts w:hint="default"/>
          <w:color w:val="auto"/>
          <w:lang w:val="en-US" w:eastAsia="zh-CN"/>
        </w:rPr>
        <w:t>）布置腐蚀性介质、有毒介质和高压管道时，应避免由于法兰、螺纹和填料密封等泄漏而造成对人身和设备的危害。易泄漏部位应避免位于人行通道或机泵上方，否则应设安全防护。有隔热层的管道，在管墩、管架处应设管托。无隔热层的管道，如无要求，可不设管托。当隔热层厚度小于或等于80mm时，选用高100mm的管托；隔热层厚度大于80mm时，选用高150mm 的管托；隔热层厚度大于130mm时，选用高200mm的管托。保冷管道应选用保冷管托。</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4</w:t>
      </w:r>
      <w:r>
        <w:rPr>
          <w:rFonts w:hint="default"/>
          <w:color w:val="auto"/>
          <w:lang w:val="en-US" w:eastAsia="zh-CN"/>
        </w:rPr>
        <w:t>）厂内道路在弯道的横净距三角形范围内，不得有妨碍驾驶员视线的障碍物。《工业企业厂内铁路、道路运输安全规程》5.1.10。</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5</w:t>
      </w:r>
      <w:r>
        <w:rPr>
          <w:rFonts w:hint="default"/>
          <w:color w:val="auto"/>
          <w:lang w:val="en-US" w:eastAsia="zh-CN"/>
        </w:rPr>
        <w:t>）下列承重钢结构，应采取耐火保护措施：</w:t>
      </w:r>
    </w:p>
    <w:p>
      <w:pPr>
        <w:ind w:firstLine="560" w:firstLineChars="200"/>
        <w:rPr>
          <w:rFonts w:hint="default"/>
          <w:color w:val="auto"/>
          <w:lang w:val="en-US" w:eastAsia="zh-CN"/>
        </w:rPr>
      </w:pPr>
      <w:r>
        <w:rPr>
          <w:rFonts w:hint="default"/>
          <w:color w:val="auto"/>
          <w:lang w:val="en-US" w:eastAsia="zh-CN"/>
        </w:rPr>
        <w:t>（1）单个容积等于或大于5m</w:t>
      </w:r>
      <w:r>
        <w:rPr>
          <w:rFonts w:hint="default"/>
          <w:color w:val="auto"/>
          <w:vertAlign w:val="superscript"/>
          <w:lang w:val="en-US" w:eastAsia="zh-CN"/>
        </w:rPr>
        <w:t>3</w:t>
      </w:r>
      <w:r>
        <w:rPr>
          <w:rFonts w:hint="default"/>
          <w:color w:val="auto"/>
          <w:lang w:val="en-US" w:eastAsia="zh-CN"/>
        </w:rPr>
        <w:t>的甲类液体设备的承重钢构架、支架、裙座；</w:t>
      </w:r>
    </w:p>
    <w:p>
      <w:pPr>
        <w:ind w:firstLine="560" w:firstLineChars="200"/>
        <w:rPr>
          <w:rFonts w:hint="default"/>
          <w:color w:val="auto"/>
          <w:lang w:val="en-US" w:eastAsia="zh-CN"/>
        </w:rPr>
      </w:pPr>
      <w:r>
        <w:rPr>
          <w:rFonts w:hint="default"/>
          <w:color w:val="auto"/>
          <w:lang w:val="en-US" w:eastAsia="zh-CN"/>
        </w:rPr>
        <w:t>（2）在爆炸危险区范围内的钢管架；跨越装置区、罐区消防车道的钢管架；</w:t>
      </w:r>
    </w:p>
    <w:p>
      <w:pPr>
        <w:ind w:firstLine="560" w:firstLineChars="200"/>
        <w:rPr>
          <w:rFonts w:hint="default"/>
          <w:color w:val="auto"/>
          <w:lang w:val="en-US" w:eastAsia="zh-CN"/>
        </w:rPr>
      </w:pPr>
      <w:r>
        <w:rPr>
          <w:rFonts w:hint="default"/>
          <w:color w:val="auto"/>
          <w:lang w:val="en-US" w:eastAsia="zh-CN"/>
        </w:rPr>
        <w:t>（3）在爆炸危险区范围内的高径比等于或大于8，且总重量等于或大于25t的非可燃介质设备的承重钢构架、支架和裙座。</w:t>
      </w:r>
    </w:p>
    <w:p>
      <w:pPr>
        <w:ind w:firstLine="560" w:firstLineChars="200"/>
        <w:rPr>
          <w:rFonts w:hint="default"/>
          <w:color w:val="auto"/>
          <w:lang w:val="en-US" w:eastAsia="zh-CN"/>
        </w:rPr>
      </w:pPr>
      <w:r>
        <w:rPr>
          <w:rFonts w:hint="default"/>
          <w:color w:val="auto"/>
          <w:lang w:val="en-US" w:eastAsia="zh-CN"/>
        </w:rPr>
        <w:t>6</w:t>
      </w:r>
      <w:r>
        <w:rPr>
          <w:rFonts w:hint="eastAsia"/>
          <w:color w:val="auto"/>
          <w:lang w:val="en-US" w:eastAsia="zh-CN"/>
        </w:rPr>
        <w:t>6</w:t>
      </w:r>
      <w:r>
        <w:rPr>
          <w:rFonts w:hint="default"/>
          <w:color w:val="auto"/>
          <w:lang w:val="en-US" w:eastAsia="zh-CN"/>
        </w:rPr>
        <w:t>）承重钢结构的下列部位应覆盖耐火层，覆盖耐火层的钢构件，其耐火极限不应低于2h。</w:t>
      </w:r>
    </w:p>
    <w:p>
      <w:pPr>
        <w:ind w:firstLine="560" w:firstLineChars="200"/>
        <w:rPr>
          <w:rFonts w:hint="default"/>
          <w:color w:val="auto"/>
          <w:lang w:val="en-US" w:eastAsia="zh-CN"/>
        </w:rPr>
      </w:pPr>
      <w:r>
        <w:rPr>
          <w:rFonts w:hint="default"/>
          <w:color w:val="auto"/>
          <w:lang w:val="en-US" w:eastAsia="zh-CN"/>
        </w:rPr>
        <w:t>（1）支承设备钢构架：</w:t>
      </w:r>
    </w:p>
    <w:p>
      <w:pPr>
        <w:ind w:firstLine="560" w:firstLineChars="200"/>
        <w:rPr>
          <w:rFonts w:hint="default"/>
          <w:color w:val="auto"/>
          <w:lang w:val="en-US" w:eastAsia="zh-CN"/>
        </w:rPr>
      </w:pPr>
      <w:r>
        <w:rPr>
          <w:rFonts w:hint="default"/>
          <w:color w:val="auto"/>
          <w:lang w:val="en-US" w:eastAsia="zh-CN"/>
        </w:rPr>
        <w:t>a.单层构架的梁、柱；</w:t>
      </w:r>
    </w:p>
    <w:p>
      <w:pPr>
        <w:ind w:firstLine="560" w:firstLineChars="200"/>
        <w:rPr>
          <w:rFonts w:hint="default"/>
          <w:color w:val="auto"/>
          <w:lang w:val="en-US" w:eastAsia="zh-CN"/>
        </w:rPr>
      </w:pPr>
      <w:r>
        <w:rPr>
          <w:rFonts w:hint="default"/>
          <w:color w:val="auto"/>
          <w:lang w:val="en-US" w:eastAsia="zh-CN"/>
        </w:rPr>
        <w:t>b.多层构架的楼板为透空的钢格板时，地面以上10m范围的梁、柱；</w:t>
      </w:r>
    </w:p>
    <w:p>
      <w:pPr>
        <w:ind w:firstLine="560" w:firstLineChars="200"/>
        <w:rPr>
          <w:rFonts w:hint="default"/>
          <w:color w:val="auto"/>
          <w:lang w:val="en-US" w:eastAsia="zh-CN"/>
        </w:rPr>
      </w:pPr>
      <w:r>
        <w:rPr>
          <w:rFonts w:hint="default"/>
          <w:color w:val="auto"/>
          <w:lang w:val="en-US" w:eastAsia="zh-CN"/>
        </w:rPr>
        <w:t>c.多层构架的楼板为封闭式楼板时，地面至该层楼板面及其以上10m范围的梁、柱；</w:t>
      </w:r>
    </w:p>
    <w:p>
      <w:pPr>
        <w:ind w:firstLine="560" w:firstLineChars="200"/>
        <w:rPr>
          <w:rFonts w:hint="default"/>
          <w:color w:val="auto"/>
          <w:lang w:val="en-US" w:eastAsia="zh-CN"/>
        </w:rPr>
      </w:pPr>
      <w:r>
        <w:rPr>
          <w:rFonts w:hint="default"/>
          <w:color w:val="auto"/>
          <w:lang w:val="en-US" w:eastAsia="zh-CN"/>
        </w:rPr>
        <w:t>d.上部设有空气冷却器的构架的全部梁、柱及承重斜撑。</w:t>
      </w:r>
    </w:p>
    <w:p>
      <w:pPr>
        <w:ind w:firstLine="560" w:firstLineChars="200"/>
        <w:rPr>
          <w:rFonts w:hint="default"/>
          <w:color w:val="auto"/>
          <w:lang w:val="en-US" w:eastAsia="zh-CN"/>
        </w:rPr>
      </w:pPr>
      <w:r>
        <w:rPr>
          <w:rFonts w:hint="default"/>
          <w:color w:val="auto"/>
          <w:lang w:val="en-US" w:eastAsia="zh-CN"/>
        </w:rPr>
        <w:t>（2）支承设备钢支架；</w:t>
      </w:r>
    </w:p>
    <w:p>
      <w:pPr>
        <w:ind w:firstLine="560" w:firstLineChars="200"/>
        <w:rPr>
          <w:rFonts w:hint="default"/>
          <w:color w:val="auto"/>
          <w:lang w:val="en-US" w:eastAsia="zh-CN"/>
        </w:rPr>
      </w:pPr>
      <w:r>
        <w:rPr>
          <w:rFonts w:hint="default"/>
          <w:color w:val="auto"/>
          <w:lang w:val="en-US" w:eastAsia="zh-CN"/>
        </w:rPr>
        <w:t>（3）钢裙座外侧未保温部分及直径大于1.2m的裙座内侧；</w:t>
      </w:r>
    </w:p>
    <w:p>
      <w:pPr>
        <w:ind w:firstLine="560" w:firstLineChars="200"/>
        <w:rPr>
          <w:rFonts w:hint="default"/>
          <w:color w:val="auto"/>
          <w:lang w:val="en-US" w:eastAsia="zh-CN"/>
        </w:rPr>
      </w:pPr>
      <w:r>
        <w:rPr>
          <w:rFonts w:hint="default"/>
          <w:color w:val="auto"/>
          <w:lang w:val="en-US" w:eastAsia="zh-CN"/>
        </w:rPr>
        <w:t>（4）钢管架：</w:t>
      </w:r>
    </w:p>
    <w:p>
      <w:pPr>
        <w:ind w:firstLine="560" w:firstLineChars="200"/>
        <w:rPr>
          <w:rFonts w:hint="default"/>
          <w:color w:val="auto"/>
          <w:lang w:val="en-US" w:eastAsia="zh-CN"/>
        </w:rPr>
      </w:pPr>
      <w:r>
        <w:rPr>
          <w:rFonts w:hint="default"/>
          <w:color w:val="auto"/>
          <w:lang w:val="en-US" w:eastAsia="zh-CN"/>
        </w:rPr>
        <w:t>a.底层支承管道的梁、柱；当底层低于4.5m时，地面以上4.5m内的支承管道的梁、柱；</w:t>
      </w:r>
    </w:p>
    <w:p>
      <w:pPr>
        <w:ind w:firstLine="560" w:firstLineChars="200"/>
        <w:rPr>
          <w:rFonts w:hint="default"/>
          <w:color w:val="auto"/>
          <w:lang w:val="en-US" w:eastAsia="zh-CN"/>
        </w:rPr>
      </w:pPr>
      <w:r>
        <w:rPr>
          <w:rFonts w:hint="default"/>
          <w:color w:val="auto"/>
          <w:lang w:val="en-US" w:eastAsia="zh-CN"/>
        </w:rPr>
        <w:t>b.上部设有空气冷却器的管架，其全部梁、柱及承重斜撑；</w:t>
      </w:r>
    </w:p>
    <w:p>
      <w:pPr>
        <w:ind w:firstLine="560" w:firstLineChars="200"/>
        <w:rPr>
          <w:rFonts w:hint="default"/>
          <w:color w:val="auto"/>
          <w:lang w:val="en-US" w:eastAsia="zh-CN"/>
        </w:rPr>
      </w:pPr>
      <w:r>
        <w:rPr>
          <w:rFonts w:hint="default"/>
          <w:color w:val="auto"/>
          <w:lang w:val="en-US" w:eastAsia="zh-CN"/>
        </w:rPr>
        <w:t>c.下部设有可燃液体泵的管架，地面以上10m范围的梁、柱；</w:t>
      </w:r>
    </w:p>
    <w:p>
      <w:pPr>
        <w:ind w:firstLine="560" w:firstLineChars="200"/>
        <w:rPr>
          <w:rFonts w:hint="default"/>
          <w:color w:val="auto"/>
          <w:lang w:val="en-US" w:eastAsia="zh-CN"/>
        </w:rPr>
      </w:pPr>
      <w:r>
        <w:rPr>
          <w:rFonts w:hint="eastAsia"/>
          <w:color w:val="auto"/>
          <w:lang w:val="en-US" w:eastAsia="zh-CN"/>
        </w:rPr>
        <w:t>67</w:t>
      </w:r>
      <w:r>
        <w:rPr>
          <w:rFonts w:hint="default"/>
          <w:color w:val="auto"/>
          <w:lang w:val="en-US" w:eastAsia="zh-CN"/>
        </w:rPr>
        <w:t>）作业区的布置应保证人员有足够的安全活动空间。设备、工机具、辅助设施的布置，生产物料、产品和剩余物料的堆放，人行道、车行道的布置和间隔距离，都不应妨碍人员工作和造成危害。</w:t>
      </w:r>
    </w:p>
    <w:p>
      <w:pPr>
        <w:ind w:firstLine="560" w:firstLineChars="200"/>
        <w:rPr>
          <w:rFonts w:hint="default"/>
          <w:color w:val="auto"/>
          <w:lang w:val="en-US" w:eastAsia="zh-CN"/>
        </w:rPr>
      </w:pPr>
      <w:r>
        <w:rPr>
          <w:rFonts w:hint="eastAsia"/>
          <w:color w:val="auto"/>
          <w:lang w:val="en-US" w:eastAsia="zh-CN"/>
        </w:rPr>
        <w:t>68</w:t>
      </w:r>
      <w:r>
        <w:rPr>
          <w:rFonts w:hint="default"/>
          <w:color w:val="auto"/>
          <w:lang w:val="en-US" w:eastAsia="zh-CN"/>
        </w:rPr>
        <w:t>）总图中应考虑泡沫站的布置，储罐区泡沫站应布置在防火堤外的非爆炸危险区；与可燃液体储罐的防火间距不应小于20m。</w:t>
      </w:r>
    </w:p>
    <w:p>
      <w:pPr>
        <w:ind w:firstLine="560" w:firstLineChars="200"/>
        <w:rPr>
          <w:rFonts w:hint="default"/>
          <w:color w:val="auto"/>
          <w:lang w:val="en-US" w:eastAsia="zh-CN"/>
        </w:rPr>
      </w:pPr>
      <w:r>
        <w:rPr>
          <w:rFonts w:hint="eastAsia"/>
          <w:color w:val="auto"/>
          <w:lang w:val="en-US" w:eastAsia="zh-CN"/>
        </w:rPr>
        <w:t>69</w:t>
      </w:r>
      <w:r>
        <w:rPr>
          <w:rFonts w:hint="default"/>
          <w:color w:val="auto"/>
          <w:lang w:val="en-US" w:eastAsia="zh-CN"/>
        </w:rPr>
        <w:t>）防火堤、防护墙应采用不燃烧材料建造，且必须密实、闭合、不泄漏。</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0</w:t>
      </w:r>
      <w:r>
        <w:rPr>
          <w:rFonts w:hint="default"/>
          <w:color w:val="auto"/>
          <w:lang w:val="en-US" w:eastAsia="zh-CN"/>
        </w:rPr>
        <w:t>）进出储罐组的各类管线、电缆应从防火堤、防护墙顶部跨越或从地面以下穿过。当必须穿过防火堤、防护墙时，应设置套管并应采用不燃烧材料严密封闭，或采用固定短管且两端采用软管密封连接的形式。</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1</w:t>
      </w:r>
      <w:r>
        <w:rPr>
          <w:rFonts w:hint="default"/>
          <w:color w:val="auto"/>
          <w:lang w:val="en-US" w:eastAsia="zh-CN"/>
        </w:rPr>
        <w:t>）防火堤、防护墙内场地应设置排水沟。</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2</w:t>
      </w:r>
      <w:r>
        <w:rPr>
          <w:rFonts w:hint="default"/>
          <w:color w:val="auto"/>
          <w:lang w:val="en-US" w:eastAsia="zh-CN"/>
        </w:rPr>
        <w:t>）防火堤、防护墙内场地设置排水明沟时应符合下列要求：</w:t>
      </w:r>
    </w:p>
    <w:p>
      <w:pPr>
        <w:ind w:firstLine="560" w:firstLineChars="200"/>
        <w:rPr>
          <w:rFonts w:hint="default"/>
          <w:color w:val="auto"/>
          <w:lang w:val="en-US" w:eastAsia="zh-CN"/>
        </w:rPr>
      </w:pPr>
      <w:r>
        <w:rPr>
          <w:rFonts w:hint="default"/>
          <w:color w:val="auto"/>
          <w:lang w:val="en-US" w:eastAsia="zh-CN"/>
        </w:rPr>
        <w:t>（1）沿无培土的防火堤内侧修建排水沟时，沟壁的外侧与防火堤内堤脚线的距离不应小于0.5m；</w:t>
      </w:r>
    </w:p>
    <w:p>
      <w:pPr>
        <w:ind w:firstLine="560" w:firstLineChars="200"/>
        <w:rPr>
          <w:rFonts w:hint="default"/>
          <w:color w:val="auto"/>
          <w:lang w:val="en-US" w:eastAsia="zh-CN"/>
        </w:rPr>
      </w:pPr>
      <w:r>
        <w:rPr>
          <w:rFonts w:hint="default"/>
          <w:color w:val="auto"/>
          <w:lang w:val="en-US" w:eastAsia="zh-CN"/>
        </w:rPr>
        <w:t>（2）沿土堤或内培土的防火堤内侧修建排水沟时，沟壁的外侧与土堤内侧堤脚线或培土堤脚线的距离不应小于0.8m；</w:t>
      </w:r>
    </w:p>
    <w:p>
      <w:pPr>
        <w:ind w:firstLine="560" w:firstLineChars="200"/>
        <w:rPr>
          <w:rFonts w:hint="default"/>
          <w:color w:val="auto"/>
          <w:lang w:val="en-US" w:eastAsia="zh-CN"/>
        </w:rPr>
      </w:pPr>
      <w:r>
        <w:rPr>
          <w:rFonts w:hint="default"/>
          <w:color w:val="auto"/>
          <w:lang w:val="en-US" w:eastAsia="zh-CN"/>
        </w:rPr>
        <w:t>（3）沿防护墙修建排水沟时，沟壁的外侧与防护墙内堤脚线的距离不应小于0.5m；</w:t>
      </w:r>
    </w:p>
    <w:p>
      <w:pPr>
        <w:ind w:firstLine="560" w:firstLineChars="200"/>
        <w:rPr>
          <w:rFonts w:hint="default"/>
          <w:color w:val="auto"/>
          <w:lang w:val="en-US" w:eastAsia="zh-CN"/>
        </w:rPr>
      </w:pPr>
      <w:r>
        <w:rPr>
          <w:rFonts w:hint="default"/>
          <w:color w:val="auto"/>
          <w:lang w:val="en-US" w:eastAsia="zh-CN"/>
        </w:rPr>
        <w:t>（4）排水沟应采用防渗漏措施；</w:t>
      </w:r>
    </w:p>
    <w:p>
      <w:pPr>
        <w:ind w:firstLine="536" w:firstLineChars="200"/>
        <w:rPr>
          <w:rFonts w:hint="default"/>
          <w:color w:val="auto"/>
          <w:lang w:val="en-US" w:eastAsia="zh-CN"/>
        </w:rPr>
      </w:pPr>
      <w:r>
        <w:rPr>
          <w:rFonts w:hint="default"/>
          <w:color w:val="auto"/>
          <w:spacing w:val="-6"/>
          <w:sz w:val="28"/>
          <w:lang w:val="en-US" w:eastAsia="zh-CN"/>
        </w:rPr>
        <w:t>（5）排水明沟宜设置格栅盖板，格栅盖板的材质应具有防火、防腐性</w:t>
      </w:r>
      <w:r>
        <w:rPr>
          <w:rFonts w:hint="default"/>
          <w:color w:val="auto"/>
          <w:lang w:val="en-US" w:eastAsia="zh-CN"/>
        </w:rPr>
        <w:t>能。</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3</w:t>
      </w:r>
      <w:r>
        <w:rPr>
          <w:rFonts w:hint="default"/>
          <w:color w:val="auto"/>
          <w:lang w:val="en-US" w:eastAsia="zh-CN"/>
        </w:rPr>
        <w:t>）每一储罐组的防火堤、防护墙应设置不少于2处越堤人行踏步或坡道，并应设置在不同方位上。隔堤、隔墙应设置人行踏步或坡道。</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4</w:t>
      </w:r>
      <w:r>
        <w:rPr>
          <w:rFonts w:hint="default"/>
          <w:color w:val="auto"/>
          <w:lang w:val="en-US" w:eastAsia="zh-CN"/>
        </w:rPr>
        <w:t>）防火堤的相邻踏步、坡道、爬梯之间的距离不宜大于60m，高度大于或等于1.2m的踏步或坡道应设护栏。</w:t>
      </w:r>
    </w:p>
    <w:p>
      <w:pPr>
        <w:ind w:firstLine="560" w:firstLineChars="200"/>
        <w:rPr>
          <w:rFonts w:hint="default"/>
          <w:color w:val="auto"/>
          <w:lang w:val="en-US" w:eastAsia="zh-CN"/>
        </w:rPr>
      </w:pPr>
      <w:r>
        <w:rPr>
          <w:rFonts w:hint="default"/>
          <w:color w:val="auto"/>
          <w:lang w:val="en-US" w:eastAsia="zh-CN"/>
        </w:rPr>
        <w:t>7</w:t>
      </w:r>
      <w:r>
        <w:rPr>
          <w:rFonts w:hint="eastAsia"/>
          <w:color w:val="auto"/>
          <w:lang w:val="en-US" w:eastAsia="zh-CN"/>
        </w:rPr>
        <w:t>5</w:t>
      </w:r>
      <w:r>
        <w:rPr>
          <w:rFonts w:hint="default"/>
          <w:color w:val="auto"/>
          <w:lang w:val="en-US" w:eastAsia="zh-CN"/>
        </w:rPr>
        <w:t>）火灾危险性类别不同的常压储罐布置在同一防火堤内应设置隔堤分开。</w:t>
      </w:r>
    </w:p>
    <w:p>
      <w:pPr>
        <w:pStyle w:val="4"/>
        <w:rPr>
          <w:rFonts w:hint="default"/>
          <w:color w:val="auto"/>
          <w:lang w:val="en-US" w:eastAsia="zh-CN"/>
        </w:rPr>
      </w:pPr>
      <w:bookmarkStart w:id="711" w:name="_Toc21129"/>
      <w:bookmarkStart w:id="712" w:name="_Toc12475"/>
      <w:bookmarkStart w:id="713" w:name="_Toc18479"/>
      <w:bookmarkStart w:id="714" w:name="_Toc29569"/>
      <w:bookmarkStart w:id="715" w:name="_Toc26307"/>
      <w:bookmarkStart w:id="716" w:name="_Toc18525"/>
      <w:r>
        <w:rPr>
          <w:rFonts w:hint="default"/>
          <w:color w:val="auto"/>
          <w:lang w:val="en-US" w:eastAsia="zh-CN"/>
        </w:rPr>
        <w:t>9.3.3 主要技术、工艺或者方式和装置、设备、设施方面</w:t>
      </w:r>
      <w:bookmarkEnd w:id="711"/>
      <w:bookmarkEnd w:id="712"/>
      <w:bookmarkEnd w:id="713"/>
      <w:bookmarkEnd w:id="714"/>
      <w:bookmarkEnd w:id="715"/>
      <w:bookmarkEnd w:id="716"/>
    </w:p>
    <w:p>
      <w:pPr>
        <w:ind w:firstLine="560" w:firstLineChars="200"/>
        <w:rPr>
          <w:rFonts w:hint="default"/>
          <w:color w:val="auto"/>
          <w:highlight w:val="none"/>
          <w:lang w:val="en-US" w:eastAsia="zh-CN"/>
        </w:rPr>
      </w:pPr>
      <w:r>
        <w:rPr>
          <w:rFonts w:hint="default"/>
          <w:color w:val="auto"/>
          <w:highlight w:val="none"/>
          <w:lang w:val="en-US" w:eastAsia="zh-CN"/>
        </w:rPr>
        <w:t>1）</w:t>
      </w:r>
      <w:r>
        <w:rPr>
          <w:rFonts w:hint="eastAsia"/>
          <w:color w:val="auto"/>
          <w:highlight w:val="none"/>
          <w:lang w:val="en-US" w:eastAsia="zh-CN"/>
        </w:rPr>
        <w:t>甲基丙烯酸甲酯</w:t>
      </w:r>
      <w:r>
        <w:rPr>
          <w:rFonts w:hint="default"/>
          <w:color w:val="auto"/>
          <w:highlight w:val="none"/>
          <w:lang w:val="en-US" w:eastAsia="zh-CN"/>
        </w:rPr>
        <w:t>生产的工艺系统设计，应符合下列规定：</w:t>
      </w:r>
    </w:p>
    <w:p>
      <w:pPr>
        <w:ind w:firstLine="560" w:firstLineChars="200"/>
        <w:rPr>
          <w:rFonts w:hint="default"/>
          <w:color w:val="auto"/>
          <w:highlight w:val="none"/>
          <w:lang w:val="en-US" w:eastAsia="zh-CN"/>
        </w:rPr>
      </w:pPr>
      <w:r>
        <w:rPr>
          <w:rFonts w:hint="default"/>
          <w:color w:val="auto"/>
          <w:highlight w:val="none"/>
          <w:lang w:val="en-US" w:eastAsia="zh-CN"/>
        </w:rPr>
        <w:t>（1）宜采用密闭设备；当不具备密闭条件时，应采取有效的安全措施。</w:t>
      </w:r>
    </w:p>
    <w:p>
      <w:pPr>
        <w:ind w:firstLine="560" w:firstLineChars="200"/>
        <w:rPr>
          <w:rFonts w:hint="default"/>
          <w:color w:val="auto"/>
          <w:highlight w:val="none"/>
          <w:lang w:val="en-US" w:eastAsia="zh-CN"/>
        </w:rPr>
      </w:pPr>
      <w:r>
        <w:rPr>
          <w:rFonts w:hint="default"/>
          <w:color w:val="auto"/>
          <w:highlight w:val="none"/>
          <w:lang w:val="en-US" w:eastAsia="zh-CN"/>
        </w:rPr>
        <w:t>（2）对于间歇操作且存在易燃易爆危险的工艺系统</w:t>
      </w:r>
      <w:r>
        <w:rPr>
          <w:rFonts w:hint="eastAsia"/>
          <w:color w:val="auto"/>
          <w:highlight w:val="none"/>
          <w:lang w:val="en-US" w:eastAsia="zh-CN"/>
        </w:rPr>
        <w:t>应</w:t>
      </w:r>
      <w:r>
        <w:rPr>
          <w:rFonts w:hint="default"/>
          <w:color w:val="auto"/>
          <w:highlight w:val="none"/>
          <w:lang w:val="en-US" w:eastAsia="zh-CN"/>
        </w:rPr>
        <w:t>采取氮气保护措施。</w:t>
      </w:r>
    </w:p>
    <w:p>
      <w:pPr>
        <w:ind w:firstLine="560" w:firstLineChars="200"/>
        <w:rPr>
          <w:rFonts w:hint="default"/>
          <w:color w:val="auto"/>
          <w:lang w:val="en-US" w:eastAsia="zh-CN"/>
        </w:rPr>
      </w:pPr>
      <w:r>
        <w:rPr>
          <w:rFonts w:hint="default"/>
          <w:color w:val="auto"/>
          <w:lang w:val="en-US" w:eastAsia="zh-CN"/>
        </w:rPr>
        <w:t>2）顶部可能存在空气时，可燃液体容器或储罐的进料管道应从容器或储罐下部接入；若必须从上部接入，宜延伸至距容器或储罐底200mm处。</w:t>
      </w:r>
    </w:p>
    <w:p>
      <w:pPr>
        <w:ind w:firstLine="560" w:firstLineChars="200"/>
        <w:rPr>
          <w:rFonts w:hint="default"/>
          <w:color w:val="auto"/>
          <w:lang w:val="en-US" w:eastAsia="zh-CN"/>
        </w:rPr>
      </w:pPr>
      <w:r>
        <w:rPr>
          <w:rFonts w:hint="default"/>
          <w:color w:val="auto"/>
          <w:lang w:val="en-US" w:eastAsia="zh-CN"/>
        </w:rPr>
        <w:t>3）使用或生产可燃液体的设备应设置防静电接地。</w:t>
      </w:r>
    </w:p>
    <w:p>
      <w:pPr>
        <w:ind w:firstLine="560" w:firstLineChars="200"/>
        <w:rPr>
          <w:rFonts w:hint="default"/>
          <w:color w:val="auto"/>
          <w:lang w:val="en-US" w:eastAsia="zh-CN"/>
        </w:rPr>
      </w:pPr>
      <w:r>
        <w:rPr>
          <w:rFonts w:hint="default"/>
          <w:color w:val="auto"/>
          <w:lang w:val="en-US" w:eastAsia="zh-CN"/>
        </w:rPr>
        <w:t>4）工艺设备本体（不含衬里）及其基础，管道（不含衬里）及其支、吊架和基础，设备和管道的保温层应采用不燃材料。</w:t>
      </w:r>
    </w:p>
    <w:p>
      <w:pPr>
        <w:ind w:firstLine="560" w:firstLineChars="200"/>
        <w:rPr>
          <w:rFonts w:hint="default"/>
          <w:color w:val="auto"/>
          <w:lang w:val="en-US" w:eastAsia="zh-CN"/>
        </w:rPr>
      </w:pPr>
      <w:r>
        <w:rPr>
          <w:rFonts w:hint="default"/>
          <w:color w:val="auto"/>
          <w:lang w:val="en-US" w:eastAsia="zh-CN"/>
        </w:rPr>
        <w:t>5）间歇或半间歇操作的反应系统，宜采取下列一种或几种减缓措施：</w:t>
      </w:r>
    </w:p>
    <w:p>
      <w:pPr>
        <w:ind w:firstLine="560" w:firstLineChars="200"/>
        <w:rPr>
          <w:rFonts w:hint="default"/>
          <w:color w:val="auto"/>
          <w:lang w:val="en-US" w:eastAsia="zh-CN"/>
        </w:rPr>
      </w:pPr>
      <w:r>
        <w:rPr>
          <w:rFonts w:hint="default"/>
          <w:color w:val="auto"/>
          <w:lang w:val="en-US" w:eastAsia="zh-CN"/>
        </w:rPr>
        <w:t>（1）紧急冷却；（2）抑制；（3）淬灭或浇灌；（4）倾泻；（5）控制减压。</w:t>
      </w:r>
    </w:p>
    <w:p>
      <w:pPr>
        <w:ind w:firstLine="560" w:firstLineChars="200"/>
        <w:rPr>
          <w:rFonts w:hint="default"/>
          <w:color w:val="auto"/>
          <w:lang w:val="en-US" w:eastAsia="zh-CN"/>
        </w:rPr>
      </w:pPr>
      <w:r>
        <w:rPr>
          <w:rFonts w:hint="default"/>
          <w:color w:val="auto"/>
          <w:lang w:val="en-US" w:eastAsia="zh-CN"/>
        </w:rPr>
        <w:t>6）下列可能发生超压的独立压力系统或工况应设置安全泄放装置：</w:t>
      </w:r>
    </w:p>
    <w:p>
      <w:pPr>
        <w:ind w:firstLine="560" w:firstLineChars="200"/>
        <w:rPr>
          <w:rFonts w:hint="default"/>
          <w:color w:val="auto"/>
          <w:lang w:val="en-US" w:eastAsia="zh-CN"/>
        </w:rPr>
      </w:pPr>
      <w:r>
        <w:rPr>
          <w:rFonts w:hint="default"/>
          <w:color w:val="auto"/>
          <w:lang w:val="en-US" w:eastAsia="zh-CN"/>
        </w:rPr>
        <w:t>（1）冷却水或回流中断，或再沸器输入热量过多而引起超压的蒸馏塔顶的气相管道；</w:t>
      </w:r>
    </w:p>
    <w:p>
      <w:pPr>
        <w:ind w:firstLine="560" w:firstLineChars="200"/>
        <w:rPr>
          <w:rFonts w:hint="default"/>
          <w:color w:val="auto"/>
          <w:lang w:val="en-US" w:eastAsia="zh-CN"/>
        </w:rPr>
      </w:pPr>
      <w:r>
        <w:rPr>
          <w:rFonts w:hint="default"/>
          <w:color w:val="auto"/>
          <w:lang w:val="en-US" w:eastAsia="zh-CN"/>
        </w:rPr>
        <w:t>（2）不凝气体积聚产生超压的设备和管道系统；</w:t>
      </w:r>
    </w:p>
    <w:p>
      <w:pPr>
        <w:ind w:firstLine="560" w:firstLineChars="200"/>
        <w:rPr>
          <w:rFonts w:hint="default"/>
          <w:color w:val="auto"/>
          <w:lang w:val="en-US" w:eastAsia="zh-CN"/>
        </w:rPr>
      </w:pPr>
      <w:r>
        <w:rPr>
          <w:rFonts w:hint="default"/>
          <w:color w:val="auto"/>
          <w:lang w:val="en-US" w:eastAsia="zh-CN"/>
        </w:rPr>
        <w:t>（3）两端切断阀关闭，受环境温度、阳光辐射或伴热影响而产生热膨胀或汽化的甲类液体管道系统；</w:t>
      </w:r>
    </w:p>
    <w:p>
      <w:pPr>
        <w:ind w:firstLine="560" w:firstLineChars="200"/>
        <w:rPr>
          <w:rFonts w:hint="default"/>
          <w:color w:val="auto"/>
          <w:lang w:val="en-US" w:eastAsia="zh-CN"/>
        </w:rPr>
      </w:pPr>
      <w:r>
        <w:rPr>
          <w:rFonts w:hint="default"/>
          <w:color w:val="auto"/>
          <w:lang w:val="en-US" w:eastAsia="zh-CN"/>
        </w:rPr>
        <w:t>（4）管程可能破裂的热交换器低压侧或其出口管道。</w:t>
      </w:r>
    </w:p>
    <w:p>
      <w:pPr>
        <w:ind w:firstLine="560" w:firstLineChars="200"/>
        <w:rPr>
          <w:rFonts w:hint="default"/>
          <w:color w:val="auto"/>
          <w:lang w:val="en-US" w:eastAsia="zh-CN"/>
        </w:rPr>
      </w:pPr>
      <w:r>
        <w:rPr>
          <w:rFonts w:hint="default"/>
          <w:color w:val="auto"/>
          <w:lang w:val="en-US" w:eastAsia="zh-CN"/>
        </w:rPr>
        <w:t>7）对废气处理设施应设有相对独立的安全监控预警系统，相关现场探测仪器的数据宜直接接入到相关项目系统控制设备中，系统应符合标准的规定。</w:t>
      </w:r>
    </w:p>
    <w:p>
      <w:pPr>
        <w:ind w:firstLine="560" w:firstLineChars="200"/>
        <w:rPr>
          <w:rFonts w:hint="default"/>
          <w:color w:val="auto"/>
          <w:lang w:val="en-US" w:eastAsia="zh-CN"/>
        </w:rPr>
      </w:pPr>
      <w:r>
        <w:rPr>
          <w:rFonts w:hint="default"/>
          <w:color w:val="auto"/>
          <w:lang w:val="en-US" w:eastAsia="zh-CN"/>
        </w:rPr>
        <w:t>8）蒸馏（精馏）系统应根据相关设备、设施等实际情况设置以下措施：</w:t>
      </w:r>
    </w:p>
    <w:p>
      <w:pPr>
        <w:ind w:firstLine="560" w:firstLineChars="200"/>
        <w:rPr>
          <w:rFonts w:hint="default"/>
          <w:color w:val="auto"/>
          <w:lang w:val="en-US" w:eastAsia="zh-CN"/>
        </w:rPr>
      </w:pPr>
      <w:r>
        <w:rPr>
          <w:rFonts w:hint="default"/>
          <w:color w:val="auto"/>
          <w:lang w:val="en-US" w:eastAsia="zh-CN"/>
        </w:rPr>
        <w:t>（1）有爆炸危险的蒸馏装置设置安全联锁停车系统或具有安全联锁停车功能的其他系统，以保证操作人员及设备运行的安全。（2）应有防止管道被凝固点较高的物质凝结堵塞，使塔内压增高而引起爆炸的措施，如管道伴热，设置双压力表，安全阀前串联爆破片等。（3）蒸馏装置尽量靠近生产区的边沿，蒸馏装置上方不宜设置其它装置或房间，爆炸危险性较大的蒸馏釜宜采用防爆墙与其它部位相隔。（4）应注意塔板、填料材料、塔底泵和换热设备与物料的相容性，如：物料组合对特定材料的应力腐蚀，介质与设备材料的是否相互反应等。（5）易燃物料减压蒸馏的真空泵应装有止回阀。（6）高温及强腐蚀性物料的液面指示，不得采用玻璃管液面计。承载易燃、易爆的危险性介质的容器一般不得采用玻璃管液面计。（7）根据工艺过程要求，向塔顶馏出管道注入与操作介质不同的添加剂时，其接管上应设置止回阀和切断阀。（8）冷凝液管道要有坡度要求，坡向回流罐。（9）需要设置安全联锁停车系统的蒸馏装置应配置备用电源或应急电源，以保证在主供电源停电时仍能正常启动。</w:t>
      </w:r>
    </w:p>
    <w:p>
      <w:pPr>
        <w:ind w:firstLine="560" w:firstLineChars="200"/>
        <w:rPr>
          <w:rFonts w:hint="default"/>
          <w:color w:val="auto"/>
          <w:lang w:val="en-US" w:eastAsia="zh-CN"/>
        </w:rPr>
      </w:pPr>
      <w:r>
        <w:rPr>
          <w:rFonts w:hint="default"/>
          <w:color w:val="auto"/>
          <w:lang w:val="en-US" w:eastAsia="zh-CN"/>
        </w:rPr>
        <w:t>9）紧急切断装置应同时考虑对上下游装置安全生产的影响，并实现与上下游装置的报警通讯、延迟执行功能。应同时设置紧急泄压或物料回收设施。对现场运行的动力设备设置手动停机操作和事故联锁停机等。</w:t>
      </w:r>
    </w:p>
    <w:p>
      <w:pPr>
        <w:ind w:firstLine="560" w:firstLineChars="200"/>
        <w:rPr>
          <w:rFonts w:hint="default"/>
          <w:color w:val="auto"/>
          <w:lang w:val="en-US" w:eastAsia="zh-CN"/>
        </w:rPr>
      </w:pPr>
      <w:r>
        <w:rPr>
          <w:rFonts w:hint="default"/>
          <w:color w:val="auto"/>
          <w:lang w:val="en-US" w:eastAsia="zh-CN"/>
        </w:rPr>
        <w:t>10）控制室操作联锁的控制器和常规控制器应分别分开单独设置。辅助操作台上设有重要动设备的紧急停车按钮以及相应的外报警灯，控制室的操作人员可以在生产装置紧急状态下进行手动机组停车，在确认有效信息的前提下，操作人员可以发出全线停车指令，使工程系统处于紧急保护停机状态。</w:t>
      </w:r>
    </w:p>
    <w:p>
      <w:pPr>
        <w:ind w:firstLine="560" w:firstLineChars="200"/>
        <w:rPr>
          <w:rFonts w:hint="default"/>
          <w:color w:val="auto"/>
          <w:lang w:val="en-US" w:eastAsia="zh-CN"/>
        </w:rPr>
      </w:pPr>
      <w:r>
        <w:rPr>
          <w:rFonts w:hint="default"/>
          <w:color w:val="auto"/>
          <w:lang w:val="en-US" w:eastAsia="zh-CN"/>
        </w:rPr>
        <w:t>11）自控设施的仪表选型、控制系统配置等应符合相关化工企业自控设计标准规定，并采取合理的安全措施：</w:t>
      </w:r>
    </w:p>
    <w:p>
      <w:pPr>
        <w:ind w:firstLine="560" w:firstLineChars="200"/>
        <w:rPr>
          <w:rFonts w:hint="default"/>
          <w:color w:val="auto"/>
          <w:lang w:val="en-US" w:eastAsia="zh-CN"/>
        </w:rPr>
      </w:pPr>
      <w:r>
        <w:rPr>
          <w:rFonts w:hint="default"/>
          <w:color w:val="auto"/>
          <w:lang w:val="en-US" w:eastAsia="zh-CN"/>
        </w:rPr>
        <w:t>（1）存放可燃物质的设备，应按工艺生产和安全的要求安装压力、温度、液位等检测仪表，并根据操作岗位的设置配置现场或远传指示报警设施；</w:t>
      </w:r>
    </w:p>
    <w:p>
      <w:pPr>
        <w:ind w:firstLine="560" w:firstLineChars="200"/>
        <w:rPr>
          <w:rFonts w:hint="default"/>
          <w:color w:val="auto"/>
          <w:lang w:val="en-US" w:eastAsia="zh-CN"/>
        </w:rPr>
      </w:pPr>
      <w:r>
        <w:rPr>
          <w:rFonts w:hint="default"/>
          <w:color w:val="auto"/>
          <w:lang w:val="en-US" w:eastAsia="zh-CN"/>
        </w:rPr>
        <w:t>（2）有防火要求及火灾紧急响应的工艺管线控制阀，应采用具有火灾安全特性的控制阀；</w:t>
      </w:r>
    </w:p>
    <w:p>
      <w:pPr>
        <w:ind w:firstLine="560" w:firstLineChars="200"/>
        <w:rPr>
          <w:rFonts w:hint="default"/>
          <w:color w:val="auto"/>
          <w:lang w:val="en-US" w:eastAsia="zh-CN"/>
        </w:rPr>
      </w:pPr>
      <w:r>
        <w:rPr>
          <w:rFonts w:hint="default"/>
          <w:color w:val="auto"/>
          <w:lang w:val="en-US" w:eastAsia="zh-CN"/>
        </w:rPr>
        <w:t>（3）有耐火要求的控制电缆及电缆敷设材料应采用具有耐火阻燃特性的材料；</w:t>
      </w:r>
    </w:p>
    <w:p>
      <w:pPr>
        <w:ind w:firstLine="560" w:firstLineChars="200"/>
        <w:rPr>
          <w:rFonts w:hint="default"/>
          <w:color w:val="auto"/>
          <w:lang w:val="en-US" w:eastAsia="zh-CN"/>
        </w:rPr>
      </w:pPr>
      <w:r>
        <w:rPr>
          <w:rFonts w:hint="default"/>
          <w:color w:val="auto"/>
          <w:lang w:val="en-US" w:eastAsia="zh-CN"/>
        </w:rPr>
        <w:t>（4）重要的测量仪表、控制阀及测量管线等辅助设施可采取隔热耐火保护措施。</w:t>
      </w:r>
    </w:p>
    <w:p>
      <w:pPr>
        <w:ind w:firstLine="560" w:firstLineChars="200"/>
        <w:rPr>
          <w:rFonts w:hint="default"/>
          <w:color w:val="auto"/>
          <w:lang w:val="en-US" w:eastAsia="zh-CN"/>
        </w:rPr>
      </w:pPr>
      <w:r>
        <w:rPr>
          <w:rFonts w:hint="default"/>
          <w:color w:val="auto"/>
          <w:lang w:val="en-US" w:eastAsia="zh-CN"/>
        </w:rPr>
        <w:t>12）可燃液体管道的敷设应符合下列规定：</w:t>
      </w:r>
    </w:p>
    <w:p>
      <w:pPr>
        <w:ind w:firstLine="560" w:firstLineChars="200"/>
        <w:rPr>
          <w:rFonts w:hint="default"/>
          <w:color w:val="auto"/>
          <w:lang w:val="en-US" w:eastAsia="zh-CN"/>
        </w:rPr>
      </w:pPr>
      <w:r>
        <w:rPr>
          <w:rFonts w:hint="default"/>
          <w:color w:val="auto"/>
          <w:lang w:val="en-US" w:eastAsia="zh-CN"/>
        </w:rPr>
        <w:t>（1）应地上敷设。必须采用管沟敷设时，管沟内应采取防止可燃介质积聚的措施，在进出生产设施处密封隔断，并做出明显标示。</w:t>
      </w:r>
    </w:p>
    <w:p>
      <w:pPr>
        <w:ind w:firstLine="560" w:firstLineChars="200"/>
        <w:rPr>
          <w:rFonts w:hint="default"/>
          <w:color w:val="auto"/>
          <w:lang w:val="en-US" w:eastAsia="zh-CN"/>
        </w:rPr>
      </w:pPr>
      <w:r>
        <w:rPr>
          <w:rFonts w:hint="default"/>
          <w:color w:val="auto"/>
          <w:lang w:val="en-US" w:eastAsia="zh-CN"/>
        </w:rPr>
        <w:t>（2）跨越道路的可燃液体管道上不应设置阀门及易发生泄漏的管道附件。</w:t>
      </w:r>
    </w:p>
    <w:p>
      <w:pPr>
        <w:ind w:firstLine="560" w:firstLineChars="200"/>
        <w:rPr>
          <w:rFonts w:hint="default"/>
          <w:color w:val="auto"/>
          <w:lang w:val="en-US" w:eastAsia="zh-CN"/>
        </w:rPr>
      </w:pPr>
      <w:r>
        <w:rPr>
          <w:rFonts w:hint="default"/>
          <w:color w:val="auto"/>
          <w:lang w:val="en-US" w:eastAsia="zh-CN"/>
        </w:rPr>
        <w:t>13）可燃液体的管道及使用金属等导体材料制作的操作平台应设置防静电接地。</w:t>
      </w:r>
    </w:p>
    <w:p>
      <w:pPr>
        <w:ind w:firstLine="560" w:firstLineChars="200"/>
        <w:rPr>
          <w:rFonts w:hint="default"/>
          <w:color w:val="auto"/>
          <w:lang w:val="en-US" w:eastAsia="zh-CN"/>
        </w:rPr>
      </w:pPr>
      <w:r>
        <w:rPr>
          <w:rFonts w:hint="default"/>
          <w:color w:val="auto"/>
          <w:lang w:val="en-US" w:eastAsia="zh-CN"/>
        </w:rPr>
        <w:t>14）可燃介质不应采用非金属管道输送。当局部确需采用软管输送可燃介质时，应采用金属软管。</w:t>
      </w:r>
    </w:p>
    <w:p>
      <w:pPr>
        <w:ind w:firstLine="560" w:firstLineChars="200"/>
        <w:rPr>
          <w:rFonts w:hint="default"/>
          <w:color w:val="auto"/>
          <w:lang w:val="en-US" w:eastAsia="zh-CN"/>
        </w:rPr>
      </w:pPr>
      <w:r>
        <w:rPr>
          <w:rFonts w:hint="default"/>
          <w:color w:val="auto"/>
          <w:lang w:val="en-US" w:eastAsia="zh-CN"/>
        </w:rPr>
        <w:t>15）进出生产设施的可燃液体管道，生产设施界区处应设隔断阀和“8”字盲板，隔断阀处应设平台。</w:t>
      </w:r>
    </w:p>
    <w:p>
      <w:pPr>
        <w:ind w:firstLine="560" w:firstLineChars="200"/>
        <w:rPr>
          <w:rFonts w:hint="default"/>
          <w:color w:val="auto"/>
          <w:lang w:val="en-US" w:eastAsia="zh-CN"/>
        </w:rPr>
      </w:pPr>
      <w:r>
        <w:rPr>
          <w:rFonts w:hint="default"/>
          <w:color w:val="auto"/>
          <w:lang w:val="en-US" w:eastAsia="zh-CN"/>
        </w:rPr>
        <w:t>16）厂房或生产设施含可燃液体的生产污水管道的下列部位应设水封井：</w:t>
      </w:r>
    </w:p>
    <w:p>
      <w:pPr>
        <w:ind w:firstLine="560" w:firstLineChars="200"/>
        <w:rPr>
          <w:rFonts w:hint="default"/>
          <w:color w:val="auto"/>
          <w:lang w:val="en-US" w:eastAsia="zh-CN"/>
        </w:rPr>
      </w:pPr>
      <w:r>
        <w:rPr>
          <w:rFonts w:hint="default"/>
          <w:color w:val="auto"/>
          <w:lang w:val="en-US" w:eastAsia="zh-CN"/>
        </w:rPr>
        <w:t>（1）围堰、管沟等的污水排入生产污水（支）总管前；</w:t>
      </w:r>
    </w:p>
    <w:p>
      <w:pPr>
        <w:ind w:firstLine="560" w:firstLineChars="200"/>
        <w:rPr>
          <w:rFonts w:hint="default"/>
          <w:color w:val="auto"/>
          <w:lang w:val="en-US" w:eastAsia="zh-CN"/>
        </w:rPr>
      </w:pPr>
      <w:r>
        <w:rPr>
          <w:rFonts w:hint="default"/>
          <w:color w:val="auto"/>
          <w:lang w:val="en-US" w:eastAsia="zh-CN"/>
        </w:rPr>
        <w:t>（2）每个防火分区或设施的支管接入厂房或生产设施外生产污水（支）总管前；</w:t>
      </w:r>
    </w:p>
    <w:p>
      <w:pPr>
        <w:ind w:firstLine="560" w:firstLineChars="200"/>
        <w:rPr>
          <w:rFonts w:hint="default"/>
          <w:color w:val="auto"/>
          <w:lang w:val="en-US" w:eastAsia="zh-CN"/>
        </w:rPr>
      </w:pPr>
      <w:r>
        <w:rPr>
          <w:rFonts w:hint="default"/>
          <w:color w:val="auto"/>
          <w:lang w:val="en-US" w:eastAsia="zh-CN"/>
        </w:rPr>
        <w:t>（3）管段长度大于 300m 时，管道应采用水封井分隔；</w:t>
      </w:r>
    </w:p>
    <w:p>
      <w:pPr>
        <w:ind w:firstLine="560" w:firstLineChars="200"/>
        <w:rPr>
          <w:rFonts w:hint="default"/>
          <w:color w:val="auto"/>
          <w:lang w:val="en-US" w:eastAsia="zh-CN"/>
        </w:rPr>
      </w:pPr>
      <w:r>
        <w:rPr>
          <w:rFonts w:hint="default"/>
          <w:color w:val="auto"/>
          <w:lang w:val="en-US" w:eastAsia="zh-CN"/>
        </w:rPr>
        <w:t>（4）隔油池进出污水管道上。</w:t>
      </w:r>
    </w:p>
    <w:p>
      <w:pPr>
        <w:ind w:firstLine="560" w:firstLineChars="200"/>
        <w:rPr>
          <w:rFonts w:hint="default"/>
          <w:color w:val="auto"/>
          <w:lang w:val="en-US" w:eastAsia="zh-CN"/>
        </w:rPr>
      </w:pPr>
      <w:r>
        <w:rPr>
          <w:rFonts w:hint="default"/>
          <w:color w:val="auto"/>
          <w:lang w:val="en-US" w:eastAsia="zh-CN"/>
        </w:rPr>
        <w:t>17）非爆炸危险区域的排水支管或总管接入含可燃液体污水总管前应增设水封井。</w:t>
      </w:r>
    </w:p>
    <w:p>
      <w:pPr>
        <w:ind w:firstLine="560" w:firstLineChars="200"/>
        <w:rPr>
          <w:rFonts w:hint="default"/>
          <w:color w:val="auto"/>
          <w:lang w:val="en-US" w:eastAsia="zh-CN"/>
        </w:rPr>
      </w:pPr>
      <w:r>
        <w:rPr>
          <w:rFonts w:hint="default"/>
          <w:color w:val="auto"/>
          <w:lang w:val="en-US" w:eastAsia="zh-CN"/>
        </w:rPr>
        <w:t>18）储罐（组）排水管应在防火堤外设置水封井，水封井和防火堤之间的管道上应设置易开关的隔断阀。</w:t>
      </w:r>
    </w:p>
    <w:p>
      <w:pPr>
        <w:ind w:firstLine="560" w:firstLineChars="200"/>
        <w:rPr>
          <w:rFonts w:hint="default"/>
          <w:color w:val="auto"/>
          <w:lang w:val="en-US" w:eastAsia="zh-CN"/>
        </w:rPr>
      </w:pPr>
      <w:r>
        <w:rPr>
          <w:rFonts w:hint="default"/>
          <w:color w:val="auto"/>
          <w:lang w:val="en-US" w:eastAsia="zh-CN"/>
        </w:rPr>
        <w:t>19）隔油池的保护高度不应小于 400mm，水封井水封高度不得小于250mm。隔油池的隔板、隔油池和水封井的盖板应采用难燃或不燃材料，盖板与盖座应密封，且盖板不得有孔洞。</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0</w:t>
      </w:r>
      <w:r>
        <w:rPr>
          <w:rFonts w:hint="default"/>
          <w:color w:val="auto"/>
          <w:lang w:val="en-US" w:eastAsia="zh-CN"/>
        </w:rPr>
        <w:t>）</w:t>
      </w:r>
      <w:r>
        <w:rPr>
          <w:rFonts w:hint="eastAsia"/>
          <w:color w:val="auto"/>
          <w:lang w:val="en-US" w:eastAsia="zh-CN"/>
        </w:rPr>
        <w:t>101裂解车间</w:t>
      </w:r>
      <w:r>
        <w:rPr>
          <w:rFonts w:hint="default"/>
          <w:color w:val="auto"/>
          <w:lang w:val="en-US" w:eastAsia="zh-CN"/>
        </w:rPr>
        <w:t>内的楼梯，应设置楼梯安全警示装置。</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1</w:t>
      </w:r>
      <w:r>
        <w:rPr>
          <w:rFonts w:hint="default"/>
          <w:color w:val="auto"/>
          <w:lang w:val="en-US" w:eastAsia="zh-CN"/>
        </w:rPr>
        <w:t>）具有超压危险的生产设备和管道应设计安全阀、爆破片等泄压系统。</w:t>
      </w:r>
    </w:p>
    <w:p>
      <w:pPr>
        <w:ind w:firstLine="560" w:firstLineChars="200"/>
        <w:rPr>
          <w:rFonts w:hint="default"/>
          <w:color w:val="auto"/>
          <w:lang w:val="en-US" w:eastAsia="zh-CN"/>
        </w:rPr>
      </w:pPr>
      <w:r>
        <w:rPr>
          <w:rFonts w:hint="default"/>
          <w:color w:val="auto"/>
          <w:lang w:val="en-US" w:eastAsia="zh-CN"/>
        </w:rPr>
        <w:t>输送可燃性物料并有可能产生火焰蔓延的放空管和管道间应设置阻火器、水封等阻火设施。因物料爆聚、分解造成超温、超压，可能引起火灾、爆炸的反应设备应设报警信号和泄压排放设施，以及自动或手动遥控的紧急切断进料设施。</w:t>
      </w:r>
    </w:p>
    <w:p>
      <w:pPr>
        <w:ind w:firstLine="560" w:firstLineChars="200"/>
        <w:rPr>
          <w:rFonts w:hint="default"/>
          <w:color w:val="auto"/>
          <w:highlight w:val="none"/>
          <w:lang w:val="en-US" w:eastAsia="zh-CN"/>
        </w:rPr>
      </w:pPr>
      <w:r>
        <w:rPr>
          <w:rFonts w:hint="default"/>
          <w:color w:val="auto"/>
          <w:highlight w:val="none"/>
          <w:lang w:val="en-US" w:eastAsia="zh-CN"/>
        </w:rPr>
        <w:t>2</w:t>
      </w:r>
      <w:r>
        <w:rPr>
          <w:rFonts w:hint="eastAsia"/>
          <w:color w:val="auto"/>
          <w:highlight w:val="none"/>
          <w:lang w:val="en-US" w:eastAsia="zh-CN"/>
        </w:rPr>
        <w:t>2</w:t>
      </w:r>
      <w:r>
        <w:rPr>
          <w:rFonts w:hint="default"/>
          <w:color w:val="auto"/>
          <w:highlight w:val="none"/>
          <w:lang w:val="en-US" w:eastAsia="zh-CN"/>
        </w:rPr>
        <w:t>）爆炸性环境电气设备的选择应符合下列规定：</w:t>
      </w:r>
    </w:p>
    <w:p>
      <w:pPr>
        <w:ind w:firstLine="560" w:firstLineChars="200"/>
        <w:rPr>
          <w:rFonts w:hint="default"/>
          <w:color w:val="auto"/>
          <w:highlight w:val="none"/>
          <w:lang w:val="en-US" w:eastAsia="zh-CN"/>
        </w:rPr>
      </w:pPr>
      <w:r>
        <w:rPr>
          <w:rFonts w:hint="default"/>
          <w:color w:val="auto"/>
          <w:highlight w:val="none"/>
          <w:lang w:val="en-US" w:eastAsia="zh-CN"/>
        </w:rPr>
        <w:t>（1）根据爆炸危险区域的分区、电气设备的种类和防爆结构的要求，应选择相应的电气设备。涉及爆炸危险性物质的</w:t>
      </w:r>
      <w:r>
        <w:rPr>
          <w:rFonts w:hint="eastAsia"/>
          <w:color w:val="auto"/>
          <w:highlight w:val="none"/>
          <w:lang w:val="en-US" w:eastAsia="zh-CN"/>
        </w:rPr>
        <w:t>101裂解</w:t>
      </w:r>
      <w:r>
        <w:rPr>
          <w:rFonts w:hint="default"/>
          <w:color w:val="auto"/>
          <w:highlight w:val="none"/>
          <w:lang w:val="en-US" w:eastAsia="zh-CN"/>
        </w:rPr>
        <w:t>车间、</w:t>
      </w:r>
      <w:r>
        <w:rPr>
          <w:rFonts w:hint="eastAsia"/>
          <w:color w:val="auto"/>
          <w:highlight w:val="none"/>
          <w:lang w:val="en-US" w:eastAsia="zh-CN"/>
        </w:rPr>
        <w:t>102精馏车间、201甲类</w:t>
      </w:r>
      <w:r>
        <w:rPr>
          <w:rFonts w:hint="default"/>
          <w:color w:val="auto"/>
          <w:highlight w:val="none"/>
          <w:lang w:val="en-US" w:eastAsia="zh-CN"/>
        </w:rPr>
        <w:t>仓库等场所电气防爆等级不应小于ⅡAT2；涉及爆炸</w:t>
      </w:r>
      <w:r>
        <w:rPr>
          <w:rFonts w:hint="eastAsia"/>
          <w:color w:val="auto"/>
          <w:highlight w:val="none"/>
          <w:lang w:val="en-US" w:eastAsia="zh-CN"/>
        </w:rPr>
        <w:t>性粉尘</w:t>
      </w:r>
      <w:r>
        <w:rPr>
          <w:rFonts w:hint="default"/>
          <w:color w:val="auto"/>
          <w:highlight w:val="none"/>
          <w:lang w:val="en-US" w:eastAsia="zh-CN"/>
        </w:rPr>
        <w:t>危险</w:t>
      </w:r>
      <w:r>
        <w:rPr>
          <w:rFonts w:hint="eastAsia"/>
          <w:color w:val="auto"/>
          <w:highlight w:val="none"/>
          <w:lang w:val="en-US" w:eastAsia="zh-CN"/>
        </w:rPr>
        <w:t>区域</w:t>
      </w:r>
      <w:r>
        <w:rPr>
          <w:rFonts w:hint="default"/>
          <w:color w:val="auto"/>
          <w:highlight w:val="none"/>
          <w:lang w:val="en-US" w:eastAsia="zh-CN"/>
        </w:rPr>
        <w:t>的</w:t>
      </w:r>
      <w:r>
        <w:rPr>
          <w:rFonts w:hint="eastAsia"/>
          <w:color w:val="auto"/>
          <w:highlight w:val="none"/>
          <w:lang w:val="en-US" w:eastAsia="zh-CN"/>
        </w:rPr>
        <w:t>204丙类仓库二破碎间</w:t>
      </w:r>
      <w:r>
        <w:rPr>
          <w:rFonts w:hint="default"/>
          <w:color w:val="auto"/>
          <w:highlight w:val="none"/>
          <w:lang w:val="en-US" w:eastAsia="zh-CN"/>
        </w:rPr>
        <w:t>等</w:t>
      </w:r>
      <w:r>
        <w:rPr>
          <w:rFonts w:hint="eastAsia"/>
          <w:color w:val="auto"/>
          <w:highlight w:val="none"/>
          <w:lang w:val="en-US" w:eastAsia="zh-CN"/>
        </w:rPr>
        <w:t>作业</w:t>
      </w:r>
      <w:r>
        <w:rPr>
          <w:rFonts w:hint="default"/>
          <w:color w:val="auto"/>
          <w:highlight w:val="none"/>
          <w:lang w:val="en-US" w:eastAsia="zh-CN"/>
        </w:rPr>
        <w:t>场所电气防爆等级不应小于Ⅲ</w:t>
      </w:r>
      <w:r>
        <w:rPr>
          <w:rFonts w:hint="eastAsia"/>
          <w:color w:val="auto"/>
          <w:highlight w:val="none"/>
          <w:lang w:val="en-US" w:eastAsia="zh-CN"/>
        </w:rPr>
        <w:t>C</w:t>
      </w:r>
      <w:r>
        <w:rPr>
          <w:rFonts w:hint="default"/>
          <w:color w:val="auto"/>
          <w:highlight w:val="none"/>
          <w:lang w:val="en-US" w:eastAsia="zh-CN"/>
        </w:rPr>
        <w:t>；</w:t>
      </w:r>
    </w:p>
    <w:p>
      <w:pPr>
        <w:ind w:firstLine="560" w:firstLineChars="200"/>
        <w:rPr>
          <w:rFonts w:hint="default"/>
          <w:color w:val="auto"/>
          <w:lang w:val="en-US" w:eastAsia="zh-CN"/>
        </w:rPr>
      </w:pPr>
      <w:r>
        <w:rPr>
          <w:rFonts w:hint="default"/>
          <w:color w:val="auto"/>
          <w:lang w:val="en-US" w:eastAsia="zh-CN"/>
        </w:rPr>
        <w:t>（</w:t>
      </w:r>
      <w:r>
        <w:rPr>
          <w:rFonts w:hint="eastAsia"/>
          <w:color w:val="auto"/>
          <w:lang w:val="en-US" w:eastAsia="zh-CN"/>
        </w:rPr>
        <w:t>2</w:t>
      </w:r>
      <w:r>
        <w:rPr>
          <w:rFonts w:hint="default"/>
          <w:color w:val="auto"/>
          <w:lang w:val="en-US" w:eastAsia="zh-CN"/>
        </w:rPr>
        <w:t>）爆炸危险区域内的电气设备，应符合周围环境内化学的、机械的、热的、霉菌以及风沙等不同环境条件对电气设备的要求；</w:t>
      </w:r>
    </w:p>
    <w:p>
      <w:pPr>
        <w:ind w:firstLine="560" w:firstLineChars="200"/>
        <w:rPr>
          <w:rFonts w:hint="default"/>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）电气设备结构应满足电气设备在规定的运行条件下不降低防爆性能的要求。</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3</w:t>
      </w:r>
      <w:r>
        <w:rPr>
          <w:rFonts w:hint="default"/>
          <w:color w:val="auto"/>
          <w:lang w:val="en-US" w:eastAsia="zh-CN"/>
        </w:rPr>
        <w:t>）可能存在爆炸性气体环境的生产设施，除进行电气设备防爆设计外，应进行非电气设备防爆设计。</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4</w:t>
      </w:r>
      <w:r>
        <w:rPr>
          <w:rFonts w:hint="default"/>
          <w:color w:val="auto"/>
          <w:lang w:val="en-US" w:eastAsia="zh-CN"/>
        </w:rPr>
        <w:t>）使用或生产可燃液体及有毒气体的生产和储运区域，应按现行国家标准《石油化工可燃气体和有毒气体检测报警设计标准》GB/T 50493-2019、《爆炸危险环境电力装置设计规范》GB 50058-2014的规定，设置独立于基本控制系统的可燃、有毒气体检测报警系统，现场电子仪表设备应采取合适的防爆措施，符合爆炸危险环境的防爆要求。</w:t>
      </w:r>
    </w:p>
    <w:p>
      <w:pPr>
        <w:ind w:firstLine="560" w:firstLineChars="200"/>
        <w:rPr>
          <w:rFonts w:hint="default"/>
          <w:color w:val="auto"/>
          <w:highlight w:val="yellow"/>
          <w:lang w:val="en-US" w:eastAsia="zh-CN"/>
        </w:rPr>
      </w:pPr>
      <w:r>
        <w:rPr>
          <w:rFonts w:hint="default"/>
          <w:color w:val="auto"/>
          <w:lang w:val="en-US" w:eastAsia="zh-CN"/>
        </w:rPr>
        <w:t>2</w:t>
      </w:r>
      <w:r>
        <w:rPr>
          <w:rFonts w:hint="eastAsia"/>
          <w:color w:val="auto"/>
          <w:lang w:val="en-US" w:eastAsia="zh-CN"/>
        </w:rPr>
        <w:t>5</w:t>
      </w:r>
      <w:r>
        <w:rPr>
          <w:rFonts w:hint="default"/>
          <w:color w:val="auto"/>
          <w:lang w:val="en-US" w:eastAsia="zh-CN"/>
        </w:rPr>
        <w:t>）释放源处于露天</w:t>
      </w:r>
      <w:r>
        <w:rPr>
          <w:rFonts w:hint="eastAsia"/>
          <w:color w:val="auto"/>
          <w:lang w:val="en-US" w:eastAsia="zh-CN"/>
        </w:rPr>
        <w:t>或敞开式厂房</w:t>
      </w:r>
      <w:r>
        <w:rPr>
          <w:rFonts w:hint="default"/>
          <w:color w:val="auto"/>
          <w:highlight w:val="none"/>
          <w:lang w:val="en-US" w:eastAsia="zh-CN"/>
        </w:rPr>
        <w:t>布置的设备区域内，可燃气体探测器距其所覆盖范围内的任一释放源的水平距离不宜大于10m。</w:t>
      </w:r>
      <w:r>
        <w:rPr>
          <w:rFonts w:hint="eastAsia"/>
          <w:color w:val="auto"/>
          <w:lang w:val="en-US" w:eastAsia="zh-CN"/>
        </w:rPr>
        <w:t>释放源处于封闭式厂房或局部不良通风半敞开厂房内，可燃体探测器距其所覆盖范围内的任一释放源的水平距离不宜大于5m。</w:t>
      </w:r>
    </w:p>
    <w:p>
      <w:pPr>
        <w:ind w:firstLine="560" w:firstLineChars="200"/>
        <w:rPr>
          <w:rFonts w:hint="default"/>
          <w:color w:val="auto"/>
          <w:lang w:val="en-US" w:eastAsia="zh-CN"/>
        </w:rPr>
      </w:pPr>
      <w:r>
        <w:rPr>
          <w:rFonts w:hint="eastAsia"/>
          <w:color w:val="auto"/>
          <w:lang w:val="en-US" w:eastAsia="zh-CN"/>
        </w:rPr>
        <w:t>26）</w:t>
      </w:r>
      <w:r>
        <w:rPr>
          <w:rFonts w:hint="default"/>
          <w:color w:val="auto"/>
          <w:lang w:val="en-US" w:eastAsia="zh-CN"/>
        </w:rPr>
        <w:t>仓库内可燃气体探测器距其所覆盖范围内的任一释放源的水平距离不宜大于5m。</w:t>
      </w:r>
    </w:p>
    <w:p>
      <w:pPr>
        <w:ind w:firstLine="560" w:firstLineChars="200"/>
        <w:rPr>
          <w:rFonts w:hint="default"/>
          <w:color w:val="auto"/>
          <w:lang w:val="en-US" w:eastAsia="zh-CN"/>
        </w:rPr>
      </w:pPr>
      <w:r>
        <w:rPr>
          <w:rFonts w:hint="default"/>
          <w:color w:val="auto"/>
          <w:lang w:val="en-US" w:eastAsia="zh-CN"/>
        </w:rPr>
        <w:t>27）检测比空气重的可燃气体/有毒气体的检（探）测器，其安装高度应距地坪（或楼地板）0.3～0.6m；检测比空气略重的可燃气体/有毒气体距释放源下方0.5-1m内。</w:t>
      </w:r>
    </w:p>
    <w:p>
      <w:pPr>
        <w:ind w:firstLine="560" w:firstLineChars="200"/>
        <w:rPr>
          <w:rFonts w:hint="default"/>
          <w:color w:val="auto"/>
          <w:lang w:val="en-US" w:eastAsia="zh-CN"/>
        </w:rPr>
      </w:pPr>
      <w:r>
        <w:rPr>
          <w:rFonts w:hint="default"/>
          <w:color w:val="auto"/>
          <w:lang w:val="en-US" w:eastAsia="zh-CN"/>
        </w:rPr>
        <w:t>28）可燃气体的检测报警应采用两级报警。同级别的有毒气体和可燃气体同时报警时，有毒气体的报警级别应优先。</w:t>
      </w:r>
    </w:p>
    <w:p>
      <w:pPr>
        <w:ind w:firstLine="560" w:firstLineChars="200"/>
        <w:rPr>
          <w:rFonts w:hint="default"/>
          <w:color w:val="auto"/>
          <w:lang w:val="en-US" w:eastAsia="zh-CN"/>
        </w:rPr>
      </w:pPr>
      <w:r>
        <w:rPr>
          <w:rFonts w:hint="default"/>
          <w:color w:val="auto"/>
          <w:lang w:val="en-US" w:eastAsia="zh-CN"/>
        </w:rPr>
        <w:t>29）可燃气体二级报警信号、可燃气体和有毒气体检测报警系统报警控制单元的故障信号应送至消防控制室或中控室。可燃气体和有毒气体检测报警系统应独立于其他系统单独设置。</w:t>
      </w:r>
    </w:p>
    <w:p>
      <w:pPr>
        <w:ind w:firstLine="560" w:firstLineChars="200"/>
        <w:rPr>
          <w:rFonts w:hint="default"/>
          <w:color w:val="auto"/>
          <w:lang w:val="en-US" w:eastAsia="zh-CN"/>
        </w:rPr>
      </w:pPr>
      <w:r>
        <w:rPr>
          <w:rFonts w:hint="default"/>
          <w:color w:val="auto"/>
          <w:lang w:val="en-US" w:eastAsia="zh-CN"/>
        </w:rPr>
        <w:t>30）控制室操作区应设置可燃气体声、光报警；现场区域警报器宜根据装置占地的面积、设备及建构筑物的布置、释放源的理化性质和现场空气流动特点进行设置。现场区域警报器应有声、光报警功能。</w:t>
      </w:r>
    </w:p>
    <w:p>
      <w:pPr>
        <w:ind w:firstLine="560" w:firstLineChars="200"/>
        <w:rPr>
          <w:rFonts w:hint="default"/>
          <w:color w:val="auto"/>
          <w:lang w:val="en-US" w:eastAsia="zh-CN"/>
        </w:rPr>
      </w:pPr>
      <w:r>
        <w:rPr>
          <w:rFonts w:hint="default"/>
          <w:color w:val="auto"/>
          <w:lang w:val="en-US" w:eastAsia="zh-CN"/>
        </w:rPr>
        <w:t>31）高温及强腐蚀性物料的液面指示，不得采用玻璃管液面计。腐蚀性介质的测量仪表管线，应有相应的隔离、冲洗、吹气等防护措施。</w:t>
      </w:r>
    </w:p>
    <w:p>
      <w:pPr>
        <w:ind w:firstLine="560" w:firstLineChars="200"/>
        <w:rPr>
          <w:rFonts w:hint="default"/>
          <w:color w:val="auto"/>
          <w:lang w:val="en-US" w:eastAsia="zh-CN"/>
        </w:rPr>
      </w:pPr>
      <w:r>
        <w:rPr>
          <w:rFonts w:hint="default"/>
          <w:color w:val="auto"/>
          <w:lang w:val="en-US" w:eastAsia="zh-CN"/>
        </w:rPr>
        <w:t>32）存在发生故障可能导致危险的泵，应有备用。</w:t>
      </w:r>
    </w:p>
    <w:p>
      <w:pPr>
        <w:ind w:firstLine="560" w:firstLineChars="200"/>
        <w:rPr>
          <w:rFonts w:hint="default"/>
          <w:color w:val="auto"/>
          <w:lang w:val="en-US" w:eastAsia="zh-CN"/>
        </w:rPr>
      </w:pPr>
      <w:r>
        <w:rPr>
          <w:rFonts w:hint="default"/>
          <w:color w:val="auto"/>
          <w:lang w:val="en-US" w:eastAsia="zh-CN"/>
        </w:rPr>
        <w:t>33）物料倒流会产生危险的设备管道，应根据具体情况设置自动切断阀、止回阀或中间容器等。在不正常情况下，物料串通会产生危险时，应根据具体情况采取防止措施。氮气进设备前应设置减压阀、缓冲罐，氮气进气管道应设置止逆阀。</w:t>
      </w:r>
    </w:p>
    <w:p>
      <w:pPr>
        <w:ind w:firstLine="560" w:firstLineChars="200"/>
        <w:rPr>
          <w:rFonts w:hint="default"/>
          <w:color w:val="auto"/>
          <w:lang w:val="en-US" w:eastAsia="zh-CN"/>
        </w:rPr>
      </w:pPr>
      <w:r>
        <w:rPr>
          <w:rFonts w:hint="default"/>
          <w:color w:val="auto"/>
          <w:lang w:val="en-US" w:eastAsia="zh-CN"/>
        </w:rPr>
        <w:t>35）从配电室或控制室通向户外的电缆，在穿墙部位应予以防腐、防火封堵。穿墙孔洞及保护管的空隙同样予以防腐、防火密封。</w:t>
      </w:r>
    </w:p>
    <w:p>
      <w:pPr>
        <w:ind w:firstLine="560" w:firstLineChars="200"/>
        <w:rPr>
          <w:rFonts w:hint="default"/>
          <w:color w:val="auto"/>
          <w:lang w:val="en-US" w:eastAsia="zh-CN"/>
        </w:rPr>
      </w:pPr>
      <w:r>
        <w:rPr>
          <w:rFonts w:hint="default"/>
          <w:color w:val="auto"/>
          <w:lang w:val="en-US" w:eastAsia="zh-CN"/>
        </w:rPr>
        <w:t>39）表面温度超过 60℃的设备和管道，在下列范围内应设防烫伤隔热层：距地面或工作台高度2.1m以内者；距操作平台周围0.75m以内者。</w:t>
      </w:r>
    </w:p>
    <w:p>
      <w:pPr>
        <w:ind w:firstLine="560" w:firstLineChars="200"/>
        <w:rPr>
          <w:rFonts w:hint="default"/>
          <w:color w:val="auto"/>
          <w:lang w:val="en-US" w:eastAsia="zh-CN"/>
        </w:rPr>
      </w:pPr>
      <w:r>
        <w:rPr>
          <w:rFonts w:hint="default"/>
          <w:color w:val="auto"/>
          <w:lang w:val="en-US" w:eastAsia="zh-CN"/>
        </w:rPr>
        <w:t>40）阀门布置比较集中，易因误操作而引发事故时，应在阀门附近标明输送介质的名称、称号或高明显的标志。</w:t>
      </w:r>
    </w:p>
    <w:p>
      <w:pPr>
        <w:ind w:firstLine="560" w:firstLineChars="200"/>
        <w:rPr>
          <w:rFonts w:hint="default"/>
          <w:color w:val="auto"/>
          <w:lang w:val="en-US" w:eastAsia="zh-CN"/>
        </w:rPr>
      </w:pPr>
      <w:r>
        <w:rPr>
          <w:rFonts w:hint="default"/>
          <w:color w:val="auto"/>
          <w:lang w:val="en-US" w:eastAsia="zh-CN"/>
        </w:rPr>
        <w:t>41）具有化学灼伤危险的作业区，应设计必要的洗眼器、淋洗器等安全防护措施，并在装置区设置救护箱。工作人员配备必要的个人防护用品。《化工企业安全卫生设计规定》4.6.5</w:t>
      </w:r>
    </w:p>
    <w:p>
      <w:pPr>
        <w:ind w:firstLine="560" w:firstLineChars="200"/>
        <w:rPr>
          <w:rFonts w:hint="default"/>
          <w:color w:val="auto"/>
          <w:lang w:val="en-US" w:eastAsia="zh-CN"/>
        </w:rPr>
      </w:pPr>
      <w:r>
        <w:rPr>
          <w:rFonts w:hint="default"/>
          <w:color w:val="auto"/>
          <w:lang w:val="en-US" w:eastAsia="zh-CN"/>
        </w:rPr>
        <w:t>42）生产和辅助设备应选用国家定点生产企业生产的产品，非标设备应委托具有相应资质的单位设计、制造。对于压力容器、压力管道等特种设备及其附属设施，应选用有国家承认资质的企业的定型产品，进口设备应有相关证书。由取得国家承认的资质的专业队伍进行安装施工，并按照国家规定取得相应的质监部门的检验合格证和使用许可证。</w:t>
      </w:r>
    </w:p>
    <w:p>
      <w:pPr>
        <w:ind w:firstLine="560" w:firstLineChars="200"/>
        <w:rPr>
          <w:rFonts w:hint="default"/>
          <w:color w:val="auto"/>
          <w:lang w:val="en-US" w:eastAsia="zh-CN"/>
        </w:rPr>
      </w:pPr>
      <w:r>
        <w:rPr>
          <w:rFonts w:hint="default"/>
          <w:color w:val="auto"/>
          <w:lang w:val="en-US" w:eastAsia="zh-CN"/>
        </w:rPr>
        <w:t>43）为了使泄漏的可能性降至最低，防止设备、管线的腐蚀，要合理选择设备和管线、阀门、法兰及密封件的材质。特别是在化工设备的设计中，要考虑到物料与密封材料的相容型式、负载情况、极限压力、工作速度大小、环境温度的变化等因素，合理选用密封结构和密封件。</w:t>
      </w:r>
    </w:p>
    <w:p>
      <w:pPr>
        <w:ind w:firstLine="560" w:firstLineChars="200"/>
        <w:rPr>
          <w:rFonts w:hint="default"/>
          <w:color w:val="auto"/>
          <w:lang w:val="en-US" w:eastAsia="zh-CN"/>
        </w:rPr>
      </w:pPr>
      <w:r>
        <w:rPr>
          <w:rFonts w:hint="default"/>
          <w:color w:val="auto"/>
          <w:lang w:val="en-US" w:eastAsia="zh-CN"/>
        </w:rPr>
        <w:t>44）具有化学灼伤危险的生产装置，其设备布置应保证作业场所有足够空间，并保证作业场所畅通，避免交叉作业。如果交叉作业不可避免，在危险作业点应装设避免化学灼伤危险的防护措施。</w:t>
      </w:r>
    </w:p>
    <w:p>
      <w:pPr>
        <w:ind w:firstLine="560" w:firstLineChars="200"/>
        <w:rPr>
          <w:rFonts w:hint="default"/>
          <w:color w:val="auto"/>
          <w:lang w:val="en-US" w:eastAsia="zh-CN"/>
        </w:rPr>
      </w:pPr>
      <w:r>
        <w:rPr>
          <w:rFonts w:hint="default"/>
          <w:color w:val="auto"/>
          <w:lang w:val="en-US" w:eastAsia="zh-CN"/>
        </w:rPr>
        <w:t>46）对可能突然大量放散可燃蒸气的场所，应根据工艺设计要求设置事故通风系统。</w:t>
      </w:r>
    </w:p>
    <w:p>
      <w:pPr>
        <w:ind w:firstLine="560" w:firstLineChars="200"/>
        <w:rPr>
          <w:rFonts w:hint="default"/>
          <w:color w:val="auto"/>
          <w:lang w:val="en-US" w:eastAsia="zh-CN"/>
        </w:rPr>
      </w:pPr>
      <w:r>
        <w:rPr>
          <w:rFonts w:hint="default"/>
          <w:color w:val="auto"/>
          <w:lang w:val="en-US" w:eastAsia="zh-CN"/>
        </w:rPr>
        <w:t>47）对于放散爆炸危险性或有害物质的厂房，当设置可燃或有毒气体检测、报警装置时，事故通风系统应与其联锁启动，其供电可靠性等级应与工艺等级相同。</w:t>
      </w:r>
    </w:p>
    <w:p>
      <w:pPr>
        <w:ind w:firstLine="560" w:firstLineChars="200"/>
        <w:rPr>
          <w:rFonts w:hint="default"/>
          <w:color w:val="auto"/>
          <w:lang w:val="en-US" w:eastAsia="zh-CN"/>
        </w:rPr>
      </w:pPr>
      <w:r>
        <w:rPr>
          <w:rFonts w:hint="default"/>
          <w:color w:val="auto"/>
          <w:lang w:val="en-US" w:eastAsia="zh-CN"/>
        </w:rPr>
        <w:t>48）生产设备及其零部件，必须有足够的强度、刚度、稳定性和可靠性。在按规定条件制造、运输、贮存、安装和使用时，不得对人员造成危险。</w:t>
      </w:r>
    </w:p>
    <w:p>
      <w:pPr>
        <w:ind w:firstLine="560" w:firstLineChars="200"/>
        <w:rPr>
          <w:rFonts w:hint="default"/>
          <w:color w:val="auto"/>
          <w:lang w:val="en-US" w:eastAsia="zh-CN"/>
        </w:rPr>
      </w:pPr>
      <w:r>
        <w:rPr>
          <w:rFonts w:hint="default"/>
          <w:color w:val="auto"/>
          <w:lang w:val="en-US" w:eastAsia="zh-CN"/>
        </w:rPr>
        <w:t>49）生产设备不应在振动、风载或其他可预见的外载荷作用下倾覆或产生允许范围外的运动。</w:t>
      </w:r>
    </w:p>
    <w:p>
      <w:pPr>
        <w:ind w:firstLine="560" w:firstLineChars="200"/>
        <w:rPr>
          <w:rFonts w:hint="default"/>
          <w:color w:val="auto"/>
          <w:lang w:val="en-US" w:eastAsia="zh-CN"/>
        </w:rPr>
      </w:pPr>
      <w:r>
        <w:rPr>
          <w:rFonts w:hint="default"/>
          <w:color w:val="auto"/>
          <w:lang w:val="en-US" w:eastAsia="zh-CN"/>
        </w:rPr>
        <w:t>50）安全泄放装置的设定压力和最大泄放压力应符合下列规定：</w:t>
      </w:r>
    </w:p>
    <w:p>
      <w:pPr>
        <w:ind w:firstLine="560" w:firstLineChars="200"/>
        <w:rPr>
          <w:rFonts w:hint="default"/>
          <w:color w:val="auto"/>
          <w:lang w:val="en-US" w:eastAsia="zh-CN"/>
        </w:rPr>
      </w:pPr>
      <w:r>
        <w:rPr>
          <w:rFonts w:hint="default"/>
          <w:color w:val="auto"/>
          <w:lang w:val="en-US" w:eastAsia="zh-CN"/>
        </w:rPr>
        <w:t>（1）独立压力系统中设备或管道上安全泄放装置的设定压力和最大泄放压力应以系统设计压力或最大允许工作压力（MAWP）为基准；</w:t>
      </w:r>
    </w:p>
    <w:p>
      <w:pPr>
        <w:ind w:firstLine="560" w:firstLineChars="200"/>
        <w:rPr>
          <w:rFonts w:hint="default"/>
          <w:color w:val="auto"/>
          <w:lang w:val="en-US" w:eastAsia="zh-CN"/>
        </w:rPr>
      </w:pPr>
      <w:r>
        <w:rPr>
          <w:rFonts w:hint="default"/>
          <w:color w:val="auto"/>
          <w:lang w:val="en-US" w:eastAsia="zh-CN"/>
        </w:rPr>
        <w:t>（2）安全泄放装置设定压力和最大泄放压力应根据非火灾或火灾超压工况和安全泄放装置设置情况确定，不得超过《精细化工企业工程设计防火标准》表 5.7.2 的限制。</w:t>
      </w:r>
    </w:p>
    <w:p>
      <w:pPr>
        <w:ind w:firstLine="560" w:firstLineChars="200"/>
        <w:rPr>
          <w:rFonts w:hint="default"/>
          <w:color w:val="auto"/>
          <w:lang w:val="en-US" w:eastAsia="zh-CN"/>
        </w:rPr>
      </w:pPr>
      <w:r>
        <w:rPr>
          <w:rFonts w:hint="default"/>
          <w:color w:val="auto"/>
          <w:lang w:val="en-US" w:eastAsia="zh-CN"/>
        </w:rPr>
        <w:t>51）安全泄放装置额定泄放量严禁小于安全泄放量。</w:t>
      </w:r>
    </w:p>
    <w:p>
      <w:pPr>
        <w:ind w:firstLine="560" w:firstLineChars="200"/>
        <w:rPr>
          <w:rFonts w:hint="default"/>
          <w:color w:val="auto"/>
          <w:lang w:val="en-US" w:eastAsia="zh-CN"/>
        </w:rPr>
      </w:pPr>
      <w:r>
        <w:rPr>
          <w:rFonts w:hint="default"/>
          <w:color w:val="auto"/>
          <w:lang w:val="en-US" w:eastAsia="zh-CN"/>
        </w:rPr>
        <w:t>52）安全泄放装置类型应根据泄放介质性质、超压工况特征以及安全泄放装置性能确定。</w:t>
      </w:r>
    </w:p>
    <w:p>
      <w:pPr>
        <w:ind w:firstLine="560" w:firstLineChars="200"/>
        <w:rPr>
          <w:rFonts w:hint="default"/>
          <w:color w:val="auto"/>
          <w:lang w:val="en-US" w:eastAsia="zh-CN"/>
        </w:rPr>
      </w:pPr>
      <w:r>
        <w:rPr>
          <w:rFonts w:hint="default"/>
          <w:color w:val="auto"/>
          <w:lang w:val="en-US" w:eastAsia="zh-CN"/>
        </w:rPr>
        <w:t>53）安全泄放设施的出口管应接至吸收等处理设施。受工艺条件或介质特性限制，无法排入吸收等处理设施时，可直接向大气排放，但其排放管口不得朝向邻近设备或有人通过的地方，且应高出8m范围内的平台或建筑物顶3m以上。</w:t>
      </w:r>
    </w:p>
    <w:p>
      <w:pPr>
        <w:ind w:firstLine="560" w:firstLineChars="200"/>
        <w:rPr>
          <w:rFonts w:hint="default"/>
          <w:color w:val="auto"/>
          <w:lang w:val="en-US" w:eastAsia="zh-CN"/>
        </w:rPr>
      </w:pPr>
      <w:r>
        <w:rPr>
          <w:rFonts w:hint="default"/>
          <w:color w:val="auto"/>
          <w:lang w:val="en-US" w:eastAsia="zh-CN"/>
        </w:rPr>
        <w:t>54）可能存在爆炸性气体的生产设施，除进行电气设备防爆设计外，应进行非电气设备防爆设计。</w:t>
      </w:r>
    </w:p>
    <w:p>
      <w:pPr>
        <w:ind w:firstLine="560" w:firstLineChars="200"/>
        <w:rPr>
          <w:rFonts w:hint="default"/>
          <w:color w:val="auto"/>
          <w:lang w:val="en-US" w:eastAsia="zh-CN"/>
        </w:rPr>
      </w:pPr>
      <w:r>
        <w:rPr>
          <w:rFonts w:hint="default"/>
          <w:color w:val="auto"/>
          <w:lang w:val="en-US" w:eastAsia="zh-CN"/>
        </w:rPr>
        <w:t>55）下列潜在爆炸性环境的非电气设备应设置阻火器：</w:t>
      </w:r>
    </w:p>
    <w:p>
      <w:pPr>
        <w:ind w:firstLine="560" w:firstLineChars="200"/>
        <w:rPr>
          <w:rFonts w:hint="default"/>
          <w:color w:val="auto"/>
          <w:lang w:val="en-US" w:eastAsia="zh-CN"/>
        </w:rPr>
      </w:pPr>
      <w:r>
        <w:rPr>
          <w:rFonts w:hint="default"/>
          <w:color w:val="auto"/>
          <w:lang w:val="en-US" w:eastAsia="zh-CN"/>
        </w:rPr>
        <w:t>（1）甲</w:t>
      </w:r>
      <w:r>
        <w:rPr>
          <w:rFonts w:hint="default"/>
          <w:color w:val="auto"/>
          <w:vertAlign w:val="subscript"/>
          <w:lang w:val="en-US" w:eastAsia="zh-CN"/>
        </w:rPr>
        <w:t xml:space="preserve"> B</w:t>
      </w:r>
      <w:r>
        <w:rPr>
          <w:rFonts w:hint="default"/>
          <w:color w:val="auto"/>
          <w:lang w:val="en-US" w:eastAsia="zh-CN"/>
        </w:rPr>
        <w:t>可燃液体常压储罐的通气口或呼吸阀处；</w:t>
      </w:r>
    </w:p>
    <w:p>
      <w:pPr>
        <w:ind w:firstLine="560" w:firstLineChars="200"/>
        <w:rPr>
          <w:rFonts w:hint="default"/>
          <w:color w:val="auto"/>
          <w:lang w:val="en-US" w:eastAsia="zh-CN"/>
        </w:rPr>
      </w:pPr>
      <w:r>
        <w:rPr>
          <w:rFonts w:hint="default"/>
          <w:color w:val="auto"/>
          <w:lang w:val="en-US" w:eastAsia="zh-CN"/>
        </w:rPr>
        <w:t>（2）装卸可燃化学品的槽罐车的气体置换/返回管线；</w:t>
      </w:r>
    </w:p>
    <w:p>
      <w:pPr>
        <w:ind w:firstLine="560" w:firstLineChars="200"/>
        <w:rPr>
          <w:rFonts w:hint="default"/>
          <w:color w:val="auto"/>
          <w:lang w:val="en-US" w:eastAsia="zh-CN"/>
        </w:rPr>
      </w:pPr>
      <w:r>
        <w:rPr>
          <w:rFonts w:hint="default"/>
          <w:color w:val="auto"/>
          <w:lang w:val="en-US" w:eastAsia="zh-CN"/>
        </w:rPr>
        <w:t>（3）污水处理系统的中间气体储罐的呼吸阀处或其气体支管接入总管前；</w:t>
      </w:r>
    </w:p>
    <w:p>
      <w:pPr>
        <w:ind w:firstLine="560" w:firstLineChars="200"/>
        <w:rPr>
          <w:rFonts w:hint="default"/>
          <w:color w:val="auto"/>
          <w:lang w:val="en-US" w:eastAsia="zh-CN"/>
        </w:rPr>
      </w:pPr>
      <w:r>
        <w:rPr>
          <w:rFonts w:hint="default"/>
          <w:color w:val="auto"/>
          <w:lang w:val="en-US" w:eastAsia="zh-CN"/>
        </w:rPr>
        <w:t>（4）加工可燃化学品反应器等并联设备系统、可燃溶剂回收系统、可燃气体或蒸气回收系统、可燃废气处理系统的单台设备或系统的气体和蒸气出口，以及集合总管进入可能有点燃源的活性炭吸附槽等处理设备进口；</w:t>
      </w:r>
    </w:p>
    <w:p>
      <w:pPr>
        <w:ind w:firstLine="560" w:firstLineChars="200"/>
        <w:rPr>
          <w:rFonts w:hint="default"/>
          <w:color w:val="auto"/>
          <w:lang w:val="en-US" w:eastAsia="zh-CN"/>
        </w:rPr>
      </w:pPr>
      <w:r>
        <w:rPr>
          <w:rFonts w:hint="default"/>
          <w:color w:val="auto"/>
          <w:lang w:val="en-US" w:eastAsia="zh-CN"/>
        </w:rPr>
        <w:t>56）工艺设备本体（不含衬里）及其基础，管道（不含衬里）及其支、吊架和基础，设备和管道的保温层应采用不燃材料。</w:t>
      </w:r>
    </w:p>
    <w:p>
      <w:pPr>
        <w:ind w:firstLine="560" w:firstLineChars="200"/>
        <w:rPr>
          <w:rFonts w:hint="default"/>
          <w:color w:val="auto"/>
          <w:lang w:val="en-US" w:eastAsia="zh-CN"/>
        </w:rPr>
      </w:pPr>
      <w:r>
        <w:rPr>
          <w:rFonts w:hint="default"/>
          <w:color w:val="auto"/>
          <w:lang w:val="en-US" w:eastAsia="zh-CN"/>
        </w:rPr>
        <w:t>57）在爆炸性气体环境内钢管配线的电气线路必须作好隔离密封，且应符合下列要求：</w:t>
      </w:r>
    </w:p>
    <w:p>
      <w:pPr>
        <w:ind w:firstLine="560" w:firstLineChars="200"/>
        <w:rPr>
          <w:rFonts w:hint="default"/>
          <w:color w:val="auto"/>
          <w:lang w:val="en-US" w:eastAsia="zh-CN"/>
        </w:rPr>
      </w:pPr>
      <w:r>
        <w:rPr>
          <w:rFonts w:hint="eastAsia"/>
          <w:color w:val="auto"/>
          <w:lang w:val="en-US" w:eastAsia="zh-CN"/>
        </w:rPr>
        <w:t>①</w:t>
      </w:r>
      <w:r>
        <w:rPr>
          <w:rFonts w:hint="default"/>
          <w:color w:val="auto"/>
          <w:lang w:val="en-US" w:eastAsia="zh-CN"/>
        </w:rPr>
        <w:t>在正常运行时，所有点燃源外壳的450mm范围内必须作隔离密封。</w:t>
      </w:r>
    </w:p>
    <w:p>
      <w:pPr>
        <w:ind w:firstLine="560" w:firstLineChars="200"/>
        <w:rPr>
          <w:rFonts w:hint="default"/>
          <w:color w:val="auto"/>
          <w:lang w:val="en-US" w:eastAsia="zh-CN"/>
        </w:rPr>
      </w:pPr>
      <w:r>
        <w:rPr>
          <w:rFonts w:hint="eastAsia"/>
          <w:color w:val="auto"/>
          <w:lang w:val="en-US" w:eastAsia="zh-CN"/>
        </w:rPr>
        <w:t>②</w:t>
      </w:r>
      <w:r>
        <w:rPr>
          <w:rFonts w:hint="default"/>
          <w:color w:val="auto"/>
          <w:lang w:val="en-US" w:eastAsia="zh-CN"/>
        </w:rPr>
        <w:t>直径50mm以上钢管距引入的接线箱450mm以内处必须作隔离密封。</w:t>
      </w:r>
    </w:p>
    <w:p>
      <w:pPr>
        <w:ind w:firstLine="560" w:firstLineChars="200"/>
        <w:rPr>
          <w:rFonts w:hint="default"/>
          <w:color w:val="auto"/>
          <w:lang w:val="en-US" w:eastAsia="zh-CN"/>
        </w:rPr>
      </w:pPr>
      <w:r>
        <w:rPr>
          <w:rFonts w:hint="eastAsia"/>
          <w:color w:val="auto"/>
          <w:lang w:val="en-US" w:eastAsia="zh-CN"/>
        </w:rPr>
        <w:t>③</w:t>
      </w:r>
      <w:r>
        <w:rPr>
          <w:rFonts w:hint="default"/>
          <w:color w:val="auto"/>
          <w:lang w:val="en-US" w:eastAsia="zh-CN"/>
        </w:rPr>
        <w:t>相邻的爆炸性环境之间以及爆炸性环境与相邻的其它危险环境或非危险环境之间必须进行隔离密封。进行密封时，密封内部应用纤维作填充层的底层或隔层，以防止密封混合物流出，填充层的有效厚度不应小于钢管的内径且不得小于16mm。</w:t>
      </w:r>
    </w:p>
    <w:p>
      <w:pPr>
        <w:ind w:firstLine="560" w:firstLineChars="200"/>
        <w:rPr>
          <w:rFonts w:hint="default"/>
          <w:color w:val="auto"/>
          <w:lang w:val="en-US" w:eastAsia="zh-CN"/>
        </w:rPr>
      </w:pPr>
      <w:r>
        <w:rPr>
          <w:rFonts w:hint="eastAsia"/>
          <w:color w:val="auto"/>
          <w:lang w:val="en-US" w:eastAsia="zh-CN"/>
        </w:rPr>
        <w:t>④</w:t>
      </w:r>
      <w:r>
        <w:rPr>
          <w:rFonts w:hint="default"/>
          <w:color w:val="auto"/>
          <w:lang w:val="en-US" w:eastAsia="zh-CN"/>
        </w:rPr>
        <w:t>供隔离密封用的连接部件，不应作为导线的连接或分线用。</w:t>
      </w:r>
    </w:p>
    <w:p>
      <w:pPr>
        <w:ind w:firstLine="560" w:firstLineChars="200"/>
        <w:rPr>
          <w:rFonts w:hint="default"/>
          <w:color w:val="auto"/>
          <w:lang w:val="en-US" w:eastAsia="zh-CN"/>
        </w:rPr>
      </w:pPr>
      <w:r>
        <w:rPr>
          <w:rFonts w:hint="eastAsia"/>
          <w:color w:val="auto"/>
          <w:lang w:val="en-US" w:eastAsia="zh-CN"/>
        </w:rPr>
        <w:t>⑤</w:t>
      </w:r>
      <w:r>
        <w:rPr>
          <w:rFonts w:hint="default"/>
          <w:color w:val="auto"/>
          <w:lang w:val="en-US" w:eastAsia="zh-CN"/>
        </w:rPr>
        <w:t>在1区内电缆线路严禁有中间接头，在2区内不应有中间接头。</w:t>
      </w:r>
    </w:p>
    <w:p>
      <w:pPr>
        <w:ind w:firstLine="560" w:firstLineChars="200"/>
        <w:rPr>
          <w:rFonts w:hint="default"/>
          <w:color w:val="auto"/>
          <w:lang w:val="en-US" w:eastAsia="zh-CN"/>
        </w:rPr>
      </w:pPr>
      <w:r>
        <w:rPr>
          <w:rFonts w:hint="default"/>
          <w:color w:val="auto"/>
          <w:lang w:val="en-US" w:eastAsia="zh-CN"/>
        </w:rPr>
        <w:t>58）电气线路应敷设在爆炸危险性较小的区域或距离释放源较远的位置，避开易受机械损伤、振动、腐蚀、粉尘积聚以及有危险温度的场所。当不能避开时，应采取预防措施。</w:t>
      </w:r>
    </w:p>
    <w:p>
      <w:pPr>
        <w:ind w:firstLine="560" w:firstLineChars="200"/>
        <w:rPr>
          <w:rFonts w:hint="default"/>
          <w:color w:val="auto"/>
          <w:lang w:val="en-US" w:eastAsia="zh-CN"/>
        </w:rPr>
      </w:pPr>
      <w:r>
        <w:rPr>
          <w:rFonts w:hint="default"/>
          <w:color w:val="auto"/>
          <w:lang w:val="en-US" w:eastAsia="zh-CN"/>
        </w:rPr>
        <w:t>59）导管系统中下列各处应设置与电气设备防爆型式相当的防爆挠性连接管：</w:t>
      </w:r>
    </w:p>
    <w:p>
      <w:pPr>
        <w:ind w:firstLine="560" w:firstLineChars="200"/>
        <w:rPr>
          <w:rFonts w:hint="default"/>
          <w:color w:val="auto"/>
          <w:lang w:val="en-US" w:eastAsia="zh-CN"/>
        </w:rPr>
      </w:pPr>
      <w:r>
        <w:rPr>
          <w:rFonts w:hint="default"/>
          <w:color w:val="auto"/>
          <w:lang w:val="en-US" w:eastAsia="zh-CN"/>
        </w:rPr>
        <w:t>——电动机的进线口；</w:t>
      </w:r>
    </w:p>
    <w:p>
      <w:pPr>
        <w:ind w:firstLine="560" w:firstLineChars="200"/>
        <w:rPr>
          <w:rFonts w:hint="default"/>
          <w:color w:val="auto"/>
          <w:lang w:val="en-US" w:eastAsia="zh-CN"/>
        </w:rPr>
      </w:pPr>
      <w:r>
        <w:rPr>
          <w:rFonts w:hint="default"/>
          <w:color w:val="auto"/>
          <w:lang w:val="en-US" w:eastAsia="zh-CN"/>
        </w:rPr>
        <w:t>——导管与电气设备连接有困难处；</w:t>
      </w:r>
    </w:p>
    <w:p>
      <w:pPr>
        <w:ind w:firstLine="560" w:firstLineChars="200"/>
        <w:rPr>
          <w:rFonts w:hint="default"/>
          <w:color w:val="auto"/>
          <w:lang w:val="en-US" w:eastAsia="zh-CN"/>
        </w:rPr>
      </w:pPr>
      <w:r>
        <w:rPr>
          <w:rFonts w:hint="default"/>
          <w:color w:val="auto"/>
          <w:lang w:val="en-US" w:eastAsia="zh-CN"/>
        </w:rPr>
        <w:t>——导管通过建筑物的伸缩缝、沉降缝处。</w:t>
      </w:r>
    </w:p>
    <w:p>
      <w:pPr>
        <w:ind w:firstLine="560" w:firstLineChars="200"/>
        <w:rPr>
          <w:rFonts w:hint="default"/>
          <w:color w:val="auto"/>
          <w:lang w:val="en-US" w:eastAsia="zh-CN"/>
        </w:rPr>
      </w:pPr>
      <w:r>
        <w:rPr>
          <w:rFonts w:hint="default"/>
          <w:color w:val="auto"/>
          <w:lang w:val="en-US" w:eastAsia="zh-CN"/>
        </w:rPr>
        <w:t>60）探测器应安装在无冲击、无振动、无强电磁场干扰、易于检修的场所，探测器安装地点与周边工艺管道或设备之间的净空不应小于 0.5m。</w:t>
      </w:r>
    </w:p>
    <w:p>
      <w:pPr>
        <w:ind w:firstLine="560" w:firstLineChars="200"/>
        <w:rPr>
          <w:rFonts w:hint="default"/>
          <w:color w:val="auto"/>
          <w:lang w:val="en-US" w:eastAsia="zh-CN"/>
        </w:rPr>
      </w:pPr>
      <w:r>
        <w:rPr>
          <w:rFonts w:hint="default"/>
          <w:color w:val="auto"/>
          <w:lang w:val="en-US" w:eastAsia="zh-CN"/>
        </w:rPr>
        <w:t>61）管道设计与调节阀的选型应做到防止振动和噪声，管道截面不宜突变；管道与强烈振动的设备连接处应具有一定的柔性。</w:t>
      </w:r>
    </w:p>
    <w:p>
      <w:pPr>
        <w:numPr>
          <w:ilvl w:val="-1"/>
          <w:numId w:val="0"/>
        </w:numPr>
        <w:ind w:firstLine="560" w:firstLineChars="200"/>
        <w:rPr>
          <w:rFonts w:hint="default"/>
          <w:color w:val="auto"/>
          <w:lang w:val="en-US" w:eastAsia="zh-CN"/>
        </w:rPr>
      </w:pPr>
      <w:r>
        <w:rPr>
          <w:rFonts w:hint="eastAsia"/>
          <w:color w:val="auto"/>
          <w:lang w:val="en-US" w:eastAsia="zh-CN"/>
        </w:rPr>
        <w:t>65）裂解炉</w:t>
      </w:r>
      <w:r>
        <w:rPr>
          <w:rFonts w:hint="default"/>
          <w:color w:val="auto"/>
          <w:lang w:val="en-US" w:eastAsia="zh-CN"/>
        </w:rPr>
        <w:t>涉及部分气态物料具有回火性质，</w:t>
      </w:r>
      <w:r>
        <w:rPr>
          <w:rFonts w:hint="eastAsia"/>
          <w:color w:val="auto"/>
          <w:lang w:val="en-US" w:eastAsia="zh-CN"/>
        </w:rPr>
        <w:t>应</w:t>
      </w:r>
      <w:r>
        <w:rPr>
          <w:rFonts w:hint="default"/>
          <w:color w:val="auto"/>
          <w:lang w:val="en-US" w:eastAsia="zh-CN"/>
        </w:rPr>
        <w:t>设置阻火、防回火设施。</w:t>
      </w:r>
    </w:p>
    <w:p>
      <w:pPr>
        <w:numPr>
          <w:ilvl w:val="-1"/>
          <w:numId w:val="0"/>
        </w:numPr>
        <w:ind w:firstLine="560" w:firstLineChars="200"/>
        <w:rPr>
          <w:rFonts w:hint="eastAsia"/>
          <w:color w:val="auto"/>
          <w:lang w:val="en-US" w:eastAsia="zh-CN"/>
        </w:rPr>
      </w:pPr>
      <w:r>
        <w:rPr>
          <w:rFonts w:hint="eastAsia"/>
          <w:color w:val="auto"/>
          <w:lang w:val="en-US" w:eastAsia="zh-CN"/>
        </w:rPr>
        <w:t>66）</w:t>
      </w:r>
      <w:r>
        <w:rPr>
          <w:rFonts w:hint="eastAsia"/>
          <w:color w:val="auto"/>
          <w:highlight w:val="none"/>
          <w:lang w:val="en-US" w:eastAsia="zh-CN"/>
        </w:rPr>
        <w:t>应采纳《反应风险评估报告》、《国内首次使用化工工艺安全可靠性论证报告》中提出的安全对策措施。</w:t>
      </w:r>
    </w:p>
    <w:p>
      <w:pPr>
        <w:numPr>
          <w:ilvl w:val="0"/>
          <w:numId w:val="0"/>
        </w:numPr>
        <w:spacing w:line="240" w:lineRule="auto"/>
        <w:ind w:left="560" w:leftChars="200" w:firstLine="0" w:firstLineChars="0"/>
        <w:rPr>
          <w:rFonts w:hint="eastAsia"/>
          <w:color w:val="auto"/>
          <w:lang w:val="en-US" w:eastAsia="zh-CN"/>
        </w:rPr>
      </w:pPr>
      <w:r>
        <w:rPr>
          <w:rFonts w:hint="eastAsia"/>
          <w:color w:val="auto"/>
          <w:lang w:val="en-US" w:eastAsia="zh-CN"/>
        </w:rPr>
        <w:t>67</w:t>
      </w:r>
      <w:r>
        <w:rPr>
          <w:rFonts w:hint="default" w:ascii="Times New Roman" w:hAnsi="Times New Roman" w:eastAsia="宋体" w:cs="Times New Roman"/>
          <w:color w:val="auto"/>
          <w:kern w:val="2"/>
          <w:sz w:val="28"/>
          <w:szCs w:val="24"/>
          <w:lang w:val="en-US" w:eastAsia="zh-CN" w:bidi="ar-SA"/>
        </w:rPr>
        <w:t>）</w:t>
      </w:r>
      <w:r>
        <w:rPr>
          <w:rFonts w:hint="eastAsia"/>
          <w:color w:val="auto"/>
          <w:lang w:val="en-US" w:eastAsia="zh-CN"/>
        </w:rPr>
        <w:t>在破碎工序带式输送机的输送线路中，应装设下列安全保护装置：     （1）沿输送机的全长应设紧急拉绳保护装置；</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（2）输送带除铁装置；</w:t>
      </w:r>
    </w:p>
    <w:p>
      <w:pPr>
        <w:numPr>
          <w:ilvl w:val="0"/>
          <w:numId w:val="0"/>
        </w:numPr>
        <w:spacing w:line="240" w:lineRule="auto"/>
        <w:ind w:left="560" w:leftChars="200" w:firstLine="0" w:firstLineChars="0"/>
        <w:rPr>
          <w:rFonts w:hint="eastAsia"/>
          <w:color w:val="auto"/>
          <w:lang w:val="en-US" w:eastAsia="zh-CN"/>
        </w:rPr>
      </w:pPr>
      <w:r>
        <w:rPr>
          <w:rFonts w:hint="eastAsia"/>
          <w:color w:val="auto"/>
          <w:lang w:val="en-US" w:eastAsia="zh-CN"/>
        </w:rPr>
        <w:t>（3）输送带防跑偏装置；</w:t>
      </w:r>
    </w:p>
    <w:p>
      <w:pPr>
        <w:numPr>
          <w:ilvl w:val="0"/>
          <w:numId w:val="0"/>
        </w:numPr>
        <w:spacing w:line="240" w:lineRule="auto"/>
        <w:ind w:left="560" w:leftChars="200" w:firstLine="0" w:firstLineChars="0"/>
        <w:rPr>
          <w:rFonts w:hint="eastAsia"/>
          <w:color w:val="auto"/>
          <w:lang w:val="en-US" w:eastAsia="zh-CN"/>
        </w:rPr>
      </w:pPr>
      <w:r>
        <w:rPr>
          <w:rFonts w:hint="eastAsia"/>
          <w:color w:val="auto"/>
          <w:lang w:val="en-US" w:eastAsia="zh-CN"/>
        </w:rPr>
        <w:t>（4）输送带打滑检测装置；</w:t>
      </w:r>
    </w:p>
    <w:p>
      <w:pPr>
        <w:numPr>
          <w:ilvl w:val="0"/>
          <w:numId w:val="0"/>
        </w:numPr>
        <w:spacing w:line="240" w:lineRule="auto"/>
        <w:ind w:left="560" w:leftChars="200" w:firstLine="0" w:firstLineChars="0"/>
        <w:rPr>
          <w:rFonts w:hint="eastAsia"/>
          <w:color w:val="auto"/>
          <w:lang w:val="en-US" w:eastAsia="zh-CN"/>
        </w:rPr>
      </w:pPr>
      <w:r>
        <w:rPr>
          <w:rFonts w:hint="eastAsia"/>
          <w:color w:val="auto"/>
          <w:lang w:val="en-US" w:eastAsia="zh-CN"/>
        </w:rPr>
        <w:t>（5）长距离及复杂带式输送机，拉紧装置应装设限位保护装置；</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68）带式输送机的设计，应符合现行国家标准《带式输送机 安全规范》GB14784的有关规定。</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69）带式输送机应设紧急停机开关。</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70）带式输送机沿线装设的拉绳保护装置，应便于操作。沿线拉绳保护装置的间距不宜超过60m，并宜每3m~6m设一组托绳环。当带式输送机两侧设有人行通道时，应在两侧通道沿线同时设拉绳保护装置。</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71）在带式输送机上设有湿式除尘的自动洒水系统或长距离输送机或对多个输送机组成的输送系统进行集中控制时，应装设料流检测器。</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72）带式输送机应装设防物料堵塞溢料的溜槽堵塞检测器。堵塞检测器应满足溜槽受物料冲击产生的振动、灰尘和潮湿等工作条件要求。</w:t>
      </w:r>
    </w:p>
    <w:p>
      <w:pPr>
        <w:numPr>
          <w:ilvl w:val="0"/>
          <w:numId w:val="0"/>
        </w:numPr>
        <w:spacing w:line="240" w:lineRule="auto"/>
        <w:ind w:left="0" w:leftChars="0" w:firstLine="560" w:firstLineChars="200"/>
        <w:rPr>
          <w:rFonts w:hint="eastAsia"/>
          <w:color w:val="auto"/>
          <w:highlight w:val="none"/>
          <w:lang w:val="en-US" w:eastAsia="zh-CN"/>
        </w:rPr>
      </w:pPr>
      <w:r>
        <w:rPr>
          <w:rFonts w:hint="eastAsia"/>
          <w:color w:val="auto"/>
          <w:highlight w:val="none"/>
          <w:lang w:val="en-US" w:eastAsia="zh-CN"/>
        </w:rPr>
        <w:t>73）粉尘爆炸危险场所除尘系统不应与带有可燃气体、高温气体或其他工业气体的风管及设备连通。</w:t>
      </w:r>
    </w:p>
    <w:p>
      <w:pPr>
        <w:numPr>
          <w:ilvl w:val="0"/>
          <w:numId w:val="0"/>
        </w:numPr>
        <w:spacing w:line="240" w:lineRule="auto"/>
        <w:ind w:left="0" w:leftChars="0" w:firstLine="560" w:firstLineChars="200"/>
        <w:rPr>
          <w:rFonts w:hint="eastAsia"/>
          <w:color w:val="auto"/>
          <w:highlight w:val="none"/>
          <w:lang w:val="en-US" w:eastAsia="zh-CN"/>
        </w:rPr>
      </w:pPr>
      <w:r>
        <w:rPr>
          <w:rFonts w:hint="eastAsia"/>
          <w:color w:val="auto"/>
          <w:highlight w:val="none"/>
          <w:lang w:val="en-US" w:eastAsia="zh-CN"/>
        </w:rPr>
        <w:t>74）除尘系统的导电部件应进行等电位连接，并可靠接地，接地电阻应小于100Ω；管道连接法兰应采用跨接线。</w:t>
      </w:r>
    </w:p>
    <w:p>
      <w:pPr>
        <w:numPr>
          <w:ilvl w:val="0"/>
          <w:numId w:val="0"/>
        </w:numPr>
        <w:spacing w:line="240" w:lineRule="auto"/>
        <w:ind w:left="0" w:leftChars="0" w:firstLine="560" w:firstLineChars="200"/>
        <w:rPr>
          <w:rFonts w:hint="eastAsia"/>
          <w:color w:val="auto"/>
          <w:highlight w:val="yellow"/>
          <w:lang w:val="en-US" w:eastAsia="zh-CN"/>
        </w:rPr>
      </w:pPr>
      <w:r>
        <w:rPr>
          <w:rFonts w:hint="eastAsia"/>
          <w:color w:val="auto"/>
          <w:highlight w:val="none"/>
          <w:lang w:val="en-US" w:eastAsia="zh-CN"/>
        </w:rPr>
        <w:t>75）除尘系统的启动应先于生产加工系统启动，生产加工系统停机时除尘系统应至少延时停机10min，应在停机后将箱体和灰斗内的粉尘全部清除和卸出。</w:t>
      </w:r>
    </w:p>
    <w:p>
      <w:pPr>
        <w:ind w:firstLine="560" w:firstLineChars="200"/>
        <w:rPr>
          <w:rFonts w:hint="default" w:ascii="Times New Roman" w:hAnsi="Times New Roman" w:eastAsia="宋体" w:cs="Times New Roman"/>
          <w:i w:val="0"/>
          <w:iCs w:val="0"/>
          <w:caps w:val="0"/>
          <w:color w:val="auto"/>
          <w:spacing w:val="0"/>
          <w:sz w:val="27"/>
          <w:szCs w:val="24"/>
        </w:rPr>
      </w:pPr>
      <w:r>
        <w:rPr>
          <w:rFonts w:hint="eastAsia"/>
          <w:color w:val="auto"/>
          <w:lang w:val="en-US" w:eastAsia="zh-CN"/>
        </w:rPr>
        <w:t>76</w:t>
      </w:r>
      <w:r>
        <w:rPr>
          <w:rFonts w:hint="default"/>
          <w:color w:val="auto"/>
          <w:lang w:val="en-US" w:eastAsia="zh-CN"/>
        </w:rPr>
        <w:t>）</w:t>
      </w:r>
      <w:r>
        <w:rPr>
          <w:rFonts w:hint="eastAsia"/>
          <w:color w:val="auto"/>
          <w:lang w:val="en-US" w:eastAsia="zh-CN"/>
        </w:rPr>
        <w:t>除尘系统</w:t>
      </w:r>
      <w:r>
        <w:rPr>
          <w:rStyle w:val="626"/>
          <w:rFonts w:hint="default" w:ascii="Times New Roman" w:hAnsi="Times New Roman" w:eastAsia="宋体" w:cs="Times New Roman"/>
          <w:i w:val="0"/>
          <w:iCs w:val="0"/>
          <w:caps w:val="0"/>
          <w:color w:val="auto"/>
          <w:spacing w:val="0"/>
          <w:sz w:val="27"/>
          <w:szCs w:val="24"/>
          <w:shd w:val="clear"/>
        </w:rPr>
        <w:t>吸尘罩</w:t>
      </w:r>
      <w:r>
        <w:rPr>
          <w:rStyle w:val="626"/>
          <w:rFonts w:hint="eastAsia" w:cs="Times New Roman"/>
          <w:i w:val="0"/>
          <w:iCs w:val="0"/>
          <w:caps w:val="0"/>
          <w:color w:val="auto"/>
          <w:spacing w:val="0"/>
          <w:sz w:val="27"/>
          <w:szCs w:val="24"/>
          <w:shd w:val="clear"/>
          <w:lang w:val="en-US" w:eastAsia="zh-CN"/>
        </w:rPr>
        <w:t>应符合下列要求：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240" w:lineRule="auto"/>
        <w:ind w:left="0" w:right="0" w:firstLine="560" w:firstLineChars="200"/>
        <w:jc w:val="left"/>
        <w:rPr>
          <w:color w:val="auto"/>
        </w:rPr>
      </w:pPr>
      <w:r>
        <w:rPr>
          <w:rFonts w:hint="eastAsia"/>
          <w:color w:val="auto"/>
          <w:lang w:val="en-US" w:eastAsia="zh-CN"/>
        </w:rPr>
        <w:t>（1）所有产尘点均应装设吸尘罩并保证有足够的入口风量以满足作业岗位粉尘捕集要求。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240" w:lineRule="auto"/>
        <w:ind w:left="0" w:right="0" w:firstLine="560" w:firstLineChars="200"/>
        <w:jc w:val="left"/>
        <w:rPr>
          <w:rFonts w:hint="eastAsia"/>
          <w:color w:val="auto"/>
        </w:rPr>
      </w:pPr>
      <w:r>
        <w:rPr>
          <w:rFonts w:hint="eastAsia"/>
          <w:color w:val="auto"/>
          <w:lang w:val="en-US" w:eastAsia="zh-CN"/>
        </w:rPr>
        <w:t>（2）吸尘罩设计应符合GB/T 16758等相关规定。</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77）除尘系统风管应符合下列要求：</w:t>
      </w:r>
    </w:p>
    <w:p>
      <w:pPr>
        <w:numPr>
          <w:ilvl w:val="0"/>
          <w:numId w:val="0"/>
        </w:numPr>
        <w:spacing w:line="240" w:lineRule="auto"/>
        <w:ind w:left="0" w:leftChars="0" w:firstLine="560" w:firstLineChars="200"/>
        <w:rPr>
          <w:rFonts w:hint="default"/>
          <w:color w:val="auto"/>
          <w:lang w:val="en-US" w:eastAsia="zh-CN"/>
        </w:rPr>
      </w:pPr>
      <w:r>
        <w:rPr>
          <w:rFonts w:hint="eastAsia"/>
          <w:color w:val="auto"/>
          <w:lang w:val="en-US" w:eastAsia="zh-CN"/>
        </w:rPr>
        <w:t>（1）</w:t>
      </w:r>
      <w:r>
        <w:rPr>
          <w:rFonts w:hint="default"/>
          <w:color w:val="auto"/>
          <w:lang w:val="en-US" w:eastAsia="zh-CN"/>
        </w:rPr>
        <w:t>风管应明铺，不应布置在地下、半地下建筑物（室）中。</w:t>
      </w:r>
    </w:p>
    <w:p>
      <w:pPr>
        <w:numPr>
          <w:ilvl w:val="0"/>
          <w:numId w:val="0"/>
        </w:numPr>
        <w:spacing w:line="240" w:lineRule="auto"/>
        <w:ind w:left="0" w:leftChars="0" w:firstLine="560" w:firstLineChars="200"/>
        <w:rPr>
          <w:rFonts w:hint="default"/>
          <w:color w:val="auto"/>
          <w:lang w:val="en-US" w:eastAsia="zh-CN"/>
        </w:rPr>
      </w:pPr>
      <w:r>
        <w:rPr>
          <w:rFonts w:hint="eastAsia"/>
          <w:color w:val="auto"/>
          <w:lang w:val="en-US" w:eastAsia="zh-CN"/>
        </w:rPr>
        <w:t>（2）</w:t>
      </w:r>
      <w:r>
        <w:rPr>
          <w:rFonts w:hint="default"/>
          <w:color w:val="auto"/>
          <w:lang w:val="en-US" w:eastAsia="zh-CN"/>
        </w:rPr>
        <w:t>风管应采用钢质材料制造，禁止采用干式巷道式构筑物作为除尘风道；风管的设计强度应不小于除尘器的设计强度。</w:t>
      </w:r>
    </w:p>
    <w:p>
      <w:pPr>
        <w:numPr>
          <w:ilvl w:val="0"/>
          <w:numId w:val="0"/>
        </w:numPr>
        <w:spacing w:line="240" w:lineRule="auto"/>
        <w:ind w:left="0" w:leftChars="0" w:firstLine="560" w:firstLineChars="200"/>
        <w:rPr>
          <w:rFonts w:hint="default"/>
          <w:color w:val="auto"/>
          <w:lang w:val="en-US" w:eastAsia="zh-CN"/>
        </w:rPr>
      </w:pPr>
      <w:r>
        <w:rPr>
          <w:rFonts w:hint="eastAsia"/>
          <w:color w:val="auto"/>
          <w:lang w:val="en-US" w:eastAsia="zh-CN"/>
        </w:rPr>
        <w:t>（3）</w:t>
      </w:r>
      <w:r>
        <w:rPr>
          <w:rFonts w:hint="default"/>
          <w:color w:val="auto"/>
          <w:lang w:val="en-US" w:eastAsia="zh-CN"/>
        </w:rPr>
        <w:t>风管中不应有粉尘沉积。</w:t>
      </w:r>
    </w:p>
    <w:p>
      <w:pPr>
        <w:numPr>
          <w:ilvl w:val="0"/>
          <w:numId w:val="0"/>
        </w:numPr>
        <w:spacing w:line="240" w:lineRule="auto"/>
        <w:ind w:left="0" w:leftChars="0" w:firstLine="560" w:firstLineChars="200"/>
        <w:rPr>
          <w:rFonts w:hint="default"/>
          <w:color w:val="auto"/>
          <w:lang w:val="en-US" w:eastAsia="zh-CN"/>
        </w:rPr>
      </w:pPr>
      <w:r>
        <w:rPr>
          <w:rFonts w:hint="eastAsia"/>
          <w:color w:val="auto"/>
          <w:lang w:val="en-US" w:eastAsia="zh-CN"/>
        </w:rPr>
        <w:t>（4）</w:t>
      </w:r>
      <w:r>
        <w:rPr>
          <w:rFonts w:hint="default"/>
          <w:color w:val="auto"/>
          <w:lang w:val="en-US" w:eastAsia="zh-CN"/>
        </w:rPr>
        <w:t>水平风管每间隔6m处宜设置清灰口或设置高压惰性气体吹刷喷头；风管非清理状态时清灰口应封闭，其设计强度应大于风管的设计强度。</w:t>
      </w:r>
    </w:p>
    <w:p>
      <w:pPr>
        <w:numPr>
          <w:ilvl w:val="0"/>
          <w:numId w:val="0"/>
        </w:numPr>
        <w:spacing w:line="240" w:lineRule="auto"/>
        <w:ind w:left="0" w:leftChars="0" w:firstLine="560" w:firstLineChars="200"/>
        <w:rPr>
          <w:rFonts w:hint="default"/>
          <w:color w:val="auto"/>
          <w:lang w:val="en-US" w:eastAsia="zh-CN"/>
        </w:rPr>
      </w:pPr>
      <w:r>
        <w:rPr>
          <w:rFonts w:hint="eastAsia"/>
          <w:color w:val="auto"/>
          <w:lang w:val="en-US" w:eastAsia="zh-CN"/>
        </w:rPr>
        <w:t>78）除尘器的安装、使用及维护应符合GB/T 17919的相关规定。除尘器宜布置在厂房建筑物外部。</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79）袋式除尘器进、出风口应设置风压差监测报警装置，并记录压差数据；在风压差偏离设定值时监测装置应发出声光报警信号。</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80）袋式除尘器不应采用机械振打方式，滤袋应采用阻燃及防静电的滤料制作，滤袋抗静电特性应符合GB/T 17919的要求。</w:t>
      </w:r>
    </w:p>
    <w:p>
      <w:pPr>
        <w:numPr>
          <w:ilvl w:val="0"/>
          <w:numId w:val="0"/>
        </w:numPr>
        <w:spacing w:line="240" w:lineRule="auto"/>
        <w:ind w:left="0" w:leftChars="0" w:firstLine="560" w:firstLineChars="200"/>
        <w:rPr>
          <w:rFonts w:hint="eastAsia"/>
          <w:color w:val="auto"/>
          <w:lang w:val="en-US" w:eastAsia="zh-CN"/>
        </w:rPr>
      </w:pPr>
      <w:r>
        <w:rPr>
          <w:rFonts w:hint="eastAsia"/>
          <w:color w:val="auto"/>
          <w:lang w:val="en-US" w:eastAsia="zh-CN"/>
        </w:rPr>
        <w:t>81）粉尘爆炸危险场所作业人员应按GB/T 11651的有关规定，使用个体劳动防护用品。粉尘爆炸危险场所作业人员不应穿化纤类易产生静电的工作服。</w:t>
      </w:r>
    </w:p>
    <w:p>
      <w:pPr>
        <w:numPr>
          <w:ilvl w:val="-1"/>
          <w:numId w:val="0"/>
        </w:numPr>
        <w:spacing w:line="240" w:lineRule="auto"/>
        <w:ind w:left="0" w:leftChars="0" w:firstLine="560" w:firstLineChars="200"/>
        <w:rPr>
          <w:rFonts w:hint="eastAsia"/>
          <w:color w:val="auto"/>
          <w:lang w:val="en-US" w:eastAsia="zh-CN"/>
        </w:rPr>
      </w:pPr>
      <w:r>
        <w:rPr>
          <w:rFonts w:hint="eastAsia"/>
          <w:color w:val="auto"/>
          <w:lang w:val="en-US" w:eastAsia="zh-CN"/>
        </w:rPr>
        <w:t>82）201甲类仓库成品仓库应设外开门。201甲类仓库成品仓库应设置斜坡式门槛，门槛应选用非燃烧材料，且应高出室内地坪0.15m。</w:t>
      </w:r>
    </w:p>
    <w:p>
      <w:pPr>
        <w:bidi w:val="0"/>
        <w:ind w:firstLine="560" w:firstLineChars="200"/>
        <w:rPr>
          <w:rFonts w:hint="eastAsia"/>
          <w:color w:val="auto"/>
          <w:highlight w:val="none"/>
          <w:lang w:val="en-US" w:eastAsia="zh-CN"/>
        </w:rPr>
      </w:pPr>
      <w:r>
        <w:rPr>
          <w:rFonts w:hint="eastAsia"/>
          <w:color w:val="auto"/>
          <w:highlight w:val="none"/>
          <w:lang w:val="en-US" w:eastAsia="zh-CN"/>
        </w:rPr>
        <w:t>83）TO炉方面</w:t>
      </w:r>
    </w:p>
    <w:p>
      <w:pPr>
        <w:bidi w:val="0"/>
        <w:ind w:firstLine="560" w:firstLineChars="200"/>
        <w:rPr>
          <w:rFonts w:hint="eastAsia"/>
          <w:color w:val="auto"/>
          <w:highlight w:val="none"/>
          <w:lang w:val="en-US" w:eastAsia="zh-CN"/>
        </w:rPr>
      </w:pPr>
      <w:r>
        <w:rPr>
          <w:rFonts w:hint="eastAsia"/>
          <w:color w:val="auto"/>
          <w:highlight w:val="none"/>
          <w:lang w:val="en-US" w:eastAsia="zh-CN"/>
        </w:rPr>
        <w:t>（1）在使用TO炉处理有机废气和固体废弃物之前，应去除废气中的颗粒物、液体和气体等杂质，以确保燃烧过程的稳定性和安全性。</w:t>
      </w:r>
    </w:p>
    <w:p>
      <w:pPr>
        <w:bidi w:val="0"/>
        <w:ind w:firstLine="560" w:firstLineChars="200"/>
        <w:rPr>
          <w:rFonts w:hint="eastAsia"/>
          <w:color w:val="auto"/>
          <w:highlight w:val="none"/>
          <w:lang w:val="en-US" w:eastAsia="zh-CN"/>
        </w:rPr>
      </w:pPr>
      <w:r>
        <w:rPr>
          <w:rFonts w:hint="eastAsia"/>
          <w:color w:val="auto"/>
          <w:highlight w:val="none"/>
          <w:lang w:val="en-US" w:eastAsia="zh-CN"/>
        </w:rPr>
        <w:t>（2）在进行操作前，需要检查燃烧器、燃烧室、进气口、排气口和控制系统等设备是否正常，以及燃料是否充足。同时，需要穿戴必要的防护用品，如防护服、防护手套和防护面罩等。</w:t>
      </w:r>
    </w:p>
    <w:p>
      <w:pPr>
        <w:bidi w:val="0"/>
        <w:ind w:firstLine="560" w:firstLineChars="200"/>
        <w:rPr>
          <w:rFonts w:hint="eastAsia"/>
          <w:color w:val="auto"/>
          <w:highlight w:val="none"/>
          <w:lang w:val="en-US" w:eastAsia="zh-CN"/>
        </w:rPr>
      </w:pPr>
      <w:r>
        <w:rPr>
          <w:rFonts w:hint="eastAsia"/>
          <w:color w:val="auto"/>
          <w:highlight w:val="none"/>
          <w:lang w:val="en-US" w:eastAsia="zh-CN"/>
        </w:rPr>
        <w:t>（3）制定TO炉岗位安全操作规程，并严格按照安全操作规程进行操作。</w:t>
      </w:r>
    </w:p>
    <w:p>
      <w:pPr>
        <w:bidi w:val="0"/>
        <w:ind w:firstLine="560" w:firstLineChars="200"/>
        <w:rPr>
          <w:rFonts w:hint="default"/>
          <w:color w:val="auto"/>
          <w:highlight w:val="none"/>
          <w:lang w:val="en-US" w:eastAsia="zh-CN"/>
        </w:rPr>
      </w:pPr>
      <w:r>
        <w:rPr>
          <w:rFonts w:hint="eastAsia"/>
          <w:color w:val="auto"/>
          <w:highlight w:val="none"/>
          <w:lang w:val="en-US" w:eastAsia="zh-CN"/>
        </w:rPr>
        <w:t>84）裂解炉、精馏釜、MMA储罐应由正规生产企业设计生产，并符合国家与行业的相关标准规范。</w:t>
      </w:r>
    </w:p>
    <w:p>
      <w:pPr>
        <w:pStyle w:val="4"/>
        <w:rPr>
          <w:rFonts w:hint="default"/>
          <w:color w:val="auto"/>
          <w:lang w:val="en-US" w:eastAsia="zh-CN"/>
        </w:rPr>
      </w:pPr>
      <w:bookmarkStart w:id="717" w:name="_Toc16394"/>
      <w:bookmarkStart w:id="718" w:name="_Toc4645"/>
      <w:bookmarkStart w:id="719" w:name="_Toc22301"/>
      <w:bookmarkStart w:id="720" w:name="_Toc9366"/>
      <w:bookmarkStart w:id="721" w:name="_Toc5187"/>
      <w:bookmarkStart w:id="722" w:name="_Toc18623"/>
      <w:r>
        <w:rPr>
          <w:rFonts w:hint="default"/>
          <w:color w:val="auto"/>
          <w:lang w:val="en-US" w:eastAsia="zh-CN"/>
        </w:rPr>
        <w:t>9.3.4 危险化学品生产或者储存过程配套和辅助工程方面</w:t>
      </w:r>
      <w:bookmarkEnd w:id="717"/>
      <w:bookmarkEnd w:id="718"/>
      <w:bookmarkEnd w:id="719"/>
      <w:bookmarkEnd w:id="720"/>
      <w:bookmarkEnd w:id="721"/>
      <w:bookmarkEnd w:id="722"/>
    </w:p>
    <w:p>
      <w:pPr>
        <w:ind w:firstLine="560" w:firstLineChars="200"/>
        <w:rPr>
          <w:rFonts w:hint="default"/>
          <w:color w:val="auto"/>
          <w:lang w:val="en-US" w:eastAsia="zh-CN"/>
        </w:rPr>
      </w:pPr>
      <w:r>
        <w:rPr>
          <w:rFonts w:hint="default"/>
          <w:color w:val="auto"/>
          <w:lang w:val="en-US" w:eastAsia="zh-CN"/>
        </w:rPr>
        <w:t>1）化学品库或危险品库应按储存物品的化学物理特性分类储存，当物料性质不允许同库储存时，应采用耐火极限不低于2.00h 的防火隔墙隔开。火灾危险类别不同区域宜分别设置独立的防火分区。</w:t>
      </w:r>
    </w:p>
    <w:p>
      <w:pPr>
        <w:ind w:firstLine="560" w:firstLineChars="200"/>
        <w:rPr>
          <w:rFonts w:hint="default"/>
          <w:color w:val="auto"/>
          <w:lang w:val="en-US" w:eastAsia="zh-CN"/>
        </w:rPr>
      </w:pPr>
      <w:r>
        <w:rPr>
          <w:rFonts w:hint="default"/>
          <w:color w:val="auto"/>
          <w:lang w:val="en-US" w:eastAsia="zh-CN"/>
        </w:rPr>
        <w:t>2）拟建储罐、中转罐、计量罐、接收罐的储存系数不应大于0.85，设置液位计、压力表、放空阀；</w:t>
      </w:r>
      <w:r>
        <w:rPr>
          <w:rFonts w:hint="eastAsia"/>
          <w:color w:val="auto"/>
          <w:lang w:val="en-US" w:eastAsia="zh-CN"/>
        </w:rPr>
        <w:t>甲基丙烯酸甲酯</w:t>
      </w:r>
      <w:r>
        <w:rPr>
          <w:rFonts w:hint="default"/>
          <w:color w:val="auto"/>
          <w:lang w:val="en-US" w:eastAsia="zh-CN"/>
        </w:rPr>
        <w:t>等甲类可燃液体的计量罐、接收罐等容器应采取防止空气进入罐内的措施，并应密闭处理罐内排出的气体。</w:t>
      </w:r>
    </w:p>
    <w:p>
      <w:pPr>
        <w:ind w:firstLine="560" w:firstLineChars="200"/>
        <w:rPr>
          <w:rFonts w:hint="default"/>
          <w:color w:val="auto"/>
          <w:lang w:val="en-US" w:eastAsia="zh-CN"/>
        </w:rPr>
      </w:pPr>
      <w:r>
        <w:rPr>
          <w:rFonts w:hint="default"/>
          <w:color w:val="auto"/>
          <w:lang w:val="en-US" w:eastAsia="zh-CN"/>
        </w:rPr>
        <w:t>3）用于中转罐、计量罐、接收罐高高、低低液位报警信号的液位测量仪表应采用单独的液位连续测量仪表或液位开关，并应在自动控制系统中设置报警及联锁。</w:t>
      </w:r>
    </w:p>
    <w:p>
      <w:pPr>
        <w:ind w:firstLine="560" w:firstLineChars="200"/>
        <w:rPr>
          <w:rFonts w:hint="default"/>
          <w:color w:val="auto"/>
          <w:lang w:val="en-US" w:eastAsia="zh-CN"/>
        </w:rPr>
      </w:pPr>
      <w:r>
        <w:rPr>
          <w:rFonts w:hint="default"/>
          <w:color w:val="auto"/>
          <w:lang w:val="en-US" w:eastAsia="zh-CN"/>
        </w:rPr>
        <w:t>4）可燃液体的固定顶罐应采用氮气或惰性气体密封，并采取减少日晒升温的措施。</w:t>
      </w:r>
    </w:p>
    <w:p>
      <w:pPr>
        <w:ind w:firstLine="560" w:firstLineChars="200"/>
        <w:rPr>
          <w:rFonts w:hint="default"/>
          <w:color w:val="auto"/>
          <w:lang w:val="en-US" w:eastAsia="zh-CN"/>
        </w:rPr>
      </w:pPr>
      <w:r>
        <w:rPr>
          <w:rFonts w:hint="default"/>
          <w:color w:val="auto"/>
          <w:lang w:val="en-US" w:eastAsia="zh-CN"/>
        </w:rPr>
        <w:t>5）储罐组内存储不同品种可燃液体时，应在下列部位设置隔堤，且隔堤内有效容积不应小于其中一个最大储罐容积的10%：</w:t>
      </w:r>
    </w:p>
    <w:p>
      <w:pPr>
        <w:ind w:firstLine="560" w:firstLineChars="200"/>
        <w:rPr>
          <w:rFonts w:hint="default"/>
          <w:color w:val="auto"/>
          <w:lang w:val="en-US" w:eastAsia="zh-CN"/>
        </w:rPr>
      </w:pPr>
      <w:r>
        <w:rPr>
          <w:rFonts w:hint="default"/>
          <w:color w:val="auto"/>
          <w:lang w:val="en-US" w:eastAsia="zh-CN"/>
        </w:rPr>
        <w:t>（1）甲</w:t>
      </w:r>
      <w:r>
        <w:rPr>
          <w:rFonts w:hint="default"/>
          <w:color w:val="auto"/>
          <w:vertAlign w:val="subscript"/>
          <w:lang w:val="en-US" w:eastAsia="zh-CN"/>
        </w:rPr>
        <w:t xml:space="preserve"> B</w:t>
      </w:r>
      <w:r>
        <w:rPr>
          <w:rFonts w:hint="default"/>
          <w:color w:val="auto"/>
          <w:lang w:val="en-US" w:eastAsia="zh-CN"/>
        </w:rPr>
        <w:t>液体与其他类可燃液体储罐之间；</w:t>
      </w:r>
    </w:p>
    <w:p>
      <w:pPr>
        <w:ind w:firstLine="560" w:firstLineChars="200"/>
        <w:rPr>
          <w:rFonts w:hint="default"/>
          <w:color w:val="auto"/>
          <w:lang w:val="en-US" w:eastAsia="zh-CN"/>
        </w:rPr>
      </w:pPr>
      <w:r>
        <w:rPr>
          <w:rFonts w:hint="default"/>
          <w:color w:val="auto"/>
          <w:lang w:val="en-US" w:eastAsia="zh-CN"/>
        </w:rPr>
        <w:t>（2）水溶性与非水溶性可燃液体储罐之间；</w:t>
      </w:r>
    </w:p>
    <w:p>
      <w:pPr>
        <w:ind w:firstLine="560" w:firstLineChars="200"/>
        <w:rPr>
          <w:rFonts w:hint="default"/>
          <w:color w:val="auto"/>
          <w:lang w:val="en-US" w:eastAsia="zh-CN"/>
        </w:rPr>
      </w:pPr>
      <w:r>
        <w:rPr>
          <w:rFonts w:hint="default"/>
          <w:color w:val="auto"/>
          <w:lang w:val="en-US" w:eastAsia="zh-CN"/>
        </w:rPr>
        <w:t>（3）互相接触能引起化学反应的可燃液体储罐之间；</w:t>
      </w:r>
    </w:p>
    <w:p>
      <w:pPr>
        <w:ind w:firstLine="560" w:firstLineChars="200"/>
        <w:rPr>
          <w:rFonts w:hint="default"/>
          <w:color w:val="auto"/>
          <w:lang w:val="en-US" w:eastAsia="zh-CN"/>
        </w:rPr>
      </w:pPr>
      <w:r>
        <w:rPr>
          <w:rFonts w:hint="default"/>
          <w:color w:val="auto"/>
          <w:lang w:val="en-US" w:eastAsia="zh-CN"/>
        </w:rPr>
        <w:t>6）防火堤及隔堤设计应符合下列规定：</w:t>
      </w:r>
    </w:p>
    <w:p>
      <w:pPr>
        <w:ind w:firstLine="560" w:firstLineChars="200"/>
        <w:rPr>
          <w:rFonts w:hint="default"/>
          <w:color w:val="auto"/>
          <w:lang w:val="en-US" w:eastAsia="zh-CN"/>
        </w:rPr>
      </w:pPr>
      <w:r>
        <w:rPr>
          <w:rFonts w:hint="default"/>
          <w:color w:val="auto"/>
          <w:lang w:val="en-US" w:eastAsia="zh-CN"/>
        </w:rPr>
        <w:t>（1）防火堤及隔堤应能承受所容纳液体的静压，并应采取防渗漏措施。</w:t>
      </w:r>
    </w:p>
    <w:p>
      <w:pPr>
        <w:ind w:firstLine="560" w:firstLineChars="200"/>
        <w:rPr>
          <w:rFonts w:hint="default"/>
          <w:color w:val="auto"/>
          <w:lang w:val="en-US" w:eastAsia="zh-CN"/>
        </w:rPr>
      </w:pPr>
      <w:r>
        <w:rPr>
          <w:rFonts w:hint="default"/>
          <w:color w:val="auto"/>
          <w:lang w:val="en-US" w:eastAsia="zh-CN"/>
        </w:rPr>
        <w:t>（2）立式储罐防火堤的高度应比计算值高出0.2m，且应为1.0m～2.2m；</w:t>
      </w:r>
    </w:p>
    <w:p>
      <w:pPr>
        <w:ind w:firstLine="560" w:firstLineChars="200"/>
        <w:rPr>
          <w:rFonts w:hint="default"/>
          <w:color w:val="auto"/>
          <w:lang w:val="en-US" w:eastAsia="zh-CN"/>
        </w:rPr>
      </w:pPr>
      <w:r>
        <w:rPr>
          <w:rFonts w:hint="default"/>
          <w:color w:val="auto"/>
          <w:lang w:val="en-US" w:eastAsia="zh-CN"/>
        </w:rPr>
        <w:t>卧式储罐防火堤的高度不应低于0.5m；堤高低限以堤内设计地坪标高起算，堤高高限以堤外3m范围内设计地坪标高起算。</w:t>
      </w:r>
    </w:p>
    <w:p>
      <w:pPr>
        <w:ind w:firstLine="560" w:firstLineChars="200"/>
        <w:rPr>
          <w:rFonts w:hint="default"/>
          <w:color w:val="auto"/>
          <w:lang w:val="en-US" w:eastAsia="zh-CN"/>
        </w:rPr>
      </w:pPr>
      <w:r>
        <w:rPr>
          <w:rFonts w:hint="default"/>
          <w:color w:val="auto"/>
          <w:lang w:val="en-US" w:eastAsia="zh-CN"/>
        </w:rPr>
        <w:t>（3）立式储罐组内隔堤高度不应低于0.5m，卧式储罐组内隔堤高度不应低于0.3m。</w:t>
      </w:r>
    </w:p>
    <w:p>
      <w:pPr>
        <w:ind w:firstLine="560" w:firstLineChars="200"/>
        <w:rPr>
          <w:rFonts w:hint="default"/>
          <w:color w:val="auto"/>
          <w:lang w:val="en-US" w:eastAsia="zh-CN"/>
        </w:rPr>
      </w:pPr>
      <w:r>
        <w:rPr>
          <w:rFonts w:hint="default"/>
          <w:color w:val="auto"/>
          <w:lang w:val="en-US" w:eastAsia="zh-CN"/>
        </w:rPr>
        <w:t>（4）在管道穿堤处应采用不燃烧材料严密封堵。</w:t>
      </w:r>
    </w:p>
    <w:p>
      <w:pPr>
        <w:ind w:firstLine="560" w:firstLineChars="200"/>
        <w:rPr>
          <w:rFonts w:hint="default"/>
          <w:color w:val="auto"/>
          <w:lang w:val="en-US" w:eastAsia="zh-CN"/>
        </w:rPr>
      </w:pPr>
      <w:r>
        <w:rPr>
          <w:rFonts w:hint="default"/>
          <w:color w:val="auto"/>
          <w:lang w:val="en-US" w:eastAsia="zh-CN"/>
        </w:rPr>
        <w:t>（5）在雨水沟穿堤处应采取防止可燃液体流出堤外的措施。</w:t>
      </w:r>
    </w:p>
    <w:p>
      <w:pPr>
        <w:ind w:firstLine="560" w:firstLineChars="200"/>
        <w:rPr>
          <w:rFonts w:hint="default"/>
          <w:color w:val="auto"/>
          <w:lang w:val="en-US" w:eastAsia="zh-CN"/>
        </w:rPr>
      </w:pPr>
      <w:r>
        <w:rPr>
          <w:rFonts w:hint="default"/>
          <w:color w:val="auto"/>
          <w:lang w:val="en-US" w:eastAsia="zh-CN"/>
        </w:rPr>
        <w:t>（6）在防火堤的不同方位应设置人行台阶，同一方位上两个相邻人行台阶的距离不宜大于60m，隔堤应设置人行台阶。</w:t>
      </w:r>
    </w:p>
    <w:p>
      <w:pPr>
        <w:ind w:firstLine="560" w:firstLineChars="200"/>
        <w:rPr>
          <w:rFonts w:hint="default"/>
          <w:color w:val="auto"/>
          <w:lang w:val="en-US" w:eastAsia="zh-CN"/>
        </w:rPr>
      </w:pPr>
      <w:r>
        <w:rPr>
          <w:rFonts w:hint="default"/>
          <w:color w:val="auto"/>
          <w:lang w:val="en-US" w:eastAsia="zh-CN"/>
        </w:rPr>
        <w:t>7）库存物品应当分类、分垛储存，每垛占地面积不宜大于一百平方米，垛与垛间距不小于一米，垛与墙间距不小于零点五米，垛与梁、柱间距不小于零点三米，主要通道的宽度不小于二米。</w:t>
      </w:r>
    </w:p>
    <w:p>
      <w:pPr>
        <w:ind w:firstLine="560" w:firstLineChars="200"/>
        <w:rPr>
          <w:rFonts w:hint="default"/>
          <w:color w:val="auto"/>
          <w:lang w:val="en-US" w:eastAsia="zh-CN"/>
        </w:rPr>
      </w:pPr>
      <w:r>
        <w:rPr>
          <w:rFonts w:hint="default"/>
          <w:color w:val="auto"/>
          <w:lang w:val="en-US" w:eastAsia="zh-CN"/>
        </w:rPr>
        <w:t>8）进入生产区的所有机动车辆，必须安装阻火器。</w:t>
      </w:r>
    </w:p>
    <w:p>
      <w:pPr>
        <w:ind w:firstLine="560" w:firstLineChars="200"/>
        <w:rPr>
          <w:rFonts w:hint="default"/>
          <w:color w:val="auto"/>
          <w:lang w:val="en-US" w:eastAsia="zh-CN"/>
        </w:rPr>
      </w:pPr>
      <w:r>
        <w:rPr>
          <w:rFonts w:hint="default"/>
          <w:color w:val="auto"/>
          <w:lang w:val="en-US" w:eastAsia="zh-CN"/>
        </w:rPr>
        <w:t>9）各种机动车辆装卸物品后，不准在库区、库房、货场内停放和修理。</w:t>
      </w:r>
    </w:p>
    <w:p>
      <w:pPr>
        <w:ind w:firstLine="560" w:firstLineChars="200"/>
        <w:rPr>
          <w:rFonts w:hint="default"/>
          <w:color w:val="auto"/>
          <w:lang w:val="en-US" w:eastAsia="zh-CN"/>
        </w:rPr>
      </w:pPr>
      <w:r>
        <w:rPr>
          <w:rFonts w:hint="default"/>
          <w:color w:val="auto"/>
          <w:lang w:val="en-US" w:eastAsia="zh-CN"/>
        </w:rPr>
        <w:t>10）装卸甲类物品时，操作人员不得穿戴易产生静电的工作服、帽和使用易产生火花的工具，严防震动、撞击、重压、摩擦和倒置。对易产生静电的装卸设备要采取消除静电的措施。</w:t>
      </w:r>
    </w:p>
    <w:p>
      <w:pPr>
        <w:ind w:firstLine="560" w:firstLineChars="200"/>
        <w:rPr>
          <w:rFonts w:hint="default"/>
          <w:color w:val="auto"/>
          <w:lang w:val="en-US" w:eastAsia="zh-CN"/>
        </w:rPr>
      </w:pPr>
      <w:r>
        <w:rPr>
          <w:rFonts w:hint="default"/>
          <w:color w:val="auto"/>
          <w:lang w:val="en-US" w:eastAsia="zh-CN"/>
        </w:rPr>
        <w:t>11）储罐应根据工艺的要求，采用技术先进、性能可靠的计量、数据采集、监控、报警系统进行监视、控制及管理等工作。所选仪表应适用于储罐的设计压力及设计温度，并保证在储存介质具有腐蚀性时，与介质接触到仪表部件应具有耐腐蚀的能力。当仪表或仪表元件必须安装在罐顶时，宜布置在罐顶梯子平台附近。</w:t>
      </w:r>
    </w:p>
    <w:p>
      <w:pPr>
        <w:ind w:firstLine="560" w:firstLineChars="200"/>
        <w:rPr>
          <w:rFonts w:hint="default"/>
          <w:color w:val="auto"/>
          <w:lang w:val="en-US" w:eastAsia="zh-CN"/>
        </w:rPr>
      </w:pPr>
      <w:r>
        <w:rPr>
          <w:rFonts w:hint="default"/>
          <w:color w:val="auto"/>
          <w:lang w:val="en-US" w:eastAsia="zh-CN"/>
        </w:rPr>
        <w:t>12）成垛堆放生产物料、产品和剩余物料时，垛高、垛距应符合规定，垛的基础要牢固，不得产生下沉、歪斜或倾塌，垛之间的距离应便于机械化装卸和作业。</w:t>
      </w:r>
    </w:p>
    <w:p>
      <w:pPr>
        <w:ind w:firstLine="560" w:firstLineChars="200"/>
        <w:rPr>
          <w:rFonts w:hint="default"/>
          <w:color w:val="auto"/>
          <w:lang w:val="en-US" w:eastAsia="zh-CN"/>
        </w:rPr>
      </w:pPr>
      <w:r>
        <w:rPr>
          <w:rFonts w:hint="default"/>
          <w:color w:val="auto"/>
          <w:lang w:val="en-US" w:eastAsia="zh-CN"/>
        </w:rPr>
        <w:t>13）仪表供气管网应设置低压报警；控制室内应有供气系统的监视与报警仪表，应有气源总管压力指示和压力低限报警。</w:t>
      </w:r>
    </w:p>
    <w:p>
      <w:pPr>
        <w:ind w:firstLine="560" w:firstLineChars="200"/>
        <w:rPr>
          <w:rFonts w:hint="default"/>
          <w:color w:val="auto"/>
          <w:lang w:val="en-US" w:eastAsia="zh-CN"/>
        </w:rPr>
      </w:pPr>
      <w:r>
        <w:rPr>
          <w:rFonts w:hint="default"/>
          <w:color w:val="auto"/>
          <w:lang w:val="en-US" w:eastAsia="zh-CN"/>
        </w:rPr>
        <w:t>14）蒸汽管网应设置远传压力和总管流量，并宜设高压自动泄放控制回路和压力高低报警。</w:t>
      </w:r>
    </w:p>
    <w:p>
      <w:pPr>
        <w:ind w:firstLine="560" w:firstLineChars="200"/>
        <w:rPr>
          <w:rFonts w:hint="default"/>
          <w:color w:val="auto"/>
          <w:lang w:val="en-US" w:eastAsia="zh-CN"/>
        </w:rPr>
      </w:pPr>
      <w:r>
        <w:rPr>
          <w:rFonts w:hint="default"/>
          <w:color w:val="auto"/>
          <w:lang w:val="en-US" w:eastAsia="zh-CN"/>
        </w:rPr>
        <w:t>15）冷冻水、循环水或其它低于常温的冷却系统应当设置温度和流量（或压力）检测，并设置温度高和流量（或压力）低报警。循环水泵应设置电流信号或其它信号的停机报警，循环水总管压力低低报警信号和联锁停机信号宜发送给其服务装置。</w:t>
      </w:r>
    </w:p>
    <w:p>
      <w:pPr>
        <w:ind w:firstLine="560" w:firstLineChars="200"/>
        <w:rPr>
          <w:rFonts w:hint="default"/>
          <w:color w:val="auto"/>
          <w:lang w:val="en-US" w:eastAsia="zh-CN"/>
        </w:rPr>
      </w:pPr>
      <w:r>
        <w:rPr>
          <w:rFonts w:hint="default"/>
          <w:color w:val="auto"/>
          <w:lang w:val="en-US" w:eastAsia="zh-CN"/>
        </w:rPr>
        <w:t>16）液体进装置的管道应有坡度和低点排净措施，管道应接地。罐区储罐进液不得采用喷溅方式。</w:t>
      </w:r>
    </w:p>
    <w:p>
      <w:pPr>
        <w:ind w:firstLine="560" w:firstLineChars="200"/>
        <w:rPr>
          <w:rFonts w:hint="default"/>
          <w:color w:val="auto"/>
          <w:lang w:val="en-US" w:eastAsia="zh-CN"/>
        </w:rPr>
      </w:pPr>
      <w:r>
        <w:rPr>
          <w:rFonts w:hint="default"/>
          <w:color w:val="auto"/>
          <w:lang w:val="en-US" w:eastAsia="zh-CN"/>
        </w:rPr>
        <w:t>17）甲类物料泵出口管道应设置止回阀，止回阀应安装在靠近切断阀的上游；在泵出口阀之间应设高点排气系统，排气阀出口应引至回收系统；泵出口不保温、保温伴热或保冷的液体管道应有泄压措施。</w:t>
      </w:r>
    </w:p>
    <w:p>
      <w:pPr>
        <w:ind w:firstLine="560" w:firstLineChars="200"/>
        <w:rPr>
          <w:rFonts w:hint="default"/>
          <w:color w:val="auto"/>
          <w:lang w:val="en-US" w:eastAsia="zh-CN"/>
        </w:rPr>
      </w:pPr>
      <w:r>
        <w:rPr>
          <w:rFonts w:hint="default"/>
          <w:color w:val="auto"/>
          <w:lang w:val="en-US" w:eastAsia="zh-CN"/>
        </w:rPr>
        <w:t>18）泵区地上布置时以高出周围地坪200mm 以上。泵站周边应设置围堰；泵区地面应采用不发生火花地面。甲类液体泵区地面不应设地坑或地沟。</w:t>
      </w:r>
    </w:p>
    <w:p>
      <w:pPr>
        <w:ind w:firstLine="560" w:firstLineChars="200"/>
        <w:rPr>
          <w:rFonts w:hint="default"/>
          <w:color w:val="auto"/>
          <w:lang w:val="en-US" w:eastAsia="zh-CN"/>
        </w:rPr>
      </w:pPr>
      <w:r>
        <w:rPr>
          <w:rFonts w:hint="default"/>
          <w:color w:val="auto"/>
          <w:lang w:val="en-US" w:eastAsia="zh-CN"/>
        </w:rPr>
        <w:t>19）自动控制系统的室外仪表电缆敷设，应符合下列规定：</w:t>
      </w:r>
    </w:p>
    <w:p>
      <w:pPr>
        <w:ind w:firstLine="560" w:firstLineChars="200"/>
        <w:rPr>
          <w:rFonts w:hint="default"/>
          <w:color w:val="auto"/>
          <w:lang w:val="en-US" w:eastAsia="zh-CN"/>
        </w:rPr>
      </w:pPr>
      <w:r>
        <w:rPr>
          <w:rFonts w:hint="default"/>
          <w:color w:val="auto"/>
          <w:lang w:val="en-US" w:eastAsia="zh-CN"/>
        </w:rPr>
        <w:t>（1）在生产区敷设的仪表电缆宜采用电缆沟、电缆保护管、直埋灯地下敷设方式，采用电缆沟时应充砂填实；</w:t>
      </w:r>
    </w:p>
    <w:p>
      <w:pPr>
        <w:ind w:firstLine="560" w:firstLineChars="200"/>
        <w:rPr>
          <w:rFonts w:hint="default"/>
          <w:color w:val="auto"/>
          <w:lang w:val="en-US" w:eastAsia="zh-CN"/>
        </w:rPr>
      </w:pPr>
      <w:r>
        <w:rPr>
          <w:rFonts w:hint="default"/>
          <w:color w:val="auto"/>
          <w:lang w:val="en-US" w:eastAsia="zh-CN"/>
        </w:rPr>
        <w:t>（2）生产区局部地段确需在地面敷设的电缆，应采用镀锌钢保护管或带盖板的全封闭金属电缆槽等方式敷设；</w:t>
      </w:r>
    </w:p>
    <w:p>
      <w:pPr>
        <w:ind w:firstLine="560" w:firstLineChars="200"/>
        <w:rPr>
          <w:rFonts w:hint="default"/>
          <w:color w:val="auto"/>
          <w:lang w:val="en-US" w:eastAsia="zh-CN"/>
        </w:rPr>
      </w:pPr>
      <w:r>
        <w:rPr>
          <w:rFonts w:hint="default"/>
          <w:color w:val="auto"/>
          <w:lang w:val="en-US" w:eastAsia="zh-CN"/>
        </w:rPr>
        <w:t>（3）非生产区的仪表电缆可采用带盖板的全封闭金属电缆槽在地面以上敷设。</w:t>
      </w:r>
    </w:p>
    <w:p>
      <w:pPr>
        <w:ind w:firstLine="560" w:firstLineChars="200"/>
        <w:rPr>
          <w:rFonts w:hint="default"/>
          <w:color w:val="auto"/>
          <w:lang w:val="en-US" w:eastAsia="zh-CN"/>
        </w:rPr>
      </w:pPr>
      <w:r>
        <w:rPr>
          <w:rFonts w:hint="default"/>
          <w:color w:val="auto"/>
          <w:lang w:val="en-US" w:eastAsia="zh-CN"/>
        </w:rPr>
        <w:t>20）地上管道不应环绕罐组布置，且不应妨碍消防车的通行。设置在防火堤与消防车道之间的管道不应妨碍消防人员通行及作业。</w:t>
      </w:r>
    </w:p>
    <w:p>
      <w:pPr>
        <w:ind w:firstLine="560" w:firstLineChars="200"/>
        <w:rPr>
          <w:rFonts w:hint="default"/>
          <w:color w:val="auto"/>
          <w:lang w:val="en-US" w:eastAsia="zh-CN"/>
        </w:rPr>
      </w:pPr>
      <w:r>
        <w:rPr>
          <w:rFonts w:hint="default"/>
          <w:color w:val="auto"/>
          <w:lang w:val="en-US" w:eastAsia="zh-CN"/>
        </w:rPr>
        <w:t>21）管道的防护应符合下列规定：1 钢管及其附件的外表面，应涂刷防腐涂层，埋地钢管尚应采取防腐绝缘或其他保护措施。2 管道内液体压力有超过管道设计压力可能的工艺管道，应在适当位置设置泄压装置。3 输送易凝液体或易自聚液体的管道，应分别采取放凝或防自聚措施。</w:t>
      </w:r>
    </w:p>
    <w:p>
      <w:pPr>
        <w:ind w:firstLine="560" w:firstLineChars="200"/>
        <w:rPr>
          <w:rFonts w:hint="default"/>
          <w:color w:val="auto"/>
          <w:lang w:val="en-US" w:eastAsia="zh-CN"/>
        </w:rPr>
      </w:pPr>
      <w:r>
        <w:rPr>
          <w:rFonts w:hint="default"/>
          <w:color w:val="auto"/>
          <w:lang w:val="en-US" w:eastAsia="zh-CN"/>
        </w:rPr>
        <w:t>22）金属工艺管道连接应符合下列规定：管道之间及管道与管件之间应采用焊接连接。管道与设备、阀门、仪表之间宜采用法兰连接，采用螺纹连接时应确保连接强度和严密性。</w:t>
      </w:r>
    </w:p>
    <w:p>
      <w:pPr>
        <w:ind w:firstLine="560" w:firstLineChars="200"/>
        <w:rPr>
          <w:rFonts w:hint="default"/>
          <w:color w:val="auto"/>
          <w:lang w:val="en-US" w:eastAsia="zh-CN"/>
        </w:rPr>
      </w:pPr>
      <w:r>
        <w:rPr>
          <w:rFonts w:hint="default"/>
          <w:color w:val="auto"/>
          <w:lang w:val="en-US" w:eastAsia="zh-CN"/>
        </w:rPr>
        <w:t>23）原辅材料、产品贮存应按其性质分类，分批堆放，并应遵循先进先出的原则。应保持通风、干燥，防止日光直接照射。夏季温度过高应采取适当的降温措施。危险化学品应储存在专用的仓库中，甲类仓库内温度不宜超过 30 度；存区域应备有合适的材料、容器收集散落、泄漏物。</w:t>
      </w:r>
    </w:p>
    <w:p>
      <w:pPr>
        <w:ind w:firstLine="560" w:firstLineChars="200"/>
        <w:rPr>
          <w:rFonts w:hint="default"/>
          <w:color w:val="auto"/>
          <w:lang w:val="en-US" w:eastAsia="zh-CN"/>
        </w:rPr>
      </w:pPr>
      <w:r>
        <w:rPr>
          <w:rFonts w:hint="default"/>
          <w:color w:val="auto"/>
          <w:lang w:val="en-US" w:eastAsia="zh-CN"/>
        </w:rPr>
        <w:t>24）</w:t>
      </w:r>
      <w:r>
        <w:rPr>
          <w:rFonts w:hint="eastAsia"/>
          <w:color w:val="auto"/>
          <w:lang w:val="en-US" w:eastAsia="zh-CN"/>
        </w:rPr>
        <w:t>企业</w:t>
      </w:r>
      <w:r>
        <w:rPr>
          <w:rFonts w:hint="default"/>
          <w:color w:val="auto"/>
          <w:lang w:val="en-US" w:eastAsia="zh-CN"/>
        </w:rPr>
        <w:t>应</w:t>
      </w:r>
      <w:r>
        <w:rPr>
          <w:rFonts w:hint="eastAsia"/>
          <w:color w:val="auto"/>
          <w:lang w:val="en-US" w:eastAsia="zh-CN"/>
        </w:rPr>
        <w:t>采取防止泄露的可燃液体和受污染的消防水排出厂外的措施</w:t>
      </w:r>
      <w:r>
        <w:rPr>
          <w:rFonts w:hint="default"/>
          <w:color w:val="auto"/>
          <w:lang w:val="en-US" w:eastAsia="zh-CN"/>
        </w:rPr>
        <w:t>。</w:t>
      </w:r>
    </w:p>
    <w:p>
      <w:pPr>
        <w:ind w:firstLine="560" w:firstLineChars="200"/>
        <w:rPr>
          <w:rFonts w:hint="default"/>
          <w:color w:val="auto"/>
          <w:lang w:val="en-US" w:eastAsia="zh-CN"/>
        </w:rPr>
      </w:pPr>
      <w:r>
        <w:rPr>
          <w:rFonts w:hint="default"/>
          <w:color w:val="auto"/>
          <w:lang w:val="en-US" w:eastAsia="zh-CN"/>
        </w:rPr>
        <w:t>25）设计时考虑贮存仓库的通风设备；贮存化学危险品的建筑必须安装通风设备，并注意设备的防护措施。</w:t>
      </w:r>
    </w:p>
    <w:p>
      <w:pPr>
        <w:ind w:firstLine="560" w:firstLineChars="200"/>
        <w:rPr>
          <w:rFonts w:hint="default"/>
          <w:color w:val="auto"/>
          <w:lang w:val="en-US" w:eastAsia="zh-CN"/>
        </w:rPr>
      </w:pPr>
      <w:r>
        <w:rPr>
          <w:rFonts w:hint="default"/>
          <w:color w:val="auto"/>
          <w:lang w:val="en-US" w:eastAsia="zh-CN"/>
        </w:rPr>
        <w:t>26）应当在库房外单独安装开关箱，保管人员离库时，必须拉闸断电。禁止使用不合规格的保险装置。</w:t>
      </w:r>
    </w:p>
    <w:p>
      <w:pPr>
        <w:ind w:firstLine="560" w:firstLineChars="200"/>
        <w:rPr>
          <w:rFonts w:hint="default"/>
          <w:color w:val="auto"/>
          <w:lang w:val="en-US" w:eastAsia="zh-CN"/>
        </w:rPr>
      </w:pPr>
      <w:r>
        <w:rPr>
          <w:rFonts w:hint="default"/>
          <w:color w:val="auto"/>
          <w:lang w:val="en-US" w:eastAsia="zh-CN"/>
        </w:rPr>
        <w:t>27）装卸、搬运危险化学品时应做到轻装、轻卸。严禁摔、碰、撞击、拖拉、倾倒和滚动。不得使用沾染油污及异物和能产生火花的机具，作业现场需远离热源和火源。</w:t>
      </w:r>
    </w:p>
    <w:p>
      <w:pPr>
        <w:ind w:firstLine="560" w:firstLineChars="200"/>
        <w:rPr>
          <w:rFonts w:hint="default"/>
          <w:color w:val="auto"/>
          <w:lang w:val="en-US" w:eastAsia="zh-CN"/>
        </w:rPr>
      </w:pPr>
      <w:r>
        <w:rPr>
          <w:rFonts w:hint="default"/>
          <w:color w:val="auto"/>
          <w:lang w:val="en-US" w:eastAsia="zh-CN"/>
        </w:rPr>
        <w:t>28）装卸危险化学品时，操作人员不得做与工作无关的事情，集中精力注意装卸的情况，以便于出现异常情况时，及时采取应急措施。搬运危险化学品应轻装轻卸，桶装的易燃液体物料不得在水泥地面滚动。桶装的各种氧化剂也不得在水泥地面滚动。</w:t>
      </w:r>
    </w:p>
    <w:p>
      <w:pPr>
        <w:ind w:firstLine="560" w:firstLineChars="200"/>
        <w:rPr>
          <w:rFonts w:hint="default"/>
          <w:color w:val="auto"/>
          <w:lang w:val="en-US" w:eastAsia="zh-CN"/>
        </w:rPr>
      </w:pPr>
      <w:r>
        <w:rPr>
          <w:rFonts w:hint="default"/>
          <w:color w:val="auto"/>
          <w:lang w:val="en-US" w:eastAsia="zh-CN"/>
        </w:rPr>
        <w:t>29）槽车装卸时操作人员脱离岗位，当班不能装卸完毕或有紧急情况需交下一班次或其他人继续装卸时，一定要以书面的形式交代清楚，防止发生物料的泄漏。</w:t>
      </w:r>
    </w:p>
    <w:p>
      <w:pPr>
        <w:ind w:firstLine="560" w:firstLineChars="200"/>
        <w:rPr>
          <w:rFonts w:hint="default"/>
          <w:color w:val="auto"/>
          <w:lang w:val="en-US" w:eastAsia="zh-CN"/>
        </w:rPr>
      </w:pPr>
      <w:r>
        <w:rPr>
          <w:rFonts w:hint="default"/>
          <w:color w:val="auto"/>
          <w:lang w:val="en-US" w:eastAsia="zh-CN"/>
        </w:rPr>
        <w:t>30）机动车辆排气管必须装有有效的隔热和熄灭火星的装置，电路系统应有切断总电源和隔离火花的装置。</w:t>
      </w:r>
    </w:p>
    <w:p>
      <w:pPr>
        <w:ind w:firstLine="560" w:firstLineChars="200"/>
        <w:rPr>
          <w:rFonts w:hint="default"/>
          <w:color w:val="auto"/>
          <w:lang w:val="en-US" w:eastAsia="zh-CN"/>
        </w:rPr>
      </w:pPr>
      <w:r>
        <w:rPr>
          <w:rFonts w:hint="default"/>
          <w:color w:val="auto"/>
          <w:lang w:val="en-US" w:eastAsia="zh-CN"/>
        </w:rPr>
        <w:t>31）信号报警系统应以声、光形式表示过程参数越限和/或设备异常状态。《信号报警、安全联锁系统设计规定》2.1.1。</w:t>
      </w:r>
    </w:p>
    <w:p>
      <w:pPr>
        <w:ind w:firstLine="560" w:firstLineChars="200"/>
        <w:rPr>
          <w:rFonts w:hint="default"/>
          <w:color w:val="auto"/>
          <w:lang w:val="en-US" w:eastAsia="zh-CN"/>
        </w:rPr>
      </w:pPr>
      <w:r>
        <w:rPr>
          <w:rFonts w:hint="default"/>
          <w:color w:val="auto"/>
          <w:lang w:val="en-US" w:eastAsia="zh-CN"/>
        </w:rPr>
        <w:t>32）初步设计中应考虑配电线路装设短路保护、过负载保护和接地故障保护，作用于切断供电电源或发出报警信号。《低压配电设计规范》5.1.1。</w:t>
      </w:r>
    </w:p>
    <w:p>
      <w:pPr>
        <w:ind w:firstLine="560" w:firstLineChars="200"/>
        <w:rPr>
          <w:rFonts w:hint="default"/>
          <w:color w:val="auto"/>
          <w:lang w:val="en-US" w:eastAsia="zh-CN"/>
        </w:rPr>
      </w:pPr>
      <w:r>
        <w:rPr>
          <w:rFonts w:hint="default"/>
          <w:color w:val="auto"/>
          <w:lang w:val="en-US" w:eastAsia="zh-CN"/>
        </w:rPr>
        <w:t>33）10kV母线及10kV高压柜内真空开关，为防止操作过电压，采用避雷器及组合式过电压限制器保护。对0.4kV系统，分级采用电涌保护器保护；10/0.4kV变压器的保护：装设速断、过流、温度及单相接地保护。建议10kV母线及10kV压柜内真空开关，为防止操作过电压，采用避雷器及组合式过电压限制器保护。对0.4kV系统，分级采用电涌保护器保护。</w:t>
      </w:r>
    </w:p>
    <w:p>
      <w:pPr>
        <w:ind w:firstLine="560" w:firstLineChars="200"/>
        <w:rPr>
          <w:rFonts w:hint="default"/>
          <w:color w:val="auto"/>
          <w:lang w:val="en-US" w:eastAsia="zh-CN"/>
        </w:rPr>
      </w:pPr>
      <w:r>
        <w:rPr>
          <w:rFonts w:hint="default"/>
          <w:color w:val="auto"/>
          <w:lang w:val="en-US" w:eastAsia="zh-CN"/>
        </w:rPr>
        <w:t>34）建议380/220V用电设备的保护采用低压断路器、熔断器、智能保护器、热继电器等相应的组合作为短路、过负荷、断相、堵转及漏电保护。功率≥30 kw的电机和重要电机现场安装电流表。功率≥75 kw的电机采用软起动器。</w:t>
      </w:r>
    </w:p>
    <w:p>
      <w:pPr>
        <w:ind w:firstLine="560" w:firstLineChars="200"/>
        <w:rPr>
          <w:rFonts w:hint="default"/>
          <w:color w:val="auto"/>
          <w:lang w:val="en-US" w:eastAsia="zh-CN"/>
        </w:rPr>
      </w:pPr>
      <w:r>
        <w:rPr>
          <w:rFonts w:hint="default"/>
          <w:color w:val="auto"/>
          <w:lang w:val="en-US" w:eastAsia="zh-CN"/>
        </w:rPr>
        <w:t>35）控制室、开关室、计算机室等通往穿越楼板、墙壁、柜、盘等处所有电缆孔洞和盘面之间的缝隙应采用合格的不燃或阻燃材料封堵。电缆沟应分段作防火隔离，对敷设在隧道和架构上的电缆应采取分段阻燃措施。</w:t>
      </w:r>
    </w:p>
    <w:p>
      <w:pPr>
        <w:ind w:firstLine="560" w:firstLineChars="200"/>
        <w:rPr>
          <w:rFonts w:hint="default"/>
          <w:color w:val="auto"/>
          <w:lang w:val="en-US" w:eastAsia="zh-CN"/>
        </w:rPr>
      </w:pPr>
      <w:r>
        <w:rPr>
          <w:rFonts w:hint="default"/>
          <w:color w:val="auto"/>
          <w:lang w:val="en-US" w:eastAsia="zh-CN"/>
        </w:rPr>
        <w:t>36）在爆炸性气体环境内，低压电力、照明线路用绝缘导线和电缆的额定电压，必须不低于工作电压，且不应低于500V。工作中性线的绝缘的额定电压应与相线电压相等，并应在同一护套或管子内敷设。爆炸性气体或可燃性粉尘环境中电气线路应敷设在爆炸危险性较小的区域或距离释放源较远的位置，避开易受机械损伤、振动、腐蚀积聚以及有危险温度的场所。当不能避开时，应采取预防措施。</w:t>
      </w:r>
    </w:p>
    <w:p>
      <w:pPr>
        <w:ind w:firstLine="560" w:firstLineChars="200"/>
        <w:rPr>
          <w:rFonts w:hint="default"/>
          <w:color w:val="auto"/>
          <w:lang w:val="en-US" w:eastAsia="zh-CN"/>
        </w:rPr>
      </w:pPr>
      <w:r>
        <w:rPr>
          <w:rFonts w:hint="default"/>
          <w:color w:val="auto"/>
          <w:lang w:val="en-US" w:eastAsia="zh-CN"/>
        </w:rPr>
        <w:t>37）设置电缆的通道、导管、管道或电缆沟，应采取预防措施防止可燃性气体、蒸气或液体从这一区域传播到另一个区域，并且阻止电缆沟中可燃性气体、蒸气或液体的聚集。这些措施包括通道、导管或管道的密封。对于电缆沟，可使用充足的通风或充砂。</w:t>
      </w:r>
    </w:p>
    <w:p>
      <w:pPr>
        <w:ind w:firstLine="560" w:firstLineChars="200"/>
        <w:rPr>
          <w:rFonts w:hint="default"/>
          <w:color w:val="auto"/>
          <w:lang w:val="en-US" w:eastAsia="zh-CN"/>
        </w:rPr>
      </w:pPr>
      <w:r>
        <w:rPr>
          <w:rFonts w:hint="default"/>
          <w:color w:val="auto"/>
          <w:lang w:val="en-US" w:eastAsia="zh-CN"/>
        </w:rPr>
        <w:t>38）危险和非危险场所之间墙壁上穿过电缆和导管的开孔应充分密封，例如用砂密封或用砂浆密封。</w:t>
      </w:r>
    </w:p>
    <w:p>
      <w:pPr>
        <w:ind w:firstLine="560" w:firstLineChars="200"/>
        <w:rPr>
          <w:rFonts w:hint="default"/>
          <w:color w:val="auto"/>
          <w:lang w:val="en-US" w:eastAsia="zh-CN"/>
        </w:rPr>
      </w:pPr>
      <w:r>
        <w:rPr>
          <w:rFonts w:hint="default"/>
          <w:color w:val="auto"/>
          <w:lang w:val="en-US" w:eastAsia="zh-CN"/>
        </w:rPr>
        <w:t>39）在危险场所中使用的电缆不能有中间接头。当不能避免时，除适合于机械的、电的和环境情况外，连接应该：</w:t>
      </w:r>
    </w:p>
    <w:p>
      <w:pPr>
        <w:ind w:firstLine="560" w:firstLineChars="200"/>
        <w:rPr>
          <w:rFonts w:hint="default"/>
          <w:color w:val="auto"/>
          <w:lang w:val="en-US" w:eastAsia="zh-CN"/>
        </w:rPr>
      </w:pPr>
      <w:r>
        <w:rPr>
          <w:rFonts w:hint="default"/>
          <w:color w:val="auto"/>
          <w:lang w:val="en-US" w:eastAsia="zh-CN"/>
        </w:rPr>
        <w:t>（1）在适应于场所防爆型式的外壳内进行；</w:t>
      </w:r>
    </w:p>
    <w:p>
      <w:pPr>
        <w:ind w:firstLine="560" w:firstLineChars="200"/>
        <w:rPr>
          <w:rFonts w:hint="default"/>
          <w:color w:val="auto"/>
          <w:lang w:val="en-US" w:eastAsia="zh-CN"/>
        </w:rPr>
      </w:pPr>
      <w:r>
        <w:rPr>
          <w:rFonts w:hint="default"/>
          <w:color w:val="auto"/>
          <w:lang w:val="en-US" w:eastAsia="zh-CN"/>
        </w:rPr>
        <w:t>（2）配置的连接不能承受机械应力，应按制造厂说明，用环氧树脂、复合剂或用热缩管材进行密封（注：除本质安全系统用电缆外，后一种方法不能在1区使用）。除连接隔爆设备导管中或本安电路中导线连接外，导线连接应通过压紧连接、牢固的螺钉连接、熔焊或钎焊方式进行。如果被连结导线用适当的机械方法连在一起，然后软焊是允许的。</w:t>
      </w:r>
    </w:p>
    <w:p>
      <w:pPr>
        <w:ind w:firstLine="560" w:firstLineChars="200"/>
        <w:rPr>
          <w:rFonts w:hint="default"/>
          <w:color w:val="auto"/>
          <w:lang w:val="en-US" w:eastAsia="zh-CN"/>
        </w:rPr>
      </w:pPr>
      <w:r>
        <w:rPr>
          <w:rFonts w:hint="default"/>
          <w:color w:val="auto"/>
          <w:lang w:val="en-US" w:eastAsia="zh-CN"/>
        </w:rPr>
        <w:t>40）电气设备的金属外壳、金属构架、金属配线管及其配件、电缆保护管、电缆的金属护套等非带电的裸露金属部分均应接地。</w:t>
      </w:r>
    </w:p>
    <w:p>
      <w:pPr>
        <w:ind w:firstLine="560" w:firstLineChars="200"/>
        <w:rPr>
          <w:rFonts w:hint="default"/>
          <w:color w:val="auto"/>
          <w:lang w:val="en-US" w:eastAsia="zh-CN"/>
        </w:rPr>
      </w:pPr>
      <w:r>
        <w:rPr>
          <w:rFonts w:hint="default"/>
          <w:color w:val="auto"/>
          <w:lang w:val="en-US" w:eastAsia="zh-CN"/>
        </w:rPr>
        <w:t>41）爆炸危险场所除2区内照明灯具以外所有的电气设备，应采用专用接地线；宜采用多股软绞线，其铜芯截面积不得小于4mm</w:t>
      </w:r>
      <w:r>
        <w:rPr>
          <w:rFonts w:hint="default"/>
          <w:color w:val="auto"/>
          <w:vertAlign w:val="superscript"/>
          <w:lang w:val="en-US" w:eastAsia="zh-CN"/>
        </w:rPr>
        <w:t>2</w:t>
      </w:r>
      <w:r>
        <w:rPr>
          <w:rFonts w:hint="default"/>
          <w:color w:val="auto"/>
          <w:lang w:val="en-US" w:eastAsia="zh-CN"/>
        </w:rPr>
        <w:t>。金属管线、电缆的金属外壳等，可作为辅助接地线。中性点不接地系统，接地电阻值不大于10Ω；中性点接地系统，接地电阻值不大于4Ω。</w:t>
      </w:r>
    </w:p>
    <w:p>
      <w:pPr>
        <w:ind w:firstLine="560" w:firstLineChars="200"/>
        <w:rPr>
          <w:rFonts w:hint="default"/>
          <w:color w:val="auto"/>
          <w:lang w:val="en-US" w:eastAsia="zh-CN"/>
        </w:rPr>
      </w:pPr>
      <w:r>
        <w:rPr>
          <w:rFonts w:hint="default"/>
          <w:color w:val="auto"/>
          <w:lang w:val="en-US" w:eastAsia="zh-CN"/>
        </w:rPr>
        <w:t>42）在爆炸气体危险环境2区内的照明灯具，可利用有可靠电气连接的金属管线系统作为接地线，但不得利用输送易燃物质的管道。《危险场所电气防爆安全规范》6.1.1.4.3</w:t>
      </w:r>
    </w:p>
    <w:p>
      <w:pPr>
        <w:ind w:firstLine="560" w:firstLineChars="200"/>
        <w:rPr>
          <w:rFonts w:hint="default"/>
          <w:color w:val="auto"/>
          <w:lang w:val="en-US" w:eastAsia="zh-CN"/>
        </w:rPr>
      </w:pPr>
      <w:r>
        <w:rPr>
          <w:rFonts w:hint="default"/>
          <w:color w:val="auto"/>
          <w:lang w:val="en-US" w:eastAsia="zh-CN"/>
        </w:rPr>
        <w:t>43）接地干线应在爆炸危险区域不同方向不少于两处与接地体连接。直径大于或等于2.5m及容积大于或等于50m</w:t>
      </w:r>
      <w:r>
        <w:rPr>
          <w:rFonts w:hint="default"/>
          <w:color w:val="auto"/>
          <w:vertAlign w:val="superscript"/>
          <w:lang w:val="en-US" w:eastAsia="zh-CN"/>
        </w:rPr>
        <w:t xml:space="preserve">3 </w:t>
      </w:r>
      <w:r>
        <w:rPr>
          <w:rFonts w:hint="default"/>
          <w:color w:val="auto"/>
          <w:lang w:val="en-US" w:eastAsia="zh-CN"/>
        </w:rPr>
        <w:t>的设备，其接地点不应少于两处，接地点应沿设备外围均匀布置，其间距不应大于30m。工艺装置内露天布置的塔、容器等，当顶板厚度等于或大于4mm时，可不设接闪杆保护，但必须设防雷接地。</w:t>
      </w:r>
    </w:p>
    <w:p>
      <w:pPr>
        <w:ind w:firstLine="560" w:firstLineChars="200"/>
        <w:rPr>
          <w:rFonts w:hint="default"/>
          <w:color w:val="auto"/>
          <w:lang w:val="en-US" w:eastAsia="zh-CN"/>
        </w:rPr>
      </w:pPr>
      <w:r>
        <w:rPr>
          <w:rFonts w:hint="default"/>
          <w:color w:val="auto"/>
          <w:lang w:val="en-US" w:eastAsia="zh-CN"/>
        </w:rPr>
        <w:t>44）铠装电缆引入电气设备时，其接地芯线应与设备内接地螺栓连接，其钢带或金属护套应与设备外接地螺栓连接。</w:t>
      </w:r>
    </w:p>
    <w:p>
      <w:pPr>
        <w:ind w:firstLine="560" w:firstLineChars="200"/>
        <w:rPr>
          <w:rFonts w:hint="default"/>
          <w:color w:val="auto"/>
          <w:lang w:val="en-US" w:eastAsia="zh-CN"/>
        </w:rPr>
      </w:pPr>
      <w:r>
        <w:rPr>
          <w:rFonts w:hint="default"/>
          <w:color w:val="auto"/>
          <w:lang w:val="en-US" w:eastAsia="zh-CN"/>
        </w:rPr>
        <w:t>45）爆炸性气体环境电气线路导管系统中下列各处应设置与电气设备防爆型式相当的防爆挠性连接管：（1）电动机的进线口；（2）导管与电气设备连接有困难处；（3）导管通过建筑物的伸缩缝、沉降缝处。</w:t>
      </w:r>
    </w:p>
    <w:p>
      <w:pPr>
        <w:ind w:firstLine="560" w:firstLineChars="200"/>
        <w:rPr>
          <w:rFonts w:hint="default"/>
          <w:color w:val="auto"/>
          <w:lang w:val="en-US" w:eastAsia="zh-CN"/>
        </w:rPr>
      </w:pPr>
      <w:r>
        <w:rPr>
          <w:rFonts w:hint="default"/>
          <w:color w:val="auto"/>
          <w:lang w:val="en-US" w:eastAsia="zh-CN"/>
        </w:rPr>
        <w:t>46）凡需采用安全电压的场所，应采用安全电压，安全电压标准按《安全电压》（GB3805）执行。移动式电气设备必须安装漏电保护器。</w:t>
      </w:r>
    </w:p>
    <w:p>
      <w:pPr>
        <w:ind w:firstLine="560" w:firstLineChars="200"/>
        <w:rPr>
          <w:rFonts w:hint="default"/>
          <w:color w:val="auto"/>
          <w:lang w:val="en-US" w:eastAsia="zh-CN"/>
        </w:rPr>
      </w:pPr>
      <w:r>
        <w:rPr>
          <w:rFonts w:hint="default"/>
          <w:color w:val="auto"/>
          <w:lang w:val="en-US" w:eastAsia="zh-CN"/>
        </w:rPr>
        <w:t>47）建议变、配电室应采用自然通风并设机械通风装置。配电变压器的风扇电机应有过载、短路及断相保护。配电变压器应装有远传测温装置。</w:t>
      </w:r>
    </w:p>
    <w:p>
      <w:pPr>
        <w:ind w:firstLine="560" w:firstLineChars="200"/>
        <w:rPr>
          <w:rFonts w:hint="default"/>
          <w:color w:val="auto"/>
          <w:lang w:val="en-US" w:eastAsia="zh-CN"/>
        </w:rPr>
      </w:pPr>
      <w:r>
        <w:rPr>
          <w:rFonts w:hint="default"/>
          <w:color w:val="auto"/>
          <w:lang w:val="en-US" w:eastAsia="zh-CN"/>
        </w:rPr>
        <w:t>48）配电屏的各种通道最小宽度，应符合标准的规定。配电屏后维护通道净宽应不小于1.0 m，通道上方低于2.3 m的裸导线应加防护措施。《低压配电设计规范》3.1.9</w:t>
      </w:r>
    </w:p>
    <w:p>
      <w:pPr>
        <w:ind w:firstLine="560" w:firstLineChars="200"/>
        <w:rPr>
          <w:rFonts w:hint="default"/>
          <w:color w:val="auto"/>
          <w:lang w:val="en-US" w:eastAsia="zh-CN"/>
        </w:rPr>
      </w:pPr>
      <w:r>
        <w:rPr>
          <w:rFonts w:hint="default"/>
          <w:color w:val="auto"/>
          <w:lang w:val="en-US" w:eastAsia="zh-CN"/>
        </w:rPr>
        <w:t>49）电气设备必须选用国家定点生产的合格产品。配备电气安全工具、如绝缘操作杆、绝缘手套、绝缘鞋、验电器等并经检测合格。建议电气作业人员上岗，应按规定穿戴好劳动保护用品和正确使用符合安全要求的电气工具。建议电气操作应至少由2人执行（兼职人员必须有相应的特种作业操作证）</w:t>
      </w:r>
    </w:p>
    <w:p>
      <w:pPr>
        <w:ind w:firstLine="560" w:firstLineChars="200"/>
        <w:rPr>
          <w:rFonts w:hint="default"/>
          <w:color w:val="auto"/>
          <w:lang w:val="en-US" w:eastAsia="zh-CN"/>
        </w:rPr>
      </w:pPr>
      <w:r>
        <w:rPr>
          <w:rFonts w:hint="default"/>
          <w:color w:val="auto"/>
          <w:lang w:val="en-US" w:eastAsia="zh-CN"/>
        </w:rPr>
        <w:t>50）建议变、配电室应有“止步、高压危险”等警告标志。机旁电气操作箱应有明显的有电标志。电气控制柜应明显地标出其所控制的设备及编号。</w:t>
      </w:r>
    </w:p>
    <w:p>
      <w:pPr>
        <w:ind w:firstLine="560" w:firstLineChars="200"/>
        <w:rPr>
          <w:rFonts w:hint="default"/>
          <w:color w:val="auto"/>
          <w:lang w:val="en-US" w:eastAsia="zh-CN"/>
        </w:rPr>
      </w:pPr>
      <w:r>
        <w:rPr>
          <w:rFonts w:hint="default"/>
          <w:color w:val="auto"/>
          <w:lang w:val="en-US" w:eastAsia="zh-CN"/>
        </w:rPr>
        <w:t>51）建议防雷及接地：采用接闪带、接闪杆或装置区的金属罐做接闪器；利用建、构筑物的结构钢筋、装置的金属支架做引下装置，或采用镀锌扁钢做引下装置；接地装置尽量利用建、构筑物基础钢筋，不满足接地电阻要求时增设人工接地体。</w:t>
      </w:r>
    </w:p>
    <w:p>
      <w:pPr>
        <w:ind w:firstLine="560" w:firstLineChars="200"/>
        <w:rPr>
          <w:rFonts w:hint="default"/>
          <w:color w:val="auto"/>
          <w:lang w:val="en-US" w:eastAsia="zh-CN"/>
        </w:rPr>
      </w:pPr>
      <w:r>
        <w:rPr>
          <w:rFonts w:hint="default"/>
          <w:color w:val="auto"/>
          <w:lang w:val="en-US" w:eastAsia="zh-CN"/>
        </w:rPr>
        <w:t>52）管道在进出装置区（含生产车间）处、分岔处应进行接地。长距离无分支管道应每隔100m接地一次。平行管道净距小于100mm时，应每隔20m加跨接线。当管道交叉且净距小于100mm时，应加跨接线。当金属法兰采用金属螺栓或卡子紧固时，一般可不必另装静电连接线，但应保证至少有两台螺栓或卡子间具有良好的导电接触面。</w:t>
      </w:r>
    </w:p>
    <w:p>
      <w:pPr>
        <w:ind w:firstLine="560" w:firstLineChars="200"/>
        <w:rPr>
          <w:rFonts w:hint="default"/>
          <w:color w:val="auto"/>
          <w:lang w:val="en-US" w:eastAsia="zh-CN"/>
        </w:rPr>
      </w:pPr>
      <w:r>
        <w:rPr>
          <w:rFonts w:hint="default"/>
          <w:color w:val="auto"/>
          <w:lang w:val="en-US" w:eastAsia="zh-CN"/>
        </w:rPr>
        <w:t>53）防爆区内的钢梯、钢楼板、金属罐体、金属管道等均作接地连接，与防雷接地连成一个系统时，总接地电阻不应大于</w:t>
      </w:r>
      <w:r>
        <w:rPr>
          <w:rFonts w:hint="eastAsia"/>
          <w:color w:val="auto"/>
          <w:lang w:val="en-US" w:eastAsia="zh-CN"/>
        </w:rPr>
        <w:t>4</w:t>
      </w:r>
      <w:r>
        <w:rPr>
          <w:rFonts w:hint="default"/>
          <w:color w:val="auto"/>
          <w:lang w:val="en-US" w:eastAsia="zh-CN"/>
        </w:rPr>
        <w:t>欧姆。</w:t>
      </w:r>
    </w:p>
    <w:p>
      <w:pPr>
        <w:ind w:firstLine="560" w:firstLineChars="200"/>
        <w:rPr>
          <w:rFonts w:hint="default"/>
          <w:color w:val="auto"/>
          <w:lang w:val="en-US" w:eastAsia="zh-CN"/>
        </w:rPr>
      </w:pPr>
      <w:r>
        <w:rPr>
          <w:rFonts w:hint="default"/>
          <w:color w:val="auto"/>
          <w:lang w:val="en-US" w:eastAsia="zh-CN"/>
        </w:rPr>
        <w:t>54）该项目涉及危险固废存储。贮存容器必须有明显标志，具有耐腐蚀、耐压、密封和不与所贮存的废物发生反应等性质。在常温常压下不水解、不挥发的固体危险废物可在贮存设施内分别堆放。无法装入常用容器的危险废物、危险化学品可用防漏胶袋盛装。贮存设施周围应设置围墙、围堰或其他防护设施。贮存设施应配备通讯监控设备、照明设施、安全防护服装及工具，并设有应急防护设施。应在危险废物、危险化学品包装物的容器的适当位置粘贴危险废物标签，标签应清晰易读，不应人为遮盖或者污染。应在危险废物、危险化学品标签上详细注明主要成分、化学品名、危险情况、危险类别、安全措施、危废产生单位、地址、电话、联系人、批次、数量、产生日期等。盛装危险废物、危险化学品的容器及其材质和衬里不能与危险废物发生反应。装载液体、半固体危险废物的容器内需留足够的空间，容器顶部与液体表面之间需留高度为100mm以上的空间。危险废物储存不得超过半年。</w:t>
      </w:r>
    </w:p>
    <w:p>
      <w:pPr>
        <w:ind w:firstLine="560" w:firstLineChars="200"/>
        <w:rPr>
          <w:rFonts w:hint="default"/>
          <w:color w:val="auto"/>
          <w:lang w:val="en-US" w:eastAsia="zh-CN"/>
        </w:rPr>
      </w:pPr>
      <w:r>
        <w:rPr>
          <w:rFonts w:hint="default"/>
          <w:color w:val="auto"/>
          <w:lang w:val="en-US" w:eastAsia="zh-CN"/>
        </w:rPr>
        <w:t>55）可燃液体泵不得采用皮带传动，在爆炸危险区域内其他转动设备必须使用皮带传动时，应采用防静电传动带。</w:t>
      </w:r>
    </w:p>
    <w:p>
      <w:pPr>
        <w:ind w:firstLine="560" w:firstLineChars="200"/>
        <w:rPr>
          <w:rFonts w:hint="default"/>
          <w:color w:val="auto"/>
          <w:lang w:val="en-US" w:eastAsia="zh-CN"/>
        </w:rPr>
      </w:pPr>
      <w:r>
        <w:rPr>
          <w:rFonts w:hint="default"/>
          <w:color w:val="auto"/>
          <w:lang w:val="en-US" w:eastAsia="zh-CN"/>
        </w:rPr>
        <w:t>56）污水处理设施中易产生和聚集易燃易爆气体的场所应设置可燃气体报警仪。</w:t>
      </w:r>
    </w:p>
    <w:p>
      <w:pPr>
        <w:ind w:firstLine="560" w:firstLineChars="200"/>
        <w:rPr>
          <w:rFonts w:hint="default"/>
          <w:color w:val="auto"/>
          <w:lang w:val="en-US" w:eastAsia="zh-CN"/>
        </w:rPr>
      </w:pPr>
      <w:r>
        <w:rPr>
          <w:rFonts w:hint="default"/>
          <w:color w:val="auto"/>
          <w:lang w:val="en-US" w:eastAsia="zh-CN"/>
        </w:rPr>
        <w:t>57）污水处理系统防爆型电气设备，应根据爆炸性气体环境内爆炸性气体混合物的级别和组别确定。</w:t>
      </w:r>
    </w:p>
    <w:p>
      <w:pPr>
        <w:ind w:firstLine="560" w:firstLineChars="200"/>
        <w:rPr>
          <w:rFonts w:hint="eastAsia"/>
          <w:color w:val="auto"/>
          <w:highlight w:val="none"/>
          <w:lang w:val="en-US" w:eastAsia="zh-CN"/>
        </w:rPr>
      </w:pPr>
      <w:r>
        <w:rPr>
          <w:rFonts w:hint="eastAsia"/>
          <w:color w:val="auto"/>
          <w:highlight w:val="none"/>
          <w:lang w:val="en-US" w:eastAsia="zh-CN"/>
        </w:rPr>
        <w:t>58）气瓶应符合GB5099的规定；汇流排所连接的气瓶应有固定措施。</w:t>
      </w:r>
    </w:p>
    <w:p>
      <w:pPr>
        <w:ind w:firstLine="560" w:firstLineChars="200"/>
        <w:rPr>
          <w:rFonts w:hint="eastAsia"/>
          <w:color w:val="auto"/>
          <w:highlight w:val="none"/>
          <w:lang w:val="en-US" w:eastAsia="zh-CN"/>
        </w:rPr>
      </w:pPr>
      <w:r>
        <w:rPr>
          <w:rFonts w:hint="eastAsia"/>
          <w:color w:val="auto"/>
          <w:highlight w:val="none"/>
          <w:lang w:val="en-US" w:eastAsia="zh-CN"/>
        </w:rPr>
        <w:t>59）气瓶与汇流排连接软管不宜超过0.5m；软管应定期检查，使用后每年需要更换；气瓶与汇流排连接软管应防爆、耐磨损、耐腐蚀、具有承受气体压力的强度和阻燃特性。</w:t>
      </w:r>
    </w:p>
    <w:p>
      <w:pPr>
        <w:ind w:firstLine="560" w:firstLineChars="200"/>
        <w:rPr>
          <w:rFonts w:hint="eastAsia"/>
          <w:color w:val="auto"/>
          <w:highlight w:val="none"/>
          <w:lang w:val="en-US" w:eastAsia="zh-CN"/>
        </w:rPr>
      </w:pPr>
      <w:r>
        <w:rPr>
          <w:rFonts w:hint="eastAsia"/>
          <w:color w:val="auto"/>
          <w:highlight w:val="none"/>
          <w:lang w:val="en-US" w:eastAsia="zh-CN"/>
        </w:rPr>
        <w:t>60）气体阀要有启闭标识；气体阀要设在容易操作、便于安装、拆卸、维修的地方；气体阀应缓慢启闭。</w:t>
      </w:r>
    </w:p>
    <w:p>
      <w:pPr>
        <w:ind w:firstLine="560" w:firstLineChars="200"/>
        <w:rPr>
          <w:rFonts w:hint="eastAsia"/>
          <w:color w:val="auto"/>
          <w:highlight w:val="none"/>
          <w:lang w:val="en-US" w:eastAsia="zh-CN"/>
        </w:rPr>
      </w:pPr>
      <w:r>
        <w:rPr>
          <w:rFonts w:hint="eastAsia"/>
          <w:color w:val="auto"/>
          <w:highlight w:val="none"/>
          <w:lang w:val="en-US" w:eastAsia="zh-CN"/>
        </w:rPr>
        <w:t>61）汇流排系统应合理设置气体阀门、逆止阀、减压阀；整个汇流排系统应按照GB/T28054要求进行强度和水压试验；汇流排应按规定仅使用一种介质。</w:t>
      </w:r>
    </w:p>
    <w:p>
      <w:pPr>
        <w:ind w:firstLine="560" w:firstLineChars="200"/>
        <w:rPr>
          <w:rFonts w:hint="eastAsia"/>
          <w:color w:val="auto"/>
          <w:highlight w:val="none"/>
          <w:lang w:val="en-US" w:eastAsia="zh-CN"/>
        </w:rPr>
      </w:pPr>
      <w:r>
        <w:rPr>
          <w:rFonts w:hint="eastAsia"/>
          <w:color w:val="auto"/>
          <w:highlight w:val="none"/>
          <w:lang w:val="en-US" w:eastAsia="zh-CN"/>
        </w:rPr>
        <w:t>62）汇流排管路的定期检验周期应与气瓶组内的气瓶检验周期一致；汇流排管件的最小壁厚应不小于其连接的管路的设计壁厚。</w:t>
      </w:r>
    </w:p>
    <w:p>
      <w:pPr>
        <w:ind w:firstLine="560" w:firstLineChars="200"/>
        <w:rPr>
          <w:rFonts w:hint="eastAsia"/>
          <w:color w:val="auto"/>
          <w:highlight w:val="none"/>
          <w:lang w:val="en-US" w:eastAsia="zh-CN"/>
        </w:rPr>
      </w:pPr>
      <w:r>
        <w:rPr>
          <w:rFonts w:hint="eastAsia"/>
          <w:color w:val="auto"/>
          <w:highlight w:val="none"/>
          <w:lang w:val="en-US" w:eastAsia="zh-CN"/>
        </w:rPr>
        <w:t>63）逆止阀上要有箭头标识，通过方向与气体流向保持一致；在管路中不应使逆止阀承受重量和压力影响。</w:t>
      </w:r>
    </w:p>
    <w:p>
      <w:pPr>
        <w:ind w:firstLine="560" w:firstLineChars="200"/>
        <w:rPr>
          <w:rFonts w:hint="eastAsia"/>
          <w:color w:val="auto"/>
          <w:highlight w:val="none"/>
          <w:lang w:val="en-US" w:eastAsia="zh-CN"/>
        </w:rPr>
      </w:pPr>
      <w:r>
        <w:rPr>
          <w:rFonts w:hint="eastAsia"/>
          <w:color w:val="auto"/>
          <w:highlight w:val="none"/>
          <w:lang w:val="en-US" w:eastAsia="zh-CN"/>
        </w:rPr>
        <w:t>64）汇流排的减压阀选型、材质、性能要求等应符合GB/T12224的有关规定；保持连接部分的清洁；不同气体的减压阀不得混用。</w:t>
      </w:r>
    </w:p>
    <w:p>
      <w:pPr>
        <w:ind w:firstLine="560" w:firstLineChars="200"/>
        <w:rPr>
          <w:rFonts w:hint="eastAsia"/>
          <w:color w:val="auto"/>
          <w:highlight w:val="none"/>
          <w:lang w:val="en-US" w:eastAsia="zh-CN"/>
        </w:rPr>
      </w:pPr>
      <w:r>
        <w:rPr>
          <w:rFonts w:hint="eastAsia"/>
          <w:color w:val="auto"/>
          <w:highlight w:val="none"/>
          <w:lang w:val="en-US" w:eastAsia="zh-CN"/>
        </w:rPr>
        <w:t>65）汇流排所选用的安全阀应符合GB12241的有关规定；安全应每年检验一次，进行检验标识；安全阀开启压力为气瓶组公称工作压力的（1.4±0.05）倍；安全泄放量和安全阀的排放面积按GB150.1附录B计算。</w:t>
      </w:r>
    </w:p>
    <w:p>
      <w:pPr>
        <w:ind w:firstLine="560" w:firstLineChars="200"/>
        <w:rPr>
          <w:rFonts w:hint="eastAsia"/>
          <w:color w:val="auto"/>
          <w:highlight w:val="none"/>
          <w:lang w:val="en-US" w:eastAsia="zh-CN"/>
        </w:rPr>
      </w:pPr>
      <w:r>
        <w:rPr>
          <w:rFonts w:hint="eastAsia"/>
          <w:color w:val="auto"/>
          <w:highlight w:val="none"/>
          <w:lang w:val="en-US" w:eastAsia="zh-CN"/>
        </w:rPr>
        <w:t>66）汇流排所选用的压力表应符合GB1226的有关规定；汇流排的压力表精度应不低于1.6级，压力表的最大量程为气瓶组公称压力的（1.5-3倍）；压力表应该进行工作压力使用区域标识。</w:t>
      </w:r>
    </w:p>
    <w:p>
      <w:pPr>
        <w:ind w:firstLine="560" w:firstLineChars="200"/>
        <w:rPr>
          <w:rFonts w:hint="eastAsia"/>
          <w:color w:val="auto"/>
          <w:highlight w:val="none"/>
          <w:lang w:val="en-US" w:eastAsia="zh-CN"/>
        </w:rPr>
      </w:pPr>
      <w:r>
        <w:rPr>
          <w:rFonts w:hint="eastAsia"/>
          <w:color w:val="auto"/>
          <w:highlight w:val="none"/>
          <w:lang w:val="en-US" w:eastAsia="zh-CN"/>
        </w:rPr>
        <w:t>67）汇流排使用时应固定在墙体、框架、固定物等位置；汇流排与框架的固定应避免集中，应采用螺栓栓固等方式进行连接。</w:t>
      </w:r>
    </w:p>
    <w:p>
      <w:pPr>
        <w:ind w:firstLine="560" w:firstLineChars="200"/>
        <w:rPr>
          <w:rFonts w:hint="eastAsia"/>
          <w:color w:val="auto"/>
          <w:highlight w:val="none"/>
          <w:lang w:val="en-US" w:eastAsia="zh-CN"/>
        </w:rPr>
      </w:pPr>
      <w:r>
        <w:rPr>
          <w:rFonts w:hint="eastAsia"/>
          <w:color w:val="auto"/>
          <w:highlight w:val="none"/>
          <w:lang w:val="en-US" w:eastAsia="zh-CN"/>
        </w:rPr>
        <w:t>68）汇流排连接气瓶及连接管道，均应采取防碰撞措施。</w:t>
      </w:r>
    </w:p>
    <w:p>
      <w:pPr>
        <w:ind w:firstLine="560" w:firstLineChars="200"/>
        <w:rPr>
          <w:rFonts w:hint="eastAsia"/>
          <w:color w:val="auto"/>
          <w:highlight w:val="none"/>
          <w:lang w:val="en-US" w:eastAsia="zh-CN"/>
        </w:rPr>
      </w:pPr>
      <w:r>
        <w:rPr>
          <w:rFonts w:hint="eastAsia"/>
          <w:color w:val="auto"/>
          <w:highlight w:val="none"/>
          <w:lang w:val="en-US" w:eastAsia="zh-CN"/>
        </w:rPr>
        <w:t>69）汇流排上应设有铭牌标识；汇流排安全色应与连接的气瓶组保持一致：汇流排使用区域应设有安全标识。</w:t>
      </w:r>
    </w:p>
    <w:p>
      <w:pPr>
        <w:ind w:firstLine="560" w:firstLineChars="200"/>
        <w:rPr>
          <w:rFonts w:hint="eastAsia"/>
          <w:color w:val="auto"/>
          <w:highlight w:val="none"/>
          <w:lang w:val="en-US" w:eastAsia="zh-CN"/>
        </w:rPr>
      </w:pPr>
      <w:r>
        <w:rPr>
          <w:rFonts w:hint="eastAsia"/>
          <w:color w:val="auto"/>
          <w:highlight w:val="none"/>
          <w:lang w:val="en-US" w:eastAsia="zh-CN"/>
        </w:rPr>
        <w:t>70）氮气间应设置专用事故排风装置并且与报警系统联动。</w:t>
      </w:r>
    </w:p>
    <w:p>
      <w:pPr>
        <w:ind w:firstLine="560" w:firstLineChars="200"/>
        <w:rPr>
          <w:rFonts w:hint="default"/>
          <w:color w:val="auto"/>
          <w:highlight w:val="none"/>
          <w:lang w:val="en-US" w:eastAsia="zh-CN"/>
        </w:rPr>
      </w:pPr>
      <w:r>
        <w:rPr>
          <w:rFonts w:hint="eastAsia"/>
          <w:color w:val="auto"/>
          <w:highlight w:val="none"/>
          <w:lang w:val="en-US" w:eastAsia="zh-CN"/>
        </w:rPr>
        <w:t>71）汇流排不得逆向向气瓶充气：汇流排及其系统的搬运、装卸、储存和使用安全规定，应符合GB 34525中的有关规定：作业人员应了解汇流排所连接的气瓶瓶内气体介质的特性、相关要求和发生事故时的应急处置技术：</w:t>
      </w:r>
    </w:p>
    <w:p>
      <w:pPr>
        <w:ind w:firstLine="0" w:firstLineChars="0"/>
        <w:rPr>
          <w:rFonts w:hint="default"/>
          <w:color w:val="auto"/>
          <w:highlight w:val="none"/>
          <w:lang w:val="en-US" w:eastAsia="zh-CN"/>
        </w:rPr>
      </w:pPr>
      <w:r>
        <w:rPr>
          <w:rFonts w:hint="eastAsia"/>
          <w:color w:val="auto"/>
          <w:highlight w:val="none"/>
          <w:lang w:val="en-US" w:eastAsia="zh-CN"/>
        </w:rPr>
        <w:t>作业人员在作业中应经常检查系统安全情况，发现问题及时采取措施。</w:t>
      </w:r>
    </w:p>
    <w:p>
      <w:pPr>
        <w:pStyle w:val="4"/>
        <w:rPr>
          <w:rFonts w:hint="default"/>
          <w:color w:val="auto"/>
          <w:lang w:val="en-US" w:eastAsia="zh-CN"/>
        </w:rPr>
      </w:pPr>
      <w:bookmarkStart w:id="723" w:name="_Toc12525"/>
      <w:bookmarkStart w:id="724" w:name="_Toc24893"/>
      <w:bookmarkStart w:id="725" w:name="_Toc31115"/>
      <w:bookmarkStart w:id="726" w:name="_Toc29225"/>
      <w:bookmarkStart w:id="727" w:name="_Toc18562"/>
      <w:bookmarkStart w:id="728" w:name="_Toc17171"/>
      <w:r>
        <w:rPr>
          <w:rFonts w:hint="default"/>
          <w:color w:val="auto"/>
          <w:lang w:val="en-US" w:eastAsia="zh-CN"/>
        </w:rPr>
        <w:t>9.3.5 事故应急救援措施和器材设备方面</w:t>
      </w:r>
      <w:bookmarkEnd w:id="723"/>
      <w:bookmarkEnd w:id="724"/>
      <w:bookmarkEnd w:id="725"/>
      <w:bookmarkEnd w:id="726"/>
      <w:bookmarkEnd w:id="727"/>
      <w:bookmarkEnd w:id="728"/>
    </w:p>
    <w:p>
      <w:pPr>
        <w:ind w:firstLine="560" w:firstLineChars="200"/>
        <w:rPr>
          <w:rFonts w:hint="default"/>
          <w:color w:val="auto"/>
          <w:lang w:val="en-US" w:eastAsia="zh-CN"/>
        </w:rPr>
      </w:pPr>
      <w:r>
        <w:rPr>
          <w:rFonts w:hint="default"/>
          <w:color w:val="auto"/>
          <w:lang w:val="en-US" w:eastAsia="zh-CN"/>
        </w:rPr>
        <w:t>1）该项目中涉及“两重点一重大”。应按要求配置化学安全防护眼镜、穿防静电工作服、戴橡胶手套、过滤式防毒面具（半面罩）、空气呼吸器等防护用品。还应当配备一定数量的便携式可燃气体检测设备。</w:t>
      </w:r>
    </w:p>
    <w:p>
      <w:pPr>
        <w:ind w:firstLine="560" w:firstLineChars="200"/>
        <w:rPr>
          <w:rFonts w:hint="default"/>
          <w:color w:val="auto"/>
          <w:lang w:val="en-US" w:eastAsia="zh-CN"/>
        </w:rPr>
      </w:pPr>
      <w:r>
        <w:rPr>
          <w:rFonts w:hint="default"/>
          <w:color w:val="auto"/>
          <w:lang w:val="en-US" w:eastAsia="zh-CN"/>
        </w:rPr>
        <w:t>2）该项目涉及易燃易爆物质的生产区、存储区应设置一定数量的消防砂及相应的消防器材。喷淋冷却水、事故用惰性气体管道等的人工控制阀门，应设在距危险点较远和便于操作的地点。</w:t>
      </w:r>
    </w:p>
    <w:p>
      <w:pPr>
        <w:ind w:firstLine="560" w:firstLineChars="200"/>
        <w:rPr>
          <w:rFonts w:hint="default"/>
          <w:color w:val="auto"/>
          <w:lang w:val="en-US" w:eastAsia="zh-CN"/>
        </w:rPr>
      </w:pPr>
      <w:r>
        <w:rPr>
          <w:rFonts w:hint="default"/>
          <w:color w:val="auto"/>
          <w:lang w:val="en-US" w:eastAsia="zh-CN"/>
        </w:rPr>
        <w:t>3）企业应按照 AQ3013-2008第5.6.2条规定，在有可能产生各类危险的醒目位置设置安全标志；在产生职业危害作业场所的醒目位置设置职业危害警示标识、告知牌；至少在生产区的入口，101</w:t>
      </w:r>
      <w:r>
        <w:rPr>
          <w:rFonts w:hint="eastAsia"/>
          <w:color w:val="auto"/>
          <w:lang w:val="en-US" w:eastAsia="zh-CN"/>
        </w:rPr>
        <w:t>裂解</w:t>
      </w:r>
      <w:r>
        <w:rPr>
          <w:rFonts w:hint="default"/>
          <w:color w:val="auto"/>
          <w:lang w:val="en-US" w:eastAsia="zh-CN"/>
        </w:rPr>
        <w:t>车间、</w:t>
      </w:r>
      <w:r>
        <w:rPr>
          <w:rFonts w:hint="eastAsia"/>
          <w:color w:val="auto"/>
          <w:lang w:val="en-US" w:eastAsia="zh-CN"/>
        </w:rPr>
        <w:t>102精馏车间、</w:t>
      </w:r>
      <w:r>
        <w:rPr>
          <w:rFonts w:hint="default"/>
          <w:color w:val="auto"/>
          <w:lang w:val="en-US" w:eastAsia="zh-CN"/>
        </w:rPr>
        <w:t>20</w:t>
      </w:r>
      <w:r>
        <w:rPr>
          <w:rFonts w:hint="eastAsia"/>
          <w:color w:val="auto"/>
          <w:lang w:val="en-US" w:eastAsia="zh-CN"/>
        </w:rPr>
        <w:t>3</w:t>
      </w:r>
      <w:r>
        <w:rPr>
          <w:rFonts w:hint="default"/>
          <w:color w:val="auto"/>
          <w:lang w:val="en-US" w:eastAsia="zh-CN"/>
        </w:rPr>
        <w:t>罐区、20</w:t>
      </w:r>
      <w:r>
        <w:rPr>
          <w:rFonts w:hint="eastAsia"/>
          <w:color w:val="auto"/>
          <w:lang w:val="en-US" w:eastAsia="zh-CN"/>
        </w:rPr>
        <w:t>1甲</w:t>
      </w:r>
      <w:r>
        <w:rPr>
          <w:rFonts w:hint="default"/>
          <w:color w:val="auto"/>
          <w:lang w:val="en-US" w:eastAsia="zh-CN"/>
        </w:rPr>
        <w:t>类仓库等危险物品存在区域设置安全标志、职业危害警示标识。</w:t>
      </w:r>
    </w:p>
    <w:p>
      <w:pPr>
        <w:ind w:firstLine="560" w:firstLineChars="200"/>
        <w:rPr>
          <w:rFonts w:hint="default"/>
          <w:color w:val="auto"/>
          <w:lang w:val="en-US" w:eastAsia="zh-CN"/>
        </w:rPr>
      </w:pPr>
      <w:r>
        <w:rPr>
          <w:rFonts w:hint="default"/>
          <w:color w:val="auto"/>
          <w:lang w:val="en-US" w:eastAsia="zh-CN"/>
        </w:rPr>
        <w:t>4）罐区及工艺装置区的消火栓应在其四周道路边设置，消火栓的间距不宜超过60m。当装置内设有消防道路时，应在道路边设置消火栓。</w:t>
      </w:r>
    </w:p>
    <w:p>
      <w:pPr>
        <w:ind w:firstLine="560" w:firstLineChars="200"/>
        <w:rPr>
          <w:rFonts w:hint="default"/>
          <w:color w:val="auto"/>
          <w:lang w:val="en-US" w:eastAsia="zh-CN"/>
        </w:rPr>
      </w:pPr>
      <w:r>
        <w:rPr>
          <w:rFonts w:hint="default"/>
          <w:color w:val="auto"/>
          <w:lang w:val="en-US" w:eastAsia="zh-CN"/>
        </w:rPr>
        <w:t>5）101</w:t>
      </w:r>
      <w:r>
        <w:rPr>
          <w:rFonts w:hint="eastAsia"/>
          <w:color w:val="auto"/>
          <w:lang w:val="en-US" w:eastAsia="zh-CN"/>
        </w:rPr>
        <w:t>裂解</w:t>
      </w:r>
      <w:r>
        <w:rPr>
          <w:rFonts w:hint="default"/>
          <w:color w:val="auto"/>
          <w:lang w:val="en-US" w:eastAsia="zh-CN"/>
        </w:rPr>
        <w:t>车间</w:t>
      </w:r>
      <w:r>
        <w:rPr>
          <w:rFonts w:hint="eastAsia"/>
          <w:color w:val="auto"/>
          <w:lang w:val="en-US" w:eastAsia="zh-CN"/>
        </w:rPr>
        <w:t>、102精馏车间</w:t>
      </w:r>
      <w:r>
        <w:rPr>
          <w:rFonts w:hint="default"/>
          <w:color w:val="auto"/>
          <w:lang w:val="en-US" w:eastAsia="zh-CN"/>
        </w:rPr>
        <w:t>周围和20</w:t>
      </w:r>
      <w:r>
        <w:rPr>
          <w:rFonts w:hint="eastAsia"/>
          <w:color w:val="auto"/>
          <w:lang w:val="en-US" w:eastAsia="zh-CN"/>
        </w:rPr>
        <w:t>3</w:t>
      </w:r>
      <w:r>
        <w:rPr>
          <w:rFonts w:hint="default"/>
          <w:color w:val="auto"/>
          <w:lang w:val="en-US" w:eastAsia="zh-CN"/>
        </w:rPr>
        <w:t>罐区</w:t>
      </w:r>
      <w:r>
        <w:rPr>
          <w:rFonts w:hint="eastAsia"/>
          <w:color w:val="auto"/>
          <w:lang w:val="en-US" w:eastAsia="zh-CN"/>
        </w:rPr>
        <w:t>、201甲类仓库</w:t>
      </w:r>
      <w:r>
        <w:rPr>
          <w:rFonts w:hint="default"/>
          <w:color w:val="auto"/>
          <w:lang w:val="en-US" w:eastAsia="zh-CN"/>
        </w:rPr>
        <w:t>四周道路边应设置手动火灾报警按钮，其间距不宜大于100m。</w:t>
      </w:r>
    </w:p>
    <w:p>
      <w:pPr>
        <w:ind w:firstLine="560" w:firstLineChars="200"/>
        <w:rPr>
          <w:rFonts w:hint="default"/>
          <w:color w:val="auto"/>
          <w:lang w:val="en-US" w:eastAsia="zh-CN"/>
        </w:rPr>
      </w:pPr>
      <w:r>
        <w:rPr>
          <w:rFonts w:hint="default"/>
          <w:color w:val="auto"/>
          <w:lang w:val="en-US" w:eastAsia="zh-CN"/>
        </w:rPr>
        <w:t xml:space="preserve">6）在 </w:t>
      </w:r>
      <w:r>
        <w:rPr>
          <w:rFonts w:hint="eastAsia"/>
          <w:color w:val="auto"/>
          <w:lang w:val="en-US" w:eastAsia="zh-CN"/>
        </w:rPr>
        <w:t>101裂解车间</w:t>
      </w:r>
      <w:r>
        <w:rPr>
          <w:rFonts w:hint="default"/>
          <w:color w:val="auto"/>
          <w:lang w:val="en-US" w:eastAsia="zh-CN"/>
        </w:rPr>
        <w:t>或高处设置风向袋或风向标，在厂区常年主导风向的两侧设立安全区域；用于人员疏散或集结，应急疏散路线和安全集结区域应有明显的标志。</w:t>
      </w:r>
    </w:p>
    <w:p>
      <w:pPr>
        <w:ind w:firstLine="560" w:firstLineChars="200"/>
        <w:rPr>
          <w:rFonts w:hint="default"/>
          <w:color w:val="auto"/>
          <w:lang w:val="en-US" w:eastAsia="zh-CN"/>
        </w:rPr>
      </w:pPr>
      <w:r>
        <w:rPr>
          <w:rFonts w:hint="default"/>
          <w:color w:val="auto"/>
          <w:lang w:val="en-US" w:eastAsia="zh-CN"/>
        </w:rPr>
        <w:t>7）存在易燃易爆气体的20</w:t>
      </w:r>
      <w:r>
        <w:rPr>
          <w:rFonts w:hint="eastAsia"/>
          <w:color w:val="auto"/>
          <w:lang w:val="en-US" w:eastAsia="zh-CN"/>
        </w:rPr>
        <w:t>1甲</w:t>
      </w:r>
      <w:r>
        <w:rPr>
          <w:rFonts w:hint="default"/>
          <w:color w:val="auto"/>
          <w:lang w:val="en-US" w:eastAsia="zh-CN"/>
        </w:rPr>
        <w:t>类仓库应设置机械通风进行日常通风和事故通风，通风换气次数&gt;12次/时。事故通风装置应与可燃有毒检测报警装置联锁。</w:t>
      </w:r>
    </w:p>
    <w:p>
      <w:pPr>
        <w:ind w:firstLine="560" w:firstLineChars="200"/>
        <w:rPr>
          <w:rFonts w:hint="default"/>
          <w:color w:val="auto"/>
          <w:lang w:val="en-US" w:eastAsia="zh-CN"/>
        </w:rPr>
      </w:pPr>
      <w:r>
        <w:rPr>
          <w:rFonts w:hint="default"/>
          <w:color w:val="auto"/>
          <w:lang w:val="en-US" w:eastAsia="zh-CN"/>
        </w:rPr>
        <w:t>8）控制室、配电室等应设置感温、感烟报警探测器等火灾报警系统，生产装置甲类车间、储存区域设置火灾报警系统及手动报警按钮。</w:t>
      </w:r>
    </w:p>
    <w:p>
      <w:pPr>
        <w:ind w:firstLine="560" w:firstLineChars="200"/>
        <w:rPr>
          <w:rFonts w:hint="default"/>
          <w:color w:val="auto"/>
          <w:lang w:val="en-US" w:eastAsia="zh-CN"/>
        </w:rPr>
      </w:pPr>
      <w:r>
        <w:rPr>
          <w:rFonts w:hint="default"/>
          <w:color w:val="auto"/>
          <w:lang w:val="en-US" w:eastAsia="zh-CN"/>
        </w:rPr>
        <w:t>9）消防控制室、配电室、防烟与排烟机房、发电机房、UPS 室和蓄电池室等自备电源室、通信机房、大中型电子计算机房、中控室等电气控制室、仪表室以及发生火灾时仍应正常工作的其他房间应设置消防应急照明。</w:t>
      </w:r>
    </w:p>
    <w:p>
      <w:pPr>
        <w:ind w:firstLine="560" w:firstLineChars="200"/>
        <w:rPr>
          <w:rFonts w:hint="default"/>
          <w:color w:val="auto"/>
          <w:lang w:val="en-US" w:eastAsia="zh-CN"/>
        </w:rPr>
      </w:pPr>
      <w:r>
        <w:rPr>
          <w:rFonts w:hint="default"/>
          <w:color w:val="auto"/>
          <w:lang w:val="en-US" w:eastAsia="zh-CN"/>
        </w:rPr>
        <w:t>10）中控室、消防控制室等在发生火灾时应正常工作的房间，消防作业面的最低照度不应低于正常照明的照度，连续供电时间应满足火灾时工作的需要，且不应少于3.0h。</w:t>
      </w:r>
    </w:p>
    <w:p>
      <w:pPr>
        <w:ind w:firstLine="560" w:firstLineChars="200"/>
        <w:rPr>
          <w:rFonts w:hint="default"/>
          <w:color w:val="auto"/>
          <w:lang w:val="en-US" w:eastAsia="zh-CN"/>
        </w:rPr>
      </w:pPr>
      <w:r>
        <w:rPr>
          <w:rFonts w:hint="default"/>
          <w:color w:val="auto"/>
          <w:lang w:val="en-US" w:eastAsia="zh-CN"/>
        </w:rPr>
        <w:t>11）消防应急照明在主要通道地面上的最低水平照度值不应低于11x，消防应急照明灯具和疏散指示标志灯具的蓄电池连续供电时间不应少于90min。</w:t>
      </w:r>
    </w:p>
    <w:p>
      <w:pPr>
        <w:ind w:firstLine="560" w:firstLineChars="200"/>
        <w:rPr>
          <w:rFonts w:hint="default"/>
          <w:color w:val="auto"/>
          <w:lang w:val="en-US" w:eastAsia="zh-CN"/>
        </w:rPr>
      </w:pPr>
      <w:r>
        <w:rPr>
          <w:rFonts w:hint="default"/>
          <w:color w:val="auto"/>
          <w:lang w:val="en-US" w:eastAsia="zh-CN"/>
        </w:rPr>
        <w:t>12）项目单位应当依据实际情况，编制生产安全事故应急预案，应急预案的编制应按照《生产经营单位生产安全事故应急预案编制导则》（GB/T29639-2020）进行；配合地方人民政府应急管理部门制定所在地区涉及本单位的危险化学品事故应急预案。</w:t>
      </w:r>
    </w:p>
    <w:p>
      <w:pPr>
        <w:pStyle w:val="4"/>
        <w:rPr>
          <w:rFonts w:hint="default"/>
          <w:color w:val="auto"/>
          <w:lang w:val="en-US" w:eastAsia="zh-CN"/>
        </w:rPr>
      </w:pPr>
      <w:bookmarkStart w:id="729" w:name="_Toc11090"/>
      <w:bookmarkStart w:id="730" w:name="_Toc1158"/>
      <w:bookmarkStart w:id="731" w:name="_Toc26319"/>
      <w:bookmarkStart w:id="732" w:name="_Toc27801"/>
      <w:bookmarkStart w:id="733" w:name="_Toc20293"/>
      <w:bookmarkStart w:id="734" w:name="_Toc23587"/>
      <w:r>
        <w:rPr>
          <w:rFonts w:hint="default"/>
          <w:color w:val="auto"/>
          <w:lang w:val="en-US" w:eastAsia="zh-CN"/>
        </w:rPr>
        <w:t>9.3.6 安全管理方面</w:t>
      </w:r>
      <w:bookmarkEnd w:id="729"/>
      <w:bookmarkEnd w:id="730"/>
      <w:bookmarkEnd w:id="731"/>
      <w:bookmarkEnd w:id="732"/>
      <w:bookmarkEnd w:id="733"/>
      <w:bookmarkEnd w:id="734"/>
    </w:p>
    <w:p>
      <w:pPr>
        <w:ind w:firstLine="560" w:firstLineChars="200"/>
        <w:rPr>
          <w:rFonts w:hint="default"/>
          <w:color w:val="auto"/>
          <w:lang w:val="en-US" w:eastAsia="zh-CN"/>
        </w:rPr>
      </w:pPr>
      <w:r>
        <w:rPr>
          <w:rFonts w:hint="default"/>
          <w:color w:val="auto"/>
          <w:lang w:val="en-US" w:eastAsia="zh-CN"/>
        </w:rPr>
        <w:t>1）该项目建成后专职安全生产管理人员应不少于企业员工总数的 2%（企业拟定员</w:t>
      </w:r>
      <w:r>
        <w:rPr>
          <w:rFonts w:hint="eastAsia"/>
          <w:color w:val="auto"/>
          <w:lang w:val="en-US" w:eastAsia="zh-CN"/>
        </w:rPr>
        <w:t>5</w:t>
      </w:r>
      <w:r>
        <w:rPr>
          <w:rFonts w:hint="default"/>
          <w:color w:val="auto"/>
          <w:lang w:val="en-US" w:eastAsia="zh-CN"/>
        </w:rPr>
        <w:t>5人，应至少配备1名专职安全管理人员），新入职的主要负责人和主管生产、设备、技术、安全的负责人及安全生产管理人员必须具备化学、化工、安全等相关专业大专及以上学历或化工类中级及以上职称，应至少配备1名注册安全工程师。企业现有的主要负责人和主管生产、设备、技术、安全的负责人及安全生产管理人员等有关从业人员资质不符合《江西省危险化学品安全专项整治三年行动实施方案》要求的，应按要求进行学历提升。</w:t>
      </w:r>
    </w:p>
    <w:p>
      <w:pPr>
        <w:ind w:firstLine="560" w:firstLineChars="200"/>
        <w:rPr>
          <w:rFonts w:hint="default"/>
          <w:color w:val="auto"/>
          <w:lang w:val="en-US" w:eastAsia="zh-CN"/>
        </w:rPr>
      </w:pPr>
      <w:r>
        <w:rPr>
          <w:rFonts w:hint="default"/>
          <w:color w:val="auto"/>
          <w:lang w:val="en-US" w:eastAsia="zh-CN"/>
        </w:rPr>
        <w:t>2）</w:t>
      </w:r>
      <w:r>
        <w:rPr>
          <w:rFonts w:hint="eastAsia" w:ascii="宋体" w:hAnsi="宋体" w:eastAsia="宋体" w:cs="宋体"/>
          <w:color w:val="auto"/>
          <w:kern w:val="0"/>
          <w:sz w:val="28"/>
          <w:szCs w:val="28"/>
        </w:rPr>
        <w:t>建设单位应加强建设项目变更管理，在项目建设过程中工艺、技术、设备、设施等变更的，在变更前应开展风险评估、制定变更方案、</w:t>
      </w:r>
      <w:r>
        <w:rPr>
          <w:rFonts w:hint="eastAsia" w:ascii="宋体" w:hAnsi="宋体" w:eastAsia="宋体" w:cs="宋体"/>
          <w:color w:val="auto"/>
          <w:kern w:val="0"/>
          <w:sz w:val="28"/>
          <w:szCs w:val="28"/>
          <w:lang w:eastAsia="zh-CN"/>
        </w:rPr>
        <w:t>进行变更设计、</w:t>
      </w:r>
      <w:r>
        <w:rPr>
          <w:rFonts w:hint="eastAsia" w:ascii="宋体" w:hAnsi="宋体" w:eastAsia="宋体" w:cs="宋体"/>
          <w:color w:val="auto"/>
          <w:kern w:val="0"/>
          <w:sz w:val="28"/>
          <w:szCs w:val="28"/>
        </w:rPr>
        <w:t>履行变更手续。</w:t>
      </w:r>
    </w:p>
    <w:p>
      <w:pPr>
        <w:ind w:firstLine="560" w:firstLineChars="200"/>
        <w:rPr>
          <w:rFonts w:hint="default"/>
          <w:color w:val="auto"/>
          <w:lang w:val="en-US" w:eastAsia="zh-CN"/>
        </w:rPr>
      </w:pPr>
      <w:r>
        <w:rPr>
          <w:rFonts w:hint="eastAsia"/>
          <w:color w:val="auto"/>
          <w:lang w:val="en-US" w:eastAsia="zh-CN"/>
        </w:rPr>
        <w:t>3</w:t>
      </w:r>
      <w:r>
        <w:rPr>
          <w:rFonts w:hint="default"/>
          <w:color w:val="auto"/>
          <w:lang w:val="en-US" w:eastAsia="zh-CN"/>
        </w:rPr>
        <w:t>）项目建成后应对生产储存装置的风险辨识分析，针对装置不同的复杂程度，选用安全检查表、工作危害分析、预危险性分析、故障类型和影响分析（FMEA）、HAZOP 技术等方法或多种方法组合，可每5年进行一次。企业管理机构、人员构成、生产装置等发生重大变化或发生生产安全事故时，要及时进行风险辨识分析。企业要组织所有人员参与风险辨识分析，力求风险辨识分析全覆盖。</w:t>
      </w:r>
    </w:p>
    <w:p>
      <w:pPr>
        <w:ind w:firstLine="560" w:firstLineChars="200"/>
        <w:rPr>
          <w:rFonts w:hint="default"/>
          <w:color w:val="auto"/>
          <w:lang w:val="en-US" w:eastAsia="zh-CN"/>
        </w:rPr>
      </w:pPr>
      <w:r>
        <w:rPr>
          <w:rFonts w:hint="eastAsia"/>
          <w:color w:val="auto"/>
          <w:lang w:val="en-US" w:eastAsia="zh-CN"/>
        </w:rPr>
        <w:t>4</w:t>
      </w:r>
      <w:r>
        <w:rPr>
          <w:rFonts w:hint="default"/>
          <w:color w:val="auto"/>
          <w:lang w:val="en-US" w:eastAsia="zh-CN"/>
        </w:rPr>
        <w:t>）企业应根据建设项目生产工艺、技术、设备特点，原材料、辅助材料及产品的危险性，组织有关技术人员和有经验的员工，对所有的操作活动进行风险分析，制定相应的控制和预防措施，作为编制操作规程的依据，并根据生产操作岗位的设立情况，编制操作规程，并发放到相关岗位。</w:t>
      </w:r>
    </w:p>
    <w:p>
      <w:pPr>
        <w:ind w:firstLine="560" w:firstLineChars="200"/>
        <w:rPr>
          <w:rFonts w:hint="default"/>
          <w:color w:val="auto"/>
          <w:lang w:val="en-US" w:eastAsia="zh-CN"/>
        </w:rPr>
      </w:pPr>
      <w:r>
        <w:rPr>
          <w:rFonts w:hint="eastAsia"/>
          <w:color w:val="auto"/>
          <w:lang w:val="en-US" w:eastAsia="zh-CN"/>
        </w:rPr>
        <w:t>5</w:t>
      </w:r>
      <w:r>
        <w:rPr>
          <w:rFonts w:hint="default"/>
          <w:color w:val="auto"/>
          <w:lang w:val="en-US" w:eastAsia="zh-CN"/>
        </w:rPr>
        <w:t>）操作规程应包括下列内容：a)开车操作程序；b)停车操作程序；c)正常运行操作程序；d)紧急停车操作程序；e)接触化学品的危险性；f)各种操作参数、指标；g)操作过程安全注意事项；h)异常情况安全处置措施；i)配置的安全设施，包括事故应急处置设施、个体安全防护设施；j)自救药品等。</w:t>
      </w:r>
    </w:p>
    <w:p>
      <w:pPr>
        <w:ind w:firstLine="560" w:firstLineChars="200"/>
        <w:rPr>
          <w:rFonts w:hint="default"/>
          <w:color w:val="auto"/>
          <w:lang w:val="en-US" w:eastAsia="zh-CN"/>
        </w:rPr>
      </w:pPr>
      <w:r>
        <w:rPr>
          <w:rFonts w:hint="eastAsia"/>
          <w:color w:val="auto"/>
          <w:lang w:val="en-US" w:eastAsia="zh-CN"/>
        </w:rPr>
        <w:t>6</w:t>
      </w:r>
      <w:r>
        <w:rPr>
          <w:rFonts w:hint="default"/>
          <w:color w:val="auto"/>
          <w:lang w:val="en-US" w:eastAsia="zh-CN"/>
        </w:rPr>
        <w:t>）新装置投用前企业应规定从业人员文化素质要求，变招工为招生，加强从业人员专业技能培养。工厂开工建设后，企业就应招录操作人员，使操作人员在上岗前先接受规范的基础知识和专业理论培训。装置试生产前，企业要完成全体管理人员和操作人员岗位技能培训，确保全体管理人员和操作人员考核合格后参加全过程的生产准备。</w:t>
      </w:r>
    </w:p>
    <w:p>
      <w:pPr>
        <w:ind w:firstLine="560" w:firstLineChars="200"/>
        <w:rPr>
          <w:rFonts w:hint="default"/>
          <w:color w:val="auto"/>
          <w:lang w:val="en-US" w:eastAsia="zh-CN"/>
        </w:rPr>
      </w:pPr>
      <w:r>
        <w:rPr>
          <w:rFonts w:hint="eastAsia"/>
          <w:color w:val="auto"/>
          <w:lang w:val="en-US" w:eastAsia="zh-CN"/>
        </w:rPr>
        <w:t>7</w:t>
      </w:r>
      <w:r>
        <w:rPr>
          <w:rFonts w:hint="default"/>
          <w:color w:val="auto"/>
          <w:lang w:val="en-US" w:eastAsia="zh-CN"/>
        </w:rPr>
        <w:t>）企业应在重点岗位设置岗位标识。</w:t>
      </w:r>
    </w:p>
    <w:p>
      <w:pPr>
        <w:ind w:firstLine="560" w:firstLineChars="200"/>
        <w:rPr>
          <w:rFonts w:hint="default"/>
          <w:color w:val="auto"/>
          <w:lang w:val="en-US" w:eastAsia="zh-CN"/>
        </w:rPr>
      </w:pPr>
      <w:r>
        <w:rPr>
          <w:rFonts w:hint="eastAsia"/>
          <w:color w:val="auto"/>
          <w:lang w:val="en-US" w:eastAsia="zh-CN"/>
        </w:rPr>
        <w:t>8</w:t>
      </w:r>
      <w:r>
        <w:rPr>
          <w:rFonts w:hint="default"/>
          <w:color w:val="auto"/>
          <w:lang w:val="en-US" w:eastAsia="zh-CN"/>
        </w:rPr>
        <w:t>）使用有毒物品作业场所应当设置黄色区域警示线、警示标识和中文警示说明。警示说明应当载明产生职业中毒危害的种类、后果、预防以及应急救治措施等内容。</w:t>
      </w:r>
    </w:p>
    <w:p>
      <w:pPr>
        <w:ind w:firstLine="560" w:firstLineChars="200"/>
        <w:rPr>
          <w:rFonts w:hint="default"/>
          <w:color w:val="auto"/>
          <w:lang w:val="en-US" w:eastAsia="zh-CN"/>
        </w:rPr>
      </w:pPr>
      <w:r>
        <w:rPr>
          <w:rFonts w:hint="eastAsia"/>
          <w:color w:val="auto"/>
          <w:lang w:val="en-US" w:eastAsia="zh-CN"/>
        </w:rPr>
        <w:t>9</w:t>
      </w:r>
      <w:r>
        <w:rPr>
          <w:rFonts w:hint="default"/>
          <w:color w:val="auto"/>
          <w:lang w:val="en-US" w:eastAsia="zh-CN"/>
        </w:rPr>
        <w:t>）鉴于该项目具有火灾、爆炸等危险、有害性，根据国家有关规定，必须对所有上岗职工（或转岗）必须进行上岗前的专业培训和安全技术知识教育，考试合格后方可上岗。</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0</w:t>
      </w:r>
      <w:r>
        <w:rPr>
          <w:rFonts w:hint="default"/>
          <w:color w:val="auto"/>
          <w:lang w:val="en-US" w:eastAsia="zh-CN"/>
        </w:rPr>
        <w:t>）该项目单位在项目投产后应在存在危险有害因素的工作场所设置明显的安全警示标志，制定危险作业管理制度，并告知从业人员和相关人员在紧急情况下应当采取的应急措施。</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1</w:t>
      </w:r>
      <w:r>
        <w:rPr>
          <w:rFonts w:hint="default"/>
          <w:color w:val="auto"/>
          <w:lang w:val="en-US" w:eastAsia="zh-CN"/>
        </w:rPr>
        <w:t>）应根据《危险化学品建设项目安全监督管理办法》（国家安监总局第79号令修改）的规定，安全设施设计应由取得化工类乙级以上设计资质的单位进行，并报经有关部门审查，按照批准的设计施工，未经审查批准的，不得进行施工。安全设施的施工应当由取得相应施工资质的施工单位进行。</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2</w:t>
      </w:r>
      <w:r>
        <w:rPr>
          <w:rFonts w:hint="default"/>
          <w:color w:val="auto"/>
          <w:lang w:val="en-US" w:eastAsia="zh-CN"/>
        </w:rPr>
        <w:t>）要选择有资质的电气、设备、建筑、仪表施工单位进行施工或安装、调试。同时，要选择有监理资质的单位做好监理工作。</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3</w:t>
      </w:r>
      <w:r>
        <w:rPr>
          <w:rFonts w:hint="default"/>
          <w:color w:val="auto"/>
          <w:lang w:val="en-US" w:eastAsia="zh-CN"/>
        </w:rPr>
        <w:t>）建设单位应当具备的安全生产条件所必需的资金投入。在建设项目的实施过程中，安全设施投资应当纳入建设项目概算。由于安全生产所必需的资金投入不足导致的后果由建设单位的决策机构、主要负责人承担责任。</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4</w:t>
      </w:r>
      <w:r>
        <w:rPr>
          <w:rFonts w:hint="default"/>
          <w:color w:val="auto"/>
          <w:lang w:val="en-US" w:eastAsia="zh-CN"/>
        </w:rPr>
        <w:t>）按照GB7231、GB2893、GB2894的规定涂安全色并设安全标志和标识，设备、管道上应有介质名称、流向等标识。</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5</w:t>
      </w:r>
      <w:r>
        <w:rPr>
          <w:rFonts w:hint="default"/>
          <w:color w:val="auto"/>
          <w:lang w:val="en-US" w:eastAsia="zh-CN"/>
        </w:rPr>
        <w:t>）应在危险场所张贴或栓挂安全周知卡。凡容易发生事故及危害生命安全的场所以及需要提醒人员注意的地点，均按标准设置各种安全标志。</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6</w:t>
      </w:r>
      <w:r>
        <w:rPr>
          <w:rFonts w:hint="default"/>
          <w:color w:val="auto"/>
          <w:lang w:val="en-US" w:eastAsia="zh-CN"/>
        </w:rPr>
        <w:t>）生产场所与作业地点的紧急通道和紧急出入口均应设置明显的标志和指示箭头。</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7</w:t>
      </w:r>
      <w:r>
        <w:rPr>
          <w:rFonts w:hint="default"/>
          <w:color w:val="auto"/>
          <w:lang w:val="en-US" w:eastAsia="zh-CN"/>
        </w:rPr>
        <w:t>）必须按规定向作业人员发放危险安全技术说明书（MSDS），安全技术说明书的编写应符合GB/T16483-2008《化学品安全技术说明书 内容和项目顺序》；现场设置危险告知牌，向周边企业、社区发布安全信息。</w:t>
      </w:r>
    </w:p>
    <w:p>
      <w:pPr>
        <w:ind w:firstLine="560" w:firstLineChars="200"/>
        <w:rPr>
          <w:rFonts w:hint="default"/>
          <w:color w:val="auto"/>
          <w:lang w:val="en-US" w:eastAsia="zh-CN"/>
        </w:rPr>
      </w:pPr>
      <w:r>
        <w:rPr>
          <w:rFonts w:hint="eastAsia"/>
          <w:color w:val="auto"/>
          <w:lang w:val="en-US" w:eastAsia="zh-CN"/>
        </w:rPr>
        <w:t>18</w:t>
      </w:r>
      <w:r>
        <w:rPr>
          <w:rFonts w:hint="default"/>
          <w:color w:val="auto"/>
          <w:lang w:val="en-US" w:eastAsia="zh-CN"/>
        </w:rPr>
        <w:t>）新设备投产前或检修后，应根据工艺要求进行测试和模拟试验，确保各种联锁控制达到控制要求。阀门开关到位，保证各种联锁保护控制动作灵敏、可靠。</w:t>
      </w:r>
    </w:p>
    <w:p>
      <w:pPr>
        <w:ind w:firstLine="560" w:firstLineChars="200"/>
        <w:rPr>
          <w:rFonts w:hint="default"/>
          <w:color w:val="auto"/>
          <w:lang w:val="en-US" w:eastAsia="zh-CN"/>
        </w:rPr>
      </w:pPr>
      <w:r>
        <w:rPr>
          <w:rFonts w:hint="eastAsia"/>
          <w:color w:val="auto"/>
          <w:lang w:val="en-US" w:eastAsia="zh-CN"/>
        </w:rPr>
        <w:t>19</w:t>
      </w:r>
      <w:r>
        <w:rPr>
          <w:rFonts w:hint="default"/>
          <w:color w:val="auto"/>
          <w:lang w:val="en-US" w:eastAsia="zh-CN"/>
        </w:rPr>
        <w:t>）控制系统工艺组态后，应进行功能测试，确认自动控制警报联锁系统灵敏可靠，方可投入使用。</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0</w:t>
      </w:r>
      <w:r>
        <w:rPr>
          <w:rFonts w:hint="default"/>
          <w:color w:val="auto"/>
          <w:lang w:val="en-US" w:eastAsia="zh-CN"/>
        </w:rPr>
        <w:t>）对重复使用的危险化学品包装物、容器，使用单位在重复使用前应当进行检查；发现存在安全隐患的，应当维修或者更换。使用单位应当对检查情况作出记录，记录的保存期限不得少于2年。</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1</w:t>
      </w:r>
      <w:r>
        <w:rPr>
          <w:rFonts w:hint="default"/>
          <w:color w:val="auto"/>
          <w:lang w:val="en-US" w:eastAsia="zh-CN"/>
        </w:rPr>
        <w:t>）企业检维修作业要建立并不断完善危险作业许可制度，规范动火、进入受限空间、动土、临时用电、高处作业、断路、吊装、抽堵盲板等特殊作业安全条件和审批程序。实施特殊作业前，必须办理审批手续。</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2</w:t>
      </w:r>
      <w:r>
        <w:rPr>
          <w:rFonts w:hint="default"/>
          <w:color w:val="auto"/>
          <w:lang w:val="en-US" w:eastAsia="zh-CN"/>
        </w:rPr>
        <w:t>）企业检维修作业前，必须进行风险分析、确认安全条件，确保作业人员了解作业风险和掌握风险控制措施、作业环境符合安全要求、预防和控制风险措施得到落实。危险作业审批人员要在现场检查确认后签发作业许可证。现场监护人员要熟悉作业范围内的工艺、设备和物料状态，具备应急救援和处置能力。作业过程中，管理人员要加强现场监督检查，严禁监护人员擅离现场。</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3</w:t>
      </w:r>
      <w:r>
        <w:rPr>
          <w:rFonts w:hint="default"/>
          <w:color w:val="auto"/>
          <w:lang w:val="en-US" w:eastAsia="zh-CN"/>
        </w:rPr>
        <w:t>）直接从事特种作业的从业人员应根据《特种作业人员安全技术培训考核管理规定》，必须接受专业培训，并取得专业培训合格和上岗证，方可上岗作业。</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4</w:t>
      </w:r>
      <w:r>
        <w:rPr>
          <w:rFonts w:hint="default"/>
          <w:color w:val="auto"/>
          <w:lang w:val="en-US" w:eastAsia="zh-CN"/>
        </w:rPr>
        <w:t>）事故状态下，303事故</w:t>
      </w:r>
      <w:r>
        <w:rPr>
          <w:rFonts w:hint="eastAsia"/>
          <w:color w:val="auto"/>
          <w:lang w:val="en-US" w:eastAsia="zh-CN"/>
        </w:rPr>
        <w:t>应急池</w:t>
      </w:r>
      <w:r>
        <w:rPr>
          <w:rFonts w:hint="default"/>
          <w:color w:val="auto"/>
          <w:lang w:val="en-US" w:eastAsia="zh-CN"/>
        </w:rPr>
        <w:t>应按甲类运行管理。</w:t>
      </w:r>
    </w:p>
    <w:p>
      <w:pPr>
        <w:ind w:firstLine="560" w:firstLineChars="200"/>
        <w:rPr>
          <w:rFonts w:hint="eastAsia"/>
          <w:color w:val="auto"/>
          <w:lang w:val="en-US" w:eastAsia="zh-CN"/>
        </w:rPr>
      </w:pPr>
      <w:r>
        <w:rPr>
          <w:rFonts w:hint="eastAsia"/>
          <w:color w:val="auto"/>
          <w:lang w:val="en-US" w:eastAsia="zh-CN"/>
        </w:rPr>
        <w:t>25）应按照GB30077《危险化学品单位应急救援物资配备要求》的规定进行配备应急救援物资。</w:t>
      </w:r>
    </w:p>
    <w:p>
      <w:pPr>
        <w:ind w:firstLine="560" w:firstLineChars="200"/>
        <w:rPr>
          <w:rFonts w:hint="eastAsia"/>
          <w:color w:val="auto"/>
          <w:lang w:val="en-US" w:eastAsia="zh-CN"/>
        </w:rPr>
      </w:pPr>
      <w:r>
        <w:rPr>
          <w:rFonts w:hint="eastAsia"/>
          <w:color w:val="auto"/>
          <w:lang w:val="en-US" w:eastAsia="zh-CN"/>
        </w:rPr>
        <w:t>26）应按照GB39800.1、GB39800.2的规定配备个人防护用品。</w:t>
      </w:r>
    </w:p>
    <w:p>
      <w:pPr>
        <w:pStyle w:val="4"/>
        <w:rPr>
          <w:rFonts w:hint="default"/>
          <w:color w:val="auto"/>
          <w:lang w:val="en-US" w:eastAsia="zh-CN"/>
        </w:rPr>
      </w:pPr>
      <w:bookmarkStart w:id="735" w:name="_Toc26494"/>
      <w:r>
        <w:rPr>
          <w:rFonts w:hint="eastAsia"/>
          <w:color w:val="auto"/>
          <w:lang w:val="en-US" w:eastAsia="zh-CN"/>
        </w:rPr>
        <w:t>9.3.7化工企业自动化提升要求</w:t>
      </w:r>
      <w:bookmarkEnd w:id="735"/>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容积大于等于50m</w:t>
      </w:r>
      <w:r>
        <w:rPr>
          <w:rFonts w:hint="eastAsia"/>
          <w:color w:val="auto"/>
          <w:highlight w:val="none"/>
          <w:vertAlign w:val="superscript"/>
          <w:lang w:val="en-US" w:eastAsia="zh-CN"/>
        </w:rPr>
        <w:t>3</w:t>
      </w:r>
      <w:r>
        <w:rPr>
          <w:rFonts w:hint="eastAsia"/>
          <w:color w:val="auto"/>
          <w:highlight w:val="none"/>
          <w:lang w:val="en-US" w:eastAsia="zh-CN"/>
        </w:rPr>
        <w:t>的可燃液体储罐应设置液位连续测量远传仪表元件和就地液位指示，并设高液位报警；易燃介质压力罐应设高高液位或高高压力联锁停止进料。设计方案提出需要设置低低液位自动联锁停泵、切断出料阀的，应同时满足其要求。</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设计方案提出需要设置高高液位报警并联锁切断进料阀、低低液位报警并联锁停泵的，应满足其要求。</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可燃液体的装置储罐应设置高液位报警并设高高液位联锁切断进料。装置高位槽应设置高液位报警并高高液位联锁切断进料或设溢流管道，宜设低低液位联锁停抽出泵或切断出料设施。</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带有高液位联锁功能的可燃液体储罐应配备两种不同原理的液位计或液位开关，高液位联锁测量仪表和基本控制回路液位计应分开设置。</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液位、压力、温度等测量仪表的选型、安装等应符合《石油化工自动化仪表选型设计规范》（SH/T3005）、《石油化工储运系统罐区设计规范》（SH/T3007）等规定。</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当有可靠的仪表空气系统时，开关阀（紧急切断阀）应首选气动执行机构，采用故障-安全型（FC 或 FO）。当工艺特别要求开关阀为仪表空气故障保持型（FL），应选用双作用气缸执行机构，并配有仪表空气罐，阀门保位时间不应低于 48 小时。在没有仪表气源的场合，但有负荷分级为一级负荷的电力电源系统时，可选用电动阀。当工艺、转动设备有特殊要求时，也可选用电液开关阀。开关阀防火要求应满足《石油化工企业设计防火标准》（GB50160）、《石油化工自动化仪表选型设计规范》（SH/T3005）等规定。</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储罐设置高高液位联锁切断进料、低低液位联锁停泵时，可能影响上、下游生产装置正常生产的，应整体考虑装置联锁方案，有效控制生产装置安全风险。</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储罐的压力、温度、液位等重点监控参数应传送至控制室集中显示。设有远程进料或者出料切断阀的储罐应当具备远程紧急关闭功能。</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距可燃液体（有缓冲罐的可燃液体除外）汽车装卸鹤位10m以外的装卸管道上应设便于操作的紧急切断阀。</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涉及重点监管危险化工工艺的生产装置，设置的自动控制系统应达到首批、第二批重点监管危险化工工艺目录中有关安全控制的基本要求，重点监控工艺参数应传送至控制室集中显示，并按照宜采用的控制方式设置相应的联锁。自动控制系统应具备远程调节、信息存储、连续记录、超限报警、联锁切断、紧急停车等功能。记录的电子数据的保存时间不少于 30 天。</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在控制室应设紧急停车按钮和应在反应釜现场设就地紧急停车按钮。控制系统紧急停车按钮和重要的复位、报警等功能按钮应在辅操台上设置硬按钮，就地紧急停车按钮宜分区域集中设置在操作人员易于接近的地点。</w:t>
      </w:r>
    </w:p>
    <w:p>
      <w:pPr>
        <w:numPr>
          <w:ilvl w:val="0"/>
          <w:numId w:val="8"/>
        </w:numPr>
        <w:ind w:firstLine="560" w:firstLineChars="200"/>
        <w:rPr>
          <w:rFonts w:hint="eastAsia"/>
          <w:color w:val="auto"/>
          <w:highlight w:val="none"/>
          <w:lang w:val="en-US" w:eastAsia="zh-CN"/>
        </w:rPr>
      </w:pPr>
      <w:r>
        <w:rPr>
          <w:rFonts w:hint="eastAsia"/>
          <w:color w:val="auto"/>
          <w:highlight w:val="none"/>
          <w:lang w:val="en-US" w:eastAsia="zh-CN"/>
        </w:rPr>
        <w:t>应按照《反应风险评估报告》确定的反应工艺危险度等级和评估建议，设置相应的安全设施和安全仪表系统。</w:t>
      </w:r>
    </w:p>
    <w:p>
      <w:pPr>
        <w:ind w:firstLine="560" w:firstLineChars="200"/>
        <w:rPr>
          <w:rFonts w:hint="default"/>
          <w:color w:val="auto"/>
          <w:highlight w:val="none"/>
          <w:lang w:val="en-US" w:eastAsia="zh-CN"/>
        </w:rPr>
      </w:pPr>
      <w:r>
        <w:rPr>
          <w:rFonts w:hint="eastAsia"/>
          <w:color w:val="auto"/>
          <w:highlight w:val="none"/>
          <w:lang w:val="en-US" w:eastAsia="zh-CN"/>
        </w:rPr>
        <w:t>13</w:t>
      </w:r>
      <w:r>
        <w:rPr>
          <w:rFonts w:hint="default"/>
          <w:color w:val="auto"/>
          <w:highlight w:val="none"/>
          <w:lang w:val="en-US" w:eastAsia="zh-CN"/>
        </w:rPr>
        <w:t>）涉及可燃性液体包装作业场所，原则上应采用自动化包装等措施，最大限度地减少当班操作人员。</w:t>
      </w:r>
    </w:p>
    <w:p>
      <w:pPr>
        <w:ind w:firstLine="560" w:firstLineChars="200"/>
        <w:rPr>
          <w:rFonts w:hint="default"/>
          <w:color w:val="auto"/>
          <w:highlight w:val="none"/>
          <w:lang w:val="en-US" w:eastAsia="zh-CN"/>
        </w:rPr>
      </w:pPr>
      <w:r>
        <w:rPr>
          <w:rFonts w:hint="eastAsia"/>
          <w:color w:val="auto"/>
          <w:highlight w:val="none"/>
          <w:lang w:val="en-US" w:eastAsia="zh-CN"/>
        </w:rPr>
        <w:t>14</w:t>
      </w:r>
      <w:r>
        <w:rPr>
          <w:rFonts w:hint="default"/>
          <w:color w:val="auto"/>
          <w:highlight w:val="none"/>
          <w:lang w:val="en-US" w:eastAsia="zh-CN"/>
        </w:rPr>
        <w:t>）液态物料灌装宜采用自动计量称重灌装系统，超装信号与气动球阀或灌装机枪口联锁，具备自动计量称重灌装功能。</w:t>
      </w:r>
    </w:p>
    <w:p>
      <w:pPr>
        <w:ind w:firstLine="560" w:firstLineChars="200"/>
        <w:rPr>
          <w:rFonts w:hint="default"/>
          <w:color w:val="auto"/>
          <w:highlight w:val="yellow"/>
          <w:lang w:val="en-US" w:eastAsia="zh-CN"/>
        </w:rPr>
      </w:pPr>
      <w:r>
        <w:rPr>
          <w:rFonts w:hint="eastAsia"/>
          <w:color w:val="auto"/>
          <w:highlight w:val="none"/>
          <w:lang w:val="en-US" w:eastAsia="zh-CN"/>
        </w:rPr>
        <w:t>15</w:t>
      </w:r>
      <w:r>
        <w:rPr>
          <w:rFonts w:hint="default"/>
          <w:color w:val="auto"/>
          <w:highlight w:val="none"/>
          <w:lang w:val="en-US" w:eastAsia="zh-CN"/>
        </w:rPr>
        <w:t>）</w:t>
      </w:r>
      <w:r>
        <w:rPr>
          <w:rFonts w:hint="eastAsia"/>
          <w:color w:val="auto"/>
          <w:highlight w:val="none"/>
          <w:lang w:val="en-US" w:eastAsia="zh-CN"/>
        </w:rPr>
        <w:t>甲基丙烯酸甲酯</w:t>
      </w:r>
      <w:r>
        <w:rPr>
          <w:rFonts w:hint="default"/>
          <w:color w:val="auto"/>
          <w:highlight w:val="none"/>
          <w:lang w:val="en-US" w:eastAsia="zh-CN"/>
        </w:rPr>
        <w:t>产品槽车充装宜设置流量自动批量控制器，或具备高液位停止充装功能。</w:t>
      </w:r>
    </w:p>
    <w:p>
      <w:pPr>
        <w:ind w:firstLine="560" w:firstLineChars="200"/>
        <w:rPr>
          <w:rFonts w:hint="default"/>
          <w:color w:val="auto"/>
          <w:lang w:val="en-US" w:eastAsia="zh-CN"/>
        </w:rPr>
      </w:pPr>
      <w:r>
        <w:rPr>
          <w:rFonts w:hint="eastAsia"/>
          <w:color w:val="auto"/>
          <w:lang w:val="en-US" w:eastAsia="zh-CN"/>
        </w:rPr>
        <w:t>16）</w:t>
      </w:r>
      <w:r>
        <w:rPr>
          <w:rFonts w:hint="default"/>
          <w:color w:val="auto"/>
          <w:lang w:val="en-US" w:eastAsia="zh-CN"/>
        </w:rPr>
        <w:t>DCS 显示的工艺流程应与 PI＆D 图和现场一致，SIS 显示的逻辑图应与 PI＆D 图和现场一致。自动化控制联锁系统及安全仪表系统的参数设置必须与实际运行的操作（控制）系统或 DCS系统的参数一致，且与设计方案的逻辑关系图相符。</w:t>
      </w:r>
    </w:p>
    <w:p>
      <w:pPr>
        <w:ind w:firstLine="560" w:firstLineChars="200"/>
        <w:rPr>
          <w:rFonts w:hint="eastAsia"/>
          <w:color w:val="auto"/>
          <w:lang w:eastAsia="zh-CN"/>
        </w:rPr>
      </w:pPr>
      <w:r>
        <w:rPr>
          <w:rFonts w:hint="eastAsia"/>
          <w:color w:val="auto"/>
          <w:lang w:val="en-US" w:eastAsia="zh-CN"/>
        </w:rPr>
        <w:t>17）涉及</w:t>
      </w:r>
      <w:r>
        <w:rPr>
          <w:rFonts w:hint="eastAsia"/>
          <w:color w:val="auto"/>
          <w:lang w:eastAsia="zh-CN"/>
        </w:rPr>
        <w:t>“两重点一重大”生产、储存装置的自动化控制设计（应包括但不限于以下内容：过程控制系统（PLC/DCS系统）、独立的安全仪表系统（SIS系统）、紧急停车系统等。</w:t>
      </w:r>
    </w:p>
    <w:p>
      <w:pPr>
        <w:ind w:firstLine="560" w:firstLineChars="200"/>
        <w:rPr>
          <w:rFonts w:hint="default"/>
          <w:color w:val="auto"/>
          <w:lang w:val="en-US" w:eastAsia="zh-CN"/>
        </w:rPr>
      </w:pPr>
      <w:r>
        <w:rPr>
          <w:rFonts w:hint="eastAsia"/>
          <w:color w:val="auto"/>
          <w:lang w:val="en-US" w:eastAsia="zh-CN"/>
        </w:rPr>
        <w:t>18）DCS 和 SIS 系统应设置管理权限，岗位操作人员不应有修改自动控制系统所有工艺指标、报警和联锁值的权限。</w:t>
      </w:r>
    </w:p>
    <w:p>
      <w:pPr>
        <w:ind w:firstLine="560" w:firstLineChars="200"/>
        <w:rPr>
          <w:rFonts w:hint="default"/>
          <w:color w:val="auto"/>
          <w:lang w:val="en-US" w:eastAsia="zh-CN"/>
        </w:rPr>
      </w:pPr>
      <w:r>
        <w:rPr>
          <w:rFonts w:hint="eastAsia"/>
          <w:color w:val="auto"/>
          <w:lang w:val="en-US" w:eastAsia="zh-CN"/>
        </w:rPr>
        <w:t>19</w:t>
      </w:r>
      <w:r>
        <w:rPr>
          <w:rFonts w:hint="default"/>
          <w:color w:val="auto"/>
          <w:lang w:val="en-US" w:eastAsia="zh-CN"/>
        </w:rPr>
        <w:t>）DCS、ESD、SCADA等系统应当进行定期维护和调试，并保证各系统完好并处于正常投用状态。</w:t>
      </w:r>
    </w:p>
    <w:p>
      <w:pPr>
        <w:ind w:firstLine="560" w:firstLineChars="200"/>
        <w:rPr>
          <w:rFonts w:hint="eastAsia"/>
          <w:color w:val="auto"/>
          <w:highlight w:val="none"/>
          <w:lang w:val="en-US" w:eastAsia="zh-CN"/>
        </w:rPr>
      </w:pPr>
      <w:r>
        <w:rPr>
          <w:rFonts w:hint="eastAsia"/>
          <w:color w:val="auto"/>
          <w:highlight w:val="none"/>
          <w:lang w:val="en-US" w:eastAsia="zh-CN"/>
        </w:rPr>
        <w:t>20）控制室的抗爆结构应根据抗爆计算结果进行设计。</w:t>
      </w:r>
    </w:p>
    <w:p>
      <w:pPr>
        <w:bidi w:val="0"/>
        <w:ind w:firstLine="560" w:firstLineChars="200"/>
        <w:rPr>
          <w:rFonts w:hint="eastAsia"/>
          <w:color w:val="auto"/>
          <w:highlight w:val="none"/>
          <w:lang w:val="en-US" w:eastAsia="zh-CN"/>
        </w:rPr>
      </w:pPr>
      <w:r>
        <w:rPr>
          <w:rFonts w:hint="eastAsia"/>
          <w:color w:val="auto"/>
          <w:highlight w:val="none"/>
          <w:lang w:val="en-US" w:eastAsia="zh-CN"/>
        </w:rPr>
        <w:t>21）企业在后续建设生产过程中应根据实际情况进一步进行HAZOP分析与SIL分析，确定该项目裂解工艺所需的安全仪表功能与SIL等级。并根据工艺过程危险和风险分析结果安全完整性等级评价（SIL）结果，设置安全仪表系统。</w:t>
      </w:r>
    </w:p>
    <w:p>
      <w:pPr>
        <w:bidi w:val="0"/>
        <w:ind w:firstLine="560" w:firstLineChars="200"/>
        <w:rPr>
          <w:rFonts w:hint="default"/>
          <w:color w:val="auto"/>
          <w:highlight w:val="yellow"/>
          <w:lang w:val="en-US" w:eastAsia="zh-CN"/>
        </w:rPr>
      </w:pPr>
      <w:r>
        <w:rPr>
          <w:rFonts w:hint="eastAsia"/>
          <w:color w:val="auto"/>
          <w:highlight w:val="none"/>
          <w:lang w:val="en-US" w:eastAsia="zh-CN"/>
        </w:rPr>
        <w:t>22）建设单位应根据《关于公布首批重点监管的危险化工工艺目录的通知》、《江西 省危险化学品建设项目安全监督管理实施细则》、《江西省安全生产专项整治三年行动实施方案》、《危险化学品生产企业安全生产许可证实施办法》和《危险化学品安全使用许可证管理办法》的相关要求，应聘请符合相关资质单位设计和安装DCS自动化联锁控制系统。</w:t>
      </w:r>
    </w:p>
    <w:p>
      <w:pPr>
        <w:pStyle w:val="4"/>
        <w:rPr>
          <w:rFonts w:hint="default"/>
          <w:color w:val="auto"/>
          <w:lang w:val="en-US" w:eastAsia="zh-CN"/>
        </w:rPr>
      </w:pPr>
      <w:bookmarkStart w:id="736" w:name="_Toc18782"/>
      <w:bookmarkStart w:id="737" w:name="_Toc981"/>
      <w:bookmarkStart w:id="738" w:name="_Toc13018"/>
      <w:bookmarkStart w:id="739" w:name="_Toc16593"/>
      <w:bookmarkStart w:id="740" w:name="_Toc25959"/>
      <w:bookmarkStart w:id="741" w:name="_Toc21601"/>
      <w:r>
        <w:rPr>
          <w:rFonts w:hint="default"/>
          <w:color w:val="auto"/>
          <w:lang w:val="en-US" w:eastAsia="zh-CN"/>
        </w:rPr>
        <w:t>9.3.</w:t>
      </w:r>
      <w:r>
        <w:rPr>
          <w:rFonts w:hint="eastAsia"/>
          <w:color w:val="auto"/>
          <w:lang w:val="en-US" w:eastAsia="zh-CN"/>
        </w:rPr>
        <w:t>8</w:t>
      </w:r>
      <w:r>
        <w:rPr>
          <w:rFonts w:hint="default"/>
          <w:color w:val="auto"/>
          <w:lang w:val="en-US" w:eastAsia="zh-CN"/>
        </w:rPr>
        <w:t xml:space="preserve"> 其他建议</w:t>
      </w:r>
      <w:bookmarkEnd w:id="736"/>
      <w:bookmarkEnd w:id="737"/>
      <w:bookmarkEnd w:id="738"/>
      <w:bookmarkEnd w:id="739"/>
      <w:bookmarkEnd w:id="740"/>
      <w:bookmarkEnd w:id="741"/>
    </w:p>
    <w:p>
      <w:pPr>
        <w:ind w:firstLine="560" w:firstLineChars="200"/>
        <w:rPr>
          <w:rFonts w:hint="default"/>
          <w:color w:val="auto"/>
          <w:lang w:val="en-US" w:eastAsia="zh-CN"/>
        </w:rPr>
      </w:pPr>
      <w:r>
        <w:rPr>
          <w:rFonts w:hint="default"/>
          <w:color w:val="auto"/>
          <w:lang w:val="en-US" w:eastAsia="zh-CN"/>
        </w:rPr>
        <w:t>1）管道施工阶段，严格执行相关规范要求，在管道的法兰连接处、始末端及分支处做好可靠的防静电跨接及防雷接地，进行防雷、防静电检测，保证防静电接地电阻满足要求；对于输送管道的设计，应采用机械稳定性高、热绝缘性能好的材料，并要保证结构简单。</w:t>
      </w:r>
    </w:p>
    <w:p>
      <w:pPr>
        <w:ind w:firstLine="560" w:firstLineChars="200"/>
        <w:rPr>
          <w:rFonts w:hint="default"/>
          <w:color w:val="auto"/>
          <w:lang w:val="en-US" w:eastAsia="zh-CN"/>
        </w:rPr>
      </w:pPr>
      <w:r>
        <w:rPr>
          <w:rFonts w:hint="default"/>
          <w:color w:val="auto"/>
          <w:lang w:val="en-US" w:eastAsia="zh-CN"/>
        </w:rPr>
        <w:t>2）建议生产单位必须对安全设备进行经常性维护、保养，并定期检测，保证正常运转。维护、保养、检测应当作好记录，并由有关人员签字。</w:t>
      </w:r>
    </w:p>
    <w:p>
      <w:pPr>
        <w:ind w:firstLine="560" w:firstLineChars="200"/>
        <w:rPr>
          <w:rFonts w:hint="default"/>
          <w:color w:val="auto"/>
          <w:lang w:val="en-US" w:eastAsia="zh-CN"/>
        </w:rPr>
      </w:pPr>
      <w:r>
        <w:rPr>
          <w:rFonts w:hint="default"/>
          <w:color w:val="auto"/>
          <w:lang w:val="en-US" w:eastAsia="zh-CN"/>
        </w:rPr>
        <w:t>3）建议有关单位从该项目设计、施工、安装、试验到验收投产等环节对本报告中提出的危险、有害因素、评价结果和安全对策措施予以高度重视，认真落实安全对策措施及建议，加强施工完成后的施工验收工作，为该工程建成投产后的安全运行提供可靠保障。</w:t>
      </w:r>
    </w:p>
    <w:p>
      <w:pPr>
        <w:ind w:firstLine="560" w:firstLineChars="200"/>
        <w:rPr>
          <w:rFonts w:hint="default"/>
          <w:color w:val="auto"/>
          <w:lang w:val="en-US" w:eastAsia="zh-CN"/>
        </w:rPr>
      </w:pPr>
      <w:r>
        <w:rPr>
          <w:rFonts w:hint="default"/>
          <w:color w:val="auto"/>
          <w:lang w:val="en-US" w:eastAsia="zh-CN"/>
        </w:rPr>
        <w:t>4）机械通风装置的进风口位置，应设于室外空气比较洁净的地方。相邻工作场所的进气和排气装置，应合理布置，避免气流短路。</w:t>
      </w:r>
    </w:p>
    <w:p>
      <w:pPr>
        <w:ind w:firstLine="560" w:firstLineChars="200"/>
        <w:rPr>
          <w:rFonts w:hint="default"/>
          <w:color w:val="auto"/>
          <w:lang w:val="en-US" w:eastAsia="zh-CN"/>
        </w:rPr>
      </w:pPr>
      <w:r>
        <w:rPr>
          <w:rFonts w:hint="default"/>
          <w:color w:val="auto"/>
          <w:lang w:val="en-US" w:eastAsia="zh-CN"/>
        </w:rPr>
        <w:t>5）建设项目生产存储区应设置“禁止烟火”等警告标志，存在落物可能的区域内应设置“小心落物”警告标志，起重设施应设置“小心落物”和“起重物下不准站人”等警告标志，存在高处坠落危险的区域应设置“小心坠落”警告标志，楼梯处应设置“小心滑跌”警告标志，存在触电可能的位置应设置“小心有电”警告标志。需要使用防护用品的区域应设置“必须使用防护用品”的警告标志。电气室要配备“有人工作、禁止合闸”警告标志，检修场所要配备“有人工作、禁止起动”警告标志。生产场所，作业点的紧急通道和出入口，应设置明显醒目的标志。企业应在生产区域设置明显的禁火标志，在电石库设置明显的禁止用水灭火的标志，在厂内道路设置限速、限高、禁行等标志。</w:t>
      </w:r>
    </w:p>
    <w:p>
      <w:pPr>
        <w:ind w:firstLine="560" w:firstLineChars="200"/>
        <w:rPr>
          <w:rFonts w:hint="default"/>
          <w:color w:val="auto"/>
          <w:lang w:val="en-US" w:eastAsia="zh-CN"/>
        </w:rPr>
      </w:pPr>
      <w:r>
        <w:rPr>
          <w:rFonts w:hint="default"/>
          <w:color w:val="auto"/>
          <w:lang w:val="en-US" w:eastAsia="zh-CN"/>
        </w:rPr>
        <w:t>6）开停工或检修时可能有可燃液体泄漏、漫流的设备区周围应设置高度不低于150mm的围堰和导液设施。</w:t>
      </w:r>
    </w:p>
    <w:p>
      <w:pPr>
        <w:ind w:firstLine="560" w:firstLineChars="200"/>
        <w:rPr>
          <w:rFonts w:hint="default"/>
          <w:color w:val="auto"/>
          <w:lang w:val="en-US" w:eastAsia="zh-CN"/>
        </w:rPr>
      </w:pPr>
      <w:r>
        <w:rPr>
          <w:rFonts w:hint="default"/>
          <w:color w:val="auto"/>
          <w:lang w:val="en-US" w:eastAsia="zh-CN"/>
        </w:rPr>
        <w:t>7）建设项目施工方面</w:t>
      </w:r>
    </w:p>
    <w:p>
      <w:pPr>
        <w:ind w:firstLine="560" w:firstLineChars="200"/>
        <w:rPr>
          <w:rFonts w:hint="default"/>
          <w:color w:val="auto"/>
          <w:lang w:val="en-US" w:eastAsia="zh-CN"/>
        </w:rPr>
      </w:pPr>
      <w:r>
        <w:rPr>
          <w:rFonts w:hint="default"/>
          <w:color w:val="auto"/>
          <w:lang w:val="en-US" w:eastAsia="zh-CN"/>
        </w:rPr>
        <w:t>建设单位应认真学习，严格贯彻执行《建设工程安全生产管理条例》，并对设计单位、施工单位、监理单位加强安全生产管理，按相关资质、条件和程度进行审查，明确安全生产责任，制定相应的施工安全管理方案，责成施工单位制定应急预案。</w:t>
      </w:r>
    </w:p>
    <w:p>
      <w:pPr>
        <w:ind w:firstLine="560" w:firstLineChars="200"/>
        <w:rPr>
          <w:rFonts w:hint="default"/>
          <w:color w:val="auto"/>
          <w:lang w:val="en-US" w:eastAsia="zh-CN"/>
        </w:rPr>
      </w:pPr>
      <w:r>
        <w:rPr>
          <w:rFonts w:hint="default"/>
          <w:color w:val="auto"/>
          <w:lang w:val="en-US" w:eastAsia="zh-CN"/>
        </w:rPr>
        <w:t>项目的施工、安装单位必须具有设备、设施的施工、安装资格的认可手续，经上级主管部门批准，取得相应的有关合格证书。在工程施工前，施工安装单位应根据有关标准、规程、法规编制施工组织设计，并报技监部门审查批准后，按施工组织设计严格执行，严格把好建筑施工、安装质量关。施工、安装完毕，应做好安全、质量检查和验收交接。施工单位应按图施工，遇有变更，应由设计、施工安装及生产单位三方商定。重要变更，须报有关部门批准，建设单位与施工单位应签订施工期间安全生产责任书。</w:t>
      </w:r>
    </w:p>
    <w:p>
      <w:pPr>
        <w:ind w:firstLine="560" w:firstLineChars="200"/>
        <w:rPr>
          <w:rFonts w:hint="default"/>
          <w:color w:val="auto"/>
          <w:lang w:val="en-US" w:eastAsia="zh-CN"/>
        </w:rPr>
      </w:pPr>
      <w:r>
        <w:rPr>
          <w:rFonts w:hint="default"/>
          <w:color w:val="auto"/>
          <w:lang w:val="en-US" w:eastAsia="zh-CN"/>
        </w:rPr>
        <w:t>要求工程建设过程中，建设单位、勘察单位、设计单位、施工单位、工程监理单位及其他与建设工程安全生产有关的单位，必须遵守安全生产法律、法规的规定，保证建设工程安全生产，依法承担建设工程安全生产管理责任。</w:t>
      </w:r>
    </w:p>
    <w:p>
      <w:pPr>
        <w:ind w:firstLine="560" w:firstLineChars="200"/>
        <w:rPr>
          <w:rFonts w:hint="default"/>
          <w:color w:val="auto"/>
          <w:lang w:val="en-US" w:eastAsia="zh-CN"/>
        </w:rPr>
      </w:pPr>
      <w:r>
        <w:rPr>
          <w:rFonts w:hint="default"/>
          <w:color w:val="auto"/>
          <w:lang w:val="en-US" w:eastAsia="zh-CN"/>
        </w:rPr>
        <w:t>下面就施工过程中的主要危险提出主要建议：</w:t>
      </w:r>
    </w:p>
    <w:p>
      <w:pPr>
        <w:ind w:firstLine="560" w:firstLineChars="200"/>
        <w:rPr>
          <w:rFonts w:hint="default"/>
          <w:color w:val="auto"/>
          <w:lang w:val="en-US" w:eastAsia="zh-CN"/>
        </w:rPr>
      </w:pPr>
      <w:r>
        <w:rPr>
          <w:rFonts w:hint="default"/>
          <w:color w:val="auto"/>
          <w:lang w:val="en-US" w:eastAsia="zh-CN"/>
        </w:rPr>
        <w:t>（1）认真贯彻执行“安全第一、预防为主、综合治理”的安全生产方针。</w:t>
      </w:r>
    </w:p>
    <w:p>
      <w:pPr>
        <w:ind w:firstLine="560" w:firstLineChars="200"/>
        <w:rPr>
          <w:rFonts w:hint="default"/>
          <w:color w:val="auto"/>
          <w:lang w:val="en-US" w:eastAsia="zh-CN"/>
        </w:rPr>
      </w:pPr>
      <w:r>
        <w:rPr>
          <w:rFonts w:hint="default"/>
          <w:color w:val="auto"/>
          <w:lang w:val="en-US" w:eastAsia="zh-CN"/>
        </w:rPr>
        <w:t>（2）在施工过程中必须严格执行《电力建设安全健康与环境管理工作规定》。施工人员必须严格遵守三大纪律：进现场戴好安全帽，上高空系好安全带，严禁高空落物。</w:t>
      </w:r>
    </w:p>
    <w:p>
      <w:pPr>
        <w:ind w:firstLine="560" w:firstLineChars="200"/>
        <w:rPr>
          <w:rFonts w:hint="default"/>
          <w:color w:val="auto"/>
          <w:lang w:val="en-US" w:eastAsia="zh-CN"/>
        </w:rPr>
      </w:pPr>
      <w:r>
        <w:rPr>
          <w:rFonts w:hint="default"/>
          <w:color w:val="auto"/>
          <w:lang w:val="en-US" w:eastAsia="zh-CN"/>
        </w:rPr>
        <w:t>（3）加强施工监理；加强施工单位资质管理。特种作业必须持证上岗。</w:t>
      </w:r>
    </w:p>
    <w:p>
      <w:pPr>
        <w:ind w:firstLine="560" w:firstLineChars="200"/>
        <w:rPr>
          <w:rFonts w:hint="default"/>
          <w:color w:val="auto"/>
          <w:lang w:val="en-US" w:eastAsia="zh-CN"/>
        </w:rPr>
      </w:pPr>
      <w:r>
        <w:rPr>
          <w:rFonts w:hint="default"/>
          <w:color w:val="auto"/>
          <w:lang w:val="en-US" w:eastAsia="zh-CN"/>
        </w:rPr>
        <w:t>（4）施工过程必须选用质量合格的施工机械（具）。</w:t>
      </w:r>
    </w:p>
    <w:p>
      <w:pPr>
        <w:ind w:firstLine="560" w:firstLineChars="200"/>
        <w:rPr>
          <w:rFonts w:hint="default"/>
          <w:color w:val="auto"/>
          <w:lang w:val="en-US" w:eastAsia="zh-CN"/>
        </w:rPr>
      </w:pPr>
      <w:r>
        <w:rPr>
          <w:rFonts w:hint="default"/>
          <w:color w:val="auto"/>
          <w:lang w:val="en-US" w:eastAsia="zh-CN"/>
        </w:rPr>
        <w:t>（5）高处作业人员应进行体格检查，体检合格者方可从事高处作业；高处作业平台、走道、斜道等应装设1.2m高的防护栏杆和 18cm 高挡脚板或设防护立网；高处作业使用的脚于架，梯子及安全防护网应符合相应的规定，在恶劣天气时应停止室外高处作业，高处作业必须系好安全带，安全带应挂在上方的牢固可靠处。</w:t>
      </w:r>
    </w:p>
    <w:p>
      <w:pPr>
        <w:ind w:firstLine="560" w:firstLineChars="200"/>
        <w:rPr>
          <w:rFonts w:hint="default"/>
          <w:color w:val="auto"/>
          <w:lang w:val="en-US" w:eastAsia="zh-CN"/>
        </w:rPr>
      </w:pPr>
      <w:r>
        <w:rPr>
          <w:rFonts w:hint="default"/>
          <w:color w:val="auto"/>
          <w:lang w:val="en-US" w:eastAsia="zh-CN"/>
        </w:rPr>
        <w:t>（6）为防止物体打击，进入施工现场必须佩戴安全帽，高处禁止倾倒垃圾，废物等，在通道上方应加装硬制防护顶，通道应避开上方有作业地区。</w:t>
      </w:r>
    </w:p>
    <w:p>
      <w:pPr>
        <w:ind w:firstLine="560" w:firstLineChars="200"/>
        <w:rPr>
          <w:rFonts w:hint="default"/>
          <w:color w:val="auto"/>
          <w:lang w:val="en-US" w:eastAsia="zh-CN"/>
        </w:rPr>
      </w:pPr>
      <w:r>
        <w:rPr>
          <w:rFonts w:hint="default"/>
          <w:color w:val="auto"/>
          <w:lang w:val="en-US" w:eastAsia="zh-CN"/>
        </w:rPr>
        <w:t>（7）施工场地在夜间施工或光线不好的地方应加装照明设施。</w:t>
      </w:r>
    </w:p>
    <w:p>
      <w:pPr>
        <w:ind w:firstLine="560" w:firstLineChars="200"/>
        <w:rPr>
          <w:rFonts w:hint="default"/>
          <w:color w:val="auto"/>
          <w:lang w:val="en-US" w:eastAsia="zh-CN"/>
        </w:rPr>
      </w:pPr>
      <w:r>
        <w:rPr>
          <w:rFonts w:hint="default"/>
          <w:color w:val="auto"/>
          <w:lang w:val="en-US" w:eastAsia="zh-CN"/>
        </w:rPr>
        <w:t>（8）周转性施工材料如脚手架、扣件等应把好采购关，定期进行检查，确保安全可靠。</w:t>
      </w:r>
    </w:p>
    <w:p>
      <w:pPr>
        <w:ind w:firstLine="560" w:firstLineChars="200"/>
        <w:rPr>
          <w:rFonts w:hint="default"/>
          <w:color w:val="auto"/>
          <w:lang w:val="en-US" w:eastAsia="zh-CN"/>
        </w:rPr>
      </w:pPr>
      <w:r>
        <w:rPr>
          <w:rFonts w:hint="default"/>
          <w:color w:val="auto"/>
          <w:lang w:val="en-US" w:eastAsia="zh-CN"/>
        </w:rPr>
        <w:t>（9）施工中应尽量减少立体交叉作业。必需交叉时，施工负责人应事先组织交叉作业各方，商定各方的施工范围及安全注意事项；各工序应密切配合，施工场地尽量错开，以减少干扰；无法错开的垂直交叉作业，层间必须搭设严密、牢固的防护隔离设施。交叉作业场所的通道应保持畅通；有危险的出入口处应设围栏或悬挂警告牌。</w:t>
      </w:r>
    </w:p>
    <w:p>
      <w:pPr>
        <w:ind w:firstLine="560" w:firstLineChars="200"/>
        <w:rPr>
          <w:rFonts w:hint="default"/>
          <w:color w:val="auto"/>
          <w:highlight w:val="none"/>
          <w:lang w:val="en-US" w:eastAsia="zh-CN"/>
        </w:rPr>
      </w:pPr>
      <w:bookmarkStart w:id="742" w:name="_Toc3451"/>
      <w:bookmarkStart w:id="743" w:name="_Toc16013"/>
      <w:bookmarkStart w:id="744" w:name="_Toc22464"/>
      <w:bookmarkStart w:id="745" w:name="_Toc18841"/>
      <w:r>
        <w:rPr>
          <w:rFonts w:hint="eastAsia"/>
          <w:color w:val="auto"/>
          <w:highlight w:val="none"/>
          <w:lang w:val="en-US" w:eastAsia="zh-CN"/>
        </w:rPr>
        <w:t>8）成品运输方面</w:t>
      </w:r>
    </w:p>
    <w:p>
      <w:pPr>
        <w:ind w:firstLine="560" w:firstLineChars="200"/>
        <w:rPr>
          <w:rFonts w:hint="default"/>
          <w:color w:val="auto"/>
          <w:highlight w:val="none"/>
          <w:lang w:val="en-US" w:eastAsia="zh-CN"/>
        </w:rPr>
      </w:pPr>
      <w:r>
        <w:rPr>
          <w:rFonts w:hint="eastAsia"/>
          <w:color w:val="auto"/>
          <w:highlight w:val="none"/>
          <w:lang w:val="en-US" w:eastAsia="zh-CN"/>
        </w:rPr>
        <w:t>（1）</w:t>
      </w:r>
      <w:r>
        <w:rPr>
          <w:rFonts w:hint="default"/>
          <w:color w:val="auto"/>
          <w:highlight w:val="none"/>
          <w:lang w:val="en-US" w:eastAsia="zh-CN"/>
        </w:rPr>
        <w:t>装运</w:t>
      </w:r>
      <w:r>
        <w:rPr>
          <w:rFonts w:hint="eastAsia"/>
          <w:color w:val="auto"/>
          <w:highlight w:val="none"/>
          <w:lang w:val="en-US" w:eastAsia="zh-CN"/>
        </w:rPr>
        <w:t>甲基丙烯酸甲酯</w:t>
      </w:r>
      <w:r>
        <w:rPr>
          <w:rFonts w:hint="default"/>
          <w:color w:val="auto"/>
          <w:highlight w:val="none"/>
          <w:lang w:val="en-US" w:eastAsia="zh-CN"/>
        </w:rPr>
        <w:t>的车辆排气管必须配备阻火装置，禁止使用易产生火花的机械设备和工具装卸。</w:t>
      </w:r>
    </w:p>
    <w:p>
      <w:pPr>
        <w:ind w:firstLine="560" w:firstLineChars="200"/>
        <w:rPr>
          <w:rFonts w:hint="default"/>
          <w:color w:val="auto"/>
          <w:highlight w:val="none"/>
          <w:lang w:val="en-US" w:eastAsia="zh-CN"/>
        </w:rPr>
      </w:pPr>
      <w:r>
        <w:rPr>
          <w:rFonts w:hint="eastAsia"/>
          <w:color w:val="auto"/>
          <w:highlight w:val="none"/>
          <w:lang w:val="en-US" w:eastAsia="zh-CN"/>
        </w:rPr>
        <w:t>（2）</w:t>
      </w:r>
      <w:r>
        <w:rPr>
          <w:rFonts w:hint="default"/>
          <w:color w:val="auto"/>
          <w:highlight w:val="none"/>
          <w:lang w:val="en-US" w:eastAsia="zh-CN"/>
        </w:rPr>
        <w:t>运输途中应防曝晒、雨淋，防高温。</w:t>
      </w:r>
    </w:p>
    <w:p>
      <w:pPr>
        <w:ind w:firstLine="560" w:firstLineChars="200"/>
        <w:rPr>
          <w:rFonts w:hint="default"/>
          <w:color w:val="auto"/>
          <w:highlight w:val="none"/>
          <w:lang w:val="en-US" w:eastAsia="zh-CN"/>
        </w:rPr>
      </w:pPr>
      <w:r>
        <w:rPr>
          <w:rFonts w:hint="eastAsia"/>
          <w:color w:val="auto"/>
          <w:highlight w:val="none"/>
          <w:lang w:val="en-US" w:eastAsia="zh-CN"/>
        </w:rPr>
        <w:t>（3）</w:t>
      </w:r>
      <w:r>
        <w:rPr>
          <w:rFonts w:hint="default"/>
          <w:color w:val="auto"/>
          <w:highlight w:val="none"/>
          <w:lang w:val="en-US" w:eastAsia="zh-CN"/>
        </w:rPr>
        <w:t>运输时所用的槽(罐)车应有接地链，槽内可设孔隔板以减少震荡产生静电。</w:t>
      </w:r>
    </w:p>
    <w:p>
      <w:pPr>
        <w:ind w:firstLine="560" w:firstLineChars="200"/>
        <w:rPr>
          <w:rFonts w:hint="default"/>
          <w:color w:val="auto"/>
          <w:highlight w:val="none"/>
          <w:lang w:val="en-US" w:eastAsia="zh-CN"/>
        </w:rPr>
      </w:pPr>
      <w:r>
        <w:rPr>
          <w:rFonts w:hint="eastAsia"/>
          <w:color w:val="auto"/>
          <w:highlight w:val="none"/>
          <w:lang w:val="en-US" w:eastAsia="zh-CN"/>
        </w:rPr>
        <w:t>（4）</w:t>
      </w:r>
      <w:r>
        <w:rPr>
          <w:rFonts w:hint="default"/>
          <w:color w:val="auto"/>
          <w:highlight w:val="none"/>
          <w:lang w:val="en-US" w:eastAsia="zh-CN"/>
        </w:rPr>
        <w:t>严禁与氧化剂、酸类、食品及食品添加剂等混装混运严禁用木船、水泥船散装运输。</w:t>
      </w:r>
    </w:p>
    <w:p>
      <w:pPr>
        <w:ind w:firstLine="560" w:firstLineChars="200"/>
        <w:rPr>
          <w:rFonts w:hint="default"/>
          <w:color w:val="auto"/>
          <w:highlight w:val="none"/>
          <w:lang w:val="en-US" w:eastAsia="zh-CN"/>
        </w:rPr>
      </w:pPr>
      <w:r>
        <w:rPr>
          <w:rFonts w:hint="eastAsia"/>
          <w:color w:val="auto"/>
          <w:highlight w:val="none"/>
          <w:lang w:val="en-US" w:eastAsia="zh-CN"/>
        </w:rPr>
        <w:t>（5）</w:t>
      </w:r>
      <w:r>
        <w:rPr>
          <w:rFonts w:hint="default"/>
          <w:color w:val="auto"/>
          <w:highlight w:val="none"/>
          <w:lang w:val="en-US" w:eastAsia="zh-CN"/>
        </w:rPr>
        <w:t>运输时运输车辆应配备相应品种和数量的消防器材及泄漏应急处理设备。</w:t>
      </w:r>
    </w:p>
    <w:p>
      <w:pPr>
        <w:ind w:firstLine="560" w:firstLineChars="200"/>
        <w:rPr>
          <w:rFonts w:hint="default"/>
          <w:color w:val="auto"/>
          <w:highlight w:val="yellow"/>
          <w:lang w:val="en-US" w:eastAsia="zh-CN"/>
        </w:rPr>
      </w:pPr>
      <w:r>
        <w:rPr>
          <w:rFonts w:hint="eastAsia"/>
          <w:color w:val="auto"/>
          <w:highlight w:val="none"/>
          <w:lang w:val="en-US" w:eastAsia="zh-CN"/>
        </w:rPr>
        <w:t>（6）</w:t>
      </w:r>
      <w:r>
        <w:rPr>
          <w:rFonts w:hint="default"/>
          <w:color w:val="auto"/>
          <w:highlight w:val="none"/>
          <w:lang w:val="en-US" w:eastAsia="zh-CN"/>
        </w:rPr>
        <w:t>运输前应先检查包装容器是否完整、密封。运输工具上应根据相关运输要求张贴危险标志、公告。</w:t>
      </w: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bidi w:val="0"/>
        <w:rPr>
          <w:rFonts w:hint="default"/>
          <w:color w:val="auto"/>
          <w:lang w:val="en-US" w:eastAsia="zh-CN"/>
        </w:rPr>
      </w:pPr>
    </w:p>
    <w:p>
      <w:pPr>
        <w:pStyle w:val="2"/>
        <w:rPr>
          <w:rFonts w:hint="default"/>
          <w:color w:val="auto"/>
          <w:lang w:val="en-US" w:eastAsia="zh-CN"/>
        </w:rPr>
      </w:pPr>
      <w:bookmarkStart w:id="746" w:name="_Toc1409"/>
      <w:bookmarkStart w:id="747" w:name="_Toc29617"/>
      <w:r>
        <w:rPr>
          <w:rFonts w:hint="default"/>
          <w:color w:val="auto"/>
          <w:lang w:val="en-US" w:eastAsia="zh-CN"/>
        </w:rPr>
        <w:t>10 安全评价结论</w:t>
      </w:r>
      <w:bookmarkEnd w:id="742"/>
      <w:bookmarkEnd w:id="743"/>
      <w:bookmarkEnd w:id="744"/>
      <w:bookmarkEnd w:id="745"/>
      <w:bookmarkEnd w:id="746"/>
      <w:bookmarkEnd w:id="747"/>
    </w:p>
    <w:p>
      <w:pPr>
        <w:pStyle w:val="3"/>
        <w:rPr>
          <w:rFonts w:hint="default"/>
          <w:color w:val="auto"/>
          <w:lang w:val="en-US" w:eastAsia="zh-CN"/>
        </w:rPr>
      </w:pPr>
      <w:bookmarkStart w:id="748" w:name="_Toc1632"/>
      <w:bookmarkStart w:id="749" w:name="_Toc13802"/>
      <w:bookmarkStart w:id="750" w:name="_Toc14582"/>
      <w:bookmarkStart w:id="751" w:name="_Toc8517"/>
      <w:bookmarkStart w:id="752" w:name="_Toc12189"/>
      <w:bookmarkStart w:id="753" w:name="_Toc30411"/>
      <w:r>
        <w:rPr>
          <w:rFonts w:hint="default"/>
          <w:color w:val="auto"/>
          <w:lang w:val="en-US" w:eastAsia="zh-CN"/>
        </w:rPr>
        <w:t>10.1 评价结果</w:t>
      </w:r>
      <w:bookmarkEnd w:id="748"/>
      <w:bookmarkEnd w:id="749"/>
      <w:bookmarkEnd w:id="750"/>
      <w:bookmarkEnd w:id="751"/>
      <w:bookmarkEnd w:id="752"/>
      <w:bookmarkEnd w:id="753"/>
    </w:p>
    <w:p>
      <w:pPr>
        <w:pStyle w:val="4"/>
        <w:rPr>
          <w:rFonts w:hint="default"/>
          <w:color w:val="auto"/>
          <w:lang w:val="en-US" w:eastAsia="zh-CN"/>
        </w:rPr>
      </w:pPr>
      <w:bookmarkStart w:id="754" w:name="_Toc14708"/>
      <w:bookmarkStart w:id="755" w:name="_Toc16430"/>
      <w:bookmarkStart w:id="756" w:name="_Toc21924"/>
      <w:bookmarkStart w:id="757" w:name="_Toc6842"/>
      <w:bookmarkStart w:id="758" w:name="_Toc32347"/>
      <w:bookmarkStart w:id="759" w:name="_Toc6202"/>
      <w:r>
        <w:rPr>
          <w:rFonts w:hint="default"/>
          <w:color w:val="auto"/>
          <w:lang w:val="en-US" w:eastAsia="zh-CN"/>
        </w:rPr>
        <w:t>10.1.1 危险、有害因素的辨识结果</w:t>
      </w:r>
      <w:bookmarkEnd w:id="754"/>
      <w:bookmarkEnd w:id="755"/>
      <w:bookmarkEnd w:id="756"/>
      <w:bookmarkEnd w:id="757"/>
      <w:bookmarkEnd w:id="758"/>
      <w:bookmarkEnd w:id="759"/>
    </w:p>
    <w:p>
      <w:pPr>
        <w:ind w:firstLine="560" w:firstLineChars="200"/>
        <w:rPr>
          <w:rFonts w:hint="default"/>
          <w:color w:val="auto"/>
          <w:highlight w:val="yellow"/>
          <w:lang w:val="en-US" w:eastAsia="zh-CN"/>
        </w:rPr>
      </w:pPr>
      <w:r>
        <w:rPr>
          <w:rFonts w:hint="default"/>
          <w:color w:val="auto"/>
          <w:lang w:val="en-US" w:eastAsia="zh-CN"/>
        </w:rPr>
        <w:t>1）依据《危险化学品目录》（2022 调整版），该项目涉及的危险化学品为：</w:t>
      </w:r>
      <w:r>
        <w:rPr>
          <w:rFonts w:hint="eastAsia"/>
          <w:color w:val="auto"/>
          <w:highlight w:val="none"/>
          <w:lang w:val="en-US" w:eastAsia="zh-CN"/>
        </w:rPr>
        <w:t>甲基丙烯酸甲酯</w:t>
      </w:r>
      <w:r>
        <w:rPr>
          <w:rFonts w:hint="default"/>
          <w:color w:val="auto"/>
          <w:highlight w:val="none"/>
          <w:lang w:val="en-US" w:eastAsia="zh-CN"/>
        </w:rPr>
        <w:t>、</w:t>
      </w:r>
      <w:r>
        <w:rPr>
          <w:rFonts w:hint="eastAsia"/>
          <w:color w:val="auto"/>
          <w:highlight w:val="none"/>
          <w:lang w:val="en-US" w:eastAsia="zh-CN"/>
        </w:rPr>
        <w:t>对苯二酚、甲基丙烯酸、丙烯酸甲酯、</w:t>
      </w:r>
      <w:r>
        <w:rPr>
          <w:rFonts w:hint="default"/>
          <w:color w:val="auto"/>
          <w:highlight w:val="none"/>
          <w:lang w:val="en-US" w:eastAsia="zh-CN"/>
        </w:rPr>
        <w:t>氮气（压缩的）</w:t>
      </w:r>
      <w:r>
        <w:rPr>
          <w:rFonts w:hint="eastAsia"/>
          <w:color w:val="auto"/>
          <w:highlight w:val="none"/>
          <w:lang w:val="en-US" w:eastAsia="zh-CN"/>
        </w:rPr>
        <w:t>、柴油。</w:t>
      </w:r>
    </w:p>
    <w:p>
      <w:pPr>
        <w:ind w:firstLine="560" w:firstLineChars="200"/>
        <w:rPr>
          <w:rFonts w:hint="default"/>
          <w:color w:val="auto"/>
          <w:lang w:val="en-US" w:eastAsia="zh-CN"/>
        </w:rPr>
      </w:pPr>
      <w:r>
        <w:rPr>
          <w:rFonts w:hint="default"/>
          <w:color w:val="auto"/>
          <w:lang w:val="en-US" w:eastAsia="zh-CN"/>
        </w:rPr>
        <w:t>2）该项目产品</w:t>
      </w:r>
      <w:r>
        <w:rPr>
          <w:rFonts w:hint="eastAsia"/>
          <w:color w:val="auto"/>
          <w:lang w:val="en-US" w:eastAsia="zh-CN"/>
        </w:rPr>
        <w:t>甲基丙烯酸甲酯</w:t>
      </w:r>
      <w:r>
        <w:rPr>
          <w:rFonts w:hint="default"/>
          <w:color w:val="auto"/>
          <w:lang w:val="en-US" w:eastAsia="zh-CN"/>
        </w:rPr>
        <w:t>属于危险化学品，属于危险化学品生产、储存项目。</w:t>
      </w:r>
    </w:p>
    <w:p>
      <w:pPr>
        <w:ind w:firstLine="560" w:firstLineChars="200"/>
        <w:rPr>
          <w:rFonts w:hint="default"/>
          <w:color w:val="auto"/>
          <w:lang w:val="en-US" w:eastAsia="zh-CN"/>
        </w:rPr>
      </w:pPr>
      <w:r>
        <w:rPr>
          <w:rFonts w:hint="default"/>
          <w:color w:val="auto"/>
          <w:lang w:val="en-US" w:eastAsia="zh-CN"/>
        </w:rPr>
        <w:t>3）依据《国家安全监管总局关于公布首批重点监管的危险化工工艺目录的通知（安监总管三〔2009〕116 号）《国家安全监管总局关于公布第二批重点监管危险化工工艺目录和调整首重点监管危险化工工艺中部分典型工艺的通知》安监总管三[2013]3 号），通过对该项目相关资料分析，该项目涉及重点监管的危险化工工艺</w:t>
      </w:r>
      <w:r>
        <w:rPr>
          <w:rFonts w:hint="eastAsia"/>
          <w:color w:val="auto"/>
          <w:lang w:val="en-US" w:eastAsia="zh-CN"/>
        </w:rPr>
        <w:t>——裂解工艺</w:t>
      </w:r>
      <w:r>
        <w:rPr>
          <w:rFonts w:hint="default"/>
          <w:color w:val="auto"/>
          <w:lang w:val="en-US" w:eastAsia="zh-CN"/>
        </w:rPr>
        <w:t>。</w:t>
      </w:r>
    </w:p>
    <w:p>
      <w:pPr>
        <w:ind w:firstLine="560" w:firstLineChars="200"/>
        <w:rPr>
          <w:rFonts w:hint="default"/>
          <w:color w:val="auto"/>
          <w:lang w:val="en-US" w:eastAsia="zh-CN"/>
        </w:rPr>
      </w:pPr>
      <w:r>
        <w:rPr>
          <w:rFonts w:hint="default"/>
          <w:color w:val="auto"/>
          <w:lang w:val="en-US" w:eastAsia="zh-CN"/>
        </w:rPr>
        <w:t>4）依据《国家安全监管总局关于公布首批重点监管的危险化学品名录的通知》（安监总管三〔2011〕95 号）、《国家安全监管总局关于公布第二批重点监管的危险化学品名录的通知》（安监总管三〔2013〕12 号），通过对该项目现场及企业相关资料分析，该项目涉及重点监管的危险化学品</w:t>
      </w:r>
      <w:r>
        <w:rPr>
          <w:rFonts w:hint="eastAsia"/>
          <w:color w:val="auto"/>
          <w:lang w:val="en-US" w:eastAsia="zh-CN"/>
        </w:rPr>
        <w:t>——甲醇（尾气）</w:t>
      </w:r>
      <w:r>
        <w:rPr>
          <w:rFonts w:hint="default"/>
          <w:color w:val="auto"/>
          <w:lang w:val="en-US" w:eastAsia="zh-CN"/>
        </w:rPr>
        <w:t>。</w:t>
      </w:r>
    </w:p>
    <w:p>
      <w:pPr>
        <w:ind w:firstLine="560" w:firstLineChars="200"/>
        <w:rPr>
          <w:rFonts w:hint="default"/>
          <w:color w:val="auto"/>
          <w:lang w:val="en-US" w:eastAsia="zh-CN"/>
        </w:rPr>
      </w:pPr>
      <w:r>
        <w:rPr>
          <w:rFonts w:hint="default"/>
          <w:color w:val="auto"/>
          <w:lang w:val="en-US" w:eastAsia="zh-CN"/>
        </w:rPr>
        <w:t>5）根据《危险化学品重大危险源辨识》（GB18218-2018）得出结论如下：该项目涉及的生产单元和储存单元均不构成重大危险源。</w:t>
      </w:r>
    </w:p>
    <w:p>
      <w:pPr>
        <w:ind w:firstLine="560" w:firstLineChars="200"/>
        <w:rPr>
          <w:rFonts w:hint="default"/>
          <w:color w:val="auto"/>
          <w:lang w:val="en-US" w:eastAsia="zh-CN"/>
        </w:rPr>
      </w:pPr>
      <w:r>
        <w:rPr>
          <w:rFonts w:hint="default"/>
          <w:color w:val="auto"/>
          <w:lang w:val="en-US" w:eastAsia="zh-CN"/>
        </w:rPr>
        <w:t>6）该项目不涉及剧毒、高毒、易制爆及第一、二、三类监控危险化学品；</w:t>
      </w:r>
    </w:p>
    <w:p>
      <w:pPr>
        <w:ind w:firstLine="560" w:firstLineChars="200"/>
        <w:rPr>
          <w:rFonts w:hint="default"/>
          <w:color w:val="auto"/>
          <w:highlight w:val="none"/>
          <w:lang w:val="en-US" w:eastAsia="zh-CN"/>
        </w:rPr>
      </w:pPr>
      <w:r>
        <w:rPr>
          <w:rFonts w:hint="default"/>
          <w:color w:val="auto"/>
          <w:lang w:val="en-US" w:eastAsia="zh-CN"/>
        </w:rPr>
        <w:t>7）通过预先危险分析可知该项目火灾、爆炸事故的危险等级为Ⅲ级；该项目应重点防范的危险因素为：</w:t>
      </w:r>
      <w:r>
        <w:rPr>
          <w:rFonts w:hint="default"/>
          <w:color w:val="auto"/>
          <w:highlight w:val="none"/>
          <w:lang w:val="en-US" w:eastAsia="zh-CN"/>
        </w:rPr>
        <w:t>火灾爆炸、灼烫；应重视的有害因素为：</w:t>
      </w:r>
      <w:r>
        <w:rPr>
          <w:rFonts w:hint="eastAsia"/>
          <w:color w:val="auto"/>
          <w:highlight w:val="none"/>
          <w:lang w:val="en-US" w:eastAsia="zh-CN"/>
        </w:rPr>
        <w:t>中毒和窒息、</w:t>
      </w:r>
      <w:r>
        <w:rPr>
          <w:rFonts w:hint="default"/>
          <w:color w:val="auto"/>
          <w:highlight w:val="none"/>
          <w:lang w:val="en-US" w:eastAsia="zh-CN"/>
        </w:rPr>
        <w:t>高温。</w:t>
      </w:r>
    </w:p>
    <w:p>
      <w:pPr>
        <w:ind w:firstLine="560" w:firstLineChars="200"/>
        <w:rPr>
          <w:rFonts w:hint="default"/>
          <w:color w:val="auto"/>
          <w:lang w:val="en-US" w:eastAsia="zh-CN"/>
        </w:rPr>
      </w:pPr>
      <w:r>
        <w:rPr>
          <w:rFonts w:hint="default"/>
          <w:color w:val="auto"/>
          <w:lang w:val="en-US" w:eastAsia="zh-CN"/>
        </w:rPr>
        <w:t>8）通过危险度分析可知该项目生产工艺装置单元总的固有危险程度等级为Ⅱ级（中度危险），应采取安全控制措施，降低危险程度，防止事故发生。罐区单元固有危险程度等级为Ⅰ级（高度危险），在公司的生产管理中应确认为危险目标，从安全技术措施及管理措施方面加强对其的管理，降低危险程度，防止事故发生。</w:t>
      </w:r>
    </w:p>
    <w:p>
      <w:pPr>
        <w:pStyle w:val="4"/>
        <w:rPr>
          <w:rFonts w:hint="default"/>
          <w:color w:val="auto"/>
          <w:lang w:val="en-US" w:eastAsia="zh-CN"/>
        </w:rPr>
      </w:pPr>
      <w:bookmarkStart w:id="760" w:name="_Toc714"/>
      <w:bookmarkStart w:id="761" w:name="_Toc28832"/>
      <w:bookmarkStart w:id="762" w:name="_Toc30237"/>
      <w:bookmarkStart w:id="763" w:name="_Toc22804"/>
      <w:bookmarkStart w:id="764" w:name="_Toc28764"/>
      <w:bookmarkStart w:id="765" w:name="_Toc28449"/>
      <w:r>
        <w:rPr>
          <w:rFonts w:hint="default"/>
          <w:color w:val="auto"/>
          <w:lang w:val="en-US" w:eastAsia="zh-CN"/>
        </w:rPr>
        <w:t>10.1.2 安全条件的评价结果</w:t>
      </w:r>
      <w:bookmarkEnd w:id="760"/>
      <w:bookmarkEnd w:id="761"/>
      <w:bookmarkEnd w:id="762"/>
      <w:bookmarkEnd w:id="763"/>
      <w:bookmarkEnd w:id="764"/>
      <w:bookmarkEnd w:id="765"/>
    </w:p>
    <w:p>
      <w:pPr>
        <w:ind w:firstLine="560" w:firstLineChars="200"/>
        <w:rPr>
          <w:rFonts w:hint="default"/>
          <w:color w:val="auto"/>
          <w:lang w:val="en-US" w:eastAsia="zh-CN"/>
        </w:rPr>
      </w:pPr>
      <w:r>
        <w:rPr>
          <w:rFonts w:hint="default"/>
          <w:color w:val="auto"/>
          <w:lang w:val="en-US" w:eastAsia="zh-CN"/>
        </w:rPr>
        <w:t>1）江西</w:t>
      </w:r>
      <w:r>
        <w:rPr>
          <w:rFonts w:hint="eastAsia"/>
          <w:color w:val="auto"/>
          <w:lang w:val="en-US" w:eastAsia="zh-CN"/>
        </w:rPr>
        <w:t>旺达</w:t>
      </w:r>
      <w:r>
        <w:rPr>
          <w:rFonts w:hint="default"/>
          <w:color w:val="auto"/>
          <w:lang w:val="en-US" w:eastAsia="zh-CN"/>
        </w:rPr>
        <w:t>新材料有限公司年产 2 万吨</w:t>
      </w:r>
      <w:r>
        <w:rPr>
          <w:rFonts w:hint="eastAsia"/>
          <w:color w:val="auto"/>
          <w:lang w:val="en-US" w:eastAsia="zh-CN"/>
        </w:rPr>
        <w:t>有机玻璃原料生产</w:t>
      </w:r>
      <w:r>
        <w:rPr>
          <w:rFonts w:hint="default"/>
          <w:color w:val="auto"/>
          <w:lang w:val="en-US" w:eastAsia="zh-CN"/>
        </w:rPr>
        <w:t>项目拟建设于江西省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color w:val="auto"/>
          <w:lang w:val="en-US" w:eastAsia="zh-CN"/>
        </w:rPr>
        <w:t>内，江西省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w:t>
      </w:r>
      <w:r>
        <w:rPr>
          <w:rFonts w:hint="default"/>
          <w:color w:val="auto"/>
          <w:lang w:val="en-US" w:eastAsia="zh-CN"/>
        </w:rPr>
        <w:t xml:space="preserve"> 2021 年 4 月入选江西省化工园区名单（第一批），属于规划的化工园区。</w:t>
      </w:r>
    </w:p>
    <w:p>
      <w:pPr>
        <w:ind w:firstLine="560" w:firstLineChars="200"/>
        <w:rPr>
          <w:rFonts w:hint="default"/>
          <w:color w:val="auto"/>
          <w:lang w:val="en-US" w:eastAsia="zh-CN"/>
        </w:rPr>
      </w:pPr>
      <w:r>
        <w:rPr>
          <w:rFonts w:hint="default"/>
          <w:color w:val="auto"/>
          <w:lang w:val="en-US" w:eastAsia="zh-CN"/>
        </w:rPr>
        <w:t>2）该项目外部安全防护距离内无相应的高敏感防护目标、重要防护目标及一般防护目标。</w:t>
      </w:r>
    </w:p>
    <w:p>
      <w:pPr>
        <w:ind w:firstLine="560" w:firstLineChars="200"/>
        <w:rPr>
          <w:rFonts w:hint="default"/>
          <w:color w:val="auto"/>
          <w:lang w:val="en-US" w:eastAsia="zh-CN"/>
        </w:rPr>
      </w:pPr>
      <w:r>
        <w:rPr>
          <w:rFonts w:hint="default"/>
          <w:color w:val="auto"/>
          <w:lang w:val="en-US" w:eastAsia="zh-CN"/>
        </w:rPr>
        <w:t>3）该项目所在地有较好的运输条件，并符合本地区产业发展和土地利用总体规划，符合国家产业政策，该项目已通过</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w:t>
      </w:r>
      <w:r>
        <w:rPr>
          <w:rFonts w:hint="default"/>
          <w:color w:val="auto"/>
          <w:lang w:val="en-US" w:eastAsia="zh-CN"/>
        </w:rPr>
        <w:t>发展和改革委员会项目备案。</w:t>
      </w:r>
    </w:p>
    <w:p>
      <w:pPr>
        <w:ind w:firstLine="560" w:firstLineChars="200"/>
        <w:rPr>
          <w:rFonts w:hint="default"/>
          <w:color w:val="auto"/>
          <w:lang w:val="en-US" w:eastAsia="zh-CN"/>
        </w:rPr>
      </w:pPr>
      <w:r>
        <w:rPr>
          <w:rFonts w:hint="default"/>
          <w:color w:val="auto"/>
          <w:lang w:val="en-US" w:eastAsia="zh-CN"/>
        </w:rPr>
        <w:t>4）该项目厂区的总平面布置符合《精细化工企业工程设计防火标准》《化工企业总图运输设计规范》《建筑设计防火规范》的要求。</w:t>
      </w:r>
    </w:p>
    <w:p>
      <w:pPr>
        <w:ind w:firstLine="560" w:firstLineChars="200"/>
        <w:rPr>
          <w:rFonts w:hint="default"/>
          <w:color w:val="auto"/>
          <w:lang w:val="en-US" w:eastAsia="zh-CN"/>
        </w:rPr>
      </w:pPr>
      <w:r>
        <w:rPr>
          <w:rFonts w:hint="default"/>
          <w:color w:val="auto"/>
          <w:lang w:val="en-US" w:eastAsia="zh-CN"/>
        </w:rPr>
        <w:t>5）该项目建成投产后正常运行时不会对周围环境产生影响。</w:t>
      </w:r>
    </w:p>
    <w:p>
      <w:pPr>
        <w:ind w:firstLine="560" w:firstLineChars="200"/>
        <w:rPr>
          <w:rFonts w:hint="default"/>
          <w:color w:val="auto"/>
          <w:lang w:val="en-US" w:eastAsia="zh-CN"/>
        </w:rPr>
      </w:pPr>
      <w:r>
        <w:rPr>
          <w:rFonts w:hint="default"/>
          <w:color w:val="auto"/>
          <w:lang w:val="en-US" w:eastAsia="zh-CN"/>
        </w:rPr>
        <w:t>6）该项目正常情况下周边生产、经营活动和居民生活情况不会对该项目产生影响。</w:t>
      </w:r>
    </w:p>
    <w:p>
      <w:pPr>
        <w:ind w:firstLine="560" w:firstLineChars="200"/>
        <w:rPr>
          <w:rFonts w:hint="default"/>
          <w:color w:val="auto"/>
          <w:lang w:val="en-US" w:eastAsia="zh-CN"/>
        </w:rPr>
      </w:pPr>
      <w:r>
        <w:rPr>
          <w:rFonts w:hint="default"/>
          <w:color w:val="auto"/>
          <w:lang w:val="en-US" w:eastAsia="zh-CN"/>
        </w:rPr>
        <w:t>7）正常情况下，自然条件不会对该项目产生影响。</w:t>
      </w:r>
    </w:p>
    <w:p>
      <w:pPr>
        <w:pStyle w:val="4"/>
        <w:rPr>
          <w:rFonts w:hint="default"/>
          <w:color w:val="auto"/>
          <w:lang w:val="en-US" w:eastAsia="zh-CN"/>
        </w:rPr>
      </w:pPr>
      <w:bookmarkStart w:id="766" w:name="_Toc14439"/>
      <w:bookmarkStart w:id="767" w:name="_Toc19159"/>
      <w:bookmarkStart w:id="768" w:name="_Toc10656"/>
      <w:bookmarkStart w:id="769" w:name="_Toc7970"/>
      <w:bookmarkStart w:id="770" w:name="_Toc30563"/>
      <w:bookmarkStart w:id="771" w:name="_Toc29410"/>
      <w:r>
        <w:rPr>
          <w:rFonts w:hint="default"/>
          <w:color w:val="auto"/>
          <w:lang w:val="en-US" w:eastAsia="zh-CN"/>
        </w:rPr>
        <w:t>10.1.3 主要技术、工艺和装置、设备、设施及其安全可靠性评价结果</w:t>
      </w:r>
      <w:bookmarkEnd w:id="766"/>
      <w:bookmarkEnd w:id="767"/>
      <w:bookmarkEnd w:id="768"/>
      <w:bookmarkEnd w:id="769"/>
      <w:bookmarkEnd w:id="770"/>
      <w:bookmarkEnd w:id="771"/>
    </w:p>
    <w:p>
      <w:pPr>
        <w:ind w:firstLine="560" w:firstLineChars="200"/>
        <w:rPr>
          <w:rFonts w:hint="default"/>
          <w:color w:val="auto"/>
          <w:lang w:val="en-US" w:eastAsia="zh-CN"/>
        </w:rPr>
      </w:pPr>
      <w:r>
        <w:rPr>
          <w:rFonts w:hint="default"/>
          <w:color w:val="auto"/>
          <w:lang w:val="en-US" w:eastAsia="zh-CN"/>
        </w:rPr>
        <w:t>1）该项目拟采用工艺流程属于成熟工艺，有成功应用的先例，其技术方案是安全、可靠的。</w:t>
      </w:r>
    </w:p>
    <w:p>
      <w:pPr>
        <w:ind w:firstLine="560" w:firstLineChars="200"/>
        <w:rPr>
          <w:rFonts w:hint="default"/>
          <w:color w:val="auto"/>
          <w:lang w:val="en-US" w:eastAsia="zh-CN"/>
        </w:rPr>
      </w:pPr>
      <w:r>
        <w:rPr>
          <w:rFonts w:hint="default"/>
          <w:color w:val="auto"/>
          <w:lang w:val="en-US" w:eastAsia="zh-CN"/>
        </w:rPr>
        <w:t>2）该项目拟采用 DCS集散控制系统，过程控制系统拟设在中心控制室内，对重点部位生产装置管理实施DCS控制模式和程控模式，数据发送偏离时及时报警提醒或切断相关操作。该项目其它工段采用就地与集中相结合的控制方式，对重要的参数如温度、压力、液位、流量等引至操作室集中显示、记录、调节、报警，以保证其具有丰富的功能和良好的操作性能及可靠性。拟重点对反应釜温度和压力；原料进料流量；蒸馏塔温度、液位；冷却系统中冷却介质的温度、压力、流量等进行监控，中间贮罐、高位槽液位测量由液位仪。拟设置反应釜温度和压力的报警和联锁；反应物料的比例控制和联锁及紧急切断动力系统；紧急断料系统。对生产过程中不太重要的过程参数拟实行就地检测为主，对生产过程中的温度、压力、流量等参数实行就地显示。处于爆炸危险区域内的电动仪表，拟按隔爆型进行选型设计，符合安全生产要求；电缆过路拟穿保护管，符合安全生产要求。</w:t>
      </w:r>
    </w:p>
    <w:p>
      <w:pPr>
        <w:ind w:firstLine="560" w:firstLineChars="200"/>
        <w:rPr>
          <w:rFonts w:hint="default"/>
          <w:color w:val="auto"/>
          <w:lang w:val="en-US" w:eastAsia="zh-CN"/>
        </w:rPr>
      </w:pPr>
      <w:r>
        <w:rPr>
          <w:rFonts w:hint="default"/>
          <w:color w:val="auto"/>
          <w:lang w:val="en-US" w:eastAsia="zh-CN"/>
        </w:rPr>
        <w:t>3）拟采用的技术及设备较先进、工艺合理、设备设施安全可靠（依据对该项目拟采用的技术、设备、工艺与国内外技术的对比及该项目主要技术、工艺或者方式和装置、设备、设施的安全可靠性分析）；拟采用的配套及辅助工程满足该项目所需要的安全可靠性的要求。</w:t>
      </w:r>
    </w:p>
    <w:p>
      <w:pPr>
        <w:pStyle w:val="4"/>
        <w:rPr>
          <w:rFonts w:hint="default"/>
          <w:color w:val="auto"/>
          <w:lang w:val="en-US" w:eastAsia="zh-CN"/>
        </w:rPr>
      </w:pPr>
      <w:bookmarkStart w:id="772" w:name="_Toc14087"/>
      <w:bookmarkStart w:id="773" w:name="_Toc20521"/>
      <w:bookmarkStart w:id="774" w:name="_Toc18281"/>
      <w:bookmarkStart w:id="775" w:name="_Toc20177"/>
      <w:bookmarkStart w:id="776" w:name="_Toc25279"/>
      <w:bookmarkStart w:id="777" w:name="_Toc13947"/>
      <w:r>
        <w:rPr>
          <w:rFonts w:hint="default"/>
          <w:color w:val="auto"/>
          <w:lang w:val="en-US" w:eastAsia="zh-CN"/>
        </w:rPr>
        <w:t>10.1.4 应重视的安全对策措施</w:t>
      </w:r>
      <w:bookmarkEnd w:id="772"/>
      <w:bookmarkEnd w:id="773"/>
      <w:bookmarkEnd w:id="774"/>
      <w:bookmarkEnd w:id="775"/>
      <w:bookmarkEnd w:id="776"/>
      <w:bookmarkEnd w:id="777"/>
    </w:p>
    <w:p>
      <w:pPr>
        <w:ind w:firstLine="560" w:firstLineChars="200"/>
        <w:rPr>
          <w:rFonts w:hint="eastAsia"/>
          <w:color w:val="auto"/>
          <w:highlight w:val="none"/>
          <w:lang w:val="en-US" w:eastAsia="zh-CN"/>
        </w:rPr>
      </w:pPr>
      <w:r>
        <w:rPr>
          <w:rFonts w:hint="eastAsia"/>
          <w:color w:val="auto"/>
          <w:highlight w:val="none"/>
          <w:lang w:val="en-US" w:eastAsia="zh-CN"/>
        </w:rPr>
        <w:t>1）建设项目未通过安全审查的不得开工建设，安全设施未全部建设完成的不得进行试生产（使用），未经安全设施竣工验收合格的不得投入正式生产（使用）。</w:t>
      </w:r>
    </w:p>
    <w:p>
      <w:pPr>
        <w:ind w:firstLine="560" w:firstLineChars="200"/>
        <w:rPr>
          <w:rFonts w:hint="eastAsia"/>
          <w:color w:val="auto"/>
          <w:highlight w:val="none"/>
          <w:lang w:val="en-US" w:eastAsia="zh-CN"/>
        </w:rPr>
      </w:pPr>
      <w:r>
        <w:rPr>
          <w:rFonts w:hint="eastAsia"/>
          <w:color w:val="auto"/>
          <w:highlight w:val="none"/>
          <w:lang w:val="en-US" w:eastAsia="zh-CN"/>
        </w:rPr>
        <w:t>2）建设项目开工建设前，建设单位应委托取得相应资质的设计单位进行建设项目的安全设施设计，设计单位对建设项目安全设施设计负责。</w:t>
      </w:r>
    </w:p>
    <w:p>
      <w:pPr>
        <w:ind w:firstLine="560" w:firstLineChars="200"/>
        <w:rPr>
          <w:rFonts w:hint="eastAsia"/>
          <w:color w:val="auto"/>
          <w:highlight w:val="none"/>
          <w:lang w:val="en-US" w:eastAsia="zh-CN"/>
        </w:rPr>
      </w:pPr>
      <w:r>
        <w:rPr>
          <w:rFonts w:hint="eastAsia"/>
          <w:color w:val="auto"/>
          <w:highlight w:val="none"/>
          <w:lang w:val="en-US" w:eastAsia="zh-CN"/>
        </w:rPr>
        <w:t>设计单位应当根据有关安全生产的法律、法规、规章、标准和有关规定，按照《化工建设项目安全设计管理导则》（AQ/T3033）和建设项目安全评价报告提出的对策措施和建议，充分运用反应安全风险评估分析成果，对建设项目的安全设施进行设计，并编制符合《危险化学品建设项目安全设施设计专篇编制导则》要求的建设项目安全设施设计专篇。</w:t>
      </w:r>
    </w:p>
    <w:p>
      <w:pPr>
        <w:ind w:firstLine="560" w:firstLineChars="200"/>
        <w:rPr>
          <w:rFonts w:hint="eastAsia"/>
          <w:color w:val="auto"/>
          <w:highlight w:val="none"/>
          <w:lang w:val="en-US" w:eastAsia="zh-CN"/>
        </w:rPr>
      </w:pPr>
      <w:r>
        <w:rPr>
          <w:rFonts w:hint="eastAsia"/>
          <w:color w:val="auto"/>
          <w:highlight w:val="none"/>
          <w:lang w:val="en-US" w:eastAsia="zh-CN"/>
        </w:rPr>
        <w:t>涉及危险化工工艺的装置，由具有综合甲级资质或者化工石化医药行业甲级、化学工程专业甲级设计资质的化工石化设计单位设计。</w:t>
      </w:r>
    </w:p>
    <w:p>
      <w:pPr>
        <w:ind w:firstLine="560" w:firstLineChars="200"/>
        <w:rPr>
          <w:rFonts w:hint="default"/>
          <w:color w:val="auto"/>
          <w:lang w:val="en-US" w:eastAsia="zh-CN"/>
        </w:rPr>
      </w:pPr>
      <w:r>
        <w:rPr>
          <w:rFonts w:hint="eastAsia"/>
          <w:color w:val="auto"/>
          <w:lang w:val="en-US" w:eastAsia="zh-CN"/>
        </w:rPr>
        <w:t>3）</w:t>
      </w:r>
      <w:r>
        <w:rPr>
          <w:rFonts w:hint="default"/>
          <w:color w:val="auto"/>
          <w:lang w:val="en-US" w:eastAsia="zh-CN"/>
        </w:rPr>
        <w:t xml:space="preserve">DCS显示的工艺流程应与 </w:t>
      </w:r>
      <w:r>
        <w:rPr>
          <w:rFonts w:hint="eastAsia"/>
          <w:color w:val="auto"/>
          <w:lang w:val="en-US" w:eastAsia="zh-CN"/>
        </w:rPr>
        <w:t>P.I.D</w:t>
      </w:r>
      <w:r>
        <w:rPr>
          <w:rFonts w:hint="default"/>
          <w:color w:val="auto"/>
          <w:lang w:val="en-US" w:eastAsia="zh-CN"/>
        </w:rPr>
        <w:t>图和现场一致。自动化控制联锁系统的参数设置必须与实际运行的操作（控制）系统或 DCS系统的参数一致，且与设计方案的逻辑关系图相符。</w:t>
      </w:r>
    </w:p>
    <w:p>
      <w:pPr>
        <w:ind w:firstLine="560" w:firstLineChars="200"/>
        <w:rPr>
          <w:rFonts w:hint="default"/>
          <w:color w:val="auto"/>
          <w:lang w:val="en-US" w:eastAsia="zh-CN"/>
        </w:rPr>
      </w:pPr>
      <w:r>
        <w:rPr>
          <w:rFonts w:hint="eastAsia"/>
          <w:color w:val="auto"/>
          <w:lang w:val="en-US" w:eastAsia="zh-CN"/>
        </w:rPr>
        <w:t>4）</w:t>
      </w:r>
      <w:r>
        <w:rPr>
          <w:rFonts w:hint="eastAsia"/>
          <w:color w:val="auto"/>
          <w:lang w:eastAsia="zh-CN"/>
        </w:rPr>
        <w:t>“两重点一重大”生产、储存装置的自动化控制设计（应包括但不限于以下内容：过程控制系统（PLC/DCS系统）、独立的安全仪表系统（SIS系统）、紧急停车系统等。</w:t>
      </w:r>
    </w:p>
    <w:p>
      <w:pPr>
        <w:ind w:firstLine="560" w:firstLineChars="200"/>
        <w:rPr>
          <w:rFonts w:hint="default"/>
          <w:color w:val="auto"/>
          <w:lang w:val="en-US" w:eastAsia="zh-CN"/>
        </w:rPr>
      </w:pPr>
      <w:r>
        <w:rPr>
          <w:rFonts w:hint="eastAsia"/>
          <w:color w:val="auto"/>
          <w:lang w:val="en-US" w:eastAsia="zh-CN"/>
        </w:rPr>
        <w:t>5</w:t>
      </w:r>
      <w:r>
        <w:rPr>
          <w:rFonts w:hint="default"/>
          <w:color w:val="auto"/>
          <w:lang w:val="en-US" w:eastAsia="zh-CN"/>
        </w:rPr>
        <w:t>）该</w:t>
      </w:r>
      <w:r>
        <w:rPr>
          <w:rFonts w:hint="eastAsia"/>
          <w:color w:val="auto"/>
          <w:lang w:val="en-US" w:eastAsia="zh-CN"/>
        </w:rPr>
        <w:t>项目</w:t>
      </w:r>
      <w:r>
        <w:rPr>
          <w:rFonts w:hint="default"/>
          <w:color w:val="auto"/>
          <w:lang w:val="en-US" w:eastAsia="zh-CN"/>
        </w:rPr>
        <w:t>所在地地震烈度为</w:t>
      </w:r>
      <w:r>
        <w:rPr>
          <w:rFonts w:hint="eastAsia"/>
          <w:color w:val="auto"/>
          <w:lang w:val="en-US" w:eastAsia="zh-CN"/>
        </w:rPr>
        <w:t>6</w:t>
      </w:r>
      <w:r>
        <w:rPr>
          <w:rFonts w:hint="default"/>
          <w:color w:val="auto"/>
          <w:lang w:val="en-US" w:eastAsia="zh-CN"/>
        </w:rPr>
        <w:t>度，建设单位应根据场地地震基本烈度，作抗震设防。新建建、构筑物抗震设防按《建筑抗震设计规范（2016 年版）》（GB50011-2010）和《构筑物抗震设计规范》（GB50191-2012）执行，其中其中重点设防目标建、构筑物抗震设防应提高一度进行设防。</w:t>
      </w:r>
    </w:p>
    <w:p>
      <w:pPr>
        <w:ind w:firstLine="560" w:firstLineChars="200"/>
        <w:rPr>
          <w:rFonts w:hint="default"/>
          <w:color w:val="auto"/>
          <w:lang w:val="en-US" w:eastAsia="zh-CN"/>
        </w:rPr>
      </w:pPr>
      <w:r>
        <w:rPr>
          <w:rFonts w:hint="eastAsia"/>
          <w:color w:val="auto"/>
          <w:lang w:val="en-US" w:eastAsia="zh-CN"/>
        </w:rPr>
        <w:t>6</w:t>
      </w:r>
      <w:r>
        <w:rPr>
          <w:rFonts w:hint="default"/>
          <w:color w:val="auto"/>
          <w:lang w:val="en-US" w:eastAsia="zh-CN"/>
        </w:rPr>
        <w:t>）在工程设计前应根据勘查结果和地质资料和工程的要求，因地制宜采取以地基处理为主的综合措施，对所有建筑、设备、设施等的基础采取相应的加固处理措施，防止地基湿陷对建筑物产生危害。按要求做好该项目的埋地电缆、排水的设计与施工。</w:t>
      </w:r>
    </w:p>
    <w:p>
      <w:pPr>
        <w:ind w:firstLine="560" w:firstLineChars="200"/>
        <w:rPr>
          <w:rFonts w:hint="default"/>
          <w:color w:val="auto"/>
          <w:lang w:val="en-US" w:eastAsia="zh-CN"/>
        </w:rPr>
      </w:pPr>
      <w:r>
        <w:rPr>
          <w:rFonts w:hint="eastAsia"/>
          <w:color w:val="auto"/>
          <w:lang w:val="en-US" w:eastAsia="zh-CN"/>
        </w:rPr>
        <w:t>7</w:t>
      </w:r>
      <w:r>
        <w:rPr>
          <w:rFonts w:hint="default"/>
          <w:color w:val="auto"/>
          <w:lang w:val="en-US" w:eastAsia="zh-CN"/>
        </w:rPr>
        <w:t>）精馏塔等高塔类设备应采取有效的固定措施以防止在风载荷等影响下发生超过规定范围的位移。</w:t>
      </w:r>
    </w:p>
    <w:p>
      <w:pPr>
        <w:ind w:firstLine="560" w:firstLineChars="200"/>
        <w:rPr>
          <w:rFonts w:hint="default"/>
          <w:color w:val="auto"/>
          <w:lang w:val="en-US" w:eastAsia="zh-CN"/>
        </w:rPr>
      </w:pPr>
      <w:r>
        <w:rPr>
          <w:rFonts w:hint="eastAsia"/>
          <w:color w:val="auto"/>
          <w:lang w:val="en-US" w:eastAsia="zh-CN"/>
        </w:rPr>
        <w:t>8</w:t>
      </w:r>
      <w:r>
        <w:rPr>
          <w:rFonts w:hint="default"/>
          <w:color w:val="auto"/>
          <w:lang w:val="en-US" w:eastAsia="zh-CN"/>
        </w:rPr>
        <w:t>）有爆炸危险的甲类工艺设备宜</w:t>
      </w:r>
      <w:r>
        <w:rPr>
          <w:rFonts w:hint="eastAsia"/>
          <w:color w:val="auto"/>
          <w:lang w:val="en-US" w:eastAsia="zh-CN"/>
        </w:rPr>
        <w:t>合理</w:t>
      </w:r>
      <w:r>
        <w:rPr>
          <w:rFonts w:hint="default"/>
          <w:color w:val="auto"/>
          <w:lang w:val="en-US" w:eastAsia="zh-CN"/>
        </w:rPr>
        <w:t>布置，并采取相应的防爆、泄压措施。设计时应考虑该项目爆炸危险区域不应覆盖进出厂区的原料、产品的运输道路（主要道路）。</w:t>
      </w:r>
    </w:p>
    <w:p>
      <w:pPr>
        <w:ind w:firstLine="560" w:firstLineChars="200"/>
        <w:rPr>
          <w:rFonts w:hint="default"/>
          <w:color w:val="auto"/>
          <w:lang w:val="en-US" w:eastAsia="zh-CN"/>
        </w:rPr>
      </w:pPr>
      <w:r>
        <w:rPr>
          <w:rFonts w:hint="eastAsia"/>
          <w:color w:val="auto"/>
          <w:lang w:val="en-US" w:eastAsia="zh-CN"/>
        </w:rPr>
        <w:t>9</w:t>
      </w:r>
      <w:r>
        <w:rPr>
          <w:rFonts w:hint="default"/>
          <w:color w:val="auto"/>
          <w:lang w:val="en-US" w:eastAsia="zh-CN"/>
        </w:rPr>
        <w:t>）变永久性的地上、地下管道，严禁穿越与其无关的生产设施、生产线、仓库、储罐（组）和建（构）筑物。</w:t>
      </w:r>
    </w:p>
    <w:p>
      <w:pPr>
        <w:ind w:firstLine="560" w:firstLineChars="200"/>
        <w:rPr>
          <w:rFonts w:hint="default"/>
          <w:color w:val="auto"/>
          <w:lang w:val="en-US" w:eastAsia="zh-CN"/>
        </w:rPr>
      </w:pPr>
      <w:r>
        <w:rPr>
          <w:rFonts w:hint="eastAsia"/>
          <w:color w:val="auto"/>
          <w:lang w:val="en-US" w:eastAsia="zh-CN"/>
        </w:rPr>
        <w:t>10</w:t>
      </w:r>
      <w:r>
        <w:rPr>
          <w:rFonts w:hint="default"/>
          <w:color w:val="auto"/>
          <w:lang w:val="en-US" w:eastAsia="zh-CN"/>
        </w:rPr>
        <w:t>）爆炸危险区域范围内的疏散门，开启方向应朝向爆炸危险性较小的区域一侧；爆炸危险场所的外门口应为防滑坡道，且不应设置台阶。</w:t>
      </w:r>
    </w:p>
    <w:p>
      <w:pPr>
        <w:ind w:firstLine="560" w:firstLineChars="200"/>
        <w:rPr>
          <w:rFonts w:hint="default"/>
          <w:color w:val="auto"/>
          <w:lang w:val="en-US" w:eastAsia="zh-CN"/>
        </w:rPr>
      </w:pPr>
      <w:r>
        <w:rPr>
          <w:rFonts w:hint="eastAsia"/>
          <w:color w:val="auto"/>
          <w:lang w:val="en-US" w:eastAsia="zh-CN"/>
        </w:rPr>
        <w:t>11</w:t>
      </w:r>
      <w:r>
        <w:rPr>
          <w:rFonts w:hint="default"/>
          <w:color w:val="auto"/>
          <w:lang w:val="en-US" w:eastAsia="zh-CN"/>
        </w:rPr>
        <w:t>）厂房内设备构架的承重结构构件应采用不燃烧体。当甲、丙类液体的设备承重构架、支架、裙座及管廊（架）采用钢结构时，应采取耐火极限不低于2.00h的保护措施。</w:t>
      </w:r>
    </w:p>
    <w:p>
      <w:pPr>
        <w:ind w:firstLine="560" w:firstLineChars="200"/>
        <w:rPr>
          <w:rFonts w:hint="default"/>
          <w:color w:val="auto"/>
          <w:lang w:val="en-US" w:eastAsia="zh-CN"/>
        </w:rPr>
      </w:pPr>
      <w:r>
        <w:rPr>
          <w:rFonts w:hint="eastAsia"/>
          <w:color w:val="auto"/>
          <w:lang w:val="en-US" w:eastAsia="zh-CN"/>
        </w:rPr>
        <w:t>12</w:t>
      </w:r>
      <w:r>
        <w:rPr>
          <w:rFonts w:hint="default"/>
          <w:color w:val="auto"/>
          <w:lang w:val="en-US" w:eastAsia="zh-CN"/>
        </w:rPr>
        <w:t>）变配电室不应正对甲类车间等爆炸危险区域开门；长度大于 7m 的配电间应设置2个安全出口，且安全出口宜位于两端，安全出口的门应向外开。</w:t>
      </w:r>
    </w:p>
    <w:p>
      <w:pPr>
        <w:ind w:firstLine="560" w:firstLineChars="200"/>
        <w:rPr>
          <w:rFonts w:hint="default"/>
          <w:color w:val="auto"/>
          <w:lang w:val="en-US" w:eastAsia="zh-CN"/>
        </w:rPr>
      </w:pPr>
      <w:r>
        <w:rPr>
          <w:rFonts w:hint="eastAsia"/>
          <w:color w:val="auto"/>
          <w:lang w:val="en-US" w:eastAsia="zh-CN"/>
        </w:rPr>
        <w:t>13</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中心控制室的建筑、结构应进行抗爆强度计算，根据抗爆计算分析结果进行抗爆设计。</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4）307</w:t>
      </w:r>
      <w:r>
        <w:rPr>
          <w:rFonts w:hint="default"/>
          <w:color w:val="auto"/>
          <w:lang w:val="en-US" w:eastAsia="zh-CN"/>
        </w:rPr>
        <w:t>中心控制室活动地板的基础地面与室外地面高差不应小于0.3m。</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5</w:t>
      </w:r>
      <w:r>
        <w:rPr>
          <w:rFonts w:hint="default"/>
          <w:color w:val="auto"/>
          <w:lang w:val="en-US" w:eastAsia="zh-CN"/>
        </w:rPr>
        <w:t>）</w:t>
      </w:r>
      <w:r>
        <w:rPr>
          <w:rFonts w:hint="eastAsia"/>
          <w:color w:val="auto"/>
          <w:lang w:val="en-US" w:eastAsia="zh-CN"/>
        </w:rPr>
        <w:t>307</w:t>
      </w:r>
      <w:r>
        <w:rPr>
          <w:rFonts w:hint="default"/>
          <w:color w:val="auto"/>
          <w:lang w:val="en-US" w:eastAsia="zh-CN"/>
        </w:rPr>
        <w:t>中心控制室门的设置，应符合下列规定：</w:t>
      </w:r>
    </w:p>
    <w:p>
      <w:pPr>
        <w:ind w:firstLine="560" w:firstLineChars="200"/>
        <w:rPr>
          <w:rFonts w:hint="default"/>
          <w:color w:val="auto"/>
          <w:lang w:val="en-US" w:eastAsia="zh-CN"/>
        </w:rPr>
      </w:pPr>
      <w:r>
        <w:rPr>
          <w:rFonts w:hint="default"/>
          <w:color w:val="auto"/>
          <w:lang w:val="en-US" w:eastAsia="zh-CN"/>
        </w:rPr>
        <w:t>（1）应满足安全和设备进出的要求；</w:t>
      </w:r>
    </w:p>
    <w:p>
      <w:pPr>
        <w:ind w:firstLine="560" w:firstLineChars="200"/>
        <w:rPr>
          <w:rFonts w:hint="default"/>
          <w:color w:val="auto"/>
          <w:lang w:val="en-US" w:eastAsia="zh-CN"/>
        </w:rPr>
      </w:pPr>
      <w:r>
        <w:rPr>
          <w:rFonts w:hint="default"/>
          <w:color w:val="auto"/>
          <w:lang w:val="en-US" w:eastAsia="zh-CN"/>
        </w:rPr>
        <w:t>（2）控制室通向室外门的数量应根据控制室大小及建筑设计要求确定；</w:t>
      </w:r>
    </w:p>
    <w:p>
      <w:pPr>
        <w:ind w:firstLine="560" w:firstLineChars="200"/>
        <w:rPr>
          <w:rFonts w:hint="default"/>
          <w:color w:val="auto"/>
          <w:lang w:val="en-US" w:eastAsia="zh-CN"/>
        </w:rPr>
      </w:pPr>
      <w:r>
        <w:rPr>
          <w:rFonts w:hint="default"/>
          <w:color w:val="auto"/>
          <w:lang w:val="en-US" w:eastAsia="zh-CN"/>
        </w:rPr>
        <w:t>（3）抗爆结构控制室的门应设置隔离前室作为缓冲区；</w:t>
      </w:r>
    </w:p>
    <w:p>
      <w:pPr>
        <w:ind w:firstLine="560" w:firstLineChars="200"/>
        <w:rPr>
          <w:rFonts w:hint="default"/>
          <w:color w:val="auto"/>
          <w:lang w:val="en-US" w:eastAsia="zh-CN"/>
        </w:rPr>
      </w:pPr>
      <w:r>
        <w:rPr>
          <w:rFonts w:hint="eastAsia"/>
          <w:color w:val="auto"/>
          <w:lang w:val="en-US" w:eastAsia="zh-CN"/>
        </w:rPr>
        <w:t>（</w:t>
      </w:r>
      <w:r>
        <w:rPr>
          <w:rFonts w:hint="default"/>
          <w:color w:val="auto"/>
          <w:lang w:val="en-US" w:eastAsia="zh-CN"/>
        </w:rPr>
        <w:t>4）控制室中的机柜室不应设置直接通向建筑物室外的门；</w:t>
      </w:r>
    </w:p>
    <w:p>
      <w:pPr>
        <w:ind w:firstLine="560" w:firstLineChars="200"/>
        <w:rPr>
          <w:rFonts w:hint="default"/>
          <w:color w:val="auto"/>
          <w:lang w:val="en-US" w:eastAsia="zh-CN"/>
        </w:rPr>
      </w:pPr>
      <w:r>
        <w:rPr>
          <w:rFonts w:hint="default"/>
          <w:color w:val="auto"/>
          <w:lang w:val="en-US" w:eastAsia="zh-CN"/>
        </w:rPr>
        <w:t>（5）控制室通向室外的门应设置抗爆门。</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6</w:t>
      </w:r>
      <w:r>
        <w:rPr>
          <w:rFonts w:hint="default"/>
          <w:color w:val="auto"/>
          <w:lang w:val="en-US" w:eastAsia="zh-CN"/>
        </w:rPr>
        <w:t>）散发较空气重的可燃蒸气的 101</w:t>
      </w:r>
      <w:r>
        <w:rPr>
          <w:rFonts w:hint="eastAsia"/>
          <w:color w:val="auto"/>
          <w:lang w:val="en-US" w:eastAsia="zh-CN"/>
        </w:rPr>
        <w:t>裂解</w:t>
      </w:r>
      <w:r>
        <w:rPr>
          <w:rFonts w:hint="default"/>
          <w:color w:val="auto"/>
          <w:lang w:val="en-US" w:eastAsia="zh-CN"/>
        </w:rPr>
        <w:t>车间、</w:t>
      </w:r>
      <w:r>
        <w:rPr>
          <w:rFonts w:hint="eastAsia"/>
          <w:color w:val="auto"/>
          <w:lang w:val="en-US" w:eastAsia="zh-CN"/>
        </w:rPr>
        <w:t>102精馏车间、</w:t>
      </w:r>
      <w:r>
        <w:rPr>
          <w:rFonts w:hint="default"/>
          <w:color w:val="auto"/>
          <w:lang w:val="en-US" w:eastAsia="zh-CN"/>
        </w:rPr>
        <w:t>20</w:t>
      </w:r>
      <w:r>
        <w:rPr>
          <w:rFonts w:hint="eastAsia"/>
          <w:color w:val="auto"/>
          <w:lang w:val="en-US" w:eastAsia="zh-CN"/>
        </w:rPr>
        <w:t>1甲</w:t>
      </w:r>
      <w:r>
        <w:rPr>
          <w:rFonts w:hint="default"/>
          <w:color w:val="auto"/>
          <w:lang w:val="en-US" w:eastAsia="zh-CN"/>
        </w:rPr>
        <w:t>类仓库应符合下列规定：</w:t>
      </w:r>
    </w:p>
    <w:p>
      <w:pPr>
        <w:ind w:firstLine="560" w:firstLineChars="200"/>
        <w:rPr>
          <w:rFonts w:hint="default"/>
          <w:color w:val="auto"/>
          <w:lang w:val="en-US" w:eastAsia="zh-CN"/>
        </w:rPr>
      </w:pPr>
      <w:r>
        <w:rPr>
          <w:rFonts w:hint="default"/>
          <w:color w:val="auto"/>
          <w:lang w:val="en-US" w:eastAsia="zh-CN"/>
        </w:rPr>
        <w:t>（1）应采用不发火花的地面。采用绝缘材料作整体面层时，应采取防静电措施；</w:t>
      </w:r>
    </w:p>
    <w:p>
      <w:pPr>
        <w:ind w:firstLine="560" w:firstLineChars="200"/>
        <w:rPr>
          <w:rFonts w:hint="default"/>
          <w:color w:val="auto"/>
          <w:lang w:val="en-US" w:eastAsia="zh-CN"/>
        </w:rPr>
      </w:pPr>
      <w:r>
        <w:rPr>
          <w:rFonts w:hint="default"/>
          <w:color w:val="auto"/>
          <w:lang w:val="en-US" w:eastAsia="zh-CN"/>
        </w:rPr>
        <w:t>（2）厂房内不宜设置地沟，确需设置时，其盖板应严密，地沟应采取防止可燃蒸气在地沟积聚的有效措施，且应在与相邻厂房连通处采用防火材料密封。</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7</w:t>
      </w:r>
      <w:r>
        <w:rPr>
          <w:rFonts w:hint="default"/>
          <w:color w:val="auto"/>
          <w:lang w:val="en-US" w:eastAsia="zh-CN"/>
        </w:rPr>
        <w:t>）</w:t>
      </w:r>
      <w:r>
        <w:rPr>
          <w:rFonts w:hint="eastAsia"/>
          <w:color w:val="auto"/>
          <w:lang w:val="en-US" w:eastAsia="zh-CN"/>
        </w:rPr>
        <w:t>101裂解车间</w:t>
      </w:r>
      <w:r>
        <w:rPr>
          <w:rFonts w:hint="default"/>
          <w:color w:val="auto"/>
          <w:lang w:val="en-US" w:eastAsia="zh-CN"/>
        </w:rPr>
        <w:t>内作业场所一般不允许储存危险化学品原料、产品，如果条件需要必须储存时，所存放危险化学品量或设置的中间储罐内危险化学品存放量不应超过一天的用量。</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8</w:t>
      </w:r>
      <w:r>
        <w:rPr>
          <w:rFonts w:hint="default"/>
          <w:color w:val="auto"/>
          <w:lang w:val="en-US" w:eastAsia="zh-CN"/>
        </w:rPr>
        <w:t>）化工装置内的各种散发热量的设备和管道应采取有效的隔热措施。设备及管道的保温设计应符合现行国家标准《设备及管道绝热技术通则》GB/T 4272-2008 的规定。</w:t>
      </w:r>
    </w:p>
    <w:p>
      <w:pPr>
        <w:ind w:firstLine="560" w:firstLineChars="200"/>
        <w:rPr>
          <w:rFonts w:hint="default"/>
          <w:color w:val="auto"/>
          <w:lang w:val="en-US" w:eastAsia="zh-CN"/>
        </w:rPr>
      </w:pPr>
      <w:r>
        <w:rPr>
          <w:rFonts w:hint="default"/>
          <w:color w:val="auto"/>
          <w:lang w:val="en-US" w:eastAsia="zh-CN"/>
        </w:rPr>
        <w:t>1</w:t>
      </w:r>
      <w:r>
        <w:rPr>
          <w:rFonts w:hint="eastAsia"/>
          <w:color w:val="auto"/>
          <w:lang w:val="en-US" w:eastAsia="zh-CN"/>
        </w:rPr>
        <w:t>9</w:t>
      </w:r>
      <w:r>
        <w:rPr>
          <w:rFonts w:hint="default"/>
          <w:color w:val="auto"/>
          <w:lang w:val="en-US" w:eastAsia="zh-CN"/>
        </w:rPr>
        <w:t>）总图中应考虑泡沫站的布置，储罐区泡沫站应布置在防火堤外的非爆炸危险区；与可燃液体储罐的防火间距不应小于 20m。</w:t>
      </w:r>
    </w:p>
    <w:p>
      <w:pPr>
        <w:ind w:firstLine="560" w:firstLineChars="200"/>
        <w:rPr>
          <w:rFonts w:hint="default"/>
          <w:color w:val="auto"/>
          <w:lang w:val="en-US" w:eastAsia="zh-CN"/>
        </w:rPr>
      </w:pPr>
      <w:r>
        <w:rPr>
          <w:rFonts w:hint="eastAsia"/>
          <w:color w:val="auto"/>
          <w:lang w:val="en-US" w:eastAsia="zh-CN"/>
        </w:rPr>
        <w:t>20</w:t>
      </w:r>
      <w:r>
        <w:rPr>
          <w:rFonts w:hint="default"/>
          <w:color w:val="auto"/>
          <w:lang w:val="en-US" w:eastAsia="zh-CN"/>
        </w:rPr>
        <w:t>）火灾危险性类别不同的常压储罐布置在同一防火堤内应设置隔堤分开。</w:t>
      </w:r>
    </w:p>
    <w:p>
      <w:pPr>
        <w:ind w:firstLine="560" w:firstLineChars="200"/>
        <w:rPr>
          <w:rFonts w:hint="default"/>
          <w:color w:val="auto"/>
          <w:lang w:val="en-US" w:eastAsia="zh-CN"/>
        </w:rPr>
      </w:pPr>
      <w:r>
        <w:rPr>
          <w:rFonts w:hint="eastAsia"/>
          <w:color w:val="auto"/>
          <w:lang w:val="en-US" w:eastAsia="zh-CN"/>
        </w:rPr>
        <w:t>21</w:t>
      </w:r>
      <w:r>
        <w:rPr>
          <w:rFonts w:hint="default"/>
          <w:color w:val="auto"/>
          <w:lang w:val="en-US" w:eastAsia="zh-CN"/>
        </w:rPr>
        <w:t>）使用或生产可燃液体的设备应设置防静电接地。</w:t>
      </w:r>
    </w:p>
    <w:p>
      <w:pPr>
        <w:ind w:firstLine="560" w:firstLineChars="200"/>
        <w:rPr>
          <w:rFonts w:hint="default"/>
          <w:color w:val="auto"/>
          <w:lang w:val="en-US" w:eastAsia="zh-CN"/>
        </w:rPr>
      </w:pPr>
      <w:r>
        <w:rPr>
          <w:rFonts w:hint="eastAsia"/>
          <w:color w:val="auto"/>
          <w:lang w:val="en-US" w:eastAsia="zh-CN"/>
        </w:rPr>
        <w:t>22</w:t>
      </w:r>
      <w:r>
        <w:rPr>
          <w:rFonts w:hint="default"/>
          <w:color w:val="auto"/>
          <w:lang w:val="en-US" w:eastAsia="zh-CN"/>
        </w:rPr>
        <w:t>）蒸馏（精馏）系统应根据相关设备、设施等实际情况设置以下措施：（1）有爆炸危险的蒸馏装置设置安全联锁停车系统或具有安全联锁停车功能的其他系统，以保证操作人员及设备运行的安全。（2）应有防止管道被凝固点较高的物质凝结堵塞，使塔内压增高而引起爆炸的措施，如管道伴热，设置双压力表，安全阀前串联爆破片等。（3）蒸馏装置尽量靠近生产区的边沿，蒸馏装置上方不宜设置其它装置或房间，爆炸危险性较大的蒸馏釜宜采用防爆墙与其它部位相隔。（4）应注意塔板、填料材料、塔底泵和换热设备与物料的相容性，如：物料组合对特定材料的应力腐蚀，介质与设备材料的是否相互反应等。（5）易燃物料减压蒸馏的真空泵应装有止回阀。（6）高温及强腐蚀性物料的液面指示，不得采用玻璃管液面计。承载易燃、易爆的危险性介质的容器一般不得采用玻璃管液面计。（7）根据工艺过程要求，向塔顶馏出管道注入与操作介质不同的添加剂时，其接管上应设置止回阀和切断阀。（8）冷凝液管道要有坡度要求，坡向回流罐。（9）需要设置安全联锁停车系统的蒸馏装置应配置备用电源或应急电源，以保证在主供电源停电时仍能正常启动。</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3</w:t>
      </w:r>
      <w:r>
        <w:rPr>
          <w:rFonts w:hint="default"/>
          <w:color w:val="auto"/>
          <w:lang w:val="en-US" w:eastAsia="zh-CN"/>
        </w:rPr>
        <w:t>）紧急切断装置应同时考虑对上下游装置安全生产的影响，并实现与上下游装置的报警通讯、延迟执行功能。应同时设置紧急泄压或物料回收设施。对现场运行的动力设备设置手动停机操作和事故联锁停机等。</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4</w:t>
      </w:r>
      <w:r>
        <w:rPr>
          <w:rFonts w:hint="default"/>
          <w:color w:val="auto"/>
          <w:lang w:val="en-US" w:eastAsia="zh-CN"/>
        </w:rPr>
        <w:t>）控制室操作联锁的控制器和常规控制器应分别分开单独设置。辅助操作台上设有重要动设备的紧急停车按钮以及相应的外报警灯，控制室的操作人员可以在生产装置紧急状态下进行手动机组停车，在确认有效信息的前提下，操作人员可以发出全线停车指令，使工程系统处于紧急保护停机状态。</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5</w:t>
      </w:r>
      <w:r>
        <w:rPr>
          <w:rFonts w:hint="default"/>
          <w:color w:val="auto"/>
          <w:lang w:val="en-US" w:eastAsia="zh-CN"/>
        </w:rPr>
        <w:t>）可燃介质不应采用非金属管道输送。当局部确需采用软管输送可燃介质时，应采用金属软管。</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6</w:t>
      </w:r>
      <w:r>
        <w:rPr>
          <w:rFonts w:hint="default"/>
          <w:color w:val="auto"/>
          <w:lang w:val="en-US" w:eastAsia="zh-CN"/>
        </w:rPr>
        <w:t>）具有超压危险的生产设备和管道应设计安全阀、爆破片等泄压系统。输送可燃性物料并有可能产生火焰蔓延的放空管和管道间应设置阻火器、水封等阻火设施。因物料爆聚、分解造成超温、超压，可能引起火灾、爆炸的反应设备应设报警信号和泄压排放设施，以及自动或手动遥控的紧急切断进料设施。</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7</w:t>
      </w:r>
      <w:r>
        <w:rPr>
          <w:rFonts w:hint="default"/>
          <w:color w:val="auto"/>
          <w:lang w:val="en-US" w:eastAsia="zh-CN"/>
        </w:rPr>
        <w:t>）爆炸性环境电气设备的选择应符合下列规定：</w:t>
      </w:r>
    </w:p>
    <w:p>
      <w:pPr>
        <w:ind w:firstLine="560" w:firstLineChars="200"/>
        <w:rPr>
          <w:rFonts w:hint="default"/>
          <w:color w:val="auto"/>
          <w:highlight w:val="yellow"/>
          <w:lang w:val="en-US" w:eastAsia="zh-CN"/>
        </w:rPr>
      </w:pPr>
      <w:r>
        <w:rPr>
          <w:rFonts w:hint="default"/>
          <w:color w:val="auto"/>
          <w:lang w:val="en-US" w:eastAsia="zh-CN"/>
        </w:rPr>
        <w:t>（1）</w:t>
      </w:r>
      <w:r>
        <w:rPr>
          <w:rFonts w:hint="default"/>
          <w:color w:val="auto"/>
          <w:highlight w:val="none"/>
          <w:lang w:val="en-US" w:eastAsia="zh-CN"/>
        </w:rPr>
        <w:t>根据爆炸危险区域的分区、电气设备的种类和防爆结构的要求，应选择相应的电气设备。涉及爆炸危险性物质的</w:t>
      </w:r>
      <w:r>
        <w:rPr>
          <w:rFonts w:hint="eastAsia"/>
          <w:color w:val="auto"/>
          <w:highlight w:val="none"/>
          <w:lang w:val="en-US" w:eastAsia="zh-CN"/>
        </w:rPr>
        <w:t>101裂解</w:t>
      </w:r>
      <w:r>
        <w:rPr>
          <w:rFonts w:hint="default"/>
          <w:color w:val="auto"/>
          <w:highlight w:val="none"/>
          <w:lang w:val="en-US" w:eastAsia="zh-CN"/>
        </w:rPr>
        <w:t>车间、</w:t>
      </w:r>
      <w:r>
        <w:rPr>
          <w:rFonts w:hint="eastAsia"/>
          <w:color w:val="auto"/>
          <w:highlight w:val="none"/>
          <w:lang w:val="en-US" w:eastAsia="zh-CN"/>
        </w:rPr>
        <w:t>102精馏车间、201甲类</w:t>
      </w:r>
      <w:r>
        <w:rPr>
          <w:rFonts w:hint="default"/>
          <w:color w:val="auto"/>
          <w:highlight w:val="none"/>
          <w:lang w:val="en-US" w:eastAsia="zh-CN"/>
        </w:rPr>
        <w:t>仓库等场所电气防爆等级不应小于ⅡAT2；涉及爆炸</w:t>
      </w:r>
      <w:r>
        <w:rPr>
          <w:rFonts w:hint="eastAsia"/>
          <w:color w:val="auto"/>
          <w:highlight w:val="none"/>
          <w:lang w:val="en-US" w:eastAsia="zh-CN"/>
        </w:rPr>
        <w:t>性粉尘</w:t>
      </w:r>
      <w:r>
        <w:rPr>
          <w:rFonts w:hint="default"/>
          <w:color w:val="auto"/>
          <w:highlight w:val="none"/>
          <w:lang w:val="en-US" w:eastAsia="zh-CN"/>
        </w:rPr>
        <w:t>危险</w:t>
      </w:r>
      <w:r>
        <w:rPr>
          <w:rFonts w:hint="eastAsia"/>
          <w:color w:val="auto"/>
          <w:highlight w:val="none"/>
          <w:lang w:val="en-US" w:eastAsia="zh-CN"/>
        </w:rPr>
        <w:t>区域</w:t>
      </w:r>
      <w:r>
        <w:rPr>
          <w:rFonts w:hint="default"/>
          <w:color w:val="auto"/>
          <w:highlight w:val="none"/>
          <w:lang w:val="en-US" w:eastAsia="zh-CN"/>
        </w:rPr>
        <w:t>的</w:t>
      </w:r>
      <w:r>
        <w:rPr>
          <w:rFonts w:hint="eastAsia"/>
          <w:color w:val="auto"/>
          <w:highlight w:val="none"/>
          <w:lang w:val="en-US" w:eastAsia="zh-CN"/>
        </w:rPr>
        <w:t>204丙类仓库二破碎间</w:t>
      </w:r>
      <w:r>
        <w:rPr>
          <w:rFonts w:hint="default"/>
          <w:color w:val="auto"/>
          <w:highlight w:val="none"/>
          <w:lang w:val="en-US" w:eastAsia="zh-CN"/>
        </w:rPr>
        <w:t>等</w:t>
      </w:r>
      <w:r>
        <w:rPr>
          <w:rFonts w:hint="eastAsia"/>
          <w:color w:val="auto"/>
          <w:highlight w:val="none"/>
          <w:lang w:val="en-US" w:eastAsia="zh-CN"/>
        </w:rPr>
        <w:t>作业</w:t>
      </w:r>
      <w:r>
        <w:rPr>
          <w:rFonts w:hint="default"/>
          <w:color w:val="auto"/>
          <w:highlight w:val="none"/>
          <w:lang w:val="en-US" w:eastAsia="zh-CN"/>
        </w:rPr>
        <w:t>场所电气防爆等级不应小于Ⅲ</w:t>
      </w:r>
      <w:r>
        <w:rPr>
          <w:rFonts w:hint="eastAsia"/>
          <w:color w:val="auto"/>
          <w:highlight w:val="none"/>
          <w:lang w:val="en-US" w:eastAsia="zh-CN"/>
        </w:rPr>
        <w:t>C</w:t>
      </w:r>
      <w:r>
        <w:rPr>
          <w:rFonts w:hint="default"/>
          <w:color w:val="auto"/>
          <w:highlight w:val="none"/>
          <w:lang w:val="en-US" w:eastAsia="zh-CN"/>
        </w:rPr>
        <w:t>；</w:t>
      </w:r>
    </w:p>
    <w:p>
      <w:pPr>
        <w:ind w:firstLine="560" w:firstLineChars="200"/>
        <w:rPr>
          <w:rFonts w:hint="default"/>
          <w:color w:val="auto"/>
          <w:lang w:val="en-US" w:eastAsia="zh-CN"/>
        </w:rPr>
      </w:pPr>
      <w:r>
        <w:rPr>
          <w:rFonts w:hint="default"/>
          <w:color w:val="auto"/>
          <w:lang w:val="en-US" w:eastAsia="zh-CN"/>
        </w:rPr>
        <w:t>（</w:t>
      </w:r>
      <w:r>
        <w:rPr>
          <w:rFonts w:hint="eastAsia"/>
          <w:color w:val="auto"/>
          <w:lang w:val="en-US" w:eastAsia="zh-CN"/>
        </w:rPr>
        <w:t>2</w:t>
      </w:r>
      <w:r>
        <w:rPr>
          <w:rFonts w:hint="default"/>
          <w:color w:val="auto"/>
          <w:lang w:val="en-US" w:eastAsia="zh-CN"/>
        </w:rPr>
        <w:t>）爆炸危险区域内的电气设备，应符合周围环境内化学的、机械的、热的、霉菌以及风沙等不同环境条件对电气设备的要求；</w:t>
      </w:r>
    </w:p>
    <w:p>
      <w:pPr>
        <w:ind w:firstLine="560" w:firstLineChars="200"/>
        <w:rPr>
          <w:rFonts w:hint="default"/>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）电气设备结构应满足电气设备在规定的运行条件下不降低防爆性能的要求。</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8</w:t>
      </w:r>
      <w:r>
        <w:rPr>
          <w:rFonts w:hint="default"/>
          <w:color w:val="auto"/>
          <w:lang w:val="en-US" w:eastAsia="zh-CN"/>
        </w:rPr>
        <w:t>）使用或生产可燃液体的生产和储运区域，应按现行国家标准《石油化工可燃气体和有毒气体检测报警设计标准》GB/T 50493-2019、《爆炸危险环境电力装置设计规范》GB 50058-2014的规定，设置独立于基本控制系统的可燃、有毒气体检测报警系统，现场电子仪表设备应采取合适的防爆措施，符合爆炸危险环境的防爆要求。</w:t>
      </w:r>
    </w:p>
    <w:p>
      <w:pPr>
        <w:ind w:firstLine="560" w:firstLineChars="200"/>
        <w:rPr>
          <w:rFonts w:hint="default"/>
          <w:color w:val="auto"/>
          <w:lang w:val="en-US" w:eastAsia="zh-CN"/>
        </w:rPr>
      </w:pPr>
      <w:r>
        <w:rPr>
          <w:rFonts w:hint="default"/>
          <w:color w:val="auto"/>
          <w:lang w:val="en-US" w:eastAsia="zh-CN"/>
        </w:rPr>
        <w:t>2</w:t>
      </w:r>
      <w:r>
        <w:rPr>
          <w:rFonts w:hint="eastAsia"/>
          <w:color w:val="auto"/>
          <w:lang w:val="en-US" w:eastAsia="zh-CN"/>
        </w:rPr>
        <w:t>9</w:t>
      </w:r>
      <w:r>
        <w:rPr>
          <w:rFonts w:hint="default"/>
          <w:color w:val="auto"/>
          <w:lang w:val="en-US" w:eastAsia="zh-CN"/>
        </w:rPr>
        <w:t>）建筑防腐按现行国家标准《建筑防腐蚀工程施工规范》GB 50212-2014的规定执行。</w:t>
      </w:r>
    </w:p>
    <w:p>
      <w:pPr>
        <w:ind w:firstLine="560" w:firstLineChars="200"/>
        <w:rPr>
          <w:rFonts w:hint="default"/>
          <w:color w:val="auto"/>
          <w:lang w:val="en-US" w:eastAsia="zh-CN"/>
        </w:rPr>
      </w:pPr>
      <w:r>
        <w:rPr>
          <w:rFonts w:hint="eastAsia"/>
          <w:color w:val="auto"/>
          <w:lang w:val="en-US" w:eastAsia="zh-CN"/>
        </w:rPr>
        <w:t>30</w:t>
      </w:r>
      <w:r>
        <w:rPr>
          <w:rFonts w:hint="default"/>
          <w:color w:val="auto"/>
          <w:lang w:val="en-US" w:eastAsia="zh-CN"/>
        </w:rPr>
        <w:t>）可燃气体二级报警信号、可燃气体和有毒气体检测报警系统报警控制单元的故障信号应送至消防控制室或中控室。可燃气体和有毒气体检测报警系统应独立于其他系统单独设置。</w:t>
      </w:r>
    </w:p>
    <w:p>
      <w:pPr>
        <w:ind w:firstLine="560" w:firstLineChars="200"/>
        <w:rPr>
          <w:rFonts w:hint="default"/>
          <w:color w:val="auto"/>
          <w:lang w:val="en-US" w:eastAsia="zh-CN"/>
        </w:rPr>
      </w:pPr>
      <w:r>
        <w:rPr>
          <w:rFonts w:hint="eastAsia"/>
          <w:color w:val="auto"/>
          <w:lang w:val="en-US" w:eastAsia="zh-CN"/>
        </w:rPr>
        <w:t>31</w:t>
      </w:r>
      <w:r>
        <w:rPr>
          <w:rFonts w:hint="default"/>
          <w:color w:val="auto"/>
          <w:lang w:val="en-US" w:eastAsia="zh-CN"/>
        </w:rPr>
        <w:t>）具有化学灼伤危险的作业区，应设计必要的洗眼器、淋洗器等安全防护措施，并在装置区设置救护箱。工作人员配备必要的个人防护用品。生产过程中接触强酸、强碱和易经皮肤吸收的毒物的场所，应设现场人身冲洗设施和洗眼器。具有化学灼伤危险的作业区，应设计必要的洗眼器、淋洗器等安全防护措施，并在装置区设置救护箱。工作人员配备必要的个人防护用品。</w:t>
      </w:r>
    </w:p>
    <w:p>
      <w:pPr>
        <w:ind w:firstLine="560" w:firstLineChars="200"/>
        <w:rPr>
          <w:rFonts w:hint="default"/>
          <w:color w:val="auto"/>
          <w:lang w:val="en-US" w:eastAsia="zh-CN"/>
        </w:rPr>
      </w:pPr>
      <w:r>
        <w:rPr>
          <w:rFonts w:hint="eastAsia"/>
          <w:color w:val="auto"/>
          <w:lang w:val="en-US" w:eastAsia="zh-CN"/>
        </w:rPr>
        <w:t>32</w:t>
      </w:r>
      <w:r>
        <w:rPr>
          <w:rFonts w:hint="default"/>
          <w:color w:val="auto"/>
          <w:lang w:val="en-US" w:eastAsia="zh-CN"/>
        </w:rPr>
        <w:t>）污水处理系统防爆型电气设备，应根据爆炸性气体环境内爆炸性气体混合物的级别和组别确定。</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3</w:t>
      </w:r>
      <w:r>
        <w:rPr>
          <w:rFonts w:hint="default"/>
          <w:color w:val="auto"/>
          <w:lang w:val="en-US" w:eastAsia="zh-CN"/>
        </w:rPr>
        <w:t>）该项目中涉及“两重点一重大”。应按要求配置化学安全防护眼镜、穿防静电工作服、戴橡胶手套、过滤式防毒面具（半面罩）、空气呼吸器等防护用品。还应当配备一定数量的便携式可燃、有毒气体检测设备。</w:t>
      </w:r>
    </w:p>
    <w:p>
      <w:pPr>
        <w:ind w:firstLine="560" w:firstLineChars="200"/>
        <w:rPr>
          <w:rFonts w:hint="default"/>
          <w:color w:val="auto"/>
          <w:lang w:val="en-US" w:eastAsia="zh-CN"/>
        </w:rPr>
      </w:pPr>
      <w:r>
        <w:rPr>
          <w:rFonts w:hint="default"/>
          <w:color w:val="auto"/>
          <w:lang w:val="en-US" w:eastAsia="zh-CN"/>
        </w:rPr>
        <w:t>3</w:t>
      </w:r>
      <w:r>
        <w:rPr>
          <w:rFonts w:hint="eastAsia"/>
          <w:color w:val="auto"/>
          <w:lang w:val="en-US" w:eastAsia="zh-CN"/>
        </w:rPr>
        <w:t>4</w:t>
      </w:r>
      <w:r>
        <w:rPr>
          <w:rFonts w:hint="default"/>
          <w:color w:val="auto"/>
          <w:lang w:val="en-US" w:eastAsia="zh-CN"/>
        </w:rPr>
        <w:t>）该项目建成后专职安全生产管理人员应不少于企业员工总数的 2%（企业拟定员</w:t>
      </w:r>
      <w:r>
        <w:rPr>
          <w:rFonts w:hint="eastAsia"/>
          <w:color w:val="auto"/>
          <w:highlight w:val="none"/>
          <w:lang w:val="en-US" w:eastAsia="zh-CN"/>
        </w:rPr>
        <w:t>5</w:t>
      </w:r>
      <w:r>
        <w:rPr>
          <w:rFonts w:hint="default"/>
          <w:color w:val="auto"/>
          <w:highlight w:val="none"/>
          <w:lang w:val="en-US" w:eastAsia="zh-CN"/>
        </w:rPr>
        <w:t>5</w:t>
      </w:r>
      <w:r>
        <w:rPr>
          <w:rFonts w:hint="default"/>
          <w:color w:val="auto"/>
          <w:lang w:val="en-US" w:eastAsia="zh-CN"/>
        </w:rPr>
        <w:t>人，应至少配备1名专职安全管理人员），新入职的主要负责人和主管生产、设备、技术、安全的负责人及安全生产管理人员必须具备化学、化工、安全等相关专业大专及以上学历或化工类中级及以上职称，应至少配备1名注册安全工程师。企业现有的主要负责人和主管生产、设备、技术、安全的负责人及安全生产管理人员等有关从业人员资质不符合《江西省危险化学品安全专项整治三年行动实施方案》要求的，应按要求进行学历提升。</w:t>
      </w:r>
    </w:p>
    <w:p>
      <w:pPr>
        <w:pStyle w:val="3"/>
        <w:rPr>
          <w:rFonts w:hint="default"/>
          <w:color w:val="auto"/>
          <w:lang w:val="en-US" w:eastAsia="zh-CN"/>
        </w:rPr>
      </w:pPr>
      <w:bookmarkStart w:id="778" w:name="_Toc22211"/>
      <w:bookmarkStart w:id="779" w:name="_Toc30931"/>
      <w:bookmarkStart w:id="780" w:name="_Toc21935"/>
      <w:bookmarkStart w:id="781" w:name="_Toc19276"/>
      <w:bookmarkStart w:id="782" w:name="_Toc18915"/>
      <w:bookmarkStart w:id="783" w:name="_Toc27662"/>
      <w:r>
        <w:rPr>
          <w:rFonts w:hint="default"/>
          <w:color w:val="auto"/>
          <w:lang w:val="en-US" w:eastAsia="zh-CN"/>
        </w:rPr>
        <w:t>10.2 安全评价结论</w:t>
      </w:r>
      <w:bookmarkEnd w:id="778"/>
      <w:bookmarkEnd w:id="779"/>
      <w:bookmarkEnd w:id="780"/>
      <w:bookmarkEnd w:id="781"/>
      <w:bookmarkEnd w:id="782"/>
      <w:bookmarkEnd w:id="783"/>
    </w:p>
    <w:p>
      <w:pPr>
        <w:pStyle w:val="4"/>
        <w:rPr>
          <w:rFonts w:hint="default"/>
          <w:color w:val="auto"/>
          <w:lang w:val="en-US" w:eastAsia="zh-CN"/>
        </w:rPr>
      </w:pPr>
      <w:bookmarkStart w:id="784" w:name="_Toc19947"/>
      <w:bookmarkStart w:id="785" w:name="_Toc12866"/>
      <w:bookmarkStart w:id="786" w:name="_Toc3230"/>
      <w:bookmarkStart w:id="787" w:name="_Toc24720"/>
      <w:bookmarkStart w:id="788" w:name="_Toc14456"/>
      <w:bookmarkStart w:id="789" w:name="_Toc17263"/>
      <w:r>
        <w:rPr>
          <w:rFonts w:hint="default"/>
          <w:color w:val="auto"/>
          <w:lang w:val="en-US" w:eastAsia="zh-CN"/>
        </w:rPr>
        <w:t>10.2.1 危险、有害因素受控程度分析</w:t>
      </w:r>
      <w:bookmarkEnd w:id="784"/>
      <w:bookmarkEnd w:id="785"/>
      <w:bookmarkEnd w:id="786"/>
      <w:bookmarkEnd w:id="787"/>
      <w:bookmarkEnd w:id="788"/>
      <w:bookmarkEnd w:id="789"/>
    </w:p>
    <w:p>
      <w:pPr>
        <w:ind w:firstLine="560" w:firstLineChars="200"/>
        <w:rPr>
          <w:rFonts w:hint="default"/>
          <w:b w:val="0"/>
          <w:bCs w:val="0"/>
          <w:color w:val="auto"/>
          <w:sz w:val="28"/>
          <w:szCs w:val="24"/>
          <w:highlight w:val="none"/>
          <w:lang w:val="en-US" w:eastAsia="zh-CN"/>
        </w:rPr>
      </w:pPr>
      <w:r>
        <w:rPr>
          <w:rFonts w:hint="default"/>
          <w:b w:val="0"/>
          <w:bCs w:val="0"/>
          <w:color w:val="auto"/>
          <w:sz w:val="28"/>
          <w:szCs w:val="24"/>
          <w:highlight w:val="none"/>
          <w:lang w:val="en-US" w:eastAsia="zh-CN"/>
        </w:rPr>
        <w:t>通过对该项目生产过程情况分析，该项目存在一定的危险有害因素，但在采取可行性研究报告</w:t>
      </w:r>
      <w:r>
        <w:rPr>
          <w:rFonts w:hint="eastAsia"/>
          <w:b w:val="0"/>
          <w:bCs w:val="0"/>
          <w:color w:val="auto"/>
          <w:sz w:val="28"/>
          <w:szCs w:val="24"/>
          <w:highlight w:val="none"/>
          <w:lang w:val="en-US" w:eastAsia="zh-CN"/>
        </w:rPr>
        <w:t>、国内首次工艺论证</w:t>
      </w:r>
      <w:r>
        <w:rPr>
          <w:rFonts w:hint="default"/>
          <w:b w:val="0"/>
          <w:bCs w:val="0"/>
          <w:color w:val="auto"/>
          <w:sz w:val="28"/>
          <w:szCs w:val="24"/>
          <w:highlight w:val="none"/>
          <w:lang w:val="en-US" w:eastAsia="zh-CN"/>
        </w:rPr>
        <w:t>及本评价报告提出的各项安全对策措施及预防手段的基础上，项目的危险、有害程度可降低，可使安全方面的风险控制在可接受的范围内。</w:t>
      </w:r>
    </w:p>
    <w:p>
      <w:pPr>
        <w:pStyle w:val="4"/>
        <w:rPr>
          <w:rFonts w:hint="default"/>
          <w:color w:val="auto"/>
          <w:lang w:val="en-US" w:eastAsia="zh-CN"/>
        </w:rPr>
      </w:pPr>
      <w:bookmarkStart w:id="790" w:name="_Toc1809"/>
      <w:bookmarkStart w:id="791" w:name="_Toc28204"/>
      <w:bookmarkStart w:id="792" w:name="_Toc19945"/>
      <w:bookmarkStart w:id="793" w:name="_Toc8941"/>
      <w:bookmarkStart w:id="794" w:name="_Toc17349"/>
      <w:bookmarkStart w:id="795" w:name="_Toc26228"/>
      <w:r>
        <w:rPr>
          <w:rFonts w:hint="default"/>
          <w:color w:val="auto"/>
          <w:lang w:val="en-US" w:eastAsia="zh-CN"/>
        </w:rPr>
        <w:t>10.2.2 建设项目法律法规的符合性</w:t>
      </w:r>
      <w:bookmarkEnd w:id="790"/>
      <w:bookmarkEnd w:id="791"/>
      <w:bookmarkEnd w:id="792"/>
      <w:bookmarkEnd w:id="793"/>
      <w:bookmarkEnd w:id="794"/>
      <w:bookmarkEnd w:id="795"/>
    </w:p>
    <w:p>
      <w:pPr>
        <w:ind w:firstLine="560" w:firstLineChars="200"/>
        <w:rPr>
          <w:rFonts w:hint="default"/>
          <w:b w:val="0"/>
          <w:bCs w:val="0"/>
          <w:color w:val="auto"/>
          <w:sz w:val="28"/>
          <w:szCs w:val="24"/>
          <w:highlight w:val="none"/>
          <w:lang w:val="en-US" w:eastAsia="zh-CN"/>
        </w:rPr>
      </w:pPr>
      <w:r>
        <w:rPr>
          <w:rFonts w:hint="default"/>
          <w:b w:val="0"/>
          <w:bCs w:val="0"/>
          <w:color w:val="auto"/>
          <w:sz w:val="28"/>
          <w:szCs w:val="24"/>
          <w:highlight w:val="none"/>
          <w:lang w:val="en-US" w:eastAsia="zh-CN"/>
        </w:rPr>
        <w:t>1、</w:t>
      </w:r>
      <w:r>
        <w:rPr>
          <w:rFonts w:hint="eastAsia"/>
          <w:b w:val="0"/>
          <w:bCs w:val="0"/>
          <w:color w:val="auto"/>
          <w:sz w:val="28"/>
          <w:szCs w:val="24"/>
          <w:highlight w:val="none"/>
          <w:lang w:val="en-US" w:eastAsia="zh-CN"/>
        </w:rPr>
        <w:t>依照</w:t>
      </w:r>
      <w:r>
        <w:rPr>
          <w:rFonts w:hint="default"/>
          <w:b w:val="0"/>
          <w:bCs w:val="0"/>
          <w:color w:val="auto"/>
          <w:sz w:val="28"/>
          <w:szCs w:val="24"/>
          <w:highlight w:val="none"/>
          <w:lang w:val="en-US" w:eastAsia="zh-CN"/>
        </w:rPr>
        <w:t>《产业结构调整指导目录（202</w:t>
      </w:r>
      <w:r>
        <w:rPr>
          <w:rFonts w:hint="eastAsia"/>
          <w:b w:val="0"/>
          <w:bCs w:val="0"/>
          <w:color w:val="auto"/>
          <w:sz w:val="28"/>
          <w:szCs w:val="24"/>
          <w:highlight w:val="none"/>
          <w:lang w:val="en-US" w:eastAsia="zh-CN"/>
        </w:rPr>
        <w:t>4</w:t>
      </w:r>
      <w:r>
        <w:rPr>
          <w:rFonts w:hint="default"/>
          <w:b w:val="0"/>
          <w:bCs w:val="0"/>
          <w:color w:val="auto"/>
          <w:sz w:val="28"/>
          <w:szCs w:val="24"/>
          <w:highlight w:val="none"/>
          <w:lang w:val="en-US" w:eastAsia="zh-CN"/>
        </w:rPr>
        <w:t>修改）》（发展和改革委员会令第</w:t>
      </w:r>
      <w:r>
        <w:rPr>
          <w:rFonts w:hint="eastAsia"/>
          <w:b w:val="0"/>
          <w:bCs w:val="0"/>
          <w:color w:val="auto"/>
          <w:sz w:val="28"/>
          <w:szCs w:val="24"/>
          <w:highlight w:val="none"/>
          <w:lang w:val="en-US" w:eastAsia="zh-CN"/>
        </w:rPr>
        <w:t>7</w:t>
      </w:r>
      <w:r>
        <w:rPr>
          <w:rFonts w:hint="default"/>
          <w:b w:val="0"/>
          <w:bCs w:val="0"/>
          <w:color w:val="auto"/>
          <w:sz w:val="28"/>
          <w:szCs w:val="24"/>
          <w:highlight w:val="none"/>
          <w:lang w:val="en-US" w:eastAsia="zh-CN"/>
        </w:rPr>
        <w:t>号），</w:t>
      </w:r>
      <w:r>
        <w:rPr>
          <w:rFonts w:hint="default"/>
          <w:color w:val="auto"/>
          <w:lang w:val="en-US" w:eastAsia="zh-CN"/>
        </w:rPr>
        <w:t>江西</w:t>
      </w:r>
      <w:r>
        <w:rPr>
          <w:rFonts w:hint="eastAsia"/>
          <w:color w:val="auto"/>
          <w:lang w:val="en-US" w:eastAsia="zh-CN"/>
        </w:rPr>
        <w:t>旺达</w:t>
      </w:r>
      <w:r>
        <w:rPr>
          <w:rFonts w:hint="default"/>
          <w:color w:val="auto"/>
          <w:lang w:val="en-US" w:eastAsia="zh-CN"/>
        </w:rPr>
        <w:t>新材料有限公司年产2万吨</w:t>
      </w:r>
      <w:r>
        <w:rPr>
          <w:rFonts w:hint="eastAsia"/>
          <w:color w:val="auto"/>
          <w:lang w:val="en-US" w:eastAsia="zh-CN"/>
        </w:rPr>
        <w:t>有机玻璃原料生产</w:t>
      </w:r>
      <w:r>
        <w:rPr>
          <w:rFonts w:hint="default"/>
          <w:color w:val="auto"/>
          <w:lang w:val="en-US" w:eastAsia="zh-CN"/>
        </w:rPr>
        <w:t>项目</w:t>
      </w:r>
      <w:r>
        <w:rPr>
          <w:rFonts w:hint="default"/>
          <w:b w:val="0"/>
          <w:bCs w:val="0"/>
          <w:color w:val="auto"/>
          <w:sz w:val="28"/>
          <w:szCs w:val="24"/>
          <w:highlight w:val="none"/>
          <w:lang w:val="en-US" w:eastAsia="zh-CN"/>
        </w:rPr>
        <w:t>不属于“限制类”和“淘汰类”，因此该</w:t>
      </w:r>
      <w:r>
        <w:rPr>
          <w:rFonts w:hint="eastAsia"/>
          <w:b w:val="0"/>
          <w:bCs w:val="0"/>
          <w:color w:val="auto"/>
          <w:sz w:val="28"/>
          <w:szCs w:val="24"/>
          <w:highlight w:val="none"/>
          <w:lang w:val="en-US" w:eastAsia="zh-CN"/>
        </w:rPr>
        <w:t>新建</w:t>
      </w:r>
      <w:r>
        <w:rPr>
          <w:rFonts w:hint="default"/>
          <w:b w:val="0"/>
          <w:bCs w:val="0"/>
          <w:color w:val="auto"/>
          <w:sz w:val="28"/>
          <w:szCs w:val="24"/>
          <w:highlight w:val="none"/>
          <w:lang w:val="en-US" w:eastAsia="zh-CN"/>
        </w:rPr>
        <w:t>项目属于允许类。因此，该项目的建设符合国家产业政策。</w:t>
      </w:r>
    </w:p>
    <w:p>
      <w:pPr>
        <w:keepNext w:val="0"/>
        <w:keepLines w:val="0"/>
        <w:widowControl/>
        <w:suppressLineNumbers w:val="0"/>
        <w:ind w:firstLine="560" w:firstLineChars="200"/>
        <w:jc w:val="left"/>
        <w:rPr>
          <w:rFonts w:hint="default"/>
          <w:b w:val="0"/>
          <w:bCs w:val="0"/>
          <w:color w:val="auto"/>
          <w:sz w:val="28"/>
          <w:szCs w:val="24"/>
          <w:lang w:val="en-US" w:eastAsia="zh-CN"/>
        </w:rPr>
      </w:pPr>
      <w:r>
        <w:rPr>
          <w:rFonts w:hint="eastAsia"/>
          <w:b w:val="0"/>
          <w:bCs w:val="0"/>
          <w:color w:val="auto"/>
          <w:sz w:val="28"/>
          <w:szCs w:val="24"/>
          <w:lang w:val="en-US" w:eastAsia="zh-CN"/>
        </w:rPr>
        <w:t>2依照《宜春市危险化学品行业安全风险管控若干意见》（宜府办发[2020]332号）和</w:t>
      </w:r>
      <w:r>
        <w:rPr>
          <w:rFonts w:ascii="宋体" w:hAnsi="宋体" w:eastAsia="宋体" w:cs="宋体"/>
          <w:color w:val="auto"/>
          <w:kern w:val="0"/>
          <w:sz w:val="28"/>
          <w:szCs w:val="28"/>
          <w:lang w:val="en-US" w:eastAsia="zh-CN" w:bidi="ar"/>
        </w:rPr>
        <w:fldChar w:fldCharType="begin"/>
      </w:r>
      <w:r>
        <w:rPr>
          <w:rFonts w:ascii="宋体" w:hAnsi="宋体" w:eastAsia="宋体" w:cs="宋体"/>
          <w:color w:val="auto"/>
          <w:kern w:val="0"/>
          <w:sz w:val="28"/>
          <w:szCs w:val="28"/>
          <w:lang w:val="en-US" w:eastAsia="zh-CN" w:bidi="ar"/>
        </w:rPr>
        <w:instrText xml:space="preserve"> HYPERLINK "http://www.yzq.gov.cn/yzqrmzf/fgwj/202209/3571d6a0af13493eb7afdb963b9bfa8c/files/%E5%85%B3%E4%BA%8E%E5%8D%B0%E5%8F%91%E3%80%8A%E6%B1%9F%E8%A5%BF%E7%9C%81%E8%A2%81%E5%B7%9E%E5%8C%BB%E8%8D%AF%E5%B7%A5%E4%B8%9A%E5%9B%AD%E5%8C%96%E5%B7%A5%E9%9B%86%E4%B8%AD%E5%8C%BA%E4%BA%A7%E4%B8%9A%E5%8F%91%E5%B1%95%E6%8C%87%E5%BC%95%E3%80%8B%E3%80%8A%E6%B1%9F%E8%A5%BF%E7%9C%81%E8%A2%81%E5%B7%9E%E5%8C%BB%E8%8D%AF%E5%B7%A5%E4%B8%9A%E5%9B%AD%E5%8C%96%E5%B7%A5%E9%9B%86%E4%B8%AD%E5%8C%BA%E7%A6%81%E6%AD%A2%E3%80%81%E9%99%90%E5%88%B6%E5%92%8C%E6%8E%A7%E5%88%B6%E5%8D%B1%E9%99%A9%E5%8C%96%E5%AD%A6%E5%93%81%E7%9B%AE%E5%BD%95%E3%80%8B%E7%9A%84%E9%80%9A%E7%9F%A5(1).docx" \t "_blank" </w:instrText>
      </w:r>
      <w:r>
        <w:rPr>
          <w:rFonts w:ascii="宋体" w:hAnsi="宋体" w:eastAsia="宋体" w:cs="宋体"/>
          <w:color w:val="auto"/>
          <w:kern w:val="0"/>
          <w:sz w:val="28"/>
          <w:szCs w:val="28"/>
          <w:lang w:val="en-US" w:eastAsia="zh-CN" w:bidi="ar"/>
        </w:rPr>
        <w:fldChar w:fldCharType="separate"/>
      </w:r>
      <w:r>
        <w:rPr>
          <w:rStyle w:val="51"/>
          <w:rFonts w:ascii="宋体" w:hAnsi="宋体" w:eastAsia="宋体" w:cs="宋体"/>
          <w:color w:val="auto"/>
          <w:sz w:val="28"/>
          <w:szCs w:val="28"/>
        </w:rPr>
        <w:t>《江西省袁州医药工业园化工集中区产业发展指引》《江西省袁州医药工业园化工集中区禁止、限制和控制危险化学品目录》</w:t>
      </w:r>
      <w:r>
        <w:rPr>
          <w:rFonts w:ascii="宋体" w:hAnsi="宋体" w:eastAsia="宋体" w:cs="宋体"/>
          <w:color w:val="auto"/>
          <w:kern w:val="0"/>
          <w:sz w:val="28"/>
          <w:szCs w:val="28"/>
          <w:lang w:val="en-US" w:eastAsia="zh-CN" w:bidi="ar"/>
        </w:rPr>
        <w:fldChar w:fldCharType="end"/>
      </w:r>
      <w:r>
        <w:rPr>
          <w:rFonts w:hint="eastAsia" w:ascii="宋体" w:hAnsi="宋体" w:eastAsia="宋体" w:cs="宋体"/>
          <w:color w:val="auto"/>
          <w:kern w:val="0"/>
          <w:sz w:val="28"/>
          <w:szCs w:val="28"/>
          <w:lang w:val="en-US" w:eastAsia="zh-CN" w:bidi="ar"/>
        </w:rPr>
        <w:t>，</w:t>
      </w:r>
      <w:r>
        <w:rPr>
          <w:rFonts w:hint="eastAsia"/>
          <w:b w:val="0"/>
          <w:bCs w:val="0"/>
          <w:color w:val="auto"/>
          <w:sz w:val="28"/>
          <w:szCs w:val="24"/>
          <w:lang w:val="en-US" w:eastAsia="zh-CN"/>
        </w:rPr>
        <w:t>江西旺达新材料有限公司年产20000吨有机玻璃原料生产项目不属于“限制类”和“淘汰类”。</w:t>
      </w:r>
      <w:r>
        <w:rPr>
          <w:rFonts w:hint="default"/>
          <w:b w:val="0"/>
          <w:bCs w:val="0"/>
          <w:color w:val="auto"/>
          <w:sz w:val="28"/>
          <w:szCs w:val="24"/>
          <w:highlight w:val="none"/>
          <w:lang w:val="en-US" w:eastAsia="zh-CN"/>
        </w:rPr>
        <w:t>该项目于2022年</w:t>
      </w:r>
      <w:r>
        <w:rPr>
          <w:rFonts w:hint="eastAsia"/>
          <w:b w:val="0"/>
          <w:bCs w:val="0"/>
          <w:color w:val="auto"/>
          <w:sz w:val="28"/>
          <w:szCs w:val="24"/>
          <w:highlight w:val="none"/>
          <w:lang w:val="en-US" w:eastAsia="zh-CN"/>
        </w:rPr>
        <w:t>8</w:t>
      </w:r>
      <w:r>
        <w:rPr>
          <w:rFonts w:hint="default"/>
          <w:b w:val="0"/>
          <w:bCs w:val="0"/>
          <w:color w:val="auto"/>
          <w:sz w:val="28"/>
          <w:szCs w:val="24"/>
          <w:highlight w:val="none"/>
          <w:lang w:val="en-US" w:eastAsia="zh-CN"/>
        </w:rPr>
        <w:t>月</w:t>
      </w:r>
      <w:r>
        <w:rPr>
          <w:rFonts w:hint="eastAsia"/>
          <w:b w:val="0"/>
          <w:bCs w:val="0"/>
          <w:color w:val="auto"/>
          <w:sz w:val="28"/>
          <w:szCs w:val="24"/>
          <w:highlight w:val="none"/>
          <w:lang w:val="en-US" w:eastAsia="zh-CN"/>
        </w:rPr>
        <w:t>19</w:t>
      </w:r>
      <w:r>
        <w:rPr>
          <w:rFonts w:hint="default"/>
          <w:b w:val="0"/>
          <w:bCs w:val="0"/>
          <w:color w:val="auto"/>
          <w:sz w:val="28"/>
          <w:szCs w:val="24"/>
          <w:highlight w:val="none"/>
          <w:lang w:val="en-US" w:eastAsia="zh-CN"/>
        </w:rPr>
        <w:t>日取得了</w:t>
      </w:r>
      <w:r>
        <w:rPr>
          <w:rFonts w:hint="eastAsia"/>
          <w:b w:val="0"/>
          <w:bCs w:val="0"/>
          <w:color w:val="auto"/>
          <w:sz w:val="28"/>
          <w:szCs w:val="24"/>
          <w:highlight w:val="none"/>
          <w:lang w:val="en-US" w:eastAsia="zh-CN"/>
        </w:rPr>
        <w:t>宜春</w:t>
      </w:r>
      <w:r>
        <w:rPr>
          <w:rFonts w:hint="default"/>
          <w:b w:val="0"/>
          <w:bCs w:val="0"/>
          <w:color w:val="auto"/>
          <w:sz w:val="28"/>
          <w:szCs w:val="24"/>
          <w:highlight w:val="none"/>
          <w:lang w:val="en-US" w:eastAsia="zh-CN"/>
        </w:rPr>
        <w:t>市</w:t>
      </w:r>
      <w:r>
        <w:rPr>
          <w:rFonts w:hint="eastAsia"/>
          <w:b w:val="0"/>
          <w:bCs w:val="0"/>
          <w:color w:val="auto"/>
          <w:sz w:val="28"/>
          <w:szCs w:val="24"/>
          <w:highlight w:val="none"/>
          <w:lang w:val="en-US" w:eastAsia="zh-CN"/>
        </w:rPr>
        <w:t>袁州</w:t>
      </w:r>
      <w:r>
        <w:rPr>
          <w:rFonts w:hint="default"/>
          <w:b w:val="0"/>
          <w:bCs w:val="0"/>
          <w:color w:val="auto"/>
          <w:sz w:val="28"/>
          <w:szCs w:val="24"/>
          <w:highlight w:val="none"/>
          <w:lang w:val="en-US" w:eastAsia="zh-CN"/>
        </w:rPr>
        <w:t>发展和改革委员会项目备案的文件，文号：2111-361181-04-01-394101。</w:t>
      </w:r>
      <w:r>
        <w:rPr>
          <w:rFonts w:hint="eastAsia"/>
          <w:b w:val="0"/>
          <w:bCs w:val="0"/>
          <w:color w:val="auto"/>
          <w:sz w:val="28"/>
          <w:szCs w:val="24"/>
          <w:highlight w:val="none"/>
          <w:lang w:val="en-US" w:eastAsia="zh-CN"/>
        </w:rPr>
        <w:t>因此，该项目的建设符合</w:t>
      </w:r>
      <w:r>
        <w:rPr>
          <w:rFonts w:hint="eastAsia"/>
          <w:b w:val="0"/>
          <w:bCs w:val="0"/>
          <w:color w:val="auto"/>
          <w:sz w:val="28"/>
          <w:szCs w:val="24"/>
          <w:lang w:val="en-US" w:eastAsia="zh-CN"/>
        </w:rPr>
        <w:t>当地政府区域规划。</w:t>
      </w:r>
    </w:p>
    <w:p>
      <w:pPr>
        <w:ind w:firstLine="560" w:firstLineChars="200"/>
        <w:rPr>
          <w:rFonts w:hint="default"/>
          <w:b w:val="0"/>
          <w:bCs w:val="0"/>
          <w:color w:val="auto"/>
          <w:sz w:val="28"/>
          <w:szCs w:val="24"/>
          <w:highlight w:val="yellow"/>
          <w:lang w:val="en-US" w:eastAsia="zh-CN"/>
        </w:rPr>
      </w:pPr>
      <w:r>
        <w:rPr>
          <w:rFonts w:hint="eastAsia"/>
          <w:b w:val="0"/>
          <w:bCs w:val="0"/>
          <w:color w:val="auto"/>
          <w:sz w:val="28"/>
          <w:szCs w:val="24"/>
          <w:highlight w:val="none"/>
          <w:lang w:val="en-US" w:eastAsia="zh-CN"/>
        </w:rPr>
        <w:t>3</w:t>
      </w:r>
      <w:r>
        <w:rPr>
          <w:rFonts w:hint="default"/>
          <w:b w:val="0"/>
          <w:bCs w:val="0"/>
          <w:color w:val="auto"/>
          <w:sz w:val="28"/>
          <w:szCs w:val="24"/>
          <w:highlight w:val="none"/>
          <w:lang w:val="en-US" w:eastAsia="zh-CN"/>
        </w:rPr>
        <w:t>、</w:t>
      </w:r>
      <w:r>
        <w:rPr>
          <w:rFonts w:hint="default"/>
          <w:color w:val="auto"/>
          <w:lang w:val="en-US" w:eastAsia="zh-CN"/>
        </w:rPr>
        <w:t>江西</w:t>
      </w:r>
      <w:r>
        <w:rPr>
          <w:rFonts w:hint="eastAsia"/>
          <w:color w:val="auto"/>
          <w:lang w:val="en-US" w:eastAsia="zh-CN"/>
        </w:rPr>
        <w:t>旺达</w:t>
      </w:r>
      <w:r>
        <w:rPr>
          <w:rFonts w:hint="default"/>
          <w:color w:val="auto"/>
          <w:lang w:val="en-US" w:eastAsia="zh-CN"/>
        </w:rPr>
        <w:t>新材料有限公司年 2万吨</w:t>
      </w:r>
      <w:r>
        <w:rPr>
          <w:rFonts w:hint="eastAsia"/>
          <w:color w:val="auto"/>
          <w:lang w:val="en-US" w:eastAsia="zh-CN"/>
        </w:rPr>
        <w:t>有机玻璃原料生产</w:t>
      </w:r>
      <w:r>
        <w:rPr>
          <w:rFonts w:hint="default"/>
          <w:color w:val="auto"/>
          <w:lang w:val="en-US" w:eastAsia="zh-CN"/>
        </w:rPr>
        <w:t>项目拟建设于江西省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color w:val="auto"/>
          <w:lang w:val="en-US" w:eastAsia="zh-CN"/>
        </w:rPr>
        <w:t>内</w:t>
      </w:r>
      <w:r>
        <w:rPr>
          <w:rFonts w:hint="default"/>
          <w:b w:val="0"/>
          <w:bCs w:val="0"/>
          <w:color w:val="auto"/>
          <w:sz w:val="28"/>
          <w:szCs w:val="24"/>
          <w:highlight w:val="none"/>
          <w:lang w:val="en-US" w:eastAsia="zh-CN"/>
        </w:rPr>
        <w:t>，</w:t>
      </w:r>
      <w:r>
        <w:rPr>
          <w:rFonts w:hint="default"/>
          <w:color w:val="auto"/>
          <w:lang w:val="en-US" w:eastAsia="zh-CN"/>
        </w:rPr>
        <w:t>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w:t>
      </w:r>
      <w:r>
        <w:rPr>
          <w:rFonts w:hint="default"/>
          <w:b w:val="0"/>
          <w:bCs w:val="0"/>
          <w:color w:val="auto"/>
          <w:sz w:val="28"/>
          <w:szCs w:val="24"/>
          <w:highlight w:val="none"/>
          <w:lang w:val="en-US" w:eastAsia="zh-CN"/>
        </w:rPr>
        <w:t>是江西省已认证的第一批化工园区。该项目在</w:t>
      </w:r>
      <w:r>
        <w:rPr>
          <w:rFonts w:hint="default"/>
          <w:color w:val="auto"/>
          <w:lang w:val="en-US" w:eastAsia="zh-CN"/>
        </w:rPr>
        <w:t>江西省</w:t>
      </w:r>
      <w:r>
        <w:rPr>
          <w:rFonts w:hint="eastAsia"/>
          <w:color w:val="auto"/>
          <w:lang w:val="en-US" w:eastAsia="zh-CN"/>
        </w:rPr>
        <w:t>宜春</w:t>
      </w:r>
      <w:r>
        <w:rPr>
          <w:rFonts w:hint="default"/>
          <w:color w:val="auto"/>
          <w:lang w:val="en-US" w:eastAsia="zh-CN"/>
        </w:rPr>
        <w:t>市</w:t>
      </w:r>
      <w:r>
        <w:rPr>
          <w:rFonts w:hint="eastAsia"/>
          <w:color w:val="auto"/>
          <w:lang w:val="en-US" w:eastAsia="zh-CN"/>
        </w:rPr>
        <w:t>袁州区医药工业园化工集中区</w:t>
      </w:r>
      <w:r>
        <w:rPr>
          <w:rFonts w:hint="default"/>
          <w:b w:val="0"/>
          <w:bCs w:val="0"/>
          <w:color w:val="auto"/>
          <w:sz w:val="28"/>
          <w:szCs w:val="24"/>
          <w:highlight w:val="none"/>
          <w:lang w:val="en-US" w:eastAsia="zh-CN"/>
        </w:rPr>
        <w:t>内进行建设。</w:t>
      </w:r>
    </w:p>
    <w:p>
      <w:pPr>
        <w:ind w:firstLine="560" w:firstLineChars="200"/>
        <w:rPr>
          <w:rFonts w:hint="default"/>
          <w:b w:val="0"/>
          <w:bCs w:val="0"/>
          <w:color w:val="auto"/>
          <w:sz w:val="28"/>
          <w:szCs w:val="24"/>
          <w:highlight w:val="none"/>
          <w:lang w:val="en-US" w:eastAsia="zh-CN"/>
        </w:rPr>
      </w:pPr>
      <w:r>
        <w:rPr>
          <w:rFonts w:hint="eastAsia"/>
          <w:b w:val="0"/>
          <w:bCs w:val="0"/>
          <w:color w:val="auto"/>
          <w:sz w:val="28"/>
          <w:szCs w:val="24"/>
          <w:highlight w:val="none"/>
          <w:lang w:val="en-US" w:eastAsia="zh-CN"/>
        </w:rPr>
        <w:t>4</w:t>
      </w:r>
      <w:r>
        <w:rPr>
          <w:rFonts w:hint="default"/>
          <w:b w:val="0"/>
          <w:bCs w:val="0"/>
          <w:color w:val="auto"/>
          <w:sz w:val="28"/>
          <w:szCs w:val="24"/>
          <w:highlight w:val="none"/>
          <w:lang w:val="en-US" w:eastAsia="zh-CN"/>
        </w:rPr>
        <w:t>、该公司外部安全防护距离内无居民区、商业中心、公园等人口密集区域和学校、医院、影剧院、体育场（馆）等公共设施。</w:t>
      </w:r>
    </w:p>
    <w:p>
      <w:pPr>
        <w:ind w:firstLine="560" w:firstLineChars="200"/>
        <w:rPr>
          <w:rFonts w:hint="default"/>
          <w:b w:val="0"/>
          <w:bCs w:val="0"/>
          <w:color w:val="auto"/>
          <w:sz w:val="28"/>
          <w:szCs w:val="24"/>
          <w:highlight w:val="none"/>
          <w:lang w:val="en-US" w:eastAsia="zh-CN"/>
        </w:rPr>
      </w:pPr>
      <w:r>
        <w:rPr>
          <w:rFonts w:hint="eastAsia"/>
          <w:b w:val="0"/>
          <w:bCs w:val="0"/>
          <w:color w:val="auto"/>
          <w:sz w:val="28"/>
          <w:szCs w:val="24"/>
          <w:highlight w:val="none"/>
          <w:lang w:val="en-US" w:eastAsia="zh-CN"/>
        </w:rPr>
        <w:t>5</w:t>
      </w:r>
      <w:r>
        <w:rPr>
          <w:rFonts w:hint="default"/>
          <w:b w:val="0"/>
          <w:bCs w:val="0"/>
          <w:color w:val="auto"/>
          <w:sz w:val="28"/>
          <w:szCs w:val="24"/>
          <w:highlight w:val="none"/>
          <w:lang w:val="en-US" w:eastAsia="zh-CN"/>
        </w:rPr>
        <w:t>、拟采用的技术及设备、工艺合理、设备设施安全可靠；拟采用的配套及辅助工程能够满足该项目所需要的安全可靠性的要求。</w:t>
      </w:r>
    </w:p>
    <w:p>
      <w:pPr>
        <w:ind w:firstLine="560" w:firstLineChars="200"/>
        <w:rPr>
          <w:rFonts w:hint="default"/>
          <w:b w:val="0"/>
          <w:bCs w:val="0"/>
          <w:color w:val="auto"/>
          <w:sz w:val="28"/>
          <w:szCs w:val="24"/>
          <w:highlight w:val="none"/>
          <w:lang w:val="en-US" w:eastAsia="zh-CN"/>
        </w:rPr>
      </w:pPr>
      <w:r>
        <w:rPr>
          <w:rFonts w:hint="eastAsia"/>
          <w:b w:val="0"/>
          <w:bCs w:val="0"/>
          <w:color w:val="auto"/>
          <w:sz w:val="28"/>
          <w:szCs w:val="24"/>
          <w:highlight w:val="none"/>
          <w:lang w:val="en-US" w:eastAsia="zh-CN"/>
        </w:rPr>
        <w:t>6</w:t>
      </w:r>
      <w:r>
        <w:rPr>
          <w:rFonts w:hint="default"/>
          <w:b w:val="0"/>
          <w:bCs w:val="0"/>
          <w:color w:val="auto"/>
          <w:sz w:val="28"/>
          <w:szCs w:val="24"/>
          <w:highlight w:val="none"/>
          <w:lang w:val="en-US" w:eastAsia="zh-CN"/>
        </w:rPr>
        <w:t>、该项目投产后，正常情况下对周边自然环境的污染较小，与周边居民生活的相互影响较小。</w:t>
      </w:r>
    </w:p>
    <w:p>
      <w:pPr>
        <w:ind w:firstLine="560" w:firstLineChars="200"/>
        <w:rPr>
          <w:rFonts w:hint="default"/>
          <w:b w:val="0"/>
          <w:bCs w:val="0"/>
          <w:color w:val="auto"/>
          <w:sz w:val="28"/>
          <w:szCs w:val="24"/>
          <w:highlight w:val="none"/>
          <w:lang w:val="en-US" w:eastAsia="zh-CN"/>
        </w:rPr>
      </w:pPr>
      <w:r>
        <w:rPr>
          <w:rFonts w:hint="eastAsia"/>
          <w:b w:val="0"/>
          <w:bCs w:val="0"/>
          <w:color w:val="auto"/>
          <w:sz w:val="28"/>
          <w:szCs w:val="24"/>
          <w:highlight w:val="none"/>
          <w:lang w:val="en-US" w:eastAsia="zh-CN"/>
        </w:rPr>
        <w:t>7</w:t>
      </w:r>
      <w:r>
        <w:rPr>
          <w:rFonts w:hint="default"/>
          <w:b w:val="0"/>
          <w:bCs w:val="0"/>
          <w:color w:val="auto"/>
          <w:sz w:val="28"/>
          <w:szCs w:val="24"/>
          <w:highlight w:val="none"/>
          <w:lang w:val="en-US" w:eastAsia="zh-CN"/>
        </w:rPr>
        <w:t>、该项目《可研》中尚需要完善和补充的安全技术措施，已在本报告作了详细说明，希望设计和建设单位在今后的工作中能尽快完善。</w:t>
      </w:r>
    </w:p>
    <w:p>
      <w:pPr>
        <w:ind w:firstLine="560" w:firstLineChars="200"/>
        <w:rPr>
          <w:rFonts w:hint="default"/>
          <w:b w:val="0"/>
          <w:bCs w:val="0"/>
          <w:color w:val="auto"/>
          <w:sz w:val="28"/>
          <w:szCs w:val="24"/>
          <w:highlight w:val="none"/>
          <w:lang w:val="en-US" w:eastAsia="zh-CN"/>
        </w:rPr>
      </w:pPr>
      <w:r>
        <w:rPr>
          <w:rFonts w:hint="eastAsia"/>
          <w:b w:val="0"/>
          <w:bCs w:val="0"/>
          <w:color w:val="auto"/>
          <w:sz w:val="28"/>
          <w:szCs w:val="24"/>
          <w:highlight w:val="none"/>
          <w:lang w:val="en-US" w:eastAsia="zh-CN"/>
        </w:rPr>
        <w:t>8</w:t>
      </w:r>
      <w:r>
        <w:rPr>
          <w:rFonts w:hint="default"/>
          <w:b w:val="0"/>
          <w:bCs w:val="0"/>
          <w:color w:val="auto"/>
          <w:sz w:val="28"/>
          <w:szCs w:val="24"/>
          <w:highlight w:val="none"/>
          <w:lang w:val="en-US" w:eastAsia="zh-CN"/>
        </w:rPr>
        <w:t>、建议下一步设计、施工中认真执行国家有关规定、标准和规范，将可研报告和本评价报告提出的安全措施落实到位；完善各项安全规章制度、事故应急预案，并进行认真学习和演练；生产运行过程中，确保各项安全设施和自动控制系统、检测仪器、仪表、联锁装置灵敏好用，操作人员严格执行安全操作规程。</w:t>
      </w:r>
    </w:p>
    <w:p>
      <w:pPr>
        <w:ind w:firstLine="560" w:firstLineChars="200"/>
        <w:rPr>
          <w:rFonts w:hint="default"/>
          <w:b w:val="0"/>
          <w:bCs w:val="0"/>
          <w:color w:val="auto"/>
          <w:szCs w:val="24"/>
          <w:highlight w:val="none"/>
          <w:lang w:val="en-US" w:eastAsia="zh-CN"/>
        </w:rPr>
      </w:pPr>
      <w:r>
        <w:rPr>
          <w:rFonts w:hint="default"/>
          <w:b w:val="0"/>
          <w:bCs w:val="0"/>
          <w:color w:val="auto"/>
          <w:szCs w:val="24"/>
          <w:highlight w:val="none"/>
          <w:lang w:val="en-US" w:eastAsia="zh-CN"/>
        </w:rPr>
        <w:t>综上所述，</w:t>
      </w:r>
      <w:r>
        <w:rPr>
          <w:rFonts w:hint="default"/>
          <w:color w:val="auto"/>
          <w:highlight w:val="none"/>
          <w:lang w:val="en-US" w:eastAsia="zh-CN"/>
        </w:rPr>
        <w:t>江西</w:t>
      </w:r>
      <w:r>
        <w:rPr>
          <w:rFonts w:hint="eastAsia"/>
          <w:color w:val="auto"/>
          <w:highlight w:val="none"/>
          <w:lang w:val="en-US" w:eastAsia="zh-CN"/>
        </w:rPr>
        <w:t>旺达</w:t>
      </w:r>
      <w:r>
        <w:rPr>
          <w:rFonts w:hint="default"/>
          <w:color w:val="auto"/>
          <w:highlight w:val="none"/>
          <w:lang w:val="en-US" w:eastAsia="zh-CN"/>
        </w:rPr>
        <w:t>新材料有限公司年产 2 万吨</w:t>
      </w:r>
      <w:r>
        <w:rPr>
          <w:rFonts w:hint="eastAsia"/>
          <w:color w:val="auto"/>
          <w:highlight w:val="none"/>
          <w:lang w:val="en-US" w:eastAsia="zh-CN"/>
        </w:rPr>
        <w:t>有机玻璃原料生产</w:t>
      </w:r>
      <w:r>
        <w:rPr>
          <w:rFonts w:hint="default"/>
          <w:color w:val="auto"/>
          <w:highlight w:val="none"/>
          <w:lang w:val="en-US" w:eastAsia="zh-CN"/>
        </w:rPr>
        <w:t>项目</w:t>
      </w:r>
      <w:r>
        <w:rPr>
          <w:rFonts w:hint="default"/>
          <w:b w:val="0"/>
          <w:bCs w:val="0"/>
          <w:color w:val="auto"/>
          <w:szCs w:val="24"/>
          <w:highlight w:val="none"/>
          <w:lang w:val="en-US" w:eastAsia="zh-CN"/>
        </w:rPr>
        <w:t>能按照《中华人民共和国安全生产法》的要求进行安全条件评价和安全条件审查，符合国家和省关于危险化学品生产、储存项目安全审查办法的要求，符合安全设施必须按照同时设计、同时施工、同时投入生产和使用的“三同时“的要求，从安全生产角度符合国家有关法律、法规、规章、标准、规范的要求。在下一步设计、施工中认真执行国家有关规定、标准和规范，将</w:t>
      </w:r>
      <w:r>
        <w:rPr>
          <w:rFonts w:hint="eastAsia"/>
          <w:b w:val="0"/>
          <w:bCs w:val="0"/>
          <w:color w:val="auto"/>
          <w:szCs w:val="24"/>
          <w:highlight w:val="none"/>
          <w:lang w:val="en-US" w:eastAsia="zh-CN"/>
        </w:rPr>
        <w:t>国内首次使用化工工艺安全可靠性论证报告</w:t>
      </w:r>
      <w:r>
        <w:rPr>
          <w:rFonts w:hint="default"/>
          <w:b w:val="0"/>
          <w:bCs w:val="0"/>
          <w:color w:val="auto"/>
          <w:szCs w:val="24"/>
          <w:highlight w:val="none"/>
          <w:lang w:val="en-US" w:eastAsia="zh-CN"/>
        </w:rPr>
        <w:t>及本评价报告提出的安全措施落实到位；完善各项安全规章制度、事故应急预案，并进行认真的学习和演练；生产运行过程中，确保各项安全设施和检测仪器、仪表灵敏好用，操作人员严格执行安全操作规程。该项目的安全运行是有保障的。该项目的风险控制在可接受范围内。整个建设项目可以满足安全生产条件。</w:t>
      </w:r>
    </w:p>
    <w:bookmarkEnd w:id="444"/>
    <w:bookmarkEnd w:id="445"/>
    <w:p>
      <w:pPr>
        <w:spacing w:before="0" w:beforeLines="0" w:line="600" w:lineRule="exact"/>
        <w:rPr>
          <w:color w:val="auto"/>
        </w:rPr>
      </w:pPr>
      <w:bookmarkStart w:id="796" w:name="_Toc479692056"/>
      <w:bookmarkStart w:id="797" w:name="_Toc15624"/>
      <w:bookmarkStart w:id="798" w:name="_Toc386550646"/>
      <w:bookmarkStart w:id="799" w:name="_Toc93909484"/>
    </w:p>
    <w:p>
      <w:pPr>
        <w:spacing w:before="0" w:beforeLines="0" w:line="600" w:lineRule="exact"/>
        <w:rPr>
          <w:color w:val="auto"/>
        </w:rPr>
      </w:pPr>
    </w:p>
    <w:p>
      <w:pPr>
        <w:spacing w:before="0" w:beforeLines="0" w:line="600" w:lineRule="exact"/>
        <w:rPr>
          <w:color w:val="auto"/>
        </w:rPr>
      </w:pPr>
    </w:p>
    <w:bookmarkEnd w:id="796"/>
    <w:bookmarkEnd w:id="797"/>
    <w:bookmarkEnd w:id="798"/>
    <w:bookmarkEnd w:id="799"/>
    <w:p>
      <w:pPr>
        <w:ind w:firstLine="548" w:firstLineChars="196"/>
        <w:rPr>
          <w:rFonts w:hint="eastAsia"/>
          <w:color w:val="auto"/>
          <w:sz w:val="28"/>
          <w:szCs w:val="28"/>
          <w:lang w:val="zh-CN"/>
        </w:rPr>
      </w:pPr>
      <w:r>
        <w:rPr>
          <w:rFonts w:hAnsi="宋体"/>
          <w:color w:val="auto"/>
          <w:sz w:val="28"/>
          <w:szCs w:val="28"/>
        </w:rPr>
        <w:drawing>
          <wp:anchor distT="0" distB="0" distL="114300" distR="114300" simplePos="0" relativeHeight="251671552" behindDoc="0" locked="0" layoutInCell="1" allowOverlap="1">
            <wp:simplePos x="0" y="0"/>
            <wp:positionH relativeFrom="column">
              <wp:posOffset>-1036320</wp:posOffset>
            </wp:positionH>
            <wp:positionV relativeFrom="paragraph">
              <wp:posOffset>-138430</wp:posOffset>
            </wp:positionV>
            <wp:extent cx="7577455" cy="8301355"/>
            <wp:effectExtent l="0" t="0" r="4445" b="4445"/>
            <wp:wrapSquare wrapText="bothSides"/>
            <wp:docPr id="29" name="图片 29" descr="交换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交换意见"/>
                    <pic:cNvPicPr>
                      <a:picLocks noChangeAspect="1"/>
                    </pic:cNvPicPr>
                  </pic:nvPicPr>
                  <pic:blipFill>
                    <a:blip r:embed="rId24"/>
                    <a:stretch>
                      <a:fillRect/>
                    </a:stretch>
                  </pic:blipFill>
                  <pic:spPr>
                    <a:xfrm>
                      <a:off x="0" y="0"/>
                      <a:ext cx="7577455" cy="8301355"/>
                    </a:xfrm>
                    <a:prstGeom prst="rect">
                      <a:avLst/>
                    </a:prstGeom>
                  </pic:spPr>
                </pic:pic>
              </a:graphicData>
            </a:graphic>
          </wp:anchor>
        </w:drawing>
      </w:r>
    </w:p>
    <w:p>
      <w:pPr>
        <w:pStyle w:val="2"/>
        <w:bidi w:val="0"/>
        <w:rPr>
          <w:rFonts w:hint="default" w:eastAsia="宋体"/>
          <w:color w:val="auto"/>
          <w:lang w:val="en-US" w:eastAsia="zh-CN"/>
        </w:rPr>
      </w:pPr>
      <w:bookmarkStart w:id="800" w:name="_Toc26310"/>
      <w:bookmarkStart w:id="801" w:name="_Toc53"/>
      <w:bookmarkStart w:id="802" w:name="_Toc21246"/>
      <w:bookmarkStart w:id="803" w:name="_Toc13348"/>
      <w:bookmarkStart w:id="804" w:name="_Toc10690"/>
      <w:bookmarkStart w:id="805" w:name="_Toc19958"/>
      <w:bookmarkStart w:id="806" w:name="_Toc12800"/>
      <w:r>
        <w:rPr>
          <w:rFonts w:hint="eastAsia"/>
          <w:color w:val="auto"/>
          <w:lang w:val="en-US" w:eastAsia="zh-CN"/>
        </w:rPr>
        <w:t>附录A安全评价依据</w:t>
      </w:r>
      <w:bookmarkEnd w:id="800"/>
      <w:bookmarkEnd w:id="801"/>
      <w:bookmarkEnd w:id="802"/>
      <w:bookmarkEnd w:id="803"/>
      <w:bookmarkEnd w:id="804"/>
      <w:bookmarkEnd w:id="805"/>
    </w:p>
    <w:p>
      <w:pPr>
        <w:pStyle w:val="3"/>
        <w:bidi w:val="0"/>
        <w:rPr>
          <w:rFonts w:hint="eastAsia"/>
          <w:bCs/>
          <w:color w:val="auto"/>
        </w:rPr>
      </w:pPr>
      <w:bookmarkStart w:id="807" w:name="_Toc3271"/>
      <w:bookmarkStart w:id="808" w:name="_Toc21870"/>
      <w:bookmarkStart w:id="809" w:name="_Toc20737"/>
      <w:bookmarkStart w:id="810" w:name="_Toc32719"/>
      <w:bookmarkStart w:id="811" w:name="_Toc10995"/>
      <w:bookmarkStart w:id="812" w:name="_Toc25281"/>
      <w:bookmarkStart w:id="813" w:name="_Toc1087"/>
      <w:r>
        <w:rPr>
          <w:rFonts w:hint="eastAsia"/>
          <w:bCs/>
          <w:color w:val="auto"/>
          <w:lang w:val="en-US" w:eastAsia="zh-CN"/>
        </w:rPr>
        <w:t>A.1</w:t>
      </w:r>
      <w:r>
        <w:rPr>
          <w:rFonts w:hint="eastAsia"/>
          <w:bCs/>
          <w:color w:val="auto"/>
        </w:rPr>
        <w:t>法律、法规</w:t>
      </w:r>
      <w:bookmarkEnd w:id="807"/>
      <w:bookmarkEnd w:id="808"/>
      <w:bookmarkEnd w:id="809"/>
      <w:bookmarkEnd w:id="810"/>
      <w:bookmarkEnd w:id="811"/>
      <w:bookmarkEnd w:id="812"/>
      <w:bookmarkEnd w:id="813"/>
    </w:p>
    <w:p>
      <w:pPr>
        <w:bidi w:val="0"/>
        <w:ind w:firstLine="560" w:firstLineChars="200"/>
        <w:rPr>
          <w:color w:val="auto"/>
        </w:rPr>
      </w:pPr>
      <w:r>
        <w:rPr>
          <w:color w:val="auto"/>
        </w:rPr>
        <w:t>1、《中华人民共和国安全生产法》（中华人民共和国主席令第</w:t>
      </w:r>
      <w:r>
        <w:rPr>
          <w:rFonts w:hint="eastAsia"/>
          <w:color w:val="auto"/>
          <w:lang w:val="en-US" w:eastAsia="zh-CN"/>
        </w:rPr>
        <w:t>88</w:t>
      </w:r>
      <w:r>
        <w:rPr>
          <w:color w:val="auto"/>
        </w:rPr>
        <w:t>号，20</w:t>
      </w:r>
      <w:r>
        <w:rPr>
          <w:rFonts w:hint="eastAsia"/>
          <w:color w:val="auto"/>
          <w:lang w:val="en-US" w:eastAsia="zh-CN"/>
        </w:rPr>
        <w:t>21</w:t>
      </w:r>
      <w:r>
        <w:rPr>
          <w:color w:val="auto"/>
        </w:rPr>
        <w:t>年</w:t>
      </w:r>
      <w:r>
        <w:rPr>
          <w:rFonts w:hint="eastAsia"/>
          <w:color w:val="auto"/>
          <w:lang w:val="en-US" w:eastAsia="zh-CN"/>
        </w:rPr>
        <w:t>6</w:t>
      </w:r>
      <w:r>
        <w:rPr>
          <w:color w:val="auto"/>
        </w:rPr>
        <w:t>月1</w:t>
      </w:r>
      <w:r>
        <w:rPr>
          <w:rFonts w:hint="eastAsia"/>
          <w:color w:val="auto"/>
          <w:lang w:val="en-US" w:eastAsia="zh-CN"/>
        </w:rPr>
        <w:t>0</w:t>
      </w:r>
      <w:r>
        <w:rPr>
          <w:color w:val="auto"/>
        </w:rPr>
        <w:t>日</w:t>
      </w:r>
      <w:r>
        <w:rPr>
          <w:rFonts w:hint="eastAsia"/>
          <w:color w:val="auto"/>
          <w:lang w:val="en-US" w:eastAsia="zh-CN"/>
        </w:rPr>
        <w:t>第十三届全国人民代表大会常务委员会第二十九次会议通过第三次修正，2021年9月1日起实施</w:t>
      </w:r>
      <w:r>
        <w:rPr>
          <w:color w:val="auto"/>
        </w:rPr>
        <w:t>）</w:t>
      </w:r>
    </w:p>
    <w:p>
      <w:pPr>
        <w:bidi w:val="0"/>
        <w:rPr>
          <w:color w:val="auto"/>
        </w:rPr>
      </w:pPr>
      <w:r>
        <w:rPr>
          <w:rFonts w:hint="eastAsia"/>
          <w:color w:val="auto"/>
          <w:lang w:val="en-US" w:eastAsia="zh-CN"/>
        </w:rPr>
        <w:t xml:space="preserve">   2</w:t>
      </w:r>
      <w:r>
        <w:rPr>
          <w:color w:val="auto"/>
        </w:rPr>
        <w:t>、《中华人民共和国劳动法》（</w:t>
      </w:r>
      <w:r>
        <w:rPr>
          <w:rFonts w:hint="eastAsia"/>
          <w:color w:val="auto"/>
          <w:lang w:val="en-US" w:eastAsia="zh-CN"/>
        </w:rPr>
        <w:t>2018年12月29日第十三届</w:t>
      </w:r>
      <w:r>
        <w:rPr>
          <w:color w:val="auto"/>
        </w:rPr>
        <w:t>民代表大会常务委员会第</w:t>
      </w:r>
      <w:r>
        <w:rPr>
          <w:rFonts w:hint="eastAsia"/>
          <w:color w:val="auto"/>
          <w:lang w:val="en-US" w:eastAsia="zh-CN"/>
        </w:rPr>
        <w:t>七</w:t>
      </w:r>
      <w:r>
        <w:rPr>
          <w:color w:val="auto"/>
        </w:rPr>
        <w:t>次会议</w:t>
      </w:r>
      <w:r>
        <w:rPr>
          <w:rFonts w:hint="eastAsia"/>
          <w:color w:val="auto"/>
          <w:lang w:val="en-US" w:eastAsia="zh-CN"/>
        </w:rPr>
        <w:t>通过第二次修正</w:t>
      </w:r>
      <w:r>
        <w:rPr>
          <w:color w:val="auto"/>
        </w:rPr>
        <w:t>）</w:t>
      </w:r>
    </w:p>
    <w:p>
      <w:pPr>
        <w:bidi w:val="0"/>
        <w:ind w:firstLine="560" w:firstLineChars="200"/>
        <w:rPr>
          <w:color w:val="auto"/>
        </w:rPr>
      </w:pPr>
      <w:r>
        <w:rPr>
          <w:color w:val="auto"/>
        </w:rPr>
        <w:t>3、《中华人民共和国消防法》（</w:t>
      </w:r>
      <w:r>
        <w:rPr>
          <w:rFonts w:hint="eastAsia"/>
          <w:color w:val="auto"/>
          <w:lang w:val="en-US" w:eastAsia="zh-CN"/>
        </w:rPr>
        <w:t>2021</w:t>
      </w:r>
      <w:r>
        <w:rPr>
          <w:color w:val="auto"/>
        </w:rPr>
        <w:t>年4月2</w:t>
      </w:r>
      <w:r>
        <w:rPr>
          <w:rFonts w:hint="eastAsia"/>
          <w:color w:val="auto"/>
          <w:lang w:val="en-US" w:eastAsia="zh-CN"/>
        </w:rPr>
        <w:t>9</w:t>
      </w:r>
      <w:r>
        <w:rPr>
          <w:color w:val="auto"/>
        </w:rPr>
        <w:t>日第十三届全国人民代表大会常务委员会第</w:t>
      </w:r>
      <w:r>
        <w:rPr>
          <w:rFonts w:hint="eastAsia"/>
          <w:color w:val="auto"/>
          <w:lang w:val="en-US" w:eastAsia="zh-CN"/>
        </w:rPr>
        <w:t>二十八</w:t>
      </w:r>
      <w:r>
        <w:rPr>
          <w:color w:val="auto"/>
        </w:rPr>
        <w:t>次会议</w:t>
      </w:r>
      <w:r>
        <w:rPr>
          <w:rFonts w:hint="eastAsia"/>
          <w:color w:val="auto"/>
          <w:lang w:val="en-US" w:eastAsia="zh-CN"/>
        </w:rPr>
        <w:t>第二次</w:t>
      </w:r>
      <w:r>
        <w:rPr>
          <w:rFonts w:hint="eastAsia"/>
          <w:color w:val="auto"/>
        </w:rPr>
        <w:t>修正</w:t>
      </w:r>
      <w:r>
        <w:rPr>
          <w:color w:val="auto"/>
        </w:rPr>
        <w:t>）</w:t>
      </w:r>
    </w:p>
    <w:p>
      <w:pPr>
        <w:bidi w:val="0"/>
        <w:ind w:firstLine="560" w:firstLineChars="200"/>
        <w:rPr>
          <w:color w:val="auto"/>
        </w:rPr>
      </w:pPr>
      <w:r>
        <w:rPr>
          <w:color w:val="auto"/>
        </w:rPr>
        <w:t>4、《中华人民共和国职业病防治法》（</w:t>
      </w:r>
      <w:r>
        <w:rPr>
          <w:rFonts w:hint="eastAsia"/>
          <w:color w:val="auto"/>
        </w:rPr>
        <w:t>主席令81号，</w:t>
      </w:r>
      <w:r>
        <w:rPr>
          <w:color w:val="auto"/>
        </w:rPr>
        <w:t>2018年12月29日第十三届全国人民代表大会常务委员会第七次会议通过</w:t>
      </w:r>
      <w:r>
        <w:rPr>
          <w:rFonts w:hint="eastAsia"/>
          <w:color w:val="auto"/>
        </w:rPr>
        <w:t>修改，</w:t>
      </w:r>
      <w:r>
        <w:rPr>
          <w:color w:val="auto"/>
        </w:rPr>
        <w:t>201</w:t>
      </w:r>
      <w:r>
        <w:rPr>
          <w:rFonts w:hint="eastAsia"/>
          <w:color w:val="auto"/>
        </w:rPr>
        <w:t>8</w:t>
      </w:r>
      <w:r>
        <w:rPr>
          <w:color w:val="auto"/>
        </w:rPr>
        <w:t>年1</w:t>
      </w:r>
      <w:r>
        <w:rPr>
          <w:rFonts w:hint="eastAsia"/>
          <w:color w:val="auto"/>
        </w:rPr>
        <w:t>2</w:t>
      </w:r>
      <w:r>
        <w:rPr>
          <w:color w:val="auto"/>
        </w:rPr>
        <w:t>月</w:t>
      </w:r>
      <w:r>
        <w:rPr>
          <w:rFonts w:hint="eastAsia"/>
          <w:color w:val="auto"/>
        </w:rPr>
        <w:t>29</w:t>
      </w:r>
      <w:r>
        <w:rPr>
          <w:color w:val="auto"/>
        </w:rPr>
        <w:t>日</w:t>
      </w:r>
      <w:r>
        <w:rPr>
          <w:rFonts w:hint="eastAsia"/>
          <w:color w:val="auto"/>
        </w:rPr>
        <w:t>起施行</w:t>
      </w:r>
      <w:r>
        <w:rPr>
          <w:color w:val="auto"/>
        </w:rPr>
        <w:t>）</w:t>
      </w:r>
    </w:p>
    <w:p>
      <w:pPr>
        <w:bidi w:val="0"/>
        <w:ind w:firstLine="560" w:firstLineChars="200"/>
        <w:rPr>
          <w:color w:val="auto"/>
        </w:rPr>
      </w:pPr>
      <w:r>
        <w:rPr>
          <w:color w:val="auto"/>
        </w:rPr>
        <w:t>5、《中华人民共和国特种设备安全法》（中华人民共和国第十二届全国人民代表大会常务委员会第三次会议于2013年6月29日通过，自2014年1月1日起施行）</w:t>
      </w:r>
    </w:p>
    <w:p>
      <w:pPr>
        <w:bidi w:val="0"/>
        <w:ind w:firstLine="560" w:firstLineChars="200"/>
        <w:rPr>
          <w:color w:val="auto"/>
        </w:rPr>
      </w:pPr>
      <w:r>
        <w:rPr>
          <w:color w:val="auto"/>
        </w:rPr>
        <w:t>6、《特种设备安全监察条例》（国务院令第549号，2009年5月1日起施行）</w:t>
      </w:r>
    </w:p>
    <w:p>
      <w:pPr>
        <w:bidi w:val="0"/>
        <w:ind w:firstLine="560" w:firstLineChars="200"/>
        <w:rPr>
          <w:color w:val="auto"/>
        </w:rPr>
      </w:pPr>
      <w:r>
        <w:rPr>
          <w:color w:val="auto"/>
        </w:rPr>
        <w:t>7、《危险化学品安全管理条例》（国务院令第591号，自2011年12月1日起施行）</w:t>
      </w:r>
    </w:p>
    <w:p>
      <w:pPr>
        <w:bidi w:val="0"/>
        <w:ind w:firstLine="560" w:firstLineChars="200"/>
        <w:rPr>
          <w:color w:val="auto"/>
        </w:rPr>
      </w:pPr>
      <w:r>
        <w:rPr>
          <w:rFonts w:hint="eastAsia"/>
          <w:color w:val="auto"/>
        </w:rPr>
        <w:t>8</w:t>
      </w:r>
      <w:r>
        <w:rPr>
          <w:color w:val="auto"/>
        </w:rPr>
        <w:t>、《工伤保险条例》（国务院令第586号，2011年1月1日起施行）</w:t>
      </w:r>
    </w:p>
    <w:p>
      <w:pPr>
        <w:bidi w:val="0"/>
        <w:ind w:firstLine="560" w:firstLineChars="200"/>
        <w:rPr>
          <w:color w:val="auto"/>
        </w:rPr>
      </w:pPr>
      <w:r>
        <w:rPr>
          <w:rFonts w:hint="eastAsia"/>
          <w:color w:val="auto"/>
        </w:rPr>
        <w:t>9</w:t>
      </w:r>
      <w:r>
        <w:rPr>
          <w:color w:val="auto"/>
        </w:rPr>
        <w:t>、《劳动保障监察条例》（国务院令第423号，2004年12月1日起施行）</w:t>
      </w:r>
    </w:p>
    <w:p>
      <w:pPr>
        <w:bidi w:val="0"/>
        <w:ind w:firstLine="560" w:firstLineChars="200"/>
        <w:rPr>
          <w:color w:val="auto"/>
        </w:rPr>
      </w:pPr>
      <w:r>
        <w:rPr>
          <w:rFonts w:hint="eastAsia"/>
          <w:color w:val="auto"/>
        </w:rPr>
        <w:t>10</w:t>
      </w:r>
      <w:r>
        <w:rPr>
          <w:color w:val="auto"/>
        </w:rPr>
        <w:t>、《使用有毒物品作业场所劳动保护条例》（国务院令第352号，自2002年4月30日起施行）</w:t>
      </w:r>
    </w:p>
    <w:p>
      <w:pPr>
        <w:bidi w:val="0"/>
        <w:ind w:firstLine="560" w:firstLineChars="200"/>
        <w:rPr>
          <w:rFonts w:hint="default"/>
          <w:color w:val="auto"/>
          <w:lang w:val="en-US" w:eastAsia="zh-CN"/>
        </w:rPr>
      </w:pPr>
      <w:r>
        <w:rPr>
          <w:rFonts w:hint="eastAsia"/>
          <w:color w:val="auto"/>
        </w:rPr>
        <w:t>11</w:t>
      </w:r>
      <w:r>
        <w:rPr>
          <w:color w:val="auto"/>
        </w:rPr>
        <w:t>、《易制毒化学品管理条例》</w:t>
      </w:r>
      <w:r>
        <w:rPr>
          <w:rFonts w:hint="eastAsia"/>
          <w:color w:val="auto"/>
          <w:lang w:eastAsia="zh-CN"/>
        </w:rPr>
        <w:t>（</w:t>
      </w:r>
      <w:r>
        <w:rPr>
          <w:color w:val="auto"/>
        </w:rPr>
        <w:t>中华人民共和国国务院令</w:t>
      </w:r>
      <w:r>
        <w:rPr>
          <w:rFonts w:hint="eastAsia"/>
          <w:color w:val="auto"/>
          <w:lang w:val="en-US" w:eastAsia="zh-CN"/>
        </w:rPr>
        <w:t>第445号公布，2018年9月18日第三次修改，国办函[2021]58号</w:t>
      </w:r>
      <w:r>
        <w:rPr>
          <w:rFonts w:hint="eastAsia"/>
          <w:color w:val="auto"/>
          <w:lang w:eastAsia="zh-CN"/>
        </w:rPr>
        <w:t>）</w:t>
      </w:r>
    </w:p>
    <w:p>
      <w:pPr>
        <w:bidi w:val="0"/>
        <w:ind w:firstLine="560" w:firstLineChars="200"/>
        <w:rPr>
          <w:color w:val="auto"/>
        </w:rPr>
      </w:pPr>
      <w:r>
        <w:rPr>
          <w:rFonts w:hint="eastAsia"/>
          <w:color w:val="auto"/>
        </w:rPr>
        <w:t>12</w:t>
      </w:r>
      <w:r>
        <w:rPr>
          <w:color w:val="auto"/>
        </w:rPr>
        <w:t>、《公路安全保护条例》（国务院令第593号，自2011年7月1日起施行）</w:t>
      </w:r>
    </w:p>
    <w:p>
      <w:pPr>
        <w:bidi w:val="0"/>
        <w:ind w:firstLine="560" w:firstLineChars="200"/>
        <w:rPr>
          <w:rFonts w:hint="eastAsia"/>
          <w:color w:val="auto"/>
        </w:rPr>
      </w:pPr>
      <w:r>
        <w:rPr>
          <w:color w:val="auto"/>
        </w:rPr>
        <w:t>1</w:t>
      </w:r>
      <w:r>
        <w:rPr>
          <w:rFonts w:hint="eastAsia"/>
          <w:color w:val="auto"/>
        </w:rPr>
        <w:t>3</w:t>
      </w:r>
      <w:r>
        <w:rPr>
          <w:color w:val="auto"/>
        </w:rPr>
        <w:t>、《铁路安全管理条例》（国务院令第639号，自2014年1月1日起施行）</w:t>
      </w:r>
    </w:p>
    <w:p>
      <w:pPr>
        <w:bidi w:val="0"/>
        <w:ind w:firstLine="560" w:firstLineChars="200"/>
        <w:rPr>
          <w:color w:val="auto"/>
        </w:rPr>
      </w:pPr>
      <w:r>
        <w:rPr>
          <w:rFonts w:hint="eastAsia"/>
          <w:color w:val="auto"/>
        </w:rPr>
        <w:t>14、《生产安全事故应急条例》</w:t>
      </w:r>
      <w:r>
        <w:rPr>
          <w:color w:val="auto"/>
        </w:rPr>
        <w:t>（国务院令第</w:t>
      </w:r>
      <w:r>
        <w:rPr>
          <w:rFonts w:hint="eastAsia"/>
          <w:color w:val="auto"/>
        </w:rPr>
        <w:t>708</w:t>
      </w:r>
      <w:r>
        <w:rPr>
          <w:color w:val="auto"/>
        </w:rPr>
        <w:t>号，自</w:t>
      </w:r>
      <w:r>
        <w:rPr>
          <w:rFonts w:hint="eastAsia"/>
          <w:color w:val="auto"/>
        </w:rPr>
        <w:t>2019年4月1日</w:t>
      </w:r>
      <w:r>
        <w:rPr>
          <w:color w:val="auto"/>
        </w:rPr>
        <w:t>起施行）</w:t>
      </w:r>
    </w:p>
    <w:p>
      <w:pPr>
        <w:bidi w:val="0"/>
        <w:ind w:firstLine="560" w:firstLineChars="200"/>
        <w:rPr>
          <w:color w:val="auto"/>
        </w:rPr>
      </w:pPr>
      <w:r>
        <w:rPr>
          <w:rFonts w:hint="eastAsia"/>
          <w:color w:val="auto"/>
        </w:rPr>
        <w:t>15</w:t>
      </w:r>
      <w:r>
        <w:rPr>
          <w:color w:val="auto"/>
        </w:rPr>
        <w:t>、《消防监督检查规定》（公安部令第120号，2009年4月30日中华人民共和国公安部令第107号发布，根据2012年7月17日《公安部关于修改&lt;消防监督检查规定&gt;的决定》修订，自2012年7月17日起施行）</w:t>
      </w:r>
    </w:p>
    <w:p>
      <w:pPr>
        <w:bidi w:val="0"/>
        <w:ind w:firstLine="560" w:firstLineChars="200"/>
        <w:rPr>
          <w:color w:val="auto"/>
        </w:rPr>
      </w:pPr>
      <w:r>
        <w:rPr>
          <w:color w:val="auto"/>
        </w:rPr>
        <w:t>1</w:t>
      </w:r>
      <w:r>
        <w:rPr>
          <w:rFonts w:hint="eastAsia"/>
          <w:color w:val="auto"/>
        </w:rPr>
        <w:t>6</w:t>
      </w:r>
      <w:r>
        <w:rPr>
          <w:color w:val="auto"/>
        </w:rPr>
        <w:t>、《江西省安全生产条例》（</w:t>
      </w:r>
      <w:r>
        <w:rPr>
          <w:rFonts w:hint="eastAsia"/>
          <w:color w:val="auto"/>
        </w:rPr>
        <w:t>2023年7月26日江西省第十四届人民代表大会常务委员会第三次会议第二次修订</w:t>
      </w:r>
      <w:r>
        <w:rPr>
          <w:color w:val="auto"/>
        </w:rPr>
        <w:t>）</w:t>
      </w:r>
    </w:p>
    <w:p>
      <w:pPr>
        <w:bidi w:val="0"/>
        <w:ind w:firstLine="560" w:firstLineChars="200"/>
        <w:rPr>
          <w:color w:val="auto"/>
        </w:rPr>
      </w:pPr>
      <w:r>
        <w:rPr>
          <w:color w:val="auto"/>
        </w:rPr>
        <w:t>1</w:t>
      </w:r>
      <w:r>
        <w:rPr>
          <w:rFonts w:hint="eastAsia"/>
          <w:color w:val="auto"/>
        </w:rPr>
        <w:t>7</w:t>
      </w:r>
      <w:r>
        <w:rPr>
          <w:color w:val="auto"/>
        </w:rPr>
        <w:t>、</w:t>
      </w:r>
      <w:r>
        <w:rPr>
          <w:rFonts w:hint="eastAsia"/>
          <w:color w:val="auto"/>
          <w:lang w:val="en-US" w:eastAsia="zh-CN"/>
        </w:rPr>
        <w:t>《中华人民共和国长江保护法》（2020年12月26日第十三届全国人民代表大会常务委员会第二十四次会议通过）</w:t>
      </w:r>
    </w:p>
    <w:p>
      <w:pPr>
        <w:pStyle w:val="3"/>
        <w:bidi w:val="0"/>
        <w:rPr>
          <w:rFonts w:hint="eastAsia"/>
          <w:bCs/>
          <w:color w:val="auto"/>
        </w:rPr>
      </w:pPr>
      <w:bookmarkStart w:id="814" w:name="_Toc22266"/>
      <w:bookmarkStart w:id="815" w:name="_Toc31038"/>
      <w:bookmarkStart w:id="816" w:name="_Toc17678"/>
      <w:bookmarkStart w:id="817" w:name="_Toc19005"/>
      <w:bookmarkStart w:id="818" w:name="_Toc24989"/>
      <w:bookmarkStart w:id="819" w:name="_Toc14421"/>
      <w:bookmarkStart w:id="820" w:name="_Toc9292"/>
      <w:r>
        <w:rPr>
          <w:rFonts w:hint="eastAsia"/>
          <w:bCs/>
          <w:color w:val="auto"/>
          <w:lang w:val="en-US" w:eastAsia="zh-CN"/>
        </w:rPr>
        <w:t>A</w:t>
      </w:r>
      <w:r>
        <w:rPr>
          <w:rFonts w:hint="eastAsia"/>
          <w:bCs/>
          <w:color w:val="auto"/>
        </w:rPr>
        <w:t>.2规章及规范性文件</w:t>
      </w:r>
      <w:bookmarkEnd w:id="814"/>
      <w:bookmarkEnd w:id="815"/>
      <w:bookmarkEnd w:id="816"/>
      <w:bookmarkEnd w:id="817"/>
      <w:bookmarkEnd w:id="818"/>
      <w:bookmarkEnd w:id="819"/>
      <w:bookmarkEnd w:id="820"/>
    </w:p>
    <w:p>
      <w:pPr>
        <w:widowControl/>
        <w:ind w:firstLine="560"/>
        <w:jc w:val="left"/>
        <w:rPr>
          <w:color w:val="auto"/>
          <w:kern w:val="0"/>
          <w:sz w:val="28"/>
          <w:szCs w:val="28"/>
        </w:rPr>
      </w:pPr>
      <w:r>
        <w:rPr>
          <w:rFonts w:hint="eastAsia"/>
          <w:color w:val="auto"/>
          <w:sz w:val="28"/>
          <w:szCs w:val="28"/>
        </w:rPr>
        <w:t>1</w:t>
      </w:r>
      <w:r>
        <w:rPr>
          <w:rFonts w:hAnsi="Verdana"/>
          <w:color w:val="auto"/>
          <w:sz w:val="28"/>
          <w:szCs w:val="28"/>
        </w:rPr>
        <w:t>、《关于坚持科学发展安全发展促进安全生产形势持续稳定好转的意见》国发〔</w:t>
      </w:r>
      <w:r>
        <w:rPr>
          <w:color w:val="auto"/>
          <w:sz w:val="28"/>
          <w:szCs w:val="28"/>
        </w:rPr>
        <w:t>2011</w:t>
      </w:r>
      <w:r>
        <w:rPr>
          <w:rFonts w:hAnsi="Verdana"/>
          <w:color w:val="auto"/>
          <w:sz w:val="28"/>
          <w:szCs w:val="28"/>
        </w:rPr>
        <w:t>〕</w:t>
      </w:r>
      <w:r>
        <w:rPr>
          <w:color w:val="auto"/>
          <w:sz w:val="28"/>
          <w:szCs w:val="28"/>
        </w:rPr>
        <w:t>40</w:t>
      </w:r>
      <w:r>
        <w:rPr>
          <w:rFonts w:hAnsi="Verdana"/>
          <w:color w:val="auto"/>
          <w:sz w:val="28"/>
          <w:szCs w:val="28"/>
        </w:rPr>
        <w:t>号</w:t>
      </w:r>
    </w:p>
    <w:p>
      <w:pPr>
        <w:ind w:firstLine="570"/>
        <w:rPr>
          <w:color w:val="auto"/>
          <w:sz w:val="28"/>
        </w:rPr>
      </w:pPr>
      <w:r>
        <w:rPr>
          <w:rFonts w:hint="eastAsia"/>
          <w:color w:val="auto"/>
          <w:sz w:val="28"/>
        </w:rPr>
        <w:t>2、</w:t>
      </w:r>
      <w:r>
        <w:rPr>
          <w:rFonts w:hAnsi="宋体"/>
          <w:color w:val="auto"/>
          <w:sz w:val="28"/>
          <w:szCs w:val="28"/>
        </w:rPr>
        <w:t>《国务院关于进一步加强企业安全生产工作的通知》国发〔</w:t>
      </w:r>
      <w:r>
        <w:rPr>
          <w:color w:val="auto"/>
          <w:sz w:val="28"/>
          <w:szCs w:val="28"/>
        </w:rPr>
        <w:t>2010</w:t>
      </w:r>
      <w:r>
        <w:rPr>
          <w:rFonts w:hAnsi="宋体"/>
          <w:color w:val="auto"/>
          <w:sz w:val="28"/>
          <w:szCs w:val="28"/>
        </w:rPr>
        <w:t>〕</w:t>
      </w:r>
      <w:r>
        <w:rPr>
          <w:color w:val="auto"/>
          <w:sz w:val="28"/>
          <w:szCs w:val="28"/>
        </w:rPr>
        <w:t>23</w:t>
      </w:r>
      <w:r>
        <w:rPr>
          <w:rFonts w:hAnsi="宋体"/>
          <w:color w:val="auto"/>
          <w:sz w:val="28"/>
          <w:szCs w:val="28"/>
        </w:rPr>
        <w:t>号</w:t>
      </w:r>
    </w:p>
    <w:p>
      <w:pPr>
        <w:widowControl/>
        <w:ind w:firstLine="560"/>
        <w:jc w:val="left"/>
        <w:rPr>
          <w:color w:val="auto"/>
          <w:kern w:val="0"/>
          <w:sz w:val="28"/>
          <w:szCs w:val="28"/>
        </w:rPr>
      </w:pPr>
      <w:r>
        <w:rPr>
          <w:rFonts w:hint="eastAsia"/>
          <w:color w:val="auto"/>
          <w:kern w:val="0"/>
          <w:sz w:val="28"/>
          <w:szCs w:val="28"/>
        </w:rPr>
        <w:t>3</w:t>
      </w:r>
      <w:r>
        <w:rPr>
          <w:color w:val="auto"/>
          <w:kern w:val="0"/>
          <w:sz w:val="28"/>
          <w:szCs w:val="28"/>
        </w:rPr>
        <w:t>、《关于认真学习和贯彻落实《国务院关于进一步加强企业安全生产工作的通知》的通知》</w:t>
      </w:r>
      <w:r>
        <w:rPr>
          <w:rFonts w:hAnsi="宋体"/>
          <w:color w:val="auto"/>
          <w:kern w:val="0"/>
          <w:sz w:val="28"/>
          <w:szCs w:val="28"/>
        </w:rPr>
        <w:t>国务院安委会办公室安委办〔</w:t>
      </w:r>
      <w:r>
        <w:rPr>
          <w:color w:val="auto"/>
          <w:kern w:val="0"/>
          <w:sz w:val="28"/>
          <w:szCs w:val="28"/>
        </w:rPr>
        <w:t>2010</w:t>
      </w:r>
      <w:r>
        <w:rPr>
          <w:rFonts w:hAnsi="宋体"/>
          <w:color w:val="auto"/>
          <w:kern w:val="0"/>
          <w:sz w:val="28"/>
          <w:szCs w:val="28"/>
        </w:rPr>
        <w:t>〕</w:t>
      </w:r>
      <w:r>
        <w:rPr>
          <w:color w:val="auto"/>
          <w:kern w:val="0"/>
          <w:sz w:val="28"/>
          <w:szCs w:val="28"/>
        </w:rPr>
        <w:t>15</w:t>
      </w:r>
      <w:r>
        <w:rPr>
          <w:rFonts w:hAnsi="宋体"/>
          <w:color w:val="auto"/>
          <w:kern w:val="0"/>
          <w:sz w:val="28"/>
          <w:szCs w:val="28"/>
        </w:rPr>
        <w:t>号</w:t>
      </w:r>
    </w:p>
    <w:p>
      <w:pPr>
        <w:ind w:firstLine="560"/>
        <w:jc w:val="left"/>
        <w:rPr>
          <w:color w:val="auto"/>
          <w:sz w:val="28"/>
          <w:szCs w:val="28"/>
        </w:rPr>
      </w:pPr>
      <w:r>
        <w:rPr>
          <w:rFonts w:hint="eastAsia"/>
          <w:color w:val="auto"/>
          <w:sz w:val="28"/>
          <w:szCs w:val="28"/>
          <w:lang w:val="zh-CN"/>
        </w:rPr>
        <w:t>4、关于危险化学品企业贯彻落实《国务院</w:t>
      </w:r>
      <w:r>
        <w:rPr>
          <w:color w:val="auto"/>
          <w:sz w:val="28"/>
          <w:szCs w:val="28"/>
        </w:rPr>
        <w:t>关于进一步加强企业安全生产工作的通知</w:t>
      </w:r>
      <w:r>
        <w:rPr>
          <w:rFonts w:hint="eastAsia"/>
          <w:color w:val="auto"/>
          <w:sz w:val="28"/>
          <w:szCs w:val="28"/>
        </w:rPr>
        <w:t>》的实施意见</w:t>
      </w:r>
      <w:r>
        <w:rPr>
          <w:rFonts w:hint="eastAsia"/>
          <w:color w:val="auto"/>
          <w:sz w:val="28"/>
          <w:szCs w:val="28"/>
          <w:lang w:val="en-US" w:eastAsia="zh-CN"/>
        </w:rPr>
        <w:t xml:space="preserve"> </w:t>
      </w:r>
      <w:r>
        <w:rPr>
          <w:rFonts w:hint="eastAsia"/>
          <w:color w:val="auto"/>
          <w:sz w:val="28"/>
          <w:szCs w:val="28"/>
        </w:rPr>
        <w:t>国家安全生产监管总局、工业的信息化部安监总管三［2010］186号</w:t>
      </w:r>
    </w:p>
    <w:p>
      <w:pPr>
        <w:widowControl/>
        <w:ind w:firstLine="560"/>
        <w:rPr>
          <w:color w:val="auto"/>
          <w:kern w:val="0"/>
          <w:sz w:val="28"/>
          <w:szCs w:val="28"/>
        </w:rPr>
      </w:pPr>
      <w:r>
        <w:rPr>
          <w:rFonts w:hint="eastAsia"/>
          <w:bCs/>
          <w:smallCaps/>
          <w:color w:val="auto"/>
          <w:kern w:val="0"/>
          <w:sz w:val="28"/>
          <w:szCs w:val="28"/>
        </w:rPr>
        <w:t>5</w:t>
      </w:r>
      <w:r>
        <w:rPr>
          <w:rFonts w:hAnsi="宋体"/>
          <w:bCs/>
          <w:smallCaps/>
          <w:color w:val="auto"/>
          <w:kern w:val="0"/>
          <w:sz w:val="28"/>
          <w:szCs w:val="28"/>
        </w:rPr>
        <w:t>、《国务院安委会办公室关于进一步加强危险化学品安全生产工作的指导意见》</w:t>
      </w:r>
      <w:r>
        <w:rPr>
          <w:color w:val="auto"/>
          <w:kern w:val="0"/>
          <w:sz w:val="28"/>
          <w:szCs w:val="28"/>
        </w:rPr>
        <w:t>国务院安委会办公室安委办</w:t>
      </w:r>
      <w:r>
        <w:rPr>
          <w:rFonts w:hAnsi="宋体"/>
          <w:bCs/>
          <w:smallCaps/>
          <w:color w:val="auto"/>
          <w:kern w:val="0"/>
          <w:sz w:val="28"/>
          <w:szCs w:val="28"/>
        </w:rPr>
        <w:t>〔</w:t>
      </w:r>
      <w:r>
        <w:rPr>
          <w:bCs/>
          <w:smallCaps/>
          <w:color w:val="auto"/>
          <w:kern w:val="0"/>
          <w:sz w:val="28"/>
          <w:szCs w:val="28"/>
        </w:rPr>
        <w:t>2008</w:t>
      </w:r>
      <w:r>
        <w:rPr>
          <w:rFonts w:hAnsi="宋体"/>
          <w:bCs/>
          <w:smallCaps/>
          <w:color w:val="auto"/>
          <w:kern w:val="0"/>
          <w:sz w:val="28"/>
          <w:szCs w:val="28"/>
        </w:rPr>
        <w:t>〕</w:t>
      </w:r>
      <w:r>
        <w:rPr>
          <w:bCs/>
          <w:smallCaps/>
          <w:color w:val="auto"/>
          <w:kern w:val="0"/>
          <w:sz w:val="28"/>
          <w:szCs w:val="28"/>
        </w:rPr>
        <w:t>26</w:t>
      </w:r>
      <w:r>
        <w:rPr>
          <w:rFonts w:hAnsi="宋体"/>
          <w:bCs/>
          <w:smallCaps/>
          <w:color w:val="auto"/>
          <w:kern w:val="0"/>
          <w:sz w:val="28"/>
          <w:szCs w:val="28"/>
        </w:rPr>
        <w:t>号</w:t>
      </w:r>
    </w:p>
    <w:p>
      <w:pPr>
        <w:ind w:firstLine="560"/>
        <w:jc w:val="left"/>
        <w:rPr>
          <w:color w:val="auto"/>
          <w:sz w:val="28"/>
          <w:szCs w:val="28"/>
        </w:rPr>
      </w:pPr>
      <w:r>
        <w:rPr>
          <w:rFonts w:hint="eastAsia"/>
          <w:color w:val="auto"/>
          <w:sz w:val="28"/>
          <w:szCs w:val="28"/>
          <w:lang w:val="zh-CN"/>
        </w:rPr>
        <w:t>6</w:t>
      </w:r>
      <w:r>
        <w:rPr>
          <w:rFonts w:hAnsi="宋体"/>
          <w:color w:val="auto"/>
          <w:sz w:val="28"/>
          <w:szCs w:val="28"/>
          <w:lang w:val="zh-CN"/>
        </w:rPr>
        <w:t>、</w:t>
      </w:r>
      <w:r>
        <w:rPr>
          <w:rFonts w:hAnsi="宋体"/>
          <w:color w:val="auto"/>
          <w:sz w:val="28"/>
          <w:szCs w:val="28"/>
        </w:rPr>
        <w:t>《江西省人民政府关于进一步加强企业安全生产工作的实施意见》</w:t>
      </w:r>
      <w:r>
        <w:rPr>
          <w:rFonts w:hint="eastAsia" w:hAnsi="宋体"/>
          <w:color w:val="auto"/>
          <w:sz w:val="28"/>
          <w:szCs w:val="28"/>
        </w:rPr>
        <w:t>江西省人民政府</w:t>
      </w:r>
      <w:r>
        <w:rPr>
          <w:rFonts w:hAnsi="宋体"/>
          <w:color w:val="auto"/>
          <w:sz w:val="28"/>
          <w:szCs w:val="28"/>
        </w:rPr>
        <w:t>赣府发﹝</w:t>
      </w:r>
      <w:r>
        <w:rPr>
          <w:color w:val="auto"/>
          <w:sz w:val="28"/>
          <w:szCs w:val="28"/>
        </w:rPr>
        <w:t>2010</w:t>
      </w:r>
      <w:r>
        <w:rPr>
          <w:rFonts w:hAnsi="宋体"/>
          <w:color w:val="auto"/>
          <w:sz w:val="28"/>
          <w:szCs w:val="28"/>
        </w:rPr>
        <w:t>﹞</w:t>
      </w:r>
      <w:r>
        <w:rPr>
          <w:color w:val="auto"/>
          <w:sz w:val="28"/>
          <w:szCs w:val="28"/>
        </w:rPr>
        <w:t>32</w:t>
      </w:r>
      <w:r>
        <w:rPr>
          <w:rFonts w:hAnsi="宋体"/>
          <w:color w:val="auto"/>
          <w:sz w:val="28"/>
          <w:szCs w:val="28"/>
        </w:rPr>
        <w:t>号</w:t>
      </w:r>
    </w:p>
    <w:p>
      <w:pPr>
        <w:ind w:firstLine="560"/>
        <w:rPr>
          <w:color w:val="auto"/>
          <w:sz w:val="28"/>
        </w:rPr>
      </w:pPr>
      <w:r>
        <w:rPr>
          <w:rFonts w:hint="eastAsia" w:hAnsi="宋体"/>
          <w:color w:val="auto"/>
          <w:sz w:val="28"/>
        </w:rPr>
        <w:t>7、</w:t>
      </w:r>
      <w:r>
        <w:rPr>
          <w:rFonts w:hAnsi="宋体"/>
          <w:color w:val="auto"/>
          <w:sz w:val="28"/>
        </w:rPr>
        <w:t>《国家发展改革委、国家安全生产监督管理局关于加强建设项目安全设</w:t>
      </w:r>
      <w:r>
        <w:rPr>
          <w:rFonts w:ascii="宋体" w:hAnsi="宋体"/>
          <w:color w:val="auto"/>
          <w:sz w:val="28"/>
        </w:rPr>
        <w:t>施“三同时”</w:t>
      </w:r>
      <w:r>
        <w:rPr>
          <w:rFonts w:hAnsi="宋体"/>
          <w:color w:val="auto"/>
          <w:sz w:val="28"/>
        </w:rPr>
        <w:t>工作的通知》国家发展和改革委员会</w:t>
      </w:r>
      <w:r>
        <w:rPr>
          <w:rFonts w:hint="eastAsia"/>
          <w:color w:val="auto"/>
          <w:sz w:val="28"/>
        </w:rPr>
        <w:t>、</w:t>
      </w:r>
      <w:r>
        <w:rPr>
          <w:rFonts w:hAnsi="宋体"/>
          <w:color w:val="auto"/>
          <w:sz w:val="28"/>
        </w:rPr>
        <w:t>国家安全生产监督管理局发改投资</w:t>
      </w:r>
      <w:r>
        <w:rPr>
          <w:color w:val="auto"/>
          <w:sz w:val="28"/>
        </w:rPr>
        <w:t>[2003]1346</w:t>
      </w:r>
      <w:r>
        <w:rPr>
          <w:rFonts w:hAnsi="宋体"/>
          <w:color w:val="auto"/>
          <w:sz w:val="28"/>
        </w:rPr>
        <w:t>号</w:t>
      </w:r>
    </w:p>
    <w:p>
      <w:pPr>
        <w:tabs>
          <w:tab w:val="left" w:pos="1480"/>
        </w:tabs>
        <w:autoSpaceDE w:val="0"/>
        <w:autoSpaceDN w:val="0"/>
        <w:adjustRightInd w:val="0"/>
        <w:ind w:firstLine="537" w:firstLineChars="192"/>
        <w:rPr>
          <w:color w:val="auto"/>
          <w:sz w:val="28"/>
          <w:szCs w:val="28"/>
        </w:rPr>
      </w:pPr>
      <w:r>
        <w:rPr>
          <w:rFonts w:hint="eastAsia"/>
          <w:color w:val="auto"/>
          <w:sz w:val="28"/>
          <w:szCs w:val="28"/>
          <w:lang w:val="zh-CN"/>
        </w:rPr>
        <w:t>8、</w:t>
      </w:r>
      <w:r>
        <w:rPr>
          <w:rFonts w:hint="eastAsia"/>
          <w:color w:val="auto"/>
          <w:sz w:val="28"/>
        </w:rPr>
        <w:t>《危险化学品建设项目安全监督管理办法》</w:t>
      </w:r>
      <w:r>
        <w:rPr>
          <w:color w:val="auto"/>
          <w:sz w:val="28"/>
          <w:szCs w:val="28"/>
        </w:rPr>
        <w:t>国家安全生产监督管理总局令20</w:t>
      </w:r>
      <w:r>
        <w:rPr>
          <w:rFonts w:hint="eastAsia"/>
          <w:color w:val="auto"/>
          <w:sz w:val="28"/>
          <w:szCs w:val="28"/>
        </w:rPr>
        <w:t>12</w:t>
      </w:r>
      <w:r>
        <w:rPr>
          <w:color w:val="auto"/>
          <w:sz w:val="28"/>
          <w:szCs w:val="28"/>
        </w:rPr>
        <w:t>年第</w:t>
      </w:r>
      <w:r>
        <w:rPr>
          <w:rFonts w:hint="eastAsia"/>
          <w:color w:val="auto"/>
          <w:sz w:val="28"/>
          <w:szCs w:val="28"/>
        </w:rPr>
        <w:t>45</w:t>
      </w:r>
      <w:r>
        <w:rPr>
          <w:color w:val="auto"/>
          <w:sz w:val="28"/>
          <w:szCs w:val="28"/>
        </w:rPr>
        <w:t>号</w:t>
      </w:r>
    </w:p>
    <w:p>
      <w:pPr>
        <w:ind w:firstLine="560"/>
        <w:rPr>
          <w:color w:val="auto"/>
          <w:sz w:val="28"/>
          <w:szCs w:val="28"/>
        </w:rPr>
      </w:pPr>
      <w:r>
        <w:rPr>
          <w:rFonts w:hint="eastAsia"/>
          <w:color w:val="auto"/>
          <w:sz w:val="28"/>
          <w:szCs w:val="28"/>
        </w:rPr>
        <w:t>9</w:t>
      </w:r>
      <w:r>
        <w:rPr>
          <w:rFonts w:hAnsi="宋体"/>
          <w:color w:val="auto"/>
          <w:sz w:val="28"/>
          <w:szCs w:val="28"/>
        </w:rPr>
        <w:t>、《安全生产事故隐患排查治理暂行规定》</w:t>
      </w:r>
      <w:r>
        <w:rPr>
          <w:rFonts w:hint="eastAsia" w:hAnsi="宋体"/>
          <w:color w:val="auto"/>
          <w:sz w:val="28"/>
          <w:szCs w:val="28"/>
        </w:rPr>
        <w:t>国</w:t>
      </w:r>
      <w:r>
        <w:rPr>
          <w:color w:val="auto"/>
          <w:sz w:val="28"/>
          <w:szCs w:val="28"/>
        </w:rPr>
        <w:t>家安全生产监督管理总局令2007年第16号</w:t>
      </w:r>
    </w:p>
    <w:p>
      <w:pPr>
        <w:ind w:firstLine="560"/>
        <w:rPr>
          <w:rFonts w:hint="eastAsia"/>
          <w:color w:val="auto"/>
          <w:sz w:val="28"/>
          <w:szCs w:val="28"/>
        </w:rPr>
      </w:pPr>
      <w:r>
        <w:rPr>
          <w:rFonts w:hint="eastAsia"/>
          <w:color w:val="auto"/>
          <w:sz w:val="28"/>
          <w:szCs w:val="28"/>
        </w:rPr>
        <w:t>10、《危险化学品重大危险源监督管理规定》</w:t>
      </w:r>
      <w:r>
        <w:rPr>
          <w:color w:val="auto"/>
          <w:sz w:val="28"/>
          <w:szCs w:val="28"/>
        </w:rPr>
        <w:t>国家安全生产监督管理总局令</w:t>
      </w:r>
      <w:r>
        <w:rPr>
          <w:rFonts w:hint="eastAsia"/>
          <w:color w:val="auto"/>
          <w:sz w:val="28"/>
          <w:szCs w:val="28"/>
        </w:rPr>
        <w:t>2011年</w:t>
      </w:r>
      <w:r>
        <w:rPr>
          <w:color w:val="auto"/>
          <w:sz w:val="28"/>
          <w:szCs w:val="28"/>
        </w:rPr>
        <w:t>第</w:t>
      </w:r>
      <w:r>
        <w:rPr>
          <w:rFonts w:hint="eastAsia"/>
          <w:color w:val="auto"/>
          <w:sz w:val="28"/>
          <w:szCs w:val="28"/>
        </w:rPr>
        <w:t>40</w:t>
      </w:r>
      <w:r>
        <w:rPr>
          <w:color w:val="auto"/>
          <w:sz w:val="28"/>
          <w:szCs w:val="28"/>
        </w:rPr>
        <w:t>号</w:t>
      </w:r>
      <w:r>
        <w:rPr>
          <w:rFonts w:hint="eastAsia"/>
          <w:color w:val="auto"/>
          <w:sz w:val="28"/>
          <w:szCs w:val="28"/>
        </w:rPr>
        <w:t>、安监总局79号令修改</w:t>
      </w:r>
    </w:p>
    <w:p>
      <w:pPr>
        <w:ind w:firstLine="560"/>
        <w:rPr>
          <w:rFonts w:hint="eastAsia"/>
          <w:color w:val="auto"/>
          <w:sz w:val="28"/>
          <w:szCs w:val="28"/>
        </w:rPr>
      </w:pPr>
      <w:r>
        <w:rPr>
          <w:rFonts w:hint="eastAsia"/>
          <w:color w:val="auto"/>
          <w:sz w:val="28"/>
          <w:szCs w:val="28"/>
        </w:rPr>
        <w:t>11</w:t>
      </w:r>
      <w:r>
        <w:rPr>
          <w:color w:val="auto"/>
          <w:sz w:val="28"/>
          <w:szCs w:val="28"/>
        </w:rPr>
        <w:t>、《生产安全事故报告和调查处理条例》国家安全生产监督管理总局令2011年第42号</w:t>
      </w:r>
    </w:p>
    <w:p>
      <w:pPr>
        <w:ind w:firstLine="560"/>
        <w:rPr>
          <w:rFonts w:hint="eastAsia"/>
          <w:color w:val="auto"/>
          <w:sz w:val="28"/>
          <w:szCs w:val="28"/>
        </w:rPr>
      </w:pPr>
      <w:r>
        <w:rPr>
          <w:rFonts w:hint="eastAsia"/>
          <w:color w:val="auto"/>
          <w:sz w:val="28"/>
          <w:szCs w:val="28"/>
        </w:rPr>
        <w:t>12</w:t>
      </w:r>
      <w:r>
        <w:rPr>
          <w:color w:val="auto"/>
          <w:sz w:val="28"/>
          <w:szCs w:val="28"/>
        </w:rPr>
        <w:t>、</w:t>
      </w:r>
      <w:r>
        <w:rPr>
          <w:color w:val="auto"/>
          <w:kern w:val="0"/>
          <w:sz w:val="28"/>
          <w:szCs w:val="28"/>
        </w:rPr>
        <w:t>《工作场所职业卫生管理规定》</w:t>
      </w:r>
      <w:r>
        <w:rPr>
          <w:rFonts w:hint="eastAsia"/>
          <w:color w:val="auto"/>
          <w:kern w:val="0"/>
          <w:sz w:val="28"/>
          <w:szCs w:val="28"/>
          <w:lang w:val="en-US" w:eastAsia="zh-CN"/>
        </w:rPr>
        <w:t xml:space="preserve">   </w:t>
      </w:r>
      <w:r>
        <w:rPr>
          <w:color w:val="auto"/>
          <w:kern w:val="0"/>
          <w:sz w:val="28"/>
          <w:szCs w:val="28"/>
        </w:rPr>
        <w:t>国家卫生健康委员会令第5号</w:t>
      </w:r>
    </w:p>
    <w:p>
      <w:pPr>
        <w:ind w:firstLine="560"/>
        <w:rPr>
          <w:rFonts w:hint="eastAsia"/>
          <w:color w:val="auto"/>
          <w:sz w:val="28"/>
          <w:szCs w:val="28"/>
        </w:rPr>
      </w:pPr>
      <w:r>
        <w:rPr>
          <w:rFonts w:hint="eastAsia"/>
          <w:color w:val="auto"/>
          <w:sz w:val="28"/>
          <w:szCs w:val="28"/>
        </w:rPr>
        <w:t>13</w:t>
      </w:r>
      <w:r>
        <w:rPr>
          <w:color w:val="auto"/>
          <w:sz w:val="28"/>
          <w:szCs w:val="28"/>
        </w:rPr>
        <w:t>、</w:t>
      </w:r>
      <w:r>
        <w:rPr>
          <w:rFonts w:hint="eastAsia"/>
          <w:color w:val="auto"/>
          <w:sz w:val="28"/>
          <w:szCs w:val="28"/>
        </w:rPr>
        <w:t>《职业病危害项目申报办法》</w:t>
      </w:r>
      <w:r>
        <w:rPr>
          <w:color w:val="auto"/>
          <w:sz w:val="28"/>
          <w:szCs w:val="28"/>
        </w:rPr>
        <w:t>国家安全生产监督管理总局令20</w:t>
      </w:r>
      <w:r>
        <w:rPr>
          <w:rFonts w:hint="eastAsia"/>
          <w:color w:val="auto"/>
          <w:sz w:val="28"/>
          <w:szCs w:val="28"/>
        </w:rPr>
        <w:t>12</w:t>
      </w:r>
      <w:r>
        <w:rPr>
          <w:color w:val="auto"/>
          <w:sz w:val="28"/>
          <w:szCs w:val="28"/>
        </w:rPr>
        <w:t>年第</w:t>
      </w:r>
      <w:r>
        <w:rPr>
          <w:rFonts w:hint="eastAsia"/>
          <w:color w:val="auto"/>
          <w:sz w:val="28"/>
          <w:szCs w:val="28"/>
        </w:rPr>
        <w:t>48</w:t>
      </w:r>
      <w:r>
        <w:rPr>
          <w:color w:val="auto"/>
          <w:sz w:val="28"/>
          <w:szCs w:val="28"/>
        </w:rPr>
        <w:t>号</w:t>
      </w:r>
    </w:p>
    <w:p>
      <w:pPr>
        <w:ind w:firstLine="560"/>
        <w:rPr>
          <w:rFonts w:hint="eastAsia"/>
          <w:color w:val="auto"/>
          <w:sz w:val="28"/>
          <w:szCs w:val="28"/>
        </w:rPr>
      </w:pPr>
      <w:r>
        <w:rPr>
          <w:rFonts w:hint="eastAsia"/>
          <w:color w:val="auto"/>
          <w:sz w:val="28"/>
          <w:szCs w:val="28"/>
        </w:rPr>
        <w:t>14、《用人单位职业健康监护监督管理办法》</w:t>
      </w:r>
      <w:r>
        <w:rPr>
          <w:color w:val="auto"/>
          <w:sz w:val="28"/>
          <w:szCs w:val="28"/>
        </w:rPr>
        <w:t>国家安全生产监督管理总局令20</w:t>
      </w:r>
      <w:r>
        <w:rPr>
          <w:rFonts w:hint="eastAsia"/>
          <w:color w:val="auto"/>
          <w:sz w:val="28"/>
          <w:szCs w:val="28"/>
        </w:rPr>
        <w:t>12</w:t>
      </w:r>
      <w:r>
        <w:rPr>
          <w:color w:val="auto"/>
          <w:sz w:val="28"/>
          <w:szCs w:val="28"/>
        </w:rPr>
        <w:t>年第</w:t>
      </w:r>
      <w:r>
        <w:rPr>
          <w:rFonts w:hint="eastAsia"/>
          <w:color w:val="auto"/>
          <w:sz w:val="28"/>
          <w:szCs w:val="28"/>
        </w:rPr>
        <w:t>49</w:t>
      </w:r>
      <w:r>
        <w:rPr>
          <w:color w:val="auto"/>
          <w:sz w:val="28"/>
          <w:szCs w:val="28"/>
        </w:rPr>
        <w:t>号</w:t>
      </w:r>
    </w:p>
    <w:p>
      <w:pPr>
        <w:ind w:firstLine="560"/>
        <w:rPr>
          <w:rFonts w:hint="eastAsia"/>
          <w:color w:val="auto"/>
          <w:sz w:val="28"/>
          <w:szCs w:val="28"/>
        </w:rPr>
      </w:pPr>
      <w:r>
        <w:rPr>
          <w:rFonts w:hint="eastAsia"/>
          <w:color w:val="auto"/>
          <w:sz w:val="28"/>
          <w:szCs w:val="28"/>
        </w:rPr>
        <w:t>15</w:t>
      </w:r>
      <w:r>
        <w:rPr>
          <w:color w:val="auto"/>
          <w:sz w:val="28"/>
          <w:szCs w:val="28"/>
        </w:rPr>
        <w:t>、《国家安全监管总局关于修改〈生产经营单位安全培训规定〉等11件规章的决定》国家安全生产监督管理总局令2013年第63号</w:t>
      </w:r>
    </w:p>
    <w:p>
      <w:pPr>
        <w:widowControl/>
        <w:ind w:firstLine="560"/>
        <w:jc w:val="left"/>
        <w:rPr>
          <w:color w:val="auto"/>
          <w:sz w:val="28"/>
          <w:szCs w:val="28"/>
        </w:rPr>
      </w:pPr>
      <w:r>
        <w:rPr>
          <w:rFonts w:hint="eastAsia"/>
          <w:color w:val="auto"/>
          <w:sz w:val="28"/>
          <w:szCs w:val="28"/>
          <w:lang w:val="zh-CN"/>
        </w:rPr>
        <w:t>16、</w:t>
      </w:r>
      <w:r>
        <w:rPr>
          <w:color w:val="auto"/>
          <w:sz w:val="28"/>
          <w:szCs w:val="28"/>
        </w:rPr>
        <w:t>《</w:t>
      </w:r>
      <w:r>
        <w:rPr>
          <w:rFonts w:hint="eastAsia"/>
          <w:color w:val="auto"/>
          <w:sz w:val="28"/>
          <w:szCs w:val="28"/>
        </w:rPr>
        <w:t>国家安全监管总局关于修改</w:t>
      </w:r>
      <w:r>
        <w:rPr>
          <w:color w:val="auto"/>
          <w:sz w:val="28"/>
          <w:szCs w:val="28"/>
        </w:rPr>
        <w:t>&lt;</w:t>
      </w:r>
      <w:r>
        <w:rPr>
          <w:rFonts w:hint="eastAsia"/>
          <w:color w:val="auto"/>
          <w:sz w:val="28"/>
          <w:szCs w:val="28"/>
        </w:rPr>
        <w:t>生产安全事故报告和调查处理条例</w:t>
      </w:r>
      <w:r>
        <w:rPr>
          <w:color w:val="auto"/>
          <w:sz w:val="28"/>
          <w:szCs w:val="28"/>
        </w:rPr>
        <w:t>&gt;</w:t>
      </w:r>
      <w:r>
        <w:rPr>
          <w:rFonts w:hint="eastAsia"/>
          <w:color w:val="auto"/>
          <w:sz w:val="28"/>
          <w:szCs w:val="28"/>
        </w:rPr>
        <w:t>罚款处罚暂行规定等四部规章的决定</w:t>
      </w:r>
      <w:r>
        <w:rPr>
          <w:color w:val="auto"/>
          <w:sz w:val="28"/>
          <w:szCs w:val="28"/>
        </w:rPr>
        <w:t>》国家安全生产监督管理总局令</w:t>
      </w:r>
      <w:r>
        <w:rPr>
          <w:rFonts w:hint="eastAsia"/>
          <w:color w:val="auto"/>
          <w:sz w:val="28"/>
          <w:szCs w:val="28"/>
        </w:rPr>
        <w:t>2015年</w:t>
      </w:r>
      <w:r>
        <w:rPr>
          <w:color w:val="auto"/>
          <w:sz w:val="28"/>
          <w:szCs w:val="28"/>
        </w:rPr>
        <w:t>第</w:t>
      </w:r>
      <w:r>
        <w:rPr>
          <w:rFonts w:hint="eastAsia"/>
          <w:color w:val="auto"/>
          <w:sz w:val="28"/>
          <w:szCs w:val="28"/>
        </w:rPr>
        <w:t>77</w:t>
      </w:r>
      <w:r>
        <w:rPr>
          <w:color w:val="auto"/>
          <w:sz w:val="28"/>
          <w:szCs w:val="28"/>
        </w:rPr>
        <w:t>号</w:t>
      </w:r>
    </w:p>
    <w:p>
      <w:pPr>
        <w:ind w:firstLine="560"/>
        <w:rPr>
          <w:color w:val="auto"/>
          <w:sz w:val="28"/>
          <w:szCs w:val="28"/>
        </w:rPr>
      </w:pPr>
      <w:r>
        <w:rPr>
          <w:rFonts w:hint="eastAsia"/>
          <w:color w:val="auto"/>
          <w:sz w:val="28"/>
          <w:szCs w:val="28"/>
        </w:rPr>
        <w:t>17</w:t>
      </w:r>
      <w:r>
        <w:rPr>
          <w:color w:val="auto"/>
          <w:sz w:val="28"/>
          <w:szCs w:val="28"/>
        </w:rPr>
        <w:t>、《国家安全监管总局关于废止和修改劳动防护用品和安全培训等领域十部规章的决定》国家安全生产监督管理总局令2015年第80号</w:t>
      </w:r>
    </w:p>
    <w:p>
      <w:pPr>
        <w:ind w:firstLine="560"/>
        <w:rPr>
          <w:color w:val="auto"/>
          <w:sz w:val="28"/>
          <w:szCs w:val="28"/>
        </w:rPr>
      </w:pPr>
      <w:r>
        <w:rPr>
          <w:rFonts w:hint="eastAsia"/>
          <w:color w:val="auto"/>
          <w:sz w:val="28"/>
          <w:szCs w:val="28"/>
        </w:rPr>
        <w:t>18</w:t>
      </w:r>
      <w:r>
        <w:rPr>
          <w:color w:val="auto"/>
          <w:sz w:val="28"/>
          <w:szCs w:val="28"/>
        </w:rPr>
        <w:t>、</w:t>
      </w:r>
      <w:r>
        <w:rPr>
          <w:rFonts w:hint="eastAsia"/>
          <w:color w:val="auto"/>
          <w:sz w:val="28"/>
          <w:szCs w:val="28"/>
        </w:rPr>
        <w:t>《国家安全监管总局关于修改和废止部分规章及规范性文件的决定》</w:t>
      </w:r>
      <w:r>
        <w:rPr>
          <w:color w:val="auto"/>
          <w:sz w:val="28"/>
          <w:szCs w:val="28"/>
        </w:rPr>
        <w:t>国家安全生产监督管理总局令20</w:t>
      </w:r>
      <w:r>
        <w:rPr>
          <w:rFonts w:hint="eastAsia"/>
          <w:color w:val="auto"/>
          <w:sz w:val="28"/>
          <w:szCs w:val="28"/>
        </w:rPr>
        <w:t>17</w:t>
      </w:r>
      <w:r>
        <w:rPr>
          <w:color w:val="auto"/>
          <w:sz w:val="28"/>
          <w:szCs w:val="28"/>
        </w:rPr>
        <w:t>年第</w:t>
      </w:r>
      <w:r>
        <w:rPr>
          <w:rFonts w:hint="eastAsia"/>
          <w:color w:val="auto"/>
          <w:sz w:val="28"/>
          <w:szCs w:val="28"/>
        </w:rPr>
        <w:t>89</w:t>
      </w:r>
      <w:r>
        <w:rPr>
          <w:color w:val="auto"/>
          <w:sz w:val="28"/>
          <w:szCs w:val="28"/>
        </w:rPr>
        <w:t>号</w:t>
      </w:r>
    </w:p>
    <w:p>
      <w:pPr>
        <w:numPr>
          <w:ilvl w:val="0"/>
          <w:numId w:val="0"/>
        </w:numPr>
        <w:ind w:firstLine="560" w:firstLineChars="0"/>
        <w:rPr>
          <w:rFonts w:hint="eastAsia"/>
          <w:color w:val="auto"/>
          <w:sz w:val="28"/>
        </w:rPr>
      </w:pPr>
      <w:r>
        <w:rPr>
          <w:rFonts w:hint="eastAsia"/>
          <w:color w:val="auto"/>
          <w:sz w:val="28"/>
          <w:szCs w:val="28"/>
        </w:rPr>
        <w:t>19、</w:t>
      </w:r>
      <w:r>
        <w:rPr>
          <w:rFonts w:hAnsi="宋体"/>
          <w:color w:val="auto"/>
          <w:sz w:val="28"/>
        </w:rPr>
        <w:t>《产业结构调整指导目录（20</w:t>
      </w:r>
      <w:r>
        <w:rPr>
          <w:rFonts w:hint="eastAsia" w:hAnsi="宋体"/>
          <w:color w:val="auto"/>
          <w:sz w:val="28"/>
          <w:lang w:val="en-US" w:eastAsia="zh-CN"/>
        </w:rPr>
        <w:t>24</w:t>
      </w:r>
      <w:r>
        <w:rPr>
          <w:rFonts w:hAnsi="宋体"/>
          <w:color w:val="auto"/>
          <w:sz w:val="28"/>
        </w:rPr>
        <w:t>年本）》</w:t>
      </w:r>
      <w:r>
        <w:rPr>
          <w:rFonts w:hint="eastAsia"/>
          <w:color w:val="auto"/>
          <w:sz w:val="28"/>
        </w:rPr>
        <w:t>国家发展和改革委员会令20</w:t>
      </w:r>
      <w:r>
        <w:rPr>
          <w:rFonts w:hint="eastAsia"/>
          <w:color w:val="auto"/>
          <w:sz w:val="28"/>
          <w:lang w:val="en-US" w:eastAsia="zh-CN"/>
        </w:rPr>
        <w:t>2</w:t>
      </w:r>
      <w:r>
        <w:rPr>
          <w:rFonts w:hint="eastAsia"/>
          <w:color w:val="auto"/>
          <w:sz w:val="28"/>
        </w:rPr>
        <w:t>3年第</w:t>
      </w:r>
      <w:r>
        <w:rPr>
          <w:rFonts w:hint="eastAsia"/>
          <w:color w:val="auto"/>
          <w:sz w:val="28"/>
          <w:lang w:val="en-US" w:eastAsia="zh-CN"/>
        </w:rPr>
        <w:t>7</w:t>
      </w:r>
      <w:r>
        <w:rPr>
          <w:rFonts w:hint="eastAsia"/>
          <w:color w:val="auto"/>
          <w:sz w:val="28"/>
        </w:rPr>
        <w:t>号</w:t>
      </w:r>
    </w:p>
    <w:p>
      <w:pPr>
        <w:numPr>
          <w:ilvl w:val="0"/>
          <w:numId w:val="0"/>
        </w:numPr>
        <w:ind w:firstLine="560" w:firstLineChars="0"/>
        <w:rPr>
          <w:color w:val="auto"/>
          <w:sz w:val="28"/>
        </w:rPr>
      </w:pPr>
      <w:r>
        <w:rPr>
          <w:rFonts w:hint="eastAsia" w:cs="宋体"/>
          <w:color w:val="auto"/>
          <w:kern w:val="0"/>
          <w:sz w:val="28"/>
          <w:szCs w:val="28"/>
        </w:rPr>
        <w:t>20、</w:t>
      </w:r>
      <w:r>
        <w:rPr>
          <w:rFonts w:hint="eastAsia"/>
          <w:color w:val="auto"/>
          <w:sz w:val="28"/>
        </w:rPr>
        <w:t>《国家安全监督总局住房城乡建设部关于进一步加强危险化学品建设项目安全设计管理的通知》安监总管三[2013]76号</w:t>
      </w:r>
    </w:p>
    <w:p>
      <w:pPr>
        <w:ind w:firstLine="570"/>
        <w:rPr>
          <w:rFonts w:hAnsi="宋体"/>
          <w:color w:val="auto"/>
          <w:sz w:val="28"/>
        </w:rPr>
      </w:pPr>
      <w:r>
        <w:rPr>
          <w:rFonts w:hint="eastAsia" w:hAnsi="宋体"/>
          <w:color w:val="auto"/>
          <w:sz w:val="28"/>
          <w:lang w:val="en-US" w:eastAsia="zh-CN"/>
        </w:rPr>
        <w:t>21、</w:t>
      </w:r>
      <w:r>
        <w:rPr>
          <w:rFonts w:hint="eastAsia" w:hAnsi="宋体"/>
          <w:color w:val="auto"/>
          <w:sz w:val="28"/>
        </w:rPr>
        <w:t>《关于加强全省建设项目安全设施“三同时”工作的通知》江西省赣计工字[2003]1312号</w:t>
      </w:r>
    </w:p>
    <w:p>
      <w:pPr>
        <w:ind w:firstLine="570"/>
        <w:rPr>
          <w:color w:val="auto"/>
          <w:kern w:val="0"/>
          <w:sz w:val="28"/>
          <w:szCs w:val="28"/>
        </w:rPr>
      </w:pPr>
      <w:r>
        <w:rPr>
          <w:rFonts w:ascii="Times New Roman" w:hAnsi="Times New Roman" w:eastAsia="宋体" w:cs="Times New Roman"/>
          <w:color w:val="auto"/>
          <w:kern w:val="2"/>
          <w:sz w:val="28"/>
          <w:szCs w:val="24"/>
          <w:lang w:val="en-US" w:eastAsia="zh-CN" w:bidi="ar-SA"/>
        </w:rPr>
        <w:t>22、</w:t>
      </w:r>
      <w:r>
        <w:rPr>
          <w:color w:val="auto"/>
          <w:kern w:val="0"/>
          <w:sz w:val="28"/>
          <w:szCs w:val="28"/>
        </w:rPr>
        <w:t>《江西省人民政府办公厅关于切实加强危险化学品安全生产工作的意见》</w:t>
      </w:r>
      <w:r>
        <w:rPr>
          <w:bCs/>
          <w:color w:val="auto"/>
          <w:kern w:val="0"/>
          <w:sz w:val="28"/>
          <w:szCs w:val="28"/>
        </w:rPr>
        <w:t>江西省人民政府办公厅</w:t>
      </w:r>
      <w:r>
        <w:rPr>
          <w:color w:val="auto"/>
          <w:kern w:val="0"/>
          <w:sz w:val="28"/>
          <w:szCs w:val="28"/>
        </w:rPr>
        <w:t>赣府厅发[2010]3号</w:t>
      </w:r>
    </w:p>
    <w:p>
      <w:pPr>
        <w:ind w:firstLine="570"/>
        <w:rPr>
          <w:rFonts w:hint="eastAsia"/>
          <w:color w:val="auto"/>
          <w:kern w:val="0"/>
          <w:sz w:val="28"/>
          <w:szCs w:val="28"/>
        </w:rPr>
      </w:pPr>
      <w:r>
        <w:rPr>
          <w:rFonts w:hint="eastAsia"/>
          <w:color w:val="auto"/>
          <w:sz w:val="28"/>
        </w:rPr>
        <w:t>23</w:t>
      </w:r>
      <w:r>
        <w:rPr>
          <w:rFonts w:hAnsi="宋体"/>
          <w:color w:val="auto"/>
          <w:sz w:val="28"/>
        </w:rPr>
        <w:t>、</w:t>
      </w:r>
      <w:r>
        <w:rPr>
          <w:bCs/>
          <w:color w:val="auto"/>
          <w:sz w:val="28"/>
          <w:szCs w:val="28"/>
        </w:rPr>
        <w:t>《</w:t>
      </w:r>
      <w:r>
        <w:rPr>
          <w:rStyle w:val="47"/>
          <w:b w:val="0"/>
          <w:bCs w:val="0"/>
          <w:color w:val="auto"/>
          <w:sz w:val="28"/>
          <w:szCs w:val="28"/>
        </w:rPr>
        <w:t>关于督促化工企业切实做好几项安全环保重点工作的紧急通知》</w:t>
      </w:r>
      <w:r>
        <w:rPr>
          <w:color w:val="auto"/>
          <w:sz w:val="28"/>
          <w:szCs w:val="28"/>
        </w:rPr>
        <w:t>国家安全生产监督管理总局、国家环境保护总局安监总危化［2006］10号</w:t>
      </w:r>
    </w:p>
    <w:p>
      <w:pPr>
        <w:pStyle w:val="38"/>
        <w:spacing w:before="0" w:beforeAutospacing="0" w:after="0" w:afterAutospacing="0"/>
        <w:ind w:firstLine="560" w:firstLineChars="200"/>
        <w:jc w:val="both"/>
        <w:rPr>
          <w:rStyle w:val="47"/>
          <w:rFonts w:ascii="Times New Roman" w:hAnsi="Times New Roman"/>
          <w:b w:val="0"/>
          <w:bCs w:val="0"/>
          <w:color w:val="auto"/>
          <w:sz w:val="28"/>
          <w:szCs w:val="28"/>
        </w:rPr>
      </w:pPr>
      <w:r>
        <w:rPr>
          <w:rFonts w:hint="eastAsia" w:ascii="Times New Roman" w:hAnsi="Times New Roman"/>
          <w:color w:val="auto"/>
          <w:sz w:val="28"/>
          <w:szCs w:val="28"/>
        </w:rPr>
        <w:t>2</w:t>
      </w:r>
      <w:r>
        <w:rPr>
          <w:rFonts w:hint="eastAsia" w:ascii="Times New Roman" w:hAnsi="Times New Roman"/>
          <w:color w:val="auto"/>
          <w:sz w:val="28"/>
          <w:szCs w:val="28"/>
          <w:lang w:val="en-US" w:eastAsia="zh-CN"/>
        </w:rPr>
        <w:t>4</w:t>
      </w:r>
      <w:r>
        <w:rPr>
          <w:rFonts w:hint="eastAsia" w:ascii="Times New Roman" w:hAnsi="Times New Roman"/>
          <w:color w:val="auto"/>
          <w:sz w:val="28"/>
          <w:szCs w:val="28"/>
        </w:rPr>
        <w:t>、&lt;</w:t>
      </w:r>
      <w:r>
        <w:rPr>
          <w:rFonts w:hint="eastAsia" w:ascii="Times New Roman" w:hAnsi="Times New Roman"/>
          <w:bCs/>
          <w:color w:val="auto"/>
          <w:sz w:val="28"/>
          <w:szCs w:val="28"/>
        </w:rPr>
        <w:t>江西省安监局关于贯彻落实《危险化学品登记管理办法》的通知</w:t>
      </w:r>
      <w:r>
        <w:rPr>
          <w:rFonts w:hint="eastAsia" w:ascii="Times New Roman" w:hAnsi="Times New Roman"/>
          <w:color w:val="auto"/>
          <w:sz w:val="28"/>
          <w:szCs w:val="28"/>
        </w:rPr>
        <w:t>&gt;江西省安全生产监督管理局赣安监管二字[2013]69号</w:t>
      </w:r>
    </w:p>
    <w:p>
      <w:pPr>
        <w:ind w:firstLine="560"/>
        <w:rPr>
          <w:color w:val="auto"/>
          <w:kern w:val="0"/>
          <w:sz w:val="28"/>
          <w:szCs w:val="28"/>
        </w:rPr>
      </w:pPr>
      <w:r>
        <w:rPr>
          <w:rFonts w:hint="eastAsia" w:hAnsi="宋体"/>
          <w:bCs/>
          <w:color w:val="auto"/>
          <w:kern w:val="0"/>
          <w:sz w:val="28"/>
          <w:szCs w:val="28"/>
        </w:rPr>
        <w:t>2</w:t>
      </w:r>
      <w:r>
        <w:rPr>
          <w:rFonts w:hint="eastAsia" w:hAnsi="宋体"/>
          <w:bCs/>
          <w:color w:val="auto"/>
          <w:kern w:val="0"/>
          <w:sz w:val="28"/>
          <w:szCs w:val="28"/>
          <w:lang w:val="en-US" w:eastAsia="zh-CN"/>
        </w:rPr>
        <w:t>5</w:t>
      </w:r>
      <w:r>
        <w:rPr>
          <w:rFonts w:hint="eastAsia" w:hAnsi="宋体"/>
          <w:bCs/>
          <w:color w:val="auto"/>
          <w:kern w:val="0"/>
          <w:sz w:val="28"/>
          <w:szCs w:val="28"/>
        </w:rPr>
        <w:t>、</w:t>
      </w:r>
      <w:r>
        <w:rPr>
          <w:rFonts w:hint="eastAsia"/>
          <w:color w:val="auto"/>
          <w:kern w:val="0"/>
          <w:sz w:val="28"/>
          <w:szCs w:val="28"/>
        </w:rPr>
        <w:t>《</w:t>
      </w:r>
      <w:r>
        <w:rPr>
          <w:color w:val="auto"/>
          <w:kern w:val="0"/>
          <w:sz w:val="28"/>
          <w:szCs w:val="28"/>
        </w:rPr>
        <w:t>关于公布首批重点监管的危险化工工艺目录的通知</w:t>
      </w:r>
      <w:r>
        <w:rPr>
          <w:rFonts w:hint="eastAsia"/>
          <w:color w:val="auto"/>
          <w:kern w:val="0"/>
          <w:sz w:val="28"/>
          <w:szCs w:val="28"/>
        </w:rPr>
        <w:t>》</w:t>
      </w:r>
      <w:r>
        <w:rPr>
          <w:color w:val="auto"/>
          <w:kern w:val="0"/>
          <w:sz w:val="28"/>
          <w:szCs w:val="28"/>
        </w:rPr>
        <w:t>国家安全</w:t>
      </w:r>
      <w:r>
        <w:rPr>
          <w:rFonts w:hint="eastAsia"/>
          <w:color w:val="auto"/>
          <w:kern w:val="0"/>
          <w:sz w:val="28"/>
          <w:szCs w:val="28"/>
        </w:rPr>
        <w:t>生产监督</w:t>
      </w:r>
      <w:r>
        <w:rPr>
          <w:color w:val="auto"/>
          <w:kern w:val="0"/>
          <w:sz w:val="28"/>
          <w:szCs w:val="28"/>
        </w:rPr>
        <w:t>管</w:t>
      </w:r>
      <w:r>
        <w:rPr>
          <w:rFonts w:hint="eastAsia"/>
          <w:color w:val="auto"/>
          <w:kern w:val="0"/>
          <w:sz w:val="28"/>
          <w:szCs w:val="28"/>
        </w:rPr>
        <w:t>理</w:t>
      </w:r>
      <w:r>
        <w:rPr>
          <w:color w:val="auto"/>
          <w:kern w:val="0"/>
          <w:sz w:val="28"/>
          <w:szCs w:val="28"/>
        </w:rPr>
        <w:t>总局安监总管三〔2009〕116号</w:t>
      </w:r>
    </w:p>
    <w:p>
      <w:pPr>
        <w:pStyle w:val="38"/>
        <w:spacing w:before="0" w:beforeAutospacing="0" w:after="0" w:afterAutospacing="0"/>
        <w:ind w:firstLine="560" w:firstLineChars="200"/>
        <w:jc w:val="both"/>
        <w:rPr>
          <w:rFonts w:ascii="Times New Roman" w:hAnsi="Times New Roman"/>
          <w:color w:val="auto"/>
          <w:sz w:val="28"/>
          <w:szCs w:val="28"/>
        </w:rPr>
      </w:pPr>
      <w:r>
        <w:rPr>
          <w:rFonts w:hint="eastAsia" w:ascii="Times New Roman" w:hAnsi="Times New Roman"/>
          <w:color w:val="auto"/>
          <w:sz w:val="28"/>
          <w:szCs w:val="28"/>
        </w:rPr>
        <w:t>2</w:t>
      </w:r>
      <w:r>
        <w:rPr>
          <w:rFonts w:hint="eastAsia" w:ascii="Times New Roman" w:hAnsi="Times New Roman"/>
          <w:color w:val="auto"/>
          <w:sz w:val="28"/>
          <w:szCs w:val="28"/>
          <w:lang w:val="en-US" w:eastAsia="zh-CN"/>
        </w:rPr>
        <w:t>6</w:t>
      </w:r>
      <w:r>
        <w:rPr>
          <w:rFonts w:hint="eastAsia" w:ascii="Times New Roman" w:hAnsi="Times New Roman"/>
          <w:color w:val="auto"/>
          <w:sz w:val="28"/>
          <w:szCs w:val="28"/>
        </w:rPr>
        <w:t>、《国家安全监管总局关于公布第二批重点监管危险化工工艺目录和调整首批重点监管危险化工工艺中部分典型工艺的通知》国家安全生产管理监督管理总局安监总管三〔2013〕3号</w:t>
      </w:r>
    </w:p>
    <w:p>
      <w:pPr>
        <w:pStyle w:val="38"/>
        <w:spacing w:before="0" w:beforeAutospacing="0" w:after="0" w:afterAutospacing="0"/>
        <w:ind w:firstLine="560" w:firstLineChars="200"/>
        <w:jc w:val="both"/>
        <w:rPr>
          <w:rFonts w:ascii="Times New Roman" w:hAnsi="Times New Roman"/>
          <w:color w:val="auto"/>
          <w:sz w:val="28"/>
          <w:szCs w:val="28"/>
        </w:rPr>
      </w:pPr>
      <w:r>
        <w:rPr>
          <w:rFonts w:hint="eastAsia" w:ascii="Times New Roman" w:hAnsi="Times New Roman"/>
          <w:color w:val="auto"/>
          <w:sz w:val="28"/>
          <w:szCs w:val="28"/>
          <w:lang w:val="en-US" w:eastAsia="zh-CN"/>
        </w:rPr>
        <w:t>27</w:t>
      </w:r>
      <w:r>
        <w:rPr>
          <w:rFonts w:hint="eastAsia"/>
          <w:color w:val="auto"/>
          <w:sz w:val="28"/>
          <w:szCs w:val="28"/>
        </w:rPr>
        <w:t>、《</w:t>
      </w:r>
      <w:r>
        <w:rPr>
          <w:rFonts w:hint="eastAsia" w:cs="宋体"/>
          <w:color w:val="auto"/>
          <w:sz w:val="28"/>
          <w:szCs w:val="28"/>
        </w:rPr>
        <w:t>国家安全监管总局关于公布首批重点监管的危险化学品名录的通知》</w:t>
      </w:r>
      <w:r>
        <w:rPr>
          <w:color w:val="auto"/>
          <w:sz w:val="28"/>
          <w:szCs w:val="28"/>
        </w:rPr>
        <w:t>国家安</w:t>
      </w:r>
      <w:r>
        <w:rPr>
          <w:rFonts w:ascii="Times New Roman" w:hAnsi="Times New Roman"/>
          <w:color w:val="auto"/>
          <w:sz w:val="28"/>
          <w:szCs w:val="28"/>
        </w:rPr>
        <w:t>全监管总局安监总管三〔20</w:t>
      </w:r>
      <w:r>
        <w:rPr>
          <w:rFonts w:hint="eastAsia" w:ascii="Times New Roman" w:hAnsi="Times New Roman"/>
          <w:color w:val="auto"/>
          <w:sz w:val="28"/>
          <w:szCs w:val="28"/>
        </w:rPr>
        <w:t>11</w:t>
      </w:r>
      <w:r>
        <w:rPr>
          <w:rFonts w:ascii="Times New Roman" w:hAnsi="Times New Roman"/>
          <w:color w:val="auto"/>
          <w:sz w:val="28"/>
          <w:szCs w:val="28"/>
        </w:rPr>
        <w:t>〕</w:t>
      </w:r>
      <w:r>
        <w:rPr>
          <w:rFonts w:hint="eastAsia" w:ascii="Times New Roman" w:hAnsi="Times New Roman"/>
          <w:color w:val="auto"/>
          <w:sz w:val="28"/>
          <w:szCs w:val="28"/>
        </w:rPr>
        <w:t>95</w:t>
      </w:r>
      <w:r>
        <w:rPr>
          <w:rFonts w:ascii="Times New Roman" w:hAnsi="Times New Roman"/>
          <w:color w:val="auto"/>
          <w:sz w:val="28"/>
          <w:szCs w:val="28"/>
        </w:rPr>
        <w:t>号</w:t>
      </w:r>
    </w:p>
    <w:p>
      <w:pPr>
        <w:pStyle w:val="38"/>
        <w:spacing w:before="0" w:beforeAutospacing="0" w:after="0" w:afterAutospacing="0"/>
        <w:ind w:firstLine="560" w:firstLineChars="200"/>
        <w:jc w:val="both"/>
        <w:rPr>
          <w:rFonts w:ascii="Times New Roman" w:hAnsi="Times New Roman"/>
          <w:color w:val="auto"/>
          <w:sz w:val="28"/>
          <w:szCs w:val="28"/>
        </w:rPr>
      </w:pPr>
      <w:r>
        <w:rPr>
          <w:rFonts w:hint="eastAsia" w:ascii="Times New Roman" w:hAnsi="Times New Roman"/>
          <w:color w:val="auto"/>
          <w:sz w:val="28"/>
          <w:szCs w:val="28"/>
          <w:lang w:val="en-US" w:eastAsia="zh-CN"/>
        </w:rPr>
        <w:t>28</w:t>
      </w:r>
      <w:r>
        <w:rPr>
          <w:rFonts w:hint="eastAsia" w:ascii="Times New Roman" w:hAnsi="Times New Roman"/>
          <w:color w:val="auto"/>
          <w:sz w:val="28"/>
          <w:szCs w:val="28"/>
        </w:rPr>
        <w:t>、《国家安全监管总局关于公布第二批重点监管危险化学品名录的通知》国家安全生产监督管理总局安监总管三〔2013〕12号</w:t>
      </w:r>
    </w:p>
    <w:p>
      <w:pPr>
        <w:keepNext w:val="0"/>
        <w:keepLines w:val="0"/>
        <w:pageBreakBefore w:val="0"/>
        <w:widowControl w:val="0"/>
        <w:kinsoku/>
        <w:wordWrap/>
        <w:overflowPunct/>
        <w:topLinePunct w:val="0"/>
        <w:autoSpaceDE/>
        <w:autoSpaceDN/>
        <w:bidi w:val="0"/>
        <w:adjustRightInd/>
        <w:snapToGrid/>
        <w:spacing w:line="600" w:lineRule="exact"/>
        <w:ind w:firstLine="561"/>
        <w:textAlignment w:val="auto"/>
        <w:rPr>
          <w:rFonts w:hAnsi="宋体"/>
          <w:color w:val="auto"/>
          <w:kern w:val="0"/>
          <w:sz w:val="28"/>
          <w:szCs w:val="28"/>
        </w:rPr>
      </w:pPr>
      <w:r>
        <w:rPr>
          <w:rFonts w:hint="eastAsia" w:hAnsi="宋体"/>
          <w:color w:val="auto"/>
          <w:kern w:val="0"/>
          <w:sz w:val="28"/>
          <w:szCs w:val="28"/>
          <w:lang w:val="en-US" w:eastAsia="zh-CN"/>
        </w:rPr>
        <w:t>29</w:t>
      </w:r>
      <w:r>
        <w:rPr>
          <w:rFonts w:hint="eastAsia" w:hAnsi="宋体"/>
          <w:color w:val="auto"/>
          <w:kern w:val="0"/>
          <w:sz w:val="28"/>
          <w:szCs w:val="28"/>
        </w:rPr>
        <w:t>、《</w:t>
      </w:r>
      <w:r>
        <w:rPr>
          <w:rFonts w:hAnsi="宋体"/>
          <w:color w:val="auto"/>
          <w:kern w:val="0"/>
          <w:sz w:val="28"/>
          <w:szCs w:val="28"/>
        </w:rPr>
        <w:t>国家安全监管总局办公厅关于印发首批重点监管的危险化学品安全措施和应急处置原则的通知</w:t>
      </w:r>
      <w:r>
        <w:rPr>
          <w:rFonts w:hint="eastAsia" w:hAnsi="宋体"/>
          <w:color w:val="auto"/>
          <w:kern w:val="0"/>
          <w:sz w:val="28"/>
          <w:szCs w:val="28"/>
        </w:rPr>
        <w:t>》</w:t>
      </w:r>
      <w:r>
        <w:rPr>
          <w:color w:val="auto"/>
          <w:kern w:val="0"/>
          <w:sz w:val="28"/>
          <w:szCs w:val="28"/>
        </w:rPr>
        <w:t>国家安全监管总局</w:t>
      </w:r>
      <w:r>
        <w:rPr>
          <w:rFonts w:hAnsi="宋体"/>
          <w:color w:val="auto"/>
          <w:kern w:val="0"/>
          <w:sz w:val="28"/>
          <w:szCs w:val="28"/>
        </w:rPr>
        <w:t>安监总厅管三〔</w:t>
      </w:r>
      <w:r>
        <w:rPr>
          <w:color w:val="auto"/>
          <w:kern w:val="0"/>
          <w:sz w:val="28"/>
          <w:szCs w:val="28"/>
        </w:rPr>
        <w:t>2011</w:t>
      </w:r>
      <w:r>
        <w:rPr>
          <w:rFonts w:hAnsi="宋体"/>
          <w:color w:val="auto"/>
          <w:kern w:val="0"/>
          <w:sz w:val="28"/>
          <w:szCs w:val="28"/>
        </w:rPr>
        <w:t>〕</w:t>
      </w:r>
      <w:r>
        <w:rPr>
          <w:color w:val="auto"/>
          <w:kern w:val="0"/>
          <w:sz w:val="28"/>
          <w:szCs w:val="28"/>
        </w:rPr>
        <w:t>142</w:t>
      </w:r>
      <w:r>
        <w:rPr>
          <w:rFonts w:hAnsi="宋体"/>
          <w:color w:val="auto"/>
          <w:kern w:val="0"/>
          <w:sz w:val="28"/>
          <w:szCs w:val="28"/>
        </w:rPr>
        <w:t>号</w:t>
      </w:r>
    </w:p>
    <w:p>
      <w:pPr>
        <w:keepNext w:val="0"/>
        <w:keepLines w:val="0"/>
        <w:pageBreakBefore w:val="0"/>
        <w:widowControl w:val="0"/>
        <w:kinsoku/>
        <w:wordWrap/>
        <w:overflowPunct/>
        <w:topLinePunct w:val="0"/>
        <w:autoSpaceDE/>
        <w:autoSpaceDN/>
        <w:bidi w:val="0"/>
        <w:adjustRightInd/>
        <w:snapToGrid/>
        <w:spacing w:line="600" w:lineRule="exact"/>
        <w:ind w:firstLine="700" w:firstLineChars="250"/>
        <w:jc w:val="left"/>
        <w:textAlignment w:val="auto"/>
        <w:rPr>
          <w:rFonts w:hint="eastAsia" w:hAnsi="宋体"/>
          <w:color w:val="auto"/>
          <w:sz w:val="28"/>
          <w:lang w:val="en-US" w:eastAsia="zh-CN"/>
        </w:rPr>
      </w:pPr>
      <w:r>
        <w:rPr>
          <w:rFonts w:hint="eastAsia" w:hAnsi="宋体"/>
          <w:color w:val="auto"/>
          <w:sz w:val="28"/>
          <w:lang w:val="en-US" w:eastAsia="zh-CN"/>
        </w:rPr>
        <w:t>30、《江西省应急管理厅关于印发&lt;</w:t>
      </w:r>
      <w:r>
        <w:rPr>
          <w:rFonts w:hAnsi="宋体"/>
          <w:color w:val="auto"/>
          <w:sz w:val="28"/>
        </w:rPr>
        <w:t>江西省危险化学品建设项目安全监督管理实施细则</w:t>
      </w:r>
      <w:r>
        <w:rPr>
          <w:rFonts w:hint="eastAsia" w:hAnsi="宋体"/>
          <w:color w:val="auto"/>
          <w:sz w:val="28"/>
          <w:lang w:val="en-US" w:eastAsia="zh-CN"/>
        </w:rPr>
        <w:t>&gt;</w:t>
      </w:r>
      <w:r>
        <w:rPr>
          <w:rFonts w:hAnsi="宋体"/>
          <w:color w:val="auto"/>
          <w:sz w:val="28"/>
        </w:rPr>
        <w:t>（试行）</w:t>
      </w:r>
      <w:r>
        <w:rPr>
          <w:rFonts w:hint="eastAsia" w:hAnsi="宋体"/>
          <w:color w:val="auto"/>
          <w:sz w:val="28"/>
          <w:lang w:eastAsia="zh-CN"/>
        </w:rPr>
        <w:t>的</w:t>
      </w:r>
      <w:r>
        <w:rPr>
          <w:rFonts w:hint="eastAsia" w:hAnsi="宋体"/>
          <w:color w:val="auto"/>
          <w:sz w:val="28"/>
          <w:lang w:val="en-US" w:eastAsia="zh-CN"/>
        </w:rPr>
        <w:t>通知》（赣应急字〔2021〕100号）</w:t>
      </w:r>
    </w:p>
    <w:p>
      <w:pPr>
        <w:keepNext w:val="0"/>
        <w:keepLines w:val="0"/>
        <w:pageBreakBefore w:val="0"/>
        <w:widowControl w:val="0"/>
        <w:kinsoku/>
        <w:wordWrap/>
        <w:overflowPunct/>
        <w:topLinePunct w:val="0"/>
        <w:autoSpaceDE/>
        <w:autoSpaceDN/>
        <w:bidi w:val="0"/>
        <w:adjustRightInd/>
        <w:snapToGrid/>
        <w:spacing w:line="600" w:lineRule="exact"/>
        <w:ind w:firstLine="700" w:firstLineChars="250"/>
        <w:jc w:val="left"/>
        <w:textAlignment w:val="auto"/>
        <w:rPr>
          <w:rFonts w:hint="eastAsia" w:hAnsi="宋体"/>
          <w:color w:val="auto"/>
          <w:sz w:val="28"/>
          <w:lang w:val="en-US" w:eastAsia="zh-CN"/>
        </w:rPr>
      </w:pPr>
      <w:r>
        <w:rPr>
          <w:rFonts w:hint="eastAsia" w:hAnsi="宋体"/>
          <w:color w:val="auto"/>
          <w:sz w:val="28"/>
          <w:lang w:val="en-US" w:eastAsia="zh-CN"/>
        </w:rPr>
        <w:t>31、《江西省应急厅办公室关于进一步推动危险化学品（化工）企业自动化改造提升工作的通知》（赣应急办字〔2023〕77 号）</w:t>
      </w:r>
    </w:p>
    <w:p>
      <w:pPr>
        <w:keepNext w:val="0"/>
        <w:keepLines w:val="0"/>
        <w:pageBreakBefore w:val="0"/>
        <w:widowControl w:val="0"/>
        <w:kinsoku/>
        <w:wordWrap/>
        <w:overflowPunct/>
        <w:topLinePunct w:val="0"/>
        <w:autoSpaceDE/>
        <w:autoSpaceDN/>
        <w:bidi w:val="0"/>
        <w:adjustRightInd/>
        <w:snapToGrid/>
        <w:spacing w:line="600" w:lineRule="exact"/>
        <w:ind w:firstLine="700" w:firstLineChars="250"/>
        <w:jc w:val="left"/>
        <w:textAlignment w:val="auto"/>
        <w:rPr>
          <w:rFonts w:hint="eastAsia" w:hAnsi="宋体"/>
          <w:color w:val="auto"/>
          <w:sz w:val="28"/>
          <w:lang w:val="en-US" w:eastAsia="zh-CN"/>
        </w:rPr>
      </w:pPr>
      <w:r>
        <w:rPr>
          <w:rFonts w:hint="eastAsia" w:hAnsi="宋体"/>
          <w:color w:val="auto"/>
          <w:sz w:val="28"/>
          <w:lang w:val="en-US" w:eastAsia="zh-CN"/>
        </w:rPr>
        <w:t>32、《江西省应急管理厅关于印发《江西省化工企业 自动化提升实施方案》（试行）的通知》（赣应急字〔2021〕190 号）</w:t>
      </w:r>
    </w:p>
    <w:p>
      <w:pPr>
        <w:keepNext w:val="0"/>
        <w:keepLines w:val="0"/>
        <w:pageBreakBefore w:val="0"/>
        <w:widowControl w:val="0"/>
        <w:kinsoku/>
        <w:wordWrap/>
        <w:overflowPunct/>
        <w:topLinePunct w:val="0"/>
        <w:autoSpaceDE/>
        <w:autoSpaceDN/>
        <w:bidi w:val="0"/>
        <w:adjustRightInd/>
        <w:snapToGrid/>
        <w:spacing w:line="600" w:lineRule="exact"/>
        <w:ind w:firstLine="700" w:firstLineChars="250"/>
        <w:jc w:val="left"/>
        <w:textAlignment w:val="auto"/>
        <w:rPr>
          <w:rFonts w:hint="eastAsia" w:hAnsi="宋体"/>
          <w:color w:val="auto"/>
          <w:sz w:val="28"/>
          <w:lang w:val="en-US" w:eastAsia="zh-CN"/>
        </w:rPr>
      </w:pPr>
      <w:r>
        <w:rPr>
          <w:rFonts w:hint="eastAsia" w:hAnsi="宋体"/>
          <w:color w:val="auto"/>
          <w:sz w:val="28"/>
          <w:lang w:val="en-US" w:eastAsia="zh-CN"/>
        </w:rPr>
        <w:t>33、《关于印发&lt;危险化学品生产建设项目安全风险防控指南（试行）&gt;的通知》（应急〔2022〕52号）</w:t>
      </w:r>
    </w:p>
    <w:p>
      <w:pPr>
        <w:keepNext w:val="0"/>
        <w:keepLines w:val="0"/>
        <w:pageBreakBefore w:val="0"/>
        <w:widowControl w:val="0"/>
        <w:kinsoku/>
        <w:wordWrap/>
        <w:overflowPunct/>
        <w:topLinePunct w:val="0"/>
        <w:autoSpaceDE/>
        <w:autoSpaceDN/>
        <w:bidi w:val="0"/>
        <w:adjustRightInd/>
        <w:snapToGrid/>
        <w:spacing w:line="600" w:lineRule="exact"/>
        <w:ind w:firstLine="700" w:firstLineChars="250"/>
        <w:jc w:val="left"/>
        <w:textAlignment w:val="auto"/>
        <w:rPr>
          <w:rFonts w:hint="eastAsia" w:hAnsi="宋体"/>
          <w:color w:val="auto"/>
          <w:sz w:val="28"/>
          <w:lang w:val="en-US" w:eastAsia="zh-CN"/>
        </w:rPr>
      </w:pPr>
      <w:r>
        <w:rPr>
          <w:rFonts w:hint="eastAsia" w:hAnsi="宋体"/>
          <w:color w:val="auto"/>
          <w:sz w:val="28"/>
          <w:lang w:val="en-US" w:eastAsia="zh-CN"/>
        </w:rPr>
        <w:t>34、应急管理部关于印发《化工园区安全风险排查治理导则（试行）》和《危险化学品企业安全风险隐患排查治理导则》的通知(应急〔2019〕78号)</w:t>
      </w:r>
    </w:p>
    <w:p>
      <w:pPr>
        <w:pStyle w:val="65"/>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hAnsi="宋体"/>
          <w:color w:val="auto"/>
          <w:sz w:val="28"/>
          <w:lang w:val="en-US" w:eastAsia="zh-CN"/>
        </w:rPr>
      </w:pPr>
      <w:r>
        <w:rPr>
          <w:rFonts w:hint="eastAsia" w:hAnsi="宋体"/>
          <w:color w:val="auto"/>
          <w:sz w:val="28"/>
          <w:lang w:val="en-US" w:eastAsia="zh-CN"/>
        </w:rPr>
        <w:t>35、《关于公布全省化工园区名单（第一批）的通知》赣工信石化字〔2021〕92号</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color w:val="auto"/>
          <w:lang w:val="en-US" w:eastAsia="zh-CN"/>
        </w:rPr>
      </w:pPr>
      <w:r>
        <w:rPr>
          <w:rFonts w:hint="eastAsia"/>
          <w:color w:val="auto"/>
          <w:lang w:val="en-US" w:eastAsia="zh-CN"/>
        </w:rPr>
        <w:t>36、《危险化学品生产企业安全生产许可证实施办法》</w:t>
      </w:r>
      <w:r>
        <w:rPr>
          <w:color w:val="auto"/>
        </w:rPr>
        <w:t>国家安全生产监督管理总局令2011年第41号，</w:t>
      </w:r>
      <w:r>
        <w:rPr>
          <w:rFonts w:hint="eastAsia"/>
          <w:color w:val="auto"/>
          <w:lang w:val="en-US" w:eastAsia="zh-CN"/>
        </w:rPr>
        <w:t>第79号修改</w:t>
      </w:r>
    </w:p>
    <w:p>
      <w:pPr>
        <w:pStyle w:val="3"/>
        <w:bidi w:val="0"/>
        <w:rPr>
          <w:rFonts w:hint="eastAsia"/>
          <w:color w:val="auto"/>
        </w:rPr>
      </w:pPr>
      <w:bookmarkStart w:id="821" w:name="_Toc25306"/>
      <w:bookmarkStart w:id="822" w:name="_Toc255"/>
      <w:bookmarkStart w:id="823" w:name="_Toc11753"/>
      <w:bookmarkStart w:id="824" w:name="_Toc17824"/>
      <w:bookmarkStart w:id="825" w:name="_Toc3139"/>
      <w:bookmarkStart w:id="826" w:name="_Toc18851"/>
      <w:bookmarkStart w:id="827" w:name="_Toc10163"/>
      <w:r>
        <w:rPr>
          <w:rFonts w:hint="eastAsia"/>
          <w:color w:val="auto"/>
          <w:lang w:val="en-US" w:eastAsia="zh-CN"/>
        </w:rPr>
        <w:t>A</w:t>
      </w:r>
      <w:r>
        <w:rPr>
          <w:rFonts w:hint="eastAsia"/>
          <w:color w:val="auto"/>
        </w:rPr>
        <w:t>.3国家相关标准、规范</w:t>
      </w:r>
      <w:bookmarkEnd w:id="821"/>
      <w:bookmarkEnd w:id="822"/>
      <w:bookmarkEnd w:id="823"/>
      <w:bookmarkEnd w:id="824"/>
      <w:bookmarkEnd w:id="825"/>
      <w:bookmarkEnd w:id="826"/>
      <w:bookmarkEnd w:id="827"/>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sz w:val="28"/>
          <w:szCs w:val="28"/>
        </w:rPr>
        <w:t>1</w:t>
      </w:r>
      <w:r>
        <w:rPr>
          <w:rFonts w:hAnsi="宋体"/>
          <w:color w:val="auto"/>
          <w:sz w:val="28"/>
          <w:szCs w:val="28"/>
        </w:rPr>
        <w:t>、</w:t>
      </w:r>
      <w:r>
        <w:rPr>
          <w:rFonts w:hint="eastAsia" w:hAnsi="宋体"/>
          <w:color w:val="auto"/>
          <w:sz w:val="28"/>
          <w:szCs w:val="28"/>
          <w:lang w:val="en-US" w:eastAsia="zh-CN"/>
        </w:rPr>
        <w:t xml:space="preserve"> </w:t>
      </w:r>
      <w:r>
        <w:rPr>
          <w:rFonts w:hAnsi="宋体"/>
          <w:color w:val="auto"/>
          <w:sz w:val="28"/>
          <w:szCs w:val="28"/>
        </w:rPr>
        <w:t>《工业企业设计卫生标准》</w:t>
      </w:r>
      <w:r>
        <w:rPr>
          <w:rFonts w:hint="eastAsia" w:hAnsi="宋体"/>
          <w:color w:val="auto"/>
          <w:sz w:val="28"/>
          <w:szCs w:val="28"/>
        </w:rPr>
        <w:t xml:space="preserve">                          </w:t>
      </w:r>
      <w:r>
        <w:rPr>
          <w:color w:val="auto"/>
          <w:sz w:val="28"/>
          <w:szCs w:val="28"/>
        </w:rPr>
        <w:t>GBZ1-20</w:t>
      </w:r>
      <w:r>
        <w:rPr>
          <w:rFonts w:hint="eastAsia"/>
          <w:color w:val="auto"/>
          <w:sz w:val="28"/>
          <w:szCs w:val="28"/>
        </w:rPr>
        <w:t>10</w:t>
      </w:r>
    </w:p>
    <w:p>
      <w:pPr>
        <w:keepNext w:val="0"/>
        <w:keepLines w:val="0"/>
        <w:pageBreakBefore w:val="0"/>
        <w:widowControl w:val="0"/>
        <w:kinsoku/>
        <w:wordWrap/>
        <w:overflowPunct/>
        <w:topLinePunct w:val="0"/>
        <w:bidi w:val="0"/>
        <w:snapToGrid/>
        <w:spacing w:line="600" w:lineRule="exact"/>
        <w:ind w:left="7280" w:leftChars="200" w:hanging="6720" w:hangingChars="2400"/>
        <w:textAlignment w:val="auto"/>
        <w:rPr>
          <w:rFonts w:hint="default" w:eastAsia="宋体"/>
          <w:color w:val="auto"/>
          <w:sz w:val="28"/>
          <w:szCs w:val="28"/>
          <w:lang w:val="en-US" w:eastAsia="zh-CN"/>
        </w:rPr>
      </w:pPr>
      <w:r>
        <w:rPr>
          <w:color w:val="auto"/>
          <w:sz w:val="28"/>
          <w:szCs w:val="28"/>
        </w:rPr>
        <w:t>2</w:t>
      </w:r>
      <w:r>
        <w:rPr>
          <w:rFonts w:hint="eastAsia"/>
          <w:color w:val="auto"/>
          <w:sz w:val="28"/>
          <w:szCs w:val="28"/>
          <w:lang w:eastAsia="zh-CN"/>
        </w:rPr>
        <w:t>、</w:t>
      </w:r>
      <w:r>
        <w:rPr>
          <w:rFonts w:hAnsi="宋体"/>
          <w:color w:val="auto"/>
          <w:sz w:val="28"/>
          <w:szCs w:val="28"/>
        </w:rPr>
        <w:t>《工作场所有害因素职业接触限值</w:t>
      </w:r>
      <w:r>
        <w:rPr>
          <w:rFonts w:hint="eastAsia" w:hAnsi="宋体"/>
          <w:color w:val="auto"/>
          <w:sz w:val="28"/>
          <w:szCs w:val="28"/>
        </w:rPr>
        <w:t>第1部分：化学有害因素</w:t>
      </w:r>
      <w:r>
        <w:rPr>
          <w:rFonts w:hAnsi="宋体"/>
          <w:color w:val="auto"/>
          <w:sz w:val="28"/>
          <w:szCs w:val="28"/>
        </w:rPr>
        <w:t>》</w:t>
      </w:r>
      <w:r>
        <w:rPr>
          <w:color w:val="auto"/>
          <w:sz w:val="28"/>
          <w:szCs w:val="28"/>
        </w:rPr>
        <w:t>GBZ2</w:t>
      </w:r>
      <w:r>
        <w:rPr>
          <w:rFonts w:hint="eastAsia"/>
          <w:color w:val="auto"/>
          <w:sz w:val="28"/>
          <w:szCs w:val="28"/>
        </w:rPr>
        <w:t>.1</w:t>
      </w:r>
      <w:r>
        <w:rPr>
          <w:color w:val="auto"/>
          <w:sz w:val="28"/>
          <w:szCs w:val="28"/>
        </w:rPr>
        <w:t>-20</w:t>
      </w:r>
      <w:r>
        <w:rPr>
          <w:rFonts w:hint="eastAsia"/>
          <w:color w:val="auto"/>
          <w:sz w:val="28"/>
          <w:szCs w:val="28"/>
          <w:lang w:val="en-US" w:eastAsia="zh-CN"/>
        </w:rPr>
        <w:t>19</w:t>
      </w:r>
    </w:p>
    <w:p>
      <w:pPr>
        <w:keepNext w:val="0"/>
        <w:keepLines w:val="0"/>
        <w:pageBreakBefore w:val="0"/>
        <w:widowControl w:val="0"/>
        <w:kinsoku/>
        <w:wordWrap/>
        <w:overflowPunct/>
        <w:topLinePunct w:val="0"/>
        <w:bidi w:val="0"/>
        <w:snapToGrid/>
        <w:spacing w:line="600" w:lineRule="exact"/>
        <w:ind w:firstLine="840" w:firstLineChars="300"/>
        <w:textAlignment w:val="auto"/>
        <w:rPr>
          <w:rFonts w:hint="eastAsia"/>
          <w:color w:val="auto"/>
          <w:sz w:val="28"/>
          <w:szCs w:val="28"/>
        </w:rPr>
      </w:pPr>
      <w:r>
        <w:rPr>
          <w:rFonts w:hAnsi="宋体"/>
          <w:color w:val="auto"/>
          <w:sz w:val="28"/>
          <w:szCs w:val="28"/>
        </w:rPr>
        <w:t>《工作场所有害因素职业接触限值</w:t>
      </w:r>
      <w:r>
        <w:rPr>
          <w:rFonts w:hint="eastAsia" w:hAnsi="宋体"/>
          <w:color w:val="auto"/>
          <w:sz w:val="28"/>
          <w:szCs w:val="28"/>
        </w:rPr>
        <w:t>第2部分：物理因素</w:t>
      </w:r>
      <w:r>
        <w:rPr>
          <w:rFonts w:hAnsi="宋体"/>
          <w:color w:val="auto"/>
          <w:sz w:val="28"/>
          <w:szCs w:val="28"/>
        </w:rPr>
        <w:t>》</w:t>
      </w:r>
      <w:r>
        <w:rPr>
          <w:color w:val="auto"/>
          <w:sz w:val="28"/>
          <w:szCs w:val="28"/>
        </w:rPr>
        <w:t>GBZ2</w:t>
      </w:r>
      <w:r>
        <w:rPr>
          <w:rFonts w:hint="eastAsia"/>
          <w:color w:val="auto"/>
          <w:sz w:val="28"/>
          <w:szCs w:val="28"/>
        </w:rPr>
        <w:t>.2</w:t>
      </w:r>
      <w:r>
        <w:rPr>
          <w:color w:val="auto"/>
          <w:sz w:val="28"/>
          <w:szCs w:val="28"/>
        </w:rPr>
        <w:t>-200</w:t>
      </w:r>
      <w:r>
        <w:rPr>
          <w:rFonts w:hint="eastAsia"/>
          <w:color w:val="auto"/>
          <w:sz w:val="28"/>
          <w:szCs w:val="28"/>
        </w:rPr>
        <w:t>7</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rPr>
      </w:pPr>
      <w:r>
        <w:rPr>
          <w:rFonts w:hint="eastAsia" w:hAnsi="宋体"/>
          <w:color w:val="auto"/>
          <w:sz w:val="28"/>
        </w:rPr>
        <w:t>3、</w:t>
      </w:r>
      <w:r>
        <w:rPr>
          <w:rFonts w:hAnsi="宋体"/>
          <w:color w:val="auto"/>
          <w:sz w:val="28"/>
        </w:rPr>
        <w:t>《工作场所职业病危害警示标志》</w:t>
      </w:r>
      <w:r>
        <w:rPr>
          <w:rFonts w:hint="eastAsia" w:hAnsi="宋体"/>
          <w:color w:val="auto"/>
          <w:sz w:val="28"/>
        </w:rPr>
        <w:t xml:space="preserve">                  </w:t>
      </w:r>
      <w:r>
        <w:rPr>
          <w:color w:val="auto"/>
          <w:sz w:val="28"/>
        </w:rPr>
        <w:t>GBZ158-2003</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eastAsia="宋体"/>
          <w:color w:val="auto"/>
          <w:sz w:val="28"/>
          <w:szCs w:val="28"/>
          <w:lang w:val="en-US" w:eastAsia="zh-CN"/>
        </w:rPr>
      </w:pPr>
      <w:r>
        <w:rPr>
          <w:rFonts w:hint="eastAsia" w:hAnsi="宋体"/>
          <w:color w:val="auto"/>
          <w:sz w:val="28"/>
          <w:szCs w:val="28"/>
        </w:rPr>
        <w:t>4</w:t>
      </w:r>
      <w:r>
        <w:rPr>
          <w:rFonts w:hAnsi="宋体"/>
          <w:color w:val="auto"/>
          <w:sz w:val="28"/>
          <w:szCs w:val="28"/>
        </w:rPr>
        <w:t>、《生产设备安全卫生设计总则》</w:t>
      </w:r>
      <w:r>
        <w:rPr>
          <w:rFonts w:hint="eastAsia" w:hAnsi="宋体"/>
          <w:color w:val="auto"/>
          <w:sz w:val="28"/>
          <w:szCs w:val="28"/>
        </w:rPr>
        <w:t xml:space="preserve">                    </w:t>
      </w:r>
      <w:r>
        <w:rPr>
          <w:color w:val="auto"/>
          <w:sz w:val="28"/>
          <w:szCs w:val="28"/>
        </w:rPr>
        <w:t>GB5083-</w:t>
      </w:r>
      <w:r>
        <w:rPr>
          <w:rFonts w:hint="eastAsia"/>
          <w:color w:val="auto"/>
          <w:sz w:val="28"/>
          <w:szCs w:val="28"/>
          <w:lang w:val="en-US" w:eastAsia="zh-CN"/>
        </w:rPr>
        <w:t>2023</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color w:val="auto"/>
          <w:sz w:val="28"/>
          <w:szCs w:val="28"/>
        </w:rPr>
        <w:t>5</w:t>
      </w:r>
      <w:r>
        <w:rPr>
          <w:rFonts w:hAnsi="宋体"/>
          <w:color w:val="auto"/>
          <w:sz w:val="28"/>
          <w:szCs w:val="28"/>
        </w:rPr>
        <w:t>、《生产过程安全卫生要求总则》</w:t>
      </w:r>
      <w:r>
        <w:rPr>
          <w:rFonts w:hint="eastAsia" w:hAnsi="宋体"/>
          <w:color w:val="auto"/>
          <w:sz w:val="28"/>
          <w:szCs w:val="28"/>
        </w:rPr>
        <w:t xml:space="preserve">                   </w:t>
      </w:r>
      <w:r>
        <w:rPr>
          <w:color w:val="auto"/>
          <w:sz w:val="28"/>
          <w:szCs w:val="28"/>
        </w:rPr>
        <w:t>GB12801-</w:t>
      </w:r>
      <w:r>
        <w:rPr>
          <w:rFonts w:hint="eastAsia"/>
          <w:color w:val="auto"/>
          <w:sz w:val="28"/>
          <w:szCs w:val="28"/>
        </w:rPr>
        <w:t>2008</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rFonts w:hint="eastAsia"/>
          <w:color w:val="auto"/>
          <w:sz w:val="28"/>
          <w:szCs w:val="28"/>
        </w:rPr>
        <w:t>6</w:t>
      </w:r>
      <w:r>
        <w:rPr>
          <w:rFonts w:hAnsi="宋体"/>
          <w:color w:val="auto"/>
          <w:sz w:val="28"/>
          <w:szCs w:val="28"/>
        </w:rPr>
        <w:t>、《工业企业总平面设计规范》</w:t>
      </w:r>
      <w:r>
        <w:rPr>
          <w:rFonts w:hint="eastAsia" w:hAnsi="宋体"/>
          <w:color w:val="auto"/>
          <w:sz w:val="28"/>
          <w:szCs w:val="28"/>
        </w:rPr>
        <w:t xml:space="preserve">                     </w:t>
      </w:r>
      <w:r>
        <w:rPr>
          <w:color w:val="auto"/>
          <w:sz w:val="28"/>
          <w:szCs w:val="28"/>
        </w:rPr>
        <w:t>GB50187-</w:t>
      </w:r>
      <w:r>
        <w:rPr>
          <w:rFonts w:hint="eastAsia"/>
          <w:color w:val="auto"/>
          <w:sz w:val="28"/>
          <w:szCs w:val="28"/>
        </w:rPr>
        <w:t>2012</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0"/>
        </w:rPr>
      </w:pPr>
      <w:r>
        <w:rPr>
          <w:rFonts w:hint="eastAsia" w:hAnsi="宋体"/>
          <w:color w:val="auto"/>
          <w:sz w:val="28"/>
          <w:szCs w:val="28"/>
        </w:rPr>
        <w:t>7</w:t>
      </w:r>
      <w:r>
        <w:rPr>
          <w:rFonts w:hAnsi="宋体"/>
          <w:color w:val="auto"/>
          <w:sz w:val="28"/>
          <w:szCs w:val="28"/>
        </w:rPr>
        <w:t>、《企业职工伤亡事故分类</w:t>
      </w:r>
      <w:r>
        <w:rPr>
          <w:rFonts w:hAnsi="宋体"/>
          <w:color w:val="auto"/>
          <w:sz w:val="28"/>
        </w:rPr>
        <w:t>》</w:t>
      </w:r>
      <w:r>
        <w:rPr>
          <w:color w:val="auto"/>
          <w:sz w:val="28"/>
        </w:rPr>
        <w:t xml:space="preserve"> </w:t>
      </w:r>
      <w:r>
        <w:rPr>
          <w:rFonts w:hint="eastAsia"/>
          <w:color w:val="auto"/>
          <w:sz w:val="28"/>
        </w:rPr>
        <w:t xml:space="preserve">                       </w:t>
      </w:r>
      <w:r>
        <w:rPr>
          <w:color w:val="auto"/>
          <w:sz w:val="28"/>
        </w:rPr>
        <w:t>GB6441-1986</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rPr>
      </w:pPr>
      <w:r>
        <w:rPr>
          <w:rFonts w:hint="eastAsia" w:hAnsi="宋体"/>
          <w:color w:val="auto"/>
          <w:sz w:val="28"/>
        </w:rPr>
        <w:t>8</w:t>
      </w:r>
      <w:r>
        <w:rPr>
          <w:rFonts w:hAnsi="宋体"/>
          <w:color w:val="auto"/>
          <w:sz w:val="28"/>
        </w:rPr>
        <w:t>、《</w:t>
      </w:r>
      <w:r>
        <w:rPr>
          <w:rFonts w:hint="eastAsia" w:hAnsi="宋体"/>
          <w:color w:val="auto"/>
          <w:sz w:val="28"/>
        </w:rPr>
        <w:t>危险化学品</w:t>
      </w:r>
      <w:r>
        <w:rPr>
          <w:rFonts w:hAnsi="宋体"/>
          <w:color w:val="auto"/>
          <w:sz w:val="28"/>
        </w:rPr>
        <w:t>重大危险源辨识》</w:t>
      </w:r>
      <w:r>
        <w:rPr>
          <w:rFonts w:hint="eastAsia" w:hAnsi="宋体"/>
          <w:color w:val="auto"/>
          <w:sz w:val="28"/>
        </w:rPr>
        <w:t xml:space="preserve">                   </w:t>
      </w:r>
      <w:r>
        <w:rPr>
          <w:color w:val="auto"/>
          <w:sz w:val="28"/>
        </w:rPr>
        <w:t>GB18218-2018</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highlight w:val="yellow"/>
        </w:rPr>
      </w:pPr>
      <w:r>
        <w:rPr>
          <w:rFonts w:hint="eastAsia"/>
          <w:color w:val="auto"/>
          <w:sz w:val="28"/>
        </w:rPr>
        <w:t>9</w:t>
      </w:r>
      <w:r>
        <w:rPr>
          <w:rFonts w:hAnsi="宋体"/>
          <w:color w:val="auto"/>
          <w:sz w:val="28"/>
        </w:rPr>
        <w:t>、</w:t>
      </w:r>
      <w:r>
        <w:rPr>
          <w:rFonts w:hAnsi="宋体"/>
          <w:color w:val="auto"/>
          <w:sz w:val="28"/>
          <w:highlight w:val="none"/>
        </w:rPr>
        <w:t>《建筑设计防火规范》</w:t>
      </w:r>
      <w:r>
        <w:rPr>
          <w:rFonts w:hint="eastAsia" w:hAnsi="宋体"/>
          <w:color w:val="auto"/>
          <w:sz w:val="28"/>
          <w:highlight w:val="none"/>
        </w:rPr>
        <w:t xml:space="preserve">               GB50016-2014（2018年版）</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rPr>
      </w:pPr>
      <w:r>
        <w:rPr>
          <w:rFonts w:hint="eastAsia"/>
          <w:color w:val="auto"/>
          <w:sz w:val="28"/>
        </w:rPr>
        <w:t>10、《消防给水及消火栓系统技术规范》              GB50974-2014</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color w:val="auto"/>
          <w:sz w:val="28"/>
          <w:szCs w:val="28"/>
        </w:rPr>
        <w:t>1</w:t>
      </w:r>
      <w:r>
        <w:rPr>
          <w:rFonts w:hint="eastAsia"/>
          <w:color w:val="auto"/>
          <w:sz w:val="28"/>
          <w:szCs w:val="28"/>
        </w:rPr>
        <w:t>1</w:t>
      </w:r>
      <w:r>
        <w:rPr>
          <w:rFonts w:hAnsi="宋体"/>
          <w:color w:val="auto"/>
          <w:sz w:val="28"/>
          <w:szCs w:val="28"/>
        </w:rPr>
        <w:t>、《建筑抗震设计规范》</w:t>
      </w:r>
      <w:r>
        <w:rPr>
          <w:rFonts w:hint="eastAsia" w:hAnsi="宋体"/>
          <w:color w:val="auto"/>
          <w:sz w:val="28"/>
          <w:szCs w:val="28"/>
        </w:rPr>
        <w:t xml:space="preserve">       </w:t>
      </w:r>
      <w:r>
        <w:rPr>
          <w:color w:val="auto"/>
          <w:sz w:val="28"/>
        </w:rPr>
        <w:t>GB50011-2010（2016年修订版本）</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color w:val="auto"/>
          <w:sz w:val="28"/>
          <w:szCs w:val="28"/>
        </w:rPr>
        <w:t>1</w:t>
      </w:r>
      <w:r>
        <w:rPr>
          <w:rFonts w:hint="eastAsia"/>
          <w:color w:val="auto"/>
          <w:sz w:val="28"/>
          <w:szCs w:val="28"/>
        </w:rPr>
        <w:t>2</w:t>
      </w:r>
      <w:r>
        <w:rPr>
          <w:rFonts w:hAnsi="宋体"/>
          <w:color w:val="auto"/>
          <w:sz w:val="28"/>
          <w:szCs w:val="28"/>
        </w:rPr>
        <w:t>、《构筑物抗震设计规范》</w:t>
      </w:r>
      <w:r>
        <w:rPr>
          <w:rFonts w:hint="eastAsia" w:hAnsi="宋体"/>
          <w:color w:val="auto"/>
          <w:sz w:val="28"/>
          <w:szCs w:val="28"/>
        </w:rPr>
        <w:t xml:space="preserve">                        </w:t>
      </w:r>
      <w:r>
        <w:rPr>
          <w:color w:val="auto"/>
          <w:sz w:val="28"/>
          <w:szCs w:val="28"/>
        </w:rPr>
        <w:t>GB50191-</w:t>
      </w:r>
      <w:r>
        <w:rPr>
          <w:rFonts w:hint="eastAsia"/>
          <w:color w:val="auto"/>
          <w:sz w:val="28"/>
          <w:szCs w:val="28"/>
        </w:rPr>
        <w:t>2012</w:t>
      </w:r>
    </w:p>
    <w:p>
      <w:pPr>
        <w:keepNext w:val="0"/>
        <w:keepLines w:val="0"/>
        <w:pageBreakBefore w:val="0"/>
        <w:widowControl w:val="0"/>
        <w:tabs>
          <w:tab w:val="left" w:pos="7200"/>
        </w:tabs>
        <w:kinsoku/>
        <w:wordWrap/>
        <w:overflowPunct/>
        <w:topLinePunct w:val="0"/>
        <w:bidi w:val="0"/>
        <w:snapToGrid/>
        <w:spacing w:line="600" w:lineRule="exact"/>
        <w:ind w:firstLine="560"/>
        <w:textAlignment w:val="auto"/>
        <w:rPr>
          <w:rFonts w:hint="eastAsia"/>
          <w:color w:val="auto"/>
          <w:sz w:val="28"/>
          <w:szCs w:val="28"/>
        </w:rPr>
      </w:pPr>
      <w:r>
        <w:rPr>
          <w:color w:val="auto"/>
          <w:sz w:val="28"/>
          <w:szCs w:val="28"/>
        </w:rPr>
        <w:t>1</w:t>
      </w:r>
      <w:r>
        <w:rPr>
          <w:rFonts w:hint="eastAsia"/>
          <w:color w:val="auto"/>
          <w:sz w:val="28"/>
          <w:szCs w:val="28"/>
        </w:rPr>
        <w:t>3</w:t>
      </w:r>
      <w:r>
        <w:rPr>
          <w:rFonts w:hAnsi="宋体"/>
          <w:color w:val="auto"/>
          <w:sz w:val="28"/>
          <w:szCs w:val="28"/>
        </w:rPr>
        <w:t>、《建筑工程抗震设防分类标准》</w:t>
      </w:r>
      <w:r>
        <w:rPr>
          <w:rFonts w:hint="eastAsia" w:hAnsi="宋体"/>
          <w:color w:val="auto"/>
          <w:sz w:val="28"/>
          <w:szCs w:val="28"/>
        </w:rPr>
        <w:t xml:space="preserve">                   </w:t>
      </w:r>
      <w:r>
        <w:rPr>
          <w:color w:val="auto"/>
          <w:sz w:val="28"/>
          <w:szCs w:val="28"/>
        </w:rPr>
        <w:t>GB50223-2008</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hAnsi="宋体"/>
          <w:color w:val="auto"/>
          <w:sz w:val="28"/>
          <w:szCs w:val="28"/>
        </w:rPr>
        <w:t>1</w:t>
      </w:r>
      <w:r>
        <w:rPr>
          <w:rFonts w:hint="eastAsia" w:hAnsi="宋体"/>
          <w:color w:val="auto"/>
          <w:sz w:val="28"/>
          <w:szCs w:val="28"/>
          <w:lang w:val="en-US" w:eastAsia="zh-CN"/>
        </w:rPr>
        <w:t>4</w:t>
      </w:r>
      <w:r>
        <w:rPr>
          <w:rFonts w:hAnsi="宋体"/>
          <w:color w:val="auto"/>
          <w:sz w:val="28"/>
          <w:szCs w:val="28"/>
        </w:rPr>
        <w:t>、《建筑物防雷设计规范》</w:t>
      </w:r>
      <w:r>
        <w:rPr>
          <w:rFonts w:hint="eastAsia" w:hAnsi="宋体"/>
          <w:color w:val="auto"/>
          <w:sz w:val="28"/>
          <w:szCs w:val="28"/>
        </w:rPr>
        <w:t xml:space="preserve">                        </w:t>
      </w:r>
      <w:r>
        <w:rPr>
          <w:color w:val="auto"/>
          <w:sz w:val="28"/>
          <w:szCs w:val="28"/>
        </w:rPr>
        <w:t>GB50057-</w:t>
      </w:r>
      <w:r>
        <w:rPr>
          <w:rFonts w:hint="eastAsia"/>
          <w:color w:val="auto"/>
          <w:sz w:val="28"/>
          <w:szCs w:val="28"/>
        </w:rPr>
        <w:t>2010</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sz w:val="28"/>
          <w:szCs w:val="28"/>
        </w:rPr>
        <w:t>1</w:t>
      </w:r>
      <w:r>
        <w:rPr>
          <w:rFonts w:hint="eastAsia"/>
          <w:color w:val="auto"/>
          <w:sz w:val="28"/>
          <w:szCs w:val="28"/>
          <w:lang w:val="en-US" w:eastAsia="zh-CN"/>
        </w:rPr>
        <w:t>5</w:t>
      </w:r>
      <w:r>
        <w:rPr>
          <w:rFonts w:hAnsi="宋体"/>
          <w:color w:val="auto"/>
          <w:sz w:val="28"/>
          <w:szCs w:val="28"/>
        </w:rPr>
        <w:t>、《建筑灭火器配置设计规范》</w:t>
      </w:r>
      <w:r>
        <w:rPr>
          <w:rFonts w:hint="eastAsia" w:hAnsi="宋体"/>
          <w:color w:val="auto"/>
          <w:sz w:val="28"/>
          <w:szCs w:val="28"/>
        </w:rPr>
        <w:t xml:space="preserve">                    </w:t>
      </w:r>
      <w:r>
        <w:rPr>
          <w:color w:val="auto"/>
          <w:sz w:val="28"/>
          <w:szCs w:val="28"/>
        </w:rPr>
        <w:t>GB50140-2005</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eastAsia="宋体"/>
          <w:color w:val="auto"/>
          <w:sz w:val="28"/>
          <w:szCs w:val="28"/>
          <w:lang w:val="en-US" w:eastAsia="zh-CN"/>
        </w:rPr>
      </w:pPr>
      <w:r>
        <w:rPr>
          <w:rFonts w:hint="eastAsia"/>
          <w:color w:val="auto"/>
          <w:sz w:val="28"/>
          <w:szCs w:val="28"/>
        </w:rPr>
        <w:t>1</w:t>
      </w:r>
      <w:r>
        <w:rPr>
          <w:rFonts w:hint="eastAsia"/>
          <w:color w:val="auto"/>
          <w:sz w:val="28"/>
          <w:szCs w:val="28"/>
          <w:lang w:val="en-US" w:eastAsia="zh-CN"/>
        </w:rPr>
        <w:t>6</w:t>
      </w:r>
      <w:r>
        <w:rPr>
          <w:rFonts w:hAnsi="宋体"/>
          <w:color w:val="auto"/>
          <w:sz w:val="28"/>
          <w:szCs w:val="28"/>
        </w:rPr>
        <w:t>、《消防安全标志》</w:t>
      </w:r>
      <w:r>
        <w:rPr>
          <w:rFonts w:hint="eastAsia" w:hAnsi="宋体"/>
          <w:color w:val="auto"/>
          <w:sz w:val="28"/>
          <w:szCs w:val="28"/>
        </w:rPr>
        <w:t xml:space="preserve">                             </w:t>
      </w:r>
      <w:r>
        <w:rPr>
          <w:color w:val="auto"/>
          <w:sz w:val="28"/>
          <w:szCs w:val="28"/>
        </w:rPr>
        <w:t>GB13495</w:t>
      </w:r>
      <w:r>
        <w:rPr>
          <w:rFonts w:hint="eastAsia"/>
          <w:color w:val="auto"/>
          <w:sz w:val="28"/>
          <w:szCs w:val="28"/>
          <w:lang w:val="en-US" w:eastAsia="zh-CN"/>
        </w:rPr>
        <w:t>.1</w:t>
      </w:r>
      <w:r>
        <w:rPr>
          <w:color w:val="auto"/>
          <w:sz w:val="28"/>
          <w:szCs w:val="28"/>
        </w:rPr>
        <w:t>-</w:t>
      </w:r>
      <w:r>
        <w:rPr>
          <w:rFonts w:hint="eastAsia"/>
          <w:color w:val="auto"/>
          <w:sz w:val="28"/>
          <w:szCs w:val="28"/>
          <w:lang w:val="en-US" w:eastAsia="zh-CN"/>
        </w:rPr>
        <w:t>2015</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color w:val="auto"/>
          <w:sz w:val="28"/>
          <w:szCs w:val="28"/>
        </w:rPr>
        <w:t>1</w:t>
      </w:r>
      <w:r>
        <w:rPr>
          <w:rFonts w:hint="eastAsia"/>
          <w:color w:val="auto"/>
          <w:sz w:val="28"/>
          <w:szCs w:val="28"/>
          <w:lang w:val="en-US" w:eastAsia="zh-CN"/>
        </w:rPr>
        <w:t>7</w:t>
      </w:r>
      <w:r>
        <w:rPr>
          <w:rFonts w:hAnsi="宋体"/>
          <w:color w:val="auto"/>
          <w:sz w:val="28"/>
          <w:szCs w:val="28"/>
        </w:rPr>
        <w:t>、《消防安全标志设置要求》</w:t>
      </w:r>
      <w:r>
        <w:rPr>
          <w:rFonts w:hint="eastAsia" w:hAnsi="宋体"/>
          <w:color w:val="auto"/>
          <w:sz w:val="28"/>
          <w:szCs w:val="28"/>
        </w:rPr>
        <w:t xml:space="preserve">                      </w:t>
      </w:r>
      <w:r>
        <w:rPr>
          <w:color w:val="auto"/>
          <w:sz w:val="28"/>
          <w:szCs w:val="28"/>
        </w:rPr>
        <w:t>GB15630-1995</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rFonts w:hint="eastAsia"/>
          <w:color w:val="auto"/>
          <w:sz w:val="28"/>
          <w:szCs w:val="28"/>
          <w:lang w:val="en-US" w:eastAsia="zh-CN"/>
        </w:rPr>
        <w:t>18</w:t>
      </w:r>
      <w:r>
        <w:rPr>
          <w:rFonts w:hint="eastAsia"/>
          <w:color w:val="auto"/>
          <w:sz w:val="28"/>
          <w:szCs w:val="28"/>
        </w:rPr>
        <w:t>、</w:t>
      </w:r>
      <w:r>
        <w:rPr>
          <w:rFonts w:hAnsi="宋体"/>
          <w:color w:val="auto"/>
          <w:sz w:val="28"/>
          <w:szCs w:val="28"/>
        </w:rPr>
        <w:t>《爆炸危险环境电力装置设计规范》</w:t>
      </w:r>
      <w:r>
        <w:rPr>
          <w:rFonts w:hint="eastAsia" w:hAnsi="宋体"/>
          <w:color w:val="auto"/>
          <w:sz w:val="28"/>
          <w:szCs w:val="28"/>
        </w:rPr>
        <w:t xml:space="preserve">              </w:t>
      </w:r>
      <w:r>
        <w:rPr>
          <w:color w:val="auto"/>
          <w:sz w:val="28"/>
          <w:szCs w:val="28"/>
        </w:rPr>
        <w:t>GB50058-</w:t>
      </w:r>
      <w:r>
        <w:rPr>
          <w:rFonts w:hint="eastAsia"/>
          <w:color w:val="auto"/>
          <w:sz w:val="28"/>
          <w:szCs w:val="28"/>
        </w:rPr>
        <w:t>2014</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color w:val="auto"/>
          <w:sz w:val="28"/>
          <w:szCs w:val="28"/>
          <w:lang w:val="en-US" w:eastAsia="zh-CN"/>
        </w:rPr>
        <w:t>19</w:t>
      </w:r>
      <w:r>
        <w:rPr>
          <w:rFonts w:hAnsi="宋体"/>
          <w:color w:val="auto"/>
          <w:sz w:val="28"/>
          <w:szCs w:val="28"/>
        </w:rPr>
        <w:t>、《</w:t>
      </w:r>
      <w:r>
        <w:rPr>
          <w:rFonts w:hint="eastAsia"/>
          <w:color w:val="auto"/>
          <w:sz w:val="28"/>
          <w:szCs w:val="28"/>
        </w:rPr>
        <w:t>2</w:t>
      </w:r>
      <w:r>
        <w:rPr>
          <w:color w:val="auto"/>
          <w:sz w:val="28"/>
          <w:szCs w:val="28"/>
        </w:rPr>
        <w:t>0kV</w:t>
      </w:r>
      <w:r>
        <w:rPr>
          <w:rFonts w:hAnsi="宋体"/>
          <w:color w:val="auto"/>
          <w:sz w:val="28"/>
          <w:szCs w:val="28"/>
        </w:rPr>
        <w:t>及以下变电所设计规范》</w:t>
      </w:r>
      <w:r>
        <w:rPr>
          <w:rFonts w:hint="eastAsia" w:hAnsi="宋体"/>
          <w:color w:val="auto"/>
          <w:sz w:val="28"/>
          <w:szCs w:val="28"/>
        </w:rPr>
        <w:t xml:space="preserve">                 </w:t>
      </w:r>
      <w:r>
        <w:rPr>
          <w:color w:val="auto"/>
          <w:sz w:val="28"/>
          <w:szCs w:val="28"/>
        </w:rPr>
        <w:t>GB50053-</w:t>
      </w:r>
      <w:r>
        <w:rPr>
          <w:rFonts w:hint="eastAsia"/>
          <w:color w:val="auto"/>
          <w:sz w:val="28"/>
          <w:szCs w:val="28"/>
        </w:rPr>
        <w:t>2013</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sz w:val="28"/>
          <w:szCs w:val="28"/>
        </w:rPr>
        <w:t>2</w:t>
      </w:r>
      <w:r>
        <w:rPr>
          <w:rFonts w:hint="eastAsia"/>
          <w:color w:val="auto"/>
          <w:sz w:val="28"/>
          <w:szCs w:val="28"/>
          <w:lang w:val="en-US" w:eastAsia="zh-CN"/>
        </w:rPr>
        <w:t>0</w:t>
      </w:r>
      <w:r>
        <w:rPr>
          <w:rFonts w:hAnsi="宋体"/>
          <w:color w:val="auto"/>
          <w:sz w:val="28"/>
          <w:szCs w:val="28"/>
        </w:rPr>
        <w:t>、《供配电系统设计规范》</w:t>
      </w:r>
      <w:r>
        <w:rPr>
          <w:rFonts w:hint="eastAsia" w:hAnsi="宋体"/>
          <w:color w:val="auto"/>
          <w:sz w:val="28"/>
          <w:szCs w:val="28"/>
        </w:rPr>
        <w:t xml:space="preserve">                        </w:t>
      </w:r>
      <w:r>
        <w:rPr>
          <w:color w:val="auto"/>
          <w:sz w:val="28"/>
          <w:szCs w:val="28"/>
        </w:rPr>
        <w:t>GB50052-</w:t>
      </w:r>
      <w:r>
        <w:rPr>
          <w:rFonts w:hint="eastAsia"/>
          <w:color w:val="auto"/>
          <w:sz w:val="28"/>
          <w:szCs w:val="28"/>
        </w:rPr>
        <w:t>2009</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sz w:val="28"/>
          <w:szCs w:val="28"/>
        </w:rPr>
        <w:t>2</w:t>
      </w:r>
      <w:r>
        <w:rPr>
          <w:rFonts w:hint="eastAsia"/>
          <w:color w:val="auto"/>
          <w:sz w:val="28"/>
          <w:szCs w:val="28"/>
          <w:lang w:val="en-US" w:eastAsia="zh-CN"/>
        </w:rPr>
        <w:t>1</w:t>
      </w:r>
      <w:r>
        <w:rPr>
          <w:rFonts w:hAnsi="宋体"/>
          <w:color w:val="auto"/>
          <w:sz w:val="28"/>
          <w:szCs w:val="28"/>
        </w:rPr>
        <w:t>、《低压配电设计规范》</w:t>
      </w:r>
      <w:r>
        <w:rPr>
          <w:rFonts w:hint="eastAsia" w:hAnsi="宋体"/>
          <w:color w:val="auto"/>
          <w:sz w:val="28"/>
          <w:szCs w:val="28"/>
        </w:rPr>
        <w:t xml:space="preserve">                          </w:t>
      </w:r>
      <w:r>
        <w:rPr>
          <w:color w:val="auto"/>
          <w:sz w:val="28"/>
          <w:szCs w:val="28"/>
        </w:rPr>
        <w:t>GB50054-</w:t>
      </w:r>
      <w:r>
        <w:rPr>
          <w:rFonts w:hint="eastAsia"/>
          <w:color w:val="auto"/>
          <w:sz w:val="28"/>
          <w:szCs w:val="28"/>
        </w:rPr>
        <w:t>2011</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kern w:val="0"/>
          <w:sz w:val="28"/>
          <w:szCs w:val="28"/>
        </w:rPr>
        <w:t>2</w:t>
      </w:r>
      <w:r>
        <w:rPr>
          <w:rFonts w:hint="eastAsia"/>
          <w:color w:val="auto"/>
          <w:kern w:val="0"/>
          <w:sz w:val="28"/>
          <w:szCs w:val="28"/>
          <w:lang w:val="en-US" w:eastAsia="zh-CN"/>
        </w:rPr>
        <w:t>2</w:t>
      </w:r>
      <w:r>
        <w:rPr>
          <w:rFonts w:hAnsi="宋体"/>
          <w:color w:val="auto"/>
          <w:kern w:val="0"/>
          <w:sz w:val="28"/>
          <w:szCs w:val="28"/>
        </w:rPr>
        <w:t>、《通用用电设备配电设计规范》</w:t>
      </w:r>
      <w:r>
        <w:rPr>
          <w:rFonts w:hint="eastAsia" w:hAnsi="宋体"/>
          <w:color w:val="auto"/>
          <w:kern w:val="0"/>
          <w:sz w:val="28"/>
          <w:szCs w:val="28"/>
        </w:rPr>
        <w:t xml:space="preserve">                   </w:t>
      </w:r>
      <w:r>
        <w:rPr>
          <w:color w:val="auto"/>
          <w:kern w:val="0"/>
          <w:sz w:val="28"/>
          <w:szCs w:val="28"/>
        </w:rPr>
        <w:t>GB50055-</w:t>
      </w:r>
      <w:r>
        <w:rPr>
          <w:rFonts w:hint="eastAsia"/>
          <w:color w:val="auto"/>
          <w:kern w:val="0"/>
          <w:sz w:val="28"/>
          <w:szCs w:val="28"/>
        </w:rPr>
        <w:t>2011</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color w:val="auto"/>
          <w:sz w:val="28"/>
          <w:szCs w:val="28"/>
        </w:rPr>
        <w:t>2</w:t>
      </w:r>
      <w:r>
        <w:rPr>
          <w:rFonts w:hint="eastAsia"/>
          <w:color w:val="auto"/>
          <w:sz w:val="28"/>
          <w:szCs w:val="28"/>
          <w:lang w:val="en-US" w:eastAsia="zh-CN"/>
        </w:rPr>
        <w:t>3</w:t>
      </w:r>
      <w:r>
        <w:rPr>
          <w:rFonts w:hAnsi="宋体"/>
          <w:color w:val="auto"/>
          <w:sz w:val="28"/>
          <w:szCs w:val="28"/>
        </w:rPr>
        <w:t>、</w:t>
      </w:r>
      <w:r>
        <w:rPr>
          <w:color w:val="auto"/>
          <w:sz w:val="28"/>
          <w:szCs w:val="28"/>
        </w:rPr>
        <w:t>《交流电气装置的接地设计规范》</w:t>
      </w:r>
      <w:r>
        <w:rPr>
          <w:rFonts w:hint="eastAsia"/>
          <w:color w:val="auto"/>
          <w:sz w:val="28"/>
          <w:szCs w:val="28"/>
        </w:rPr>
        <w:t xml:space="preserve">               </w:t>
      </w:r>
      <w:r>
        <w:rPr>
          <w:color w:val="auto"/>
          <w:sz w:val="28"/>
          <w:szCs w:val="28"/>
        </w:rPr>
        <w:t>GB/T50065-2011</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Ansi="宋体"/>
          <w:color w:val="auto"/>
          <w:sz w:val="28"/>
          <w:szCs w:val="28"/>
        </w:rPr>
      </w:pPr>
      <w:r>
        <w:rPr>
          <w:rFonts w:hint="eastAsia"/>
          <w:color w:val="auto"/>
          <w:sz w:val="28"/>
        </w:rPr>
        <w:t>2</w:t>
      </w:r>
      <w:r>
        <w:rPr>
          <w:rFonts w:hint="eastAsia"/>
          <w:color w:val="auto"/>
          <w:sz w:val="28"/>
          <w:lang w:val="en-US" w:eastAsia="zh-CN"/>
        </w:rPr>
        <w:t>4</w:t>
      </w:r>
      <w:r>
        <w:rPr>
          <w:rFonts w:hAnsi="宋体"/>
          <w:color w:val="auto"/>
          <w:sz w:val="28"/>
          <w:szCs w:val="28"/>
        </w:rPr>
        <w:t>、《防止静电事故通用导则》</w:t>
      </w:r>
      <w:r>
        <w:rPr>
          <w:rFonts w:hint="eastAsia" w:hAnsi="宋体"/>
          <w:color w:val="auto"/>
          <w:sz w:val="28"/>
          <w:szCs w:val="28"/>
        </w:rPr>
        <w:t xml:space="preserve">                      </w:t>
      </w:r>
      <w:r>
        <w:rPr>
          <w:rFonts w:hAnsi="宋体"/>
          <w:color w:val="auto"/>
          <w:sz w:val="28"/>
          <w:szCs w:val="28"/>
        </w:rPr>
        <w:t xml:space="preserve">GB 12158-2006 </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Ansi="宋体"/>
          <w:color w:val="auto"/>
          <w:sz w:val="28"/>
          <w:szCs w:val="28"/>
        </w:rPr>
      </w:pPr>
      <w:r>
        <w:rPr>
          <w:rFonts w:hint="eastAsia" w:hAnsi="宋体"/>
          <w:color w:val="auto"/>
          <w:sz w:val="28"/>
          <w:szCs w:val="28"/>
        </w:rPr>
        <w:t>2</w:t>
      </w:r>
      <w:r>
        <w:rPr>
          <w:rFonts w:hint="eastAsia" w:hAnsi="宋体"/>
          <w:color w:val="auto"/>
          <w:sz w:val="28"/>
          <w:szCs w:val="28"/>
          <w:lang w:val="en-US" w:eastAsia="zh-CN"/>
        </w:rPr>
        <w:t>5</w:t>
      </w:r>
      <w:r>
        <w:rPr>
          <w:rFonts w:hAnsi="宋体"/>
          <w:color w:val="auto"/>
          <w:sz w:val="28"/>
          <w:szCs w:val="28"/>
        </w:rPr>
        <w:t>、《系统接地的型式及安全技术要求》</w:t>
      </w:r>
      <w:r>
        <w:rPr>
          <w:rFonts w:hint="eastAsia" w:hAnsi="宋体"/>
          <w:color w:val="auto"/>
          <w:sz w:val="28"/>
          <w:szCs w:val="28"/>
        </w:rPr>
        <w:t xml:space="preserve">              </w:t>
      </w:r>
      <w:r>
        <w:rPr>
          <w:rFonts w:hAnsi="宋体"/>
          <w:color w:val="auto"/>
          <w:sz w:val="28"/>
          <w:szCs w:val="28"/>
        </w:rPr>
        <w:t>GB14050-</w:t>
      </w:r>
      <w:r>
        <w:rPr>
          <w:rFonts w:hint="eastAsia" w:hAnsi="宋体"/>
          <w:color w:val="auto"/>
          <w:sz w:val="28"/>
          <w:szCs w:val="28"/>
        </w:rPr>
        <w:t>2008</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hAnsi="宋体" w:eastAsia="宋体"/>
          <w:color w:val="auto"/>
          <w:sz w:val="28"/>
          <w:szCs w:val="28"/>
          <w:lang w:val="en-US" w:eastAsia="zh-CN"/>
        </w:rPr>
      </w:pPr>
      <w:r>
        <w:rPr>
          <w:rFonts w:hint="eastAsia" w:hAnsi="宋体"/>
          <w:color w:val="auto"/>
          <w:sz w:val="28"/>
          <w:szCs w:val="28"/>
        </w:rPr>
        <w:t>2</w:t>
      </w:r>
      <w:r>
        <w:rPr>
          <w:rFonts w:hint="eastAsia" w:hAnsi="宋体"/>
          <w:color w:val="auto"/>
          <w:sz w:val="28"/>
          <w:szCs w:val="28"/>
          <w:lang w:val="en-US" w:eastAsia="zh-CN"/>
        </w:rPr>
        <w:t>6</w:t>
      </w:r>
      <w:r>
        <w:rPr>
          <w:rFonts w:hint="eastAsia" w:hAnsi="宋体"/>
          <w:color w:val="auto"/>
          <w:sz w:val="28"/>
          <w:szCs w:val="28"/>
        </w:rPr>
        <w:t>、</w:t>
      </w:r>
      <w:r>
        <w:rPr>
          <w:rFonts w:hAnsi="宋体"/>
          <w:color w:val="auto"/>
          <w:sz w:val="28"/>
          <w:szCs w:val="28"/>
        </w:rPr>
        <w:t>《</w:t>
      </w:r>
      <w:r>
        <w:rPr>
          <w:rFonts w:hint="eastAsia" w:asciiTheme="minorEastAsia" w:hAnsiTheme="minorEastAsia" w:eastAsiaTheme="minorEastAsia" w:cstheme="minorEastAsia"/>
          <w:i w:val="0"/>
          <w:iCs w:val="0"/>
          <w:caps w:val="0"/>
          <w:color w:val="auto"/>
          <w:spacing w:val="0"/>
          <w:sz w:val="27"/>
          <w:szCs w:val="27"/>
          <w:shd w:val="clear" w:fill="FFFFFF"/>
        </w:rPr>
        <w:t>个体防护装备配备规范</w:t>
      </w:r>
      <w:r>
        <w:rPr>
          <w:rFonts w:hAnsi="宋体"/>
          <w:color w:val="auto"/>
          <w:sz w:val="28"/>
          <w:szCs w:val="28"/>
        </w:rPr>
        <w:t>》</w:t>
      </w:r>
      <w:r>
        <w:rPr>
          <w:rFonts w:hint="eastAsia" w:hAnsi="宋体"/>
          <w:color w:val="auto"/>
          <w:sz w:val="28"/>
          <w:szCs w:val="28"/>
        </w:rPr>
        <w:t xml:space="preserve">                    </w:t>
      </w:r>
      <w:r>
        <w:rPr>
          <w:rFonts w:hAnsi="宋体"/>
          <w:color w:val="auto"/>
          <w:sz w:val="28"/>
          <w:szCs w:val="28"/>
        </w:rPr>
        <w:t>GB</w:t>
      </w:r>
      <w:r>
        <w:rPr>
          <w:rFonts w:hint="eastAsia" w:hAnsi="宋体"/>
          <w:color w:val="auto"/>
          <w:sz w:val="28"/>
          <w:szCs w:val="28"/>
          <w:lang w:val="en-US" w:eastAsia="zh-CN"/>
        </w:rPr>
        <w:t>39800.1</w:t>
      </w:r>
      <w:r>
        <w:rPr>
          <w:rFonts w:hAnsi="宋体"/>
          <w:color w:val="auto"/>
          <w:sz w:val="28"/>
          <w:szCs w:val="28"/>
        </w:rPr>
        <w:t>-20</w:t>
      </w:r>
      <w:r>
        <w:rPr>
          <w:rFonts w:hint="eastAsia" w:hAnsi="宋体"/>
          <w:color w:val="auto"/>
          <w:sz w:val="28"/>
          <w:szCs w:val="28"/>
          <w:lang w:val="en-US" w:eastAsia="zh-CN"/>
        </w:rPr>
        <w:t>20</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hAnsi="宋体"/>
          <w:color w:val="auto"/>
          <w:sz w:val="28"/>
          <w:szCs w:val="28"/>
        </w:rPr>
      </w:pPr>
      <w:r>
        <w:rPr>
          <w:rFonts w:hint="eastAsia" w:hAnsi="宋体"/>
          <w:color w:val="auto"/>
          <w:sz w:val="28"/>
          <w:szCs w:val="28"/>
          <w:lang w:val="en-US" w:eastAsia="zh-CN"/>
        </w:rPr>
        <w:t>27</w:t>
      </w:r>
      <w:r>
        <w:rPr>
          <w:rFonts w:hint="eastAsia" w:hAnsi="宋体"/>
          <w:color w:val="auto"/>
          <w:sz w:val="28"/>
          <w:szCs w:val="28"/>
        </w:rPr>
        <w:t>、《化学品分类和标签规范　第18部分：急性毒性》 GB30000.18-2013</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hAnsi="宋体"/>
          <w:color w:val="auto"/>
          <w:sz w:val="28"/>
          <w:szCs w:val="28"/>
          <w:lang w:val="en-US" w:eastAsia="zh-CN"/>
        </w:rPr>
        <w:t>28</w:t>
      </w:r>
      <w:r>
        <w:rPr>
          <w:rFonts w:hint="eastAsia" w:hAnsi="宋体"/>
          <w:color w:val="auto"/>
          <w:sz w:val="28"/>
          <w:szCs w:val="28"/>
        </w:rPr>
        <w:t>、</w:t>
      </w:r>
      <w:r>
        <w:rPr>
          <w:rFonts w:hAnsi="宋体"/>
          <w:color w:val="auto"/>
          <w:sz w:val="28"/>
          <w:szCs w:val="28"/>
        </w:rPr>
        <w:t>《工业管路的基本识别色和识别符号和安全标识》</w:t>
      </w:r>
      <w:r>
        <w:rPr>
          <w:rFonts w:hint="eastAsia" w:hAnsi="宋体"/>
          <w:color w:val="auto"/>
          <w:sz w:val="28"/>
          <w:szCs w:val="28"/>
        </w:rPr>
        <w:t xml:space="preserve">   </w:t>
      </w:r>
      <w:r>
        <w:rPr>
          <w:color w:val="auto"/>
          <w:sz w:val="28"/>
          <w:szCs w:val="28"/>
        </w:rPr>
        <w:t>GB7321-2003</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color w:val="auto"/>
          <w:sz w:val="28"/>
          <w:szCs w:val="28"/>
          <w:lang w:val="en-US" w:eastAsia="zh-CN"/>
        </w:rPr>
        <w:t>29</w:t>
      </w:r>
      <w:r>
        <w:rPr>
          <w:rFonts w:hAnsi="宋体"/>
          <w:color w:val="auto"/>
          <w:sz w:val="28"/>
          <w:szCs w:val="28"/>
        </w:rPr>
        <w:t>、《工业企业厂内铁路、道路运输安全规程》</w:t>
      </w:r>
      <w:r>
        <w:rPr>
          <w:rFonts w:hint="eastAsia" w:hAnsi="宋体"/>
          <w:color w:val="auto"/>
          <w:sz w:val="28"/>
          <w:szCs w:val="28"/>
        </w:rPr>
        <w:t xml:space="preserve">         </w:t>
      </w:r>
      <w:r>
        <w:rPr>
          <w:color w:val="auto"/>
          <w:sz w:val="28"/>
          <w:szCs w:val="28"/>
        </w:rPr>
        <w:t>GB4387-</w:t>
      </w:r>
      <w:r>
        <w:rPr>
          <w:rFonts w:hint="eastAsia"/>
          <w:color w:val="auto"/>
          <w:sz w:val="28"/>
          <w:szCs w:val="28"/>
        </w:rPr>
        <w:t>2008</w:t>
      </w:r>
    </w:p>
    <w:p>
      <w:pPr>
        <w:keepNext w:val="0"/>
        <w:keepLines w:val="0"/>
        <w:pageBreakBefore w:val="0"/>
        <w:widowControl w:val="0"/>
        <w:kinsoku/>
        <w:wordWrap/>
        <w:overflowPunct/>
        <w:topLinePunct w:val="0"/>
        <w:bidi w:val="0"/>
        <w:snapToGrid/>
        <w:spacing w:line="600" w:lineRule="exact"/>
        <w:ind w:left="7560" w:leftChars="200" w:hanging="7000" w:hangingChars="2500"/>
        <w:textAlignment w:val="auto"/>
        <w:rPr>
          <w:rFonts w:hint="default" w:eastAsia="宋体"/>
          <w:color w:val="auto"/>
          <w:sz w:val="28"/>
          <w:szCs w:val="28"/>
          <w:lang w:val="en-US" w:eastAsia="zh-CN"/>
        </w:rPr>
      </w:pPr>
      <w:r>
        <w:rPr>
          <w:rFonts w:hint="eastAsia"/>
          <w:color w:val="auto"/>
          <w:sz w:val="28"/>
          <w:szCs w:val="28"/>
        </w:rPr>
        <w:t>3</w:t>
      </w:r>
      <w:r>
        <w:rPr>
          <w:rFonts w:hint="eastAsia"/>
          <w:color w:val="auto"/>
          <w:sz w:val="28"/>
          <w:szCs w:val="28"/>
          <w:lang w:val="en-US" w:eastAsia="zh-CN"/>
        </w:rPr>
        <w:t>0</w:t>
      </w:r>
      <w:r>
        <w:rPr>
          <w:rFonts w:hAnsi="宋体"/>
          <w:color w:val="auto"/>
          <w:sz w:val="28"/>
          <w:szCs w:val="28"/>
        </w:rPr>
        <w:t>、</w:t>
      </w:r>
      <w:r>
        <w:rPr>
          <w:color w:val="auto"/>
          <w:sz w:val="28"/>
          <w:szCs w:val="28"/>
        </w:rPr>
        <w:t>《机械</w:t>
      </w:r>
      <w:r>
        <w:rPr>
          <w:rFonts w:hint="eastAsia"/>
          <w:color w:val="auto"/>
          <w:sz w:val="28"/>
          <w:szCs w:val="28"/>
          <w:lang w:val="en-US" w:eastAsia="zh-CN"/>
        </w:rPr>
        <w:t>安全</w:t>
      </w:r>
      <w:r>
        <w:rPr>
          <w:color w:val="auto"/>
          <w:sz w:val="28"/>
          <w:szCs w:val="28"/>
        </w:rPr>
        <w:t>防护</w:t>
      </w:r>
      <w:r>
        <w:rPr>
          <w:rFonts w:hint="eastAsia"/>
          <w:color w:val="auto"/>
          <w:sz w:val="28"/>
          <w:szCs w:val="28"/>
        </w:rPr>
        <w:t>装置固定式和</w:t>
      </w:r>
      <w:r>
        <w:rPr>
          <w:rFonts w:hint="eastAsia"/>
          <w:color w:val="auto"/>
          <w:sz w:val="28"/>
          <w:szCs w:val="28"/>
          <w:lang w:val="en-US" w:eastAsia="zh-CN"/>
        </w:rPr>
        <w:t>活动</w:t>
      </w:r>
      <w:r>
        <w:rPr>
          <w:rFonts w:hint="eastAsia"/>
          <w:color w:val="auto"/>
          <w:sz w:val="28"/>
          <w:szCs w:val="28"/>
        </w:rPr>
        <w:t>式防护装置设计与制造一般要</w:t>
      </w:r>
      <w:r>
        <w:rPr>
          <w:rFonts w:hint="eastAsia"/>
          <w:color w:val="auto"/>
          <w:sz w:val="28"/>
          <w:szCs w:val="28"/>
          <w:lang w:val="en-US" w:eastAsia="zh-CN"/>
        </w:rPr>
        <w:t>求</w:t>
      </w:r>
      <w:r>
        <w:rPr>
          <w:color w:val="auto"/>
          <w:sz w:val="28"/>
          <w:szCs w:val="28"/>
        </w:rPr>
        <w:t>》</w:t>
      </w:r>
      <w:r>
        <w:rPr>
          <w:rFonts w:hint="eastAsia"/>
          <w:color w:val="auto"/>
          <w:sz w:val="28"/>
          <w:szCs w:val="28"/>
          <w:lang w:val="en-US" w:eastAsia="zh-CN"/>
        </w:rPr>
        <w:t xml:space="preserve">                                                 </w:t>
      </w:r>
      <w:r>
        <w:rPr>
          <w:color w:val="auto"/>
          <w:sz w:val="28"/>
          <w:szCs w:val="28"/>
        </w:rPr>
        <w:t>GB819</w:t>
      </w:r>
      <w:r>
        <w:rPr>
          <w:rFonts w:hint="eastAsia"/>
          <w:color w:val="auto"/>
          <w:sz w:val="28"/>
          <w:szCs w:val="28"/>
          <w:lang w:val="en-US" w:eastAsia="zh-CN"/>
        </w:rPr>
        <w:t>6</w:t>
      </w:r>
      <w:r>
        <w:rPr>
          <w:color w:val="auto"/>
          <w:sz w:val="28"/>
          <w:szCs w:val="28"/>
        </w:rPr>
        <w:t>-</w:t>
      </w:r>
      <w:r>
        <w:rPr>
          <w:rFonts w:hint="eastAsia"/>
          <w:color w:val="auto"/>
          <w:sz w:val="28"/>
          <w:szCs w:val="28"/>
        </w:rPr>
        <w:t>20</w:t>
      </w:r>
      <w:r>
        <w:rPr>
          <w:rFonts w:hint="eastAsia"/>
          <w:color w:val="auto"/>
          <w:sz w:val="28"/>
          <w:szCs w:val="28"/>
          <w:lang w:val="en-US" w:eastAsia="zh-CN"/>
        </w:rPr>
        <w:t>18</w:t>
      </w:r>
    </w:p>
    <w:p>
      <w:pPr>
        <w:keepNext w:val="0"/>
        <w:keepLines w:val="0"/>
        <w:pageBreakBefore w:val="0"/>
        <w:widowControl w:val="0"/>
        <w:kinsoku/>
        <w:wordWrap/>
        <w:overflowPunct/>
        <w:topLinePunct w:val="0"/>
        <w:bidi w:val="0"/>
        <w:snapToGrid/>
        <w:spacing w:line="600" w:lineRule="exact"/>
        <w:ind w:firstLine="560"/>
        <w:textAlignment w:val="auto"/>
        <w:rPr>
          <w:color w:val="auto"/>
          <w:sz w:val="28"/>
        </w:rPr>
      </w:pPr>
      <w:r>
        <w:rPr>
          <w:rFonts w:hint="eastAsia"/>
          <w:color w:val="auto"/>
          <w:sz w:val="28"/>
        </w:rPr>
        <w:t>3</w:t>
      </w:r>
      <w:r>
        <w:rPr>
          <w:rFonts w:hint="eastAsia"/>
          <w:color w:val="auto"/>
          <w:sz w:val="28"/>
          <w:lang w:val="en-US" w:eastAsia="zh-CN"/>
        </w:rPr>
        <w:t>1</w:t>
      </w:r>
      <w:r>
        <w:rPr>
          <w:rFonts w:hAnsi="宋体"/>
          <w:color w:val="auto"/>
          <w:sz w:val="28"/>
        </w:rPr>
        <w:t>、《缺氧危险作业安全规程》</w:t>
      </w:r>
      <w:r>
        <w:rPr>
          <w:rFonts w:hint="eastAsia" w:hAnsi="宋体"/>
          <w:color w:val="auto"/>
          <w:sz w:val="28"/>
        </w:rPr>
        <w:t xml:space="preserve">                       </w:t>
      </w:r>
      <w:r>
        <w:rPr>
          <w:color w:val="auto"/>
          <w:sz w:val="28"/>
        </w:rPr>
        <w:t>GB8958-2006</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eastAsia="宋体"/>
          <w:color w:val="auto"/>
          <w:sz w:val="28"/>
          <w:szCs w:val="28"/>
          <w:lang w:val="en-US" w:eastAsia="zh-CN"/>
        </w:rPr>
      </w:pPr>
      <w:r>
        <w:rPr>
          <w:rFonts w:hint="eastAsia"/>
          <w:color w:val="auto"/>
          <w:sz w:val="28"/>
          <w:szCs w:val="28"/>
        </w:rPr>
        <w:t>3</w:t>
      </w:r>
      <w:r>
        <w:rPr>
          <w:rFonts w:hint="eastAsia"/>
          <w:color w:val="auto"/>
          <w:sz w:val="28"/>
          <w:szCs w:val="28"/>
          <w:lang w:val="en-US" w:eastAsia="zh-CN"/>
        </w:rPr>
        <w:t>2</w:t>
      </w:r>
      <w:r>
        <w:rPr>
          <w:rFonts w:hAnsi="宋体"/>
          <w:color w:val="auto"/>
          <w:sz w:val="28"/>
          <w:szCs w:val="28"/>
        </w:rPr>
        <w:t>、《危险化学品</w:t>
      </w:r>
      <w:r>
        <w:rPr>
          <w:rFonts w:hint="eastAsia" w:hAnsi="宋体"/>
          <w:color w:val="auto"/>
          <w:sz w:val="28"/>
          <w:szCs w:val="28"/>
          <w:lang w:val="en-US" w:eastAsia="zh-CN"/>
        </w:rPr>
        <w:t>储</w:t>
      </w:r>
      <w:r>
        <w:rPr>
          <w:rFonts w:hAnsi="宋体"/>
          <w:color w:val="auto"/>
          <w:sz w:val="28"/>
          <w:szCs w:val="28"/>
        </w:rPr>
        <w:t>存通则》</w:t>
      </w:r>
      <w:r>
        <w:rPr>
          <w:rFonts w:hint="eastAsia" w:hAnsi="宋体"/>
          <w:color w:val="auto"/>
          <w:sz w:val="28"/>
          <w:szCs w:val="28"/>
        </w:rPr>
        <w:t xml:space="preserve">                   </w:t>
      </w:r>
      <w:r>
        <w:rPr>
          <w:rFonts w:hint="eastAsia" w:hAnsi="宋体"/>
          <w:color w:val="auto"/>
          <w:sz w:val="28"/>
          <w:szCs w:val="28"/>
          <w:lang w:val="en-US" w:eastAsia="zh-CN"/>
        </w:rPr>
        <w:t xml:space="preserve">   </w:t>
      </w:r>
      <w:r>
        <w:rPr>
          <w:rFonts w:hint="eastAsia" w:hAnsi="宋体"/>
          <w:color w:val="auto"/>
          <w:sz w:val="28"/>
          <w:szCs w:val="28"/>
        </w:rPr>
        <w:t xml:space="preserve"> </w:t>
      </w:r>
      <w:r>
        <w:rPr>
          <w:color w:val="auto"/>
          <w:sz w:val="28"/>
          <w:szCs w:val="28"/>
        </w:rPr>
        <w:t>GB15603-</w:t>
      </w:r>
      <w:r>
        <w:rPr>
          <w:rFonts w:hint="eastAsia"/>
          <w:color w:val="auto"/>
          <w:sz w:val="28"/>
          <w:szCs w:val="28"/>
          <w:lang w:val="en-US" w:eastAsia="zh-CN"/>
        </w:rPr>
        <w:t>2022</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rFonts w:hint="eastAsia"/>
          <w:color w:val="auto"/>
          <w:sz w:val="28"/>
          <w:szCs w:val="28"/>
        </w:rPr>
        <w:t>3</w:t>
      </w:r>
      <w:r>
        <w:rPr>
          <w:rFonts w:hint="eastAsia"/>
          <w:color w:val="auto"/>
          <w:sz w:val="28"/>
          <w:szCs w:val="28"/>
          <w:lang w:val="en-US" w:eastAsia="zh-CN"/>
        </w:rPr>
        <w:t>3</w:t>
      </w:r>
      <w:r>
        <w:rPr>
          <w:rFonts w:hint="eastAsia"/>
          <w:color w:val="auto"/>
          <w:sz w:val="28"/>
          <w:szCs w:val="28"/>
        </w:rPr>
        <w:t>、</w:t>
      </w:r>
      <w:r>
        <w:rPr>
          <w:rFonts w:hAnsi="宋体"/>
          <w:color w:val="auto"/>
          <w:sz w:val="28"/>
          <w:szCs w:val="28"/>
        </w:rPr>
        <w:t>《</w:t>
      </w:r>
      <w:r>
        <w:rPr>
          <w:rFonts w:hint="eastAsia" w:hAnsi="宋体"/>
          <w:color w:val="auto"/>
          <w:sz w:val="28"/>
          <w:szCs w:val="28"/>
        </w:rPr>
        <w:t>毒害</w:t>
      </w:r>
      <w:r>
        <w:rPr>
          <w:rFonts w:hAnsi="宋体"/>
          <w:color w:val="auto"/>
          <w:sz w:val="28"/>
          <w:szCs w:val="28"/>
        </w:rPr>
        <w:t>性商品储</w:t>
      </w:r>
      <w:r>
        <w:rPr>
          <w:rFonts w:hint="eastAsia" w:hAnsi="宋体"/>
          <w:color w:val="auto"/>
          <w:sz w:val="28"/>
          <w:szCs w:val="28"/>
        </w:rPr>
        <w:t>存</w:t>
      </w:r>
      <w:r>
        <w:rPr>
          <w:rFonts w:hAnsi="宋体"/>
          <w:color w:val="auto"/>
          <w:sz w:val="28"/>
          <w:szCs w:val="28"/>
        </w:rPr>
        <w:t>养护技术条件》</w:t>
      </w:r>
      <w:r>
        <w:rPr>
          <w:rFonts w:hint="eastAsia" w:hAnsi="宋体"/>
          <w:color w:val="auto"/>
          <w:sz w:val="28"/>
          <w:szCs w:val="28"/>
        </w:rPr>
        <w:t xml:space="preserve">                </w:t>
      </w:r>
      <w:r>
        <w:rPr>
          <w:color w:val="auto"/>
          <w:sz w:val="28"/>
          <w:szCs w:val="28"/>
        </w:rPr>
        <w:t>GB1791</w:t>
      </w:r>
      <w:r>
        <w:rPr>
          <w:rFonts w:hint="eastAsia"/>
          <w:color w:val="auto"/>
          <w:sz w:val="28"/>
          <w:szCs w:val="28"/>
        </w:rPr>
        <w:t>6</w:t>
      </w:r>
      <w:r>
        <w:rPr>
          <w:color w:val="auto"/>
          <w:sz w:val="28"/>
          <w:szCs w:val="28"/>
        </w:rPr>
        <w:t>-</w:t>
      </w:r>
      <w:r>
        <w:rPr>
          <w:rFonts w:hint="eastAsia"/>
          <w:color w:val="auto"/>
          <w:sz w:val="28"/>
          <w:szCs w:val="28"/>
        </w:rPr>
        <w:t>2013</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rFonts w:hint="eastAsia"/>
          <w:color w:val="auto"/>
          <w:sz w:val="28"/>
          <w:szCs w:val="28"/>
        </w:rPr>
        <w:t>3</w:t>
      </w:r>
      <w:r>
        <w:rPr>
          <w:rFonts w:hint="eastAsia"/>
          <w:color w:val="auto"/>
          <w:sz w:val="28"/>
          <w:szCs w:val="28"/>
          <w:lang w:val="en-US" w:eastAsia="zh-CN"/>
        </w:rPr>
        <w:t>4</w:t>
      </w:r>
      <w:r>
        <w:rPr>
          <w:rFonts w:hint="eastAsia"/>
          <w:color w:val="auto"/>
          <w:sz w:val="28"/>
          <w:szCs w:val="28"/>
        </w:rPr>
        <w:t>、</w:t>
      </w:r>
      <w:r>
        <w:rPr>
          <w:rFonts w:hAnsi="宋体"/>
          <w:color w:val="auto"/>
          <w:sz w:val="28"/>
          <w:szCs w:val="28"/>
        </w:rPr>
        <w:t>《易燃易爆性商品储</w:t>
      </w:r>
      <w:r>
        <w:rPr>
          <w:rFonts w:hint="eastAsia" w:hAnsi="宋体"/>
          <w:color w:val="auto"/>
          <w:sz w:val="28"/>
          <w:szCs w:val="28"/>
        </w:rPr>
        <w:t>存</w:t>
      </w:r>
      <w:r>
        <w:rPr>
          <w:rFonts w:hAnsi="宋体"/>
          <w:color w:val="auto"/>
          <w:sz w:val="28"/>
          <w:szCs w:val="28"/>
        </w:rPr>
        <w:t>养护技术条件》</w:t>
      </w:r>
      <w:r>
        <w:rPr>
          <w:rFonts w:hint="eastAsia" w:hAnsi="宋体"/>
          <w:color w:val="auto"/>
          <w:sz w:val="28"/>
          <w:szCs w:val="28"/>
        </w:rPr>
        <w:t xml:space="preserve">            </w:t>
      </w:r>
      <w:r>
        <w:rPr>
          <w:color w:val="auto"/>
          <w:sz w:val="28"/>
          <w:szCs w:val="28"/>
        </w:rPr>
        <w:t>GB17914-</w:t>
      </w:r>
      <w:r>
        <w:rPr>
          <w:rFonts w:hint="eastAsia"/>
          <w:color w:val="auto"/>
          <w:sz w:val="28"/>
          <w:szCs w:val="28"/>
        </w:rPr>
        <w:t>2013</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3</w:t>
      </w:r>
      <w:r>
        <w:rPr>
          <w:rFonts w:hint="eastAsia"/>
          <w:color w:val="auto"/>
          <w:sz w:val="28"/>
          <w:szCs w:val="28"/>
          <w:lang w:val="en-US" w:eastAsia="zh-CN"/>
        </w:rPr>
        <w:t>5</w:t>
      </w:r>
      <w:r>
        <w:rPr>
          <w:rFonts w:hint="eastAsia"/>
          <w:color w:val="auto"/>
          <w:sz w:val="28"/>
          <w:szCs w:val="28"/>
        </w:rPr>
        <w:t>、</w:t>
      </w:r>
      <w:r>
        <w:rPr>
          <w:color w:val="auto"/>
          <w:sz w:val="28"/>
          <w:szCs w:val="28"/>
        </w:rPr>
        <w:t>《固定式钢梯</w:t>
      </w:r>
      <w:r>
        <w:rPr>
          <w:rFonts w:hint="eastAsia"/>
          <w:color w:val="auto"/>
          <w:sz w:val="28"/>
          <w:szCs w:val="28"/>
        </w:rPr>
        <w:t>及平台</w:t>
      </w:r>
      <w:r>
        <w:rPr>
          <w:color w:val="auto"/>
          <w:sz w:val="28"/>
          <w:szCs w:val="28"/>
        </w:rPr>
        <w:t>安全</w:t>
      </w:r>
      <w:r>
        <w:rPr>
          <w:rFonts w:hint="eastAsia"/>
          <w:color w:val="auto"/>
          <w:sz w:val="28"/>
          <w:szCs w:val="28"/>
        </w:rPr>
        <w:t>要求第1部分：钢直梯</w:t>
      </w:r>
      <w:r>
        <w:rPr>
          <w:color w:val="auto"/>
          <w:sz w:val="28"/>
          <w:szCs w:val="28"/>
        </w:rPr>
        <w:t>》</w:t>
      </w:r>
      <w:r>
        <w:rPr>
          <w:rFonts w:hint="eastAsia"/>
          <w:color w:val="auto"/>
          <w:sz w:val="28"/>
          <w:szCs w:val="28"/>
        </w:rPr>
        <w:t xml:space="preserve"> </w:t>
      </w:r>
      <w:r>
        <w:rPr>
          <w:color w:val="auto"/>
          <w:sz w:val="28"/>
          <w:szCs w:val="28"/>
        </w:rPr>
        <w:t>GB4053.</w:t>
      </w:r>
      <w:r>
        <w:rPr>
          <w:rFonts w:hint="eastAsia"/>
          <w:color w:val="auto"/>
          <w:sz w:val="28"/>
          <w:szCs w:val="28"/>
        </w:rPr>
        <w:t>1</w:t>
      </w:r>
      <w:r>
        <w:rPr>
          <w:color w:val="auto"/>
          <w:sz w:val="28"/>
          <w:szCs w:val="28"/>
        </w:rPr>
        <w:t>-</w:t>
      </w:r>
      <w:r>
        <w:rPr>
          <w:rFonts w:hint="eastAsia"/>
          <w:color w:val="auto"/>
          <w:sz w:val="28"/>
          <w:szCs w:val="28"/>
        </w:rPr>
        <w:t>2009</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3</w:t>
      </w:r>
      <w:r>
        <w:rPr>
          <w:rFonts w:hint="eastAsia"/>
          <w:color w:val="auto"/>
          <w:sz w:val="28"/>
          <w:szCs w:val="28"/>
          <w:lang w:val="en-US" w:eastAsia="zh-CN"/>
        </w:rPr>
        <w:t>6</w:t>
      </w:r>
      <w:r>
        <w:rPr>
          <w:rFonts w:hint="eastAsia"/>
          <w:color w:val="auto"/>
          <w:sz w:val="28"/>
          <w:szCs w:val="28"/>
        </w:rPr>
        <w:t>、</w:t>
      </w:r>
      <w:r>
        <w:rPr>
          <w:color w:val="auto"/>
          <w:sz w:val="28"/>
          <w:szCs w:val="28"/>
        </w:rPr>
        <w:t>《固定式钢梯</w:t>
      </w:r>
      <w:r>
        <w:rPr>
          <w:rFonts w:hint="eastAsia"/>
          <w:color w:val="auto"/>
          <w:sz w:val="28"/>
          <w:szCs w:val="28"/>
        </w:rPr>
        <w:t>及平台</w:t>
      </w:r>
      <w:r>
        <w:rPr>
          <w:color w:val="auto"/>
          <w:sz w:val="28"/>
          <w:szCs w:val="28"/>
        </w:rPr>
        <w:t>安全</w:t>
      </w:r>
      <w:r>
        <w:rPr>
          <w:rFonts w:hint="eastAsia"/>
          <w:color w:val="auto"/>
          <w:sz w:val="28"/>
          <w:szCs w:val="28"/>
        </w:rPr>
        <w:t>要求第2部分：钢斜梯</w:t>
      </w:r>
      <w:r>
        <w:rPr>
          <w:color w:val="auto"/>
          <w:sz w:val="28"/>
          <w:szCs w:val="28"/>
        </w:rPr>
        <w:t>》</w:t>
      </w:r>
      <w:r>
        <w:rPr>
          <w:rFonts w:hint="eastAsia"/>
          <w:color w:val="auto"/>
          <w:sz w:val="28"/>
          <w:szCs w:val="28"/>
        </w:rPr>
        <w:t xml:space="preserve"> </w:t>
      </w:r>
      <w:r>
        <w:rPr>
          <w:color w:val="auto"/>
          <w:sz w:val="28"/>
          <w:szCs w:val="28"/>
        </w:rPr>
        <w:t>GB4053.2-</w:t>
      </w:r>
      <w:r>
        <w:rPr>
          <w:rFonts w:hint="eastAsia"/>
          <w:color w:val="auto"/>
          <w:sz w:val="28"/>
          <w:szCs w:val="28"/>
        </w:rPr>
        <w:t>2009</w:t>
      </w:r>
    </w:p>
    <w:p>
      <w:pPr>
        <w:keepNext w:val="0"/>
        <w:keepLines w:val="0"/>
        <w:pageBreakBefore w:val="0"/>
        <w:widowControl w:val="0"/>
        <w:kinsoku/>
        <w:wordWrap/>
        <w:overflowPunct/>
        <w:topLinePunct w:val="0"/>
        <w:bidi w:val="0"/>
        <w:snapToGrid/>
        <w:spacing w:line="600" w:lineRule="exact"/>
        <w:ind w:left="7000" w:leftChars="200" w:hanging="6440" w:hangingChars="2300"/>
        <w:textAlignment w:val="auto"/>
        <w:rPr>
          <w:rFonts w:hint="eastAsia"/>
          <w:color w:val="auto"/>
          <w:sz w:val="28"/>
          <w:szCs w:val="28"/>
        </w:rPr>
      </w:pPr>
      <w:r>
        <w:rPr>
          <w:rFonts w:hint="eastAsia"/>
          <w:color w:val="auto"/>
          <w:sz w:val="28"/>
          <w:szCs w:val="28"/>
          <w:lang w:val="en-US" w:eastAsia="zh-CN"/>
        </w:rPr>
        <w:t>37</w:t>
      </w:r>
      <w:r>
        <w:rPr>
          <w:rFonts w:hint="eastAsia"/>
          <w:color w:val="auto"/>
          <w:sz w:val="28"/>
          <w:szCs w:val="28"/>
        </w:rPr>
        <w:t>、</w:t>
      </w:r>
      <w:r>
        <w:rPr>
          <w:color w:val="auto"/>
          <w:sz w:val="28"/>
          <w:szCs w:val="28"/>
        </w:rPr>
        <w:t>《固定式钢梯</w:t>
      </w:r>
      <w:r>
        <w:rPr>
          <w:rFonts w:hint="eastAsia"/>
          <w:color w:val="auto"/>
          <w:sz w:val="28"/>
          <w:szCs w:val="28"/>
        </w:rPr>
        <w:t>及平台</w:t>
      </w:r>
      <w:r>
        <w:rPr>
          <w:color w:val="auto"/>
          <w:sz w:val="28"/>
          <w:szCs w:val="28"/>
        </w:rPr>
        <w:t>安全</w:t>
      </w:r>
      <w:r>
        <w:rPr>
          <w:rFonts w:hint="eastAsia"/>
          <w:color w:val="auto"/>
          <w:sz w:val="28"/>
          <w:szCs w:val="28"/>
        </w:rPr>
        <w:t>要求第3部分：</w:t>
      </w:r>
      <w:r>
        <w:rPr>
          <w:color w:val="auto"/>
          <w:sz w:val="28"/>
          <w:szCs w:val="28"/>
        </w:rPr>
        <w:t>工业防护栏杆</w:t>
      </w:r>
      <w:r>
        <w:rPr>
          <w:rFonts w:hint="eastAsia"/>
          <w:color w:val="auto"/>
          <w:sz w:val="28"/>
          <w:szCs w:val="28"/>
        </w:rPr>
        <w:t>及钢平台</w:t>
      </w:r>
      <w:r>
        <w:rPr>
          <w:color w:val="auto"/>
          <w:sz w:val="28"/>
          <w:szCs w:val="28"/>
        </w:rPr>
        <w:t>》</w:t>
      </w:r>
      <w:r>
        <w:rPr>
          <w:rFonts w:hint="eastAsia"/>
          <w:color w:val="auto"/>
          <w:sz w:val="28"/>
          <w:szCs w:val="28"/>
          <w:lang w:val="en-US" w:eastAsia="zh-CN"/>
        </w:rPr>
        <w:t xml:space="preserve">   </w:t>
      </w:r>
      <w:r>
        <w:rPr>
          <w:color w:val="auto"/>
          <w:sz w:val="28"/>
          <w:szCs w:val="28"/>
        </w:rPr>
        <w:t>GB4053.3-</w:t>
      </w:r>
      <w:r>
        <w:rPr>
          <w:rFonts w:hint="eastAsia"/>
          <w:color w:val="auto"/>
          <w:sz w:val="28"/>
          <w:szCs w:val="28"/>
        </w:rPr>
        <w:t>2009</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lang w:val="en-US" w:eastAsia="zh-CN"/>
        </w:rPr>
        <w:t>38</w:t>
      </w:r>
      <w:r>
        <w:rPr>
          <w:rFonts w:hint="eastAsia"/>
          <w:color w:val="auto"/>
          <w:sz w:val="28"/>
          <w:szCs w:val="28"/>
        </w:rPr>
        <w:t>、《危险场所电气防爆安全规范》                   AQ3009-2007</w:t>
      </w:r>
    </w:p>
    <w:p>
      <w:pPr>
        <w:keepNext w:val="0"/>
        <w:keepLines w:val="0"/>
        <w:pageBreakBefore w:val="0"/>
        <w:widowControl w:val="0"/>
        <w:kinsoku/>
        <w:wordWrap/>
        <w:overflowPunct/>
        <w:topLinePunct w:val="0"/>
        <w:bidi w:val="0"/>
        <w:snapToGrid/>
        <w:spacing w:line="600" w:lineRule="exact"/>
        <w:ind w:firstLine="560"/>
        <w:jc w:val="left"/>
        <w:textAlignment w:val="auto"/>
        <w:rPr>
          <w:rFonts w:hint="eastAsia"/>
          <w:color w:val="auto"/>
          <w:sz w:val="28"/>
          <w:szCs w:val="28"/>
        </w:rPr>
      </w:pPr>
      <w:r>
        <w:rPr>
          <w:rFonts w:hint="eastAsia"/>
          <w:color w:val="auto"/>
          <w:sz w:val="28"/>
          <w:szCs w:val="28"/>
          <w:lang w:val="en-US" w:eastAsia="zh-CN"/>
        </w:rPr>
        <w:t>39</w:t>
      </w:r>
      <w:r>
        <w:rPr>
          <w:rFonts w:hint="eastAsia"/>
          <w:color w:val="auto"/>
          <w:sz w:val="28"/>
          <w:szCs w:val="28"/>
        </w:rPr>
        <w:t xml:space="preserve">、《爆炸性环境 第1部分 </w:t>
      </w:r>
      <w:r>
        <w:rPr>
          <w:rFonts w:hint="eastAsia"/>
          <w:color w:val="auto"/>
          <w:sz w:val="28"/>
          <w:szCs w:val="28"/>
          <w:lang w:val="en-US" w:eastAsia="zh-CN"/>
        </w:rPr>
        <w:t>设备</w:t>
      </w:r>
      <w:r>
        <w:rPr>
          <w:rFonts w:hint="eastAsia"/>
          <w:color w:val="auto"/>
          <w:sz w:val="28"/>
          <w:szCs w:val="28"/>
        </w:rPr>
        <w:t xml:space="preserve">通用要求》 </w:t>
      </w:r>
      <w:r>
        <w:rPr>
          <w:rFonts w:hint="eastAsia"/>
          <w:color w:val="auto"/>
          <w:sz w:val="28"/>
          <w:szCs w:val="28"/>
          <w:lang w:val="en-US" w:eastAsia="zh-CN"/>
        </w:rPr>
        <w:t xml:space="preserve"> </w:t>
      </w: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xml:space="preserve"> GB3836.1-20</w:t>
      </w:r>
      <w:r>
        <w:rPr>
          <w:rFonts w:hint="eastAsia"/>
          <w:color w:val="auto"/>
          <w:sz w:val="28"/>
          <w:szCs w:val="28"/>
          <w:lang w:val="en-US" w:eastAsia="zh-CN"/>
        </w:rPr>
        <w:t>21</w:t>
      </w:r>
      <w:r>
        <w:rPr>
          <w:rFonts w:hint="eastAsia"/>
          <w:color w:val="auto"/>
          <w:sz w:val="28"/>
          <w:szCs w:val="28"/>
        </w:rPr>
        <w:t xml:space="preserve">         </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0</w:t>
      </w:r>
      <w:r>
        <w:rPr>
          <w:rFonts w:hint="eastAsia"/>
          <w:color w:val="auto"/>
          <w:sz w:val="28"/>
          <w:szCs w:val="28"/>
        </w:rPr>
        <w:t>、《石油化工静电接地设计规范》                  SH/T3097-2017</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1</w:t>
      </w:r>
      <w:r>
        <w:rPr>
          <w:rFonts w:hint="eastAsia"/>
          <w:color w:val="auto"/>
          <w:sz w:val="28"/>
          <w:szCs w:val="28"/>
        </w:rPr>
        <w:t>、《自动化仪表选型设计规范》                   HG/T20507-2014</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2</w:t>
      </w:r>
      <w:r>
        <w:rPr>
          <w:rFonts w:hint="eastAsia"/>
          <w:color w:val="auto"/>
          <w:sz w:val="28"/>
          <w:szCs w:val="28"/>
        </w:rPr>
        <w:t>、《控制室设计规范》                          HG/T205087-2014</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3</w:t>
      </w:r>
      <w:r>
        <w:rPr>
          <w:rFonts w:hint="eastAsia"/>
          <w:color w:val="auto"/>
          <w:sz w:val="28"/>
          <w:szCs w:val="28"/>
        </w:rPr>
        <w:t>、《仪表供电设计规范》                         HG/T20509-2014</w:t>
      </w:r>
    </w:p>
    <w:p>
      <w:pPr>
        <w:keepNext w:val="0"/>
        <w:keepLines w:val="0"/>
        <w:pageBreakBefore w:val="0"/>
        <w:widowControl w:val="0"/>
        <w:kinsoku/>
        <w:wordWrap/>
        <w:overflowPunct/>
        <w:topLinePunct w:val="0"/>
        <w:bidi w:val="0"/>
        <w:snapToGrid/>
        <w:spacing w:line="600" w:lineRule="exact"/>
        <w:ind w:firstLine="560"/>
        <w:textAlignment w:val="auto"/>
        <w:rPr>
          <w:rFonts w:hint="default" w:eastAsia="宋体"/>
          <w:color w:val="auto"/>
          <w:sz w:val="28"/>
          <w:szCs w:val="28"/>
          <w:lang w:val="en-US" w:eastAsia="zh-CN"/>
        </w:rPr>
      </w:pPr>
      <w:r>
        <w:rPr>
          <w:rFonts w:hint="eastAsia"/>
          <w:color w:val="auto"/>
          <w:sz w:val="28"/>
          <w:szCs w:val="28"/>
        </w:rPr>
        <w:t>4</w:t>
      </w:r>
      <w:r>
        <w:rPr>
          <w:rFonts w:hint="eastAsia"/>
          <w:color w:val="auto"/>
          <w:sz w:val="28"/>
          <w:szCs w:val="28"/>
          <w:lang w:val="en-US" w:eastAsia="zh-CN"/>
        </w:rPr>
        <w:t>4</w:t>
      </w:r>
      <w:r>
        <w:rPr>
          <w:rFonts w:hint="eastAsia"/>
          <w:color w:val="auto"/>
          <w:sz w:val="28"/>
          <w:szCs w:val="28"/>
        </w:rPr>
        <w:t xml:space="preserve">、《图形符号 安全色和安全标志 第5部分：安全标志使用原则与要求》                                    </w:t>
      </w:r>
      <w:r>
        <w:rPr>
          <w:rFonts w:hint="eastAsia"/>
          <w:color w:val="auto"/>
          <w:sz w:val="28"/>
          <w:szCs w:val="28"/>
          <w:lang w:val="en-US" w:eastAsia="zh-CN"/>
        </w:rPr>
        <w:t xml:space="preserve">           </w:t>
      </w:r>
      <w:r>
        <w:rPr>
          <w:color w:val="auto"/>
          <w:sz w:val="28"/>
          <w:szCs w:val="28"/>
        </w:rPr>
        <w:t>GB</w:t>
      </w:r>
      <w:r>
        <w:rPr>
          <w:rFonts w:hint="eastAsia"/>
          <w:color w:val="auto"/>
          <w:sz w:val="28"/>
          <w:szCs w:val="28"/>
          <w:lang w:val="en-US" w:eastAsia="zh-CN"/>
        </w:rPr>
        <w:t>/T</w:t>
      </w:r>
      <w:r>
        <w:rPr>
          <w:color w:val="auto"/>
          <w:sz w:val="28"/>
          <w:szCs w:val="28"/>
        </w:rPr>
        <w:t>2893</w:t>
      </w:r>
      <w:r>
        <w:rPr>
          <w:rFonts w:hint="eastAsia"/>
          <w:color w:val="auto"/>
          <w:sz w:val="28"/>
          <w:szCs w:val="28"/>
          <w:lang w:val="en-US" w:eastAsia="zh-CN"/>
        </w:rPr>
        <w:t>.5</w:t>
      </w:r>
      <w:r>
        <w:rPr>
          <w:color w:val="auto"/>
          <w:sz w:val="28"/>
          <w:szCs w:val="28"/>
        </w:rPr>
        <w:t>-</w:t>
      </w:r>
      <w:r>
        <w:rPr>
          <w:rFonts w:hint="eastAsia"/>
          <w:color w:val="auto"/>
          <w:sz w:val="28"/>
          <w:szCs w:val="28"/>
        </w:rPr>
        <w:t>20</w:t>
      </w:r>
      <w:r>
        <w:rPr>
          <w:rFonts w:hint="eastAsia"/>
          <w:color w:val="auto"/>
          <w:sz w:val="28"/>
          <w:szCs w:val="28"/>
          <w:lang w:val="en-US" w:eastAsia="zh-CN"/>
        </w:rPr>
        <w:t>20</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5</w:t>
      </w:r>
      <w:r>
        <w:rPr>
          <w:rFonts w:hint="eastAsia"/>
          <w:color w:val="auto"/>
          <w:sz w:val="28"/>
          <w:szCs w:val="28"/>
        </w:rPr>
        <w:t>、</w:t>
      </w:r>
      <w:r>
        <w:rPr>
          <w:color w:val="auto"/>
          <w:sz w:val="28"/>
          <w:szCs w:val="28"/>
        </w:rPr>
        <w:t>《安全标志</w:t>
      </w:r>
      <w:r>
        <w:rPr>
          <w:rFonts w:hint="eastAsia"/>
          <w:color w:val="auto"/>
          <w:sz w:val="28"/>
          <w:szCs w:val="28"/>
        </w:rPr>
        <w:t>及其使用导则</w:t>
      </w:r>
      <w:r>
        <w:rPr>
          <w:color w:val="auto"/>
          <w:sz w:val="28"/>
          <w:szCs w:val="28"/>
        </w:rPr>
        <w:t>》</w:t>
      </w:r>
      <w:r>
        <w:rPr>
          <w:rFonts w:hint="eastAsia"/>
          <w:color w:val="auto"/>
          <w:sz w:val="28"/>
          <w:szCs w:val="28"/>
        </w:rPr>
        <w:t xml:space="preserve">                       </w:t>
      </w:r>
      <w:r>
        <w:rPr>
          <w:color w:val="auto"/>
          <w:sz w:val="28"/>
          <w:szCs w:val="28"/>
        </w:rPr>
        <w:t>GB2894-</w:t>
      </w:r>
      <w:r>
        <w:rPr>
          <w:rFonts w:hint="eastAsia"/>
          <w:color w:val="auto"/>
          <w:sz w:val="28"/>
          <w:szCs w:val="28"/>
        </w:rPr>
        <w:t>2008</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4</w:t>
      </w:r>
      <w:r>
        <w:rPr>
          <w:rFonts w:hint="eastAsia"/>
          <w:color w:val="auto"/>
          <w:sz w:val="28"/>
          <w:szCs w:val="28"/>
          <w:lang w:val="en-US" w:eastAsia="zh-CN"/>
        </w:rPr>
        <w:t>6</w:t>
      </w:r>
      <w:r>
        <w:rPr>
          <w:color w:val="auto"/>
          <w:sz w:val="28"/>
          <w:szCs w:val="28"/>
        </w:rPr>
        <w:t>、《石油化工可燃气体和有毒气体检测报警设计</w:t>
      </w:r>
      <w:r>
        <w:rPr>
          <w:rFonts w:hint="eastAsia"/>
          <w:color w:val="auto"/>
          <w:sz w:val="28"/>
          <w:szCs w:val="28"/>
          <w:lang w:val="en-US" w:eastAsia="zh-CN"/>
        </w:rPr>
        <w:t>标准</w:t>
      </w:r>
      <w:r>
        <w:rPr>
          <w:color w:val="auto"/>
          <w:sz w:val="28"/>
          <w:szCs w:val="28"/>
        </w:rPr>
        <w:t>》</w:t>
      </w:r>
      <w:r>
        <w:rPr>
          <w:rFonts w:hint="eastAsia"/>
          <w:color w:val="auto"/>
          <w:sz w:val="28"/>
          <w:szCs w:val="28"/>
        </w:rPr>
        <w:t>GB</w:t>
      </w:r>
      <w:r>
        <w:rPr>
          <w:rFonts w:hint="eastAsia"/>
          <w:color w:val="auto"/>
          <w:sz w:val="28"/>
          <w:szCs w:val="28"/>
          <w:lang w:val="en-US" w:eastAsia="zh-CN"/>
        </w:rPr>
        <w:t>/T</w:t>
      </w:r>
      <w:r>
        <w:rPr>
          <w:rFonts w:hint="eastAsia"/>
          <w:color w:val="auto"/>
          <w:sz w:val="28"/>
          <w:szCs w:val="28"/>
        </w:rPr>
        <w:t>50493</w:t>
      </w:r>
      <w:r>
        <w:rPr>
          <w:color w:val="auto"/>
          <w:sz w:val="28"/>
          <w:szCs w:val="28"/>
        </w:rPr>
        <w:t>-</w:t>
      </w:r>
      <w:r>
        <w:rPr>
          <w:rFonts w:hint="eastAsia"/>
          <w:color w:val="auto"/>
          <w:sz w:val="28"/>
          <w:szCs w:val="28"/>
        </w:rPr>
        <w:t>20</w:t>
      </w:r>
      <w:r>
        <w:rPr>
          <w:rFonts w:hint="eastAsia"/>
          <w:color w:val="auto"/>
          <w:sz w:val="28"/>
          <w:szCs w:val="28"/>
          <w:lang w:val="en-US" w:eastAsia="zh-CN"/>
        </w:rPr>
        <w:t>1</w:t>
      </w:r>
      <w:r>
        <w:rPr>
          <w:rFonts w:hint="eastAsia"/>
          <w:color w:val="auto"/>
          <w:sz w:val="28"/>
          <w:szCs w:val="28"/>
        </w:rPr>
        <w:t>9</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lang w:val="en-US" w:eastAsia="zh-CN"/>
        </w:rPr>
        <w:t>47</w:t>
      </w:r>
      <w:r>
        <w:rPr>
          <w:rFonts w:hint="eastAsia"/>
          <w:color w:val="auto"/>
          <w:sz w:val="28"/>
          <w:szCs w:val="28"/>
        </w:rPr>
        <w:t>、《视频显示系统工程技术规范》                   GB50464-2008</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lang w:val="en-US" w:eastAsia="zh-CN"/>
        </w:rPr>
        <w:t>48</w:t>
      </w:r>
      <w:r>
        <w:rPr>
          <w:color w:val="auto"/>
          <w:sz w:val="28"/>
          <w:szCs w:val="28"/>
        </w:rPr>
        <w:t>、《化工企业安全卫生设计</w:t>
      </w:r>
      <w:r>
        <w:rPr>
          <w:rFonts w:hint="eastAsia"/>
          <w:color w:val="auto"/>
          <w:sz w:val="28"/>
          <w:szCs w:val="28"/>
          <w:lang w:val="en-US" w:eastAsia="zh-CN"/>
        </w:rPr>
        <w:t>规范</w:t>
      </w:r>
      <w:r>
        <w:rPr>
          <w:color w:val="auto"/>
          <w:sz w:val="28"/>
          <w:szCs w:val="28"/>
        </w:rPr>
        <w:t>》</w:t>
      </w:r>
      <w:r>
        <w:rPr>
          <w:rFonts w:hint="eastAsia"/>
          <w:color w:val="auto"/>
          <w:sz w:val="28"/>
          <w:szCs w:val="28"/>
        </w:rPr>
        <w:t xml:space="preserve">                  </w:t>
      </w:r>
      <w:r>
        <w:rPr>
          <w:color w:val="auto"/>
          <w:sz w:val="28"/>
          <w:szCs w:val="28"/>
        </w:rPr>
        <w:t>HG20571-</w:t>
      </w:r>
      <w:r>
        <w:rPr>
          <w:rFonts w:hint="eastAsia"/>
          <w:color w:val="auto"/>
          <w:sz w:val="28"/>
          <w:szCs w:val="28"/>
        </w:rPr>
        <w:t>2014</w:t>
      </w:r>
    </w:p>
    <w:p>
      <w:pPr>
        <w:keepNext w:val="0"/>
        <w:keepLines w:val="0"/>
        <w:pageBreakBefore w:val="0"/>
        <w:widowControl w:val="0"/>
        <w:tabs>
          <w:tab w:val="left" w:pos="5241"/>
        </w:tabs>
        <w:kinsoku/>
        <w:wordWrap/>
        <w:overflowPunct/>
        <w:topLinePunct w:val="0"/>
        <w:bidi w:val="0"/>
        <w:snapToGrid/>
        <w:spacing w:line="600" w:lineRule="exact"/>
        <w:ind w:firstLine="560"/>
        <w:textAlignment w:val="auto"/>
        <w:rPr>
          <w:rFonts w:hint="default" w:eastAsia="宋体"/>
          <w:color w:val="auto"/>
          <w:sz w:val="28"/>
          <w:szCs w:val="28"/>
          <w:lang w:val="en-US" w:eastAsia="zh-CN"/>
        </w:rPr>
      </w:pPr>
      <w:r>
        <w:rPr>
          <w:rFonts w:hint="eastAsia"/>
          <w:color w:val="auto"/>
          <w:sz w:val="28"/>
          <w:szCs w:val="28"/>
          <w:lang w:val="en-US" w:eastAsia="zh-CN"/>
        </w:rPr>
        <w:t>49</w:t>
      </w:r>
      <w:r>
        <w:rPr>
          <w:color w:val="auto"/>
          <w:sz w:val="28"/>
          <w:szCs w:val="28"/>
        </w:rPr>
        <w:t>、</w:t>
      </w:r>
      <w:r>
        <w:rPr>
          <w:rFonts w:hint="eastAsia"/>
          <w:color w:val="auto"/>
          <w:sz w:val="28"/>
          <w:szCs w:val="28"/>
        </w:rPr>
        <w:t>《化学品生产单位特殊作业安全</w:t>
      </w:r>
      <w:r>
        <w:rPr>
          <w:rFonts w:hint="eastAsia"/>
          <w:color w:val="auto"/>
          <w:sz w:val="28"/>
          <w:szCs w:val="28"/>
          <w:lang w:val="en-US" w:eastAsia="zh-CN"/>
        </w:rPr>
        <w:t>规范</w:t>
      </w:r>
      <w:r>
        <w:rPr>
          <w:rFonts w:hint="eastAsia"/>
          <w:color w:val="auto"/>
          <w:sz w:val="28"/>
          <w:szCs w:val="28"/>
        </w:rPr>
        <w:t>》             GB30871-20</w:t>
      </w:r>
      <w:r>
        <w:rPr>
          <w:rFonts w:hint="eastAsia"/>
          <w:color w:val="auto"/>
          <w:sz w:val="28"/>
          <w:szCs w:val="28"/>
          <w:lang w:val="en-US" w:eastAsia="zh-CN"/>
        </w:rPr>
        <w:t>22</w:t>
      </w:r>
    </w:p>
    <w:p>
      <w:pPr>
        <w:keepNext w:val="0"/>
        <w:keepLines w:val="0"/>
        <w:pageBreakBefore w:val="0"/>
        <w:widowControl w:val="0"/>
        <w:kinsoku/>
        <w:wordWrap/>
        <w:overflowPunct/>
        <w:topLinePunct w:val="0"/>
        <w:bidi w:val="0"/>
        <w:snapToGrid/>
        <w:spacing w:line="600" w:lineRule="exact"/>
        <w:ind w:firstLine="560"/>
        <w:textAlignment w:val="auto"/>
        <w:rPr>
          <w:rFonts w:hint="eastAsia"/>
          <w:color w:val="auto"/>
          <w:sz w:val="28"/>
          <w:szCs w:val="28"/>
        </w:rPr>
      </w:pPr>
      <w:r>
        <w:rPr>
          <w:rFonts w:hint="eastAsia"/>
          <w:color w:val="auto"/>
          <w:sz w:val="28"/>
          <w:szCs w:val="28"/>
        </w:rPr>
        <w:t>5</w:t>
      </w:r>
      <w:r>
        <w:rPr>
          <w:rFonts w:hint="eastAsia"/>
          <w:color w:val="auto"/>
          <w:sz w:val="28"/>
          <w:szCs w:val="28"/>
          <w:lang w:val="en-US" w:eastAsia="zh-CN"/>
        </w:rPr>
        <w:t>0</w:t>
      </w:r>
      <w:r>
        <w:rPr>
          <w:rFonts w:hint="eastAsia"/>
          <w:color w:val="auto"/>
          <w:sz w:val="28"/>
          <w:szCs w:val="28"/>
        </w:rPr>
        <w:t>、《</w:t>
      </w:r>
      <w:r>
        <w:rPr>
          <w:color w:val="auto"/>
          <w:sz w:val="28"/>
          <w:szCs w:val="28"/>
        </w:rPr>
        <w:t>化工企业</w:t>
      </w:r>
      <w:r>
        <w:rPr>
          <w:rFonts w:hint="eastAsia"/>
          <w:color w:val="auto"/>
          <w:sz w:val="28"/>
          <w:szCs w:val="28"/>
        </w:rPr>
        <w:t>供电设计技术规定》                 HG/T20664-1999</w:t>
      </w:r>
    </w:p>
    <w:p>
      <w:pPr>
        <w:keepNext w:val="0"/>
        <w:keepLines w:val="0"/>
        <w:pageBreakBefore w:val="0"/>
        <w:widowControl w:val="0"/>
        <w:kinsoku/>
        <w:wordWrap/>
        <w:overflowPunct/>
        <w:topLinePunct w:val="0"/>
        <w:bidi w:val="0"/>
        <w:snapToGrid/>
        <w:spacing w:line="600" w:lineRule="exact"/>
        <w:ind w:firstLine="560"/>
        <w:textAlignment w:val="auto"/>
        <w:rPr>
          <w:rFonts w:hint="eastAsia"/>
          <w:bCs/>
          <w:color w:val="auto"/>
          <w:sz w:val="28"/>
          <w:szCs w:val="28"/>
        </w:rPr>
      </w:pPr>
      <w:r>
        <w:rPr>
          <w:rFonts w:hint="eastAsia"/>
          <w:bCs/>
          <w:color w:val="auto"/>
          <w:sz w:val="28"/>
          <w:szCs w:val="28"/>
        </w:rPr>
        <w:t>5</w:t>
      </w:r>
      <w:r>
        <w:rPr>
          <w:rFonts w:hint="eastAsia"/>
          <w:bCs/>
          <w:color w:val="auto"/>
          <w:sz w:val="28"/>
          <w:szCs w:val="28"/>
          <w:lang w:val="en-US" w:eastAsia="zh-CN"/>
        </w:rPr>
        <w:t>1</w:t>
      </w:r>
      <w:r>
        <w:rPr>
          <w:rFonts w:hint="eastAsia"/>
          <w:bCs/>
          <w:color w:val="auto"/>
          <w:sz w:val="28"/>
          <w:szCs w:val="28"/>
        </w:rPr>
        <w:t>、《危险化学品重大危险源安全监控通用技术规范》   AQ3035-2010</w:t>
      </w:r>
    </w:p>
    <w:p>
      <w:pPr>
        <w:keepNext w:val="0"/>
        <w:keepLines w:val="0"/>
        <w:pageBreakBefore w:val="0"/>
        <w:widowControl w:val="0"/>
        <w:kinsoku/>
        <w:wordWrap/>
        <w:overflowPunct/>
        <w:topLinePunct w:val="0"/>
        <w:bidi w:val="0"/>
        <w:snapToGrid/>
        <w:spacing w:line="600" w:lineRule="exact"/>
        <w:ind w:firstLine="560"/>
        <w:textAlignment w:val="auto"/>
        <w:rPr>
          <w:rFonts w:hint="eastAsia"/>
          <w:bCs/>
          <w:color w:val="auto"/>
          <w:sz w:val="28"/>
          <w:szCs w:val="28"/>
        </w:rPr>
      </w:pPr>
      <w:r>
        <w:rPr>
          <w:rFonts w:hint="eastAsia"/>
          <w:bCs/>
          <w:color w:val="auto"/>
          <w:sz w:val="28"/>
          <w:szCs w:val="28"/>
        </w:rPr>
        <w:t>5</w:t>
      </w:r>
      <w:r>
        <w:rPr>
          <w:rFonts w:hint="eastAsia"/>
          <w:bCs/>
          <w:color w:val="auto"/>
          <w:sz w:val="28"/>
          <w:szCs w:val="28"/>
          <w:lang w:val="en-US" w:eastAsia="zh-CN"/>
        </w:rPr>
        <w:t>2</w:t>
      </w:r>
      <w:r>
        <w:rPr>
          <w:rFonts w:hint="eastAsia"/>
          <w:bCs/>
          <w:color w:val="auto"/>
          <w:sz w:val="28"/>
          <w:szCs w:val="28"/>
        </w:rPr>
        <w:t>、《有毒作业场所危害程度分级》                  AQ4028-2010</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sz w:val="28"/>
          <w:szCs w:val="28"/>
        </w:rPr>
      </w:pPr>
      <w:r>
        <w:rPr>
          <w:rFonts w:hint="eastAsia"/>
          <w:color w:val="auto"/>
          <w:sz w:val="28"/>
          <w:szCs w:val="28"/>
        </w:rPr>
        <w:t>5</w:t>
      </w:r>
      <w:r>
        <w:rPr>
          <w:rFonts w:hint="eastAsia"/>
          <w:color w:val="auto"/>
          <w:sz w:val="28"/>
          <w:szCs w:val="28"/>
          <w:lang w:val="en-US" w:eastAsia="zh-CN"/>
        </w:rPr>
        <w:t>3</w:t>
      </w:r>
      <w:r>
        <w:rPr>
          <w:rFonts w:hint="eastAsia"/>
          <w:color w:val="auto"/>
          <w:sz w:val="28"/>
          <w:szCs w:val="28"/>
        </w:rPr>
        <w:t>、《危险化学品生产装置和储存设施风险基准》      GB36894-2018</w:t>
      </w:r>
    </w:p>
    <w:p>
      <w:pPr>
        <w:keepNext w:val="0"/>
        <w:keepLines w:val="0"/>
        <w:pageBreakBefore w:val="0"/>
        <w:widowControl w:val="0"/>
        <w:kinsoku/>
        <w:wordWrap/>
        <w:overflowPunct/>
        <w:topLinePunct w:val="0"/>
        <w:bidi w:val="0"/>
        <w:snapToGrid/>
        <w:spacing w:line="600" w:lineRule="exact"/>
        <w:ind w:left="7000" w:leftChars="200" w:hanging="6440" w:hangingChars="2300"/>
        <w:jc w:val="both"/>
        <w:textAlignment w:val="auto"/>
        <w:rPr>
          <w:rFonts w:hint="eastAsia"/>
          <w:color w:val="auto"/>
          <w:kern w:val="0"/>
          <w:sz w:val="28"/>
          <w:szCs w:val="28"/>
        </w:rPr>
      </w:pPr>
      <w:r>
        <w:rPr>
          <w:rFonts w:hint="eastAsia"/>
          <w:color w:val="auto"/>
          <w:sz w:val="28"/>
          <w:szCs w:val="28"/>
        </w:rPr>
        <w:t>5</w:t>
      </w:r>
      <w:r>
        <w:rPr>
          <w:rFonts w:hint="eastAsia"/>
          <w:color w:val="auto"/>
          <w:sz w:val="28"/>
          <w:szCs w:val="28"/>
          <w:lang w:val="en-US" w:eastAsia="zh-CN"/>
        </w:rPr>
        <w:t>4</w:t>
      </w:r>
      <w:r>
        <w:rPr>
          <w:rFonts w:hint="eastAsia"/>
          <w:color w:val="auto"/>
          <w:sz w:val="28"/>
          <w:szCs w:val="28"/>
        </w:rPr>
        <w:t>、《危险化学品生产装置</w:t>
      </w:r>
      <w:r>
        <w:rPr>
          <w:rFonts w:hint="eastAsia"/>
          <w:color w:val="auto"/>
          <w:sz w:val="28"/>
          <w:szCs w:val="28"/>
          <w:lang w:val="en-US" w:eastAsia="zh-CN"/>
        </w:rPr>
        <w:t>和</w:t>
      </w:r>
      <w:r>
        <w:rPr>
          <w:rFonts w:hint="eastAsia"/>
          <w:color w:val="auto"/>
          <w:sz w:val="28"/>
          <w:szCs w:val="28"/>
        </w:rPr>
        <w:t>储存设施外部安全防护距离确定方法》</w:t>
      </w:r>
      <w:r>
        <w:rPr>
          <w:rFonts w:hint="eastAsia"/>
          <w:color w:val="auto"/>
          <w:sz w:val="28"/>
          <w:szCs w:val="28"/>
          <w:lang w:val="en-US" w:eastAsia="zh-CN"/>
        </w:rPr>
        <w:t xml:space="preserve">    </w:t>
      </w:r>
      <w:r>
        <w:rPr>
          <w:rFonts w:hint="eastAsia"/>
          <w:color w:val="auto"/>
          <w:sz w:val="28"/>
          <w:szCs w:val="28"/>
        </w:rPr>
        <w:t>GB/T37243-2019</w:t>
      </w:r>
    </w:p>
    <w:p>
      <w:pPr>
        <w:keepNext w:val="0"/>
        <w:keepLines w:val="0"/>
        <w:pageBreakBefore w:val="0"/>
        <w:widowControl w:val="0"/>
        <w:kinsoku/>
        <w:wordWrap/>
        <w:overflowPunct/>
        <w:topLinePunct w:val="0"/>
        <w:autoSpaceDE w:val="0"/>
        <w:autoSpaceDN w:val="0"/>
        <w:bidi w:val="0"/>
        <w:adjustRightInd w:val="0"/>
        <w:snapToGrid/>
        <w:spacing w:line="600" w:lineRule="exact"/>
        <w:ind w:firstLine="560"/>
        <w:jc w:val="left"/>
        <w:textAlignment w:val="auto"/>
        <w:rPr>
          <w:rFonts w:hint="default" w:eastAsia="宋体"/>
          <w:color w:val="auto"/>
          <w:kern w:val="0"/>
          <w:sz w:val="28"/>
          <w:szCs w:val="28"/>
          <w:lang w:val="en-US" w:eastAsia="zh-CN"/>
        </w:rPr>
      </w:pPr>
      <w:r>
        <w:rPr>
          <w:rFonts w:hint="eastAsia"/>
          <w:color w:val="auto"/>
          <w:kern w:val="0"/>
          <w:sz w:val="28"/>
          <w:szCs w:val="28"/>
        </w:rPr>
        <w:t>5</w:t>
      </w:r>
      <w:r>
        <w:rPr>
          <w:rFonts w:hint="eastAsia"/>
          <w:color w:val="auto"/>
          <w:kern w:val="0"/>
          <w:sz w:val="28"/>
          <w:szCs w:val="28"/>
          <w:lang w:val="en-US" w:eastAsia="zh-CN"/>
        </w:rPr>
        <w:t>5</w:t>
      </w:r>
      <w:r>
        <w:rPr>
          <w:color w:val="auto"/>
          <w:kern w:val="0"/>
          <w:sz w:val="28"/>
          <w:szCs w:val="28"/>
        </w:rPr>
        <w:t>、《生产经营单位生产安全事故应急预案编制导则》</w:t>
      </w:r>
      <w:r>
        <w:rPr>
          <w:rFonts w:hint="eastAsia"/>
          <w:color w:val="auto"/>
          <w:kern w:val="0"/>
          <w:sz w:val="28"/>
          <w:szCs w:val="28"/>
        </w:rPr>
        <w:t>GB</w:t>
      </w:r>
      <w:r>
        <w:rPr>
          <w:color w:val="auto"/>
          <w:kern w:val="0"/>
          <w:sz w:val="28"/>
          <w:szCs w:val="28"/>
        </w:rPr>
        <w:t>/T</w:t>
      </w:r>
      <w:r>
        <w:rPr>
          <w:rFonts w:hint="eastAsia"/>
          <w:color w:val="auto"/>
          <w:kern w:val="0"/>
          <w:sz w:val="28"/>
          <w:szCs w:val="28"/>
        </w:rPr>
        <w:t>29639-20</w:t>
      </w:r>
      <w:r>
        <w:rPr>
          <w:rFonts w:hint="eastAsia"/>
          <w:color w:val="auto"/>
          <w:kern w:val="0"/>
          <w:sz w:val="28"/>
          <w:szCs w:val="28"/>
          <w:lang w:val="en-US" w:eastAsia="zh-CN"/>
        </w:rPr>
        <w:t>20</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sz w:val="28"/>
          <w:szCs w:val="28"/>
        </w:rPr>
      </w:pPr>
      <w:r>
        <w:rPr>
          <w:rFonts w:hint="eastAsia"/>
          <w:color w:val="auto"/>
          <w:sz w:val="28"/>
          <w:szCs w:val="28"/>
        </w:rPr>
        <w:t>5</w:t>
      </w:r>
      <w:r>
        <w:rPr>
          <w:rFonts w:hint="eastAsia"/>
          <w:color w:val="auto"/>
          <w:sz w:val="28"/>
          <w:szCs w:val="28"/>
          <w:lang w:val="en-US" w:eastAsia="zh-CN"/>
        </w:rPr>
        <w:t>6</w:t>
      </w:r>
      <w:r>
        <w:rPr>
          <w:color w:val="auto"/>
          <w:sz w:val="28"/>
          <w:szCs w:val="28"/>
        </w:rPr>
        <w:t>、《危险化学品名录》</w:t>
      </w:r>
      <w:r>
        <w:rPr>
          <w:rFonts w:hint="eastAsia"/>
          <w:color w:val="auto"/>
          <w:sz w:val="28"/>
          <w:szCs w:val="28"/>
          <w:lang w:eastAsia="zh-CN"/>
        </w:rPr>
        <w:t>（</w:t>
      </w:r>
      <w:r>
        <w:rPr>
          <w:rFonts w:hint="eastAsia"/>
          <w:color w:val="auto"/>
          <w:sz w:val="28"/>
          <w:szCs w:val="28"/>
          <w:lang w:val="en-US" w:eastAsia="zh-CN"/>
        </w:rPr>
        <w:t>2015年版2022年调整</w:t>
      </w:r>
      <w:r>
        <w:rPr>
          <w:rFonts w:hint="eastAsia"/>
          <w:color w:val="auto"/>
          <w:sz w:val="28"/>
          <w:szCs w:val="28"/>
          <w:lang w:eastAsia="zh-CN"/>
        </w:rPr>
        <w:t>）</w:t>
      </w:r>
    </w:p>
    <w:p>
      <w:pPr>
        <w:keepNext w:val="0"/>
        <w:keepLines w:val="0"/>
        <w:pageBreakBefore w:val="0"/>
        <w:widowControl w:val="0"/>
        <w:kinsoku/>
        <w:wordWrap/>
        <w:overflowPunct/>
        <w:topLinePunct w:val="0"/>
        <w:bidi w:val="0"/>
        <w:snapToGrid/>
        <w:spacing w:line="600" w:lineRule="exact"/>
        <w:ind w:firstLine="560"/>
        <w:textAlignment w:val="auto"/>
        <w:rPr>
          <w:color w:val="auto"/>
          <w:sz w:val="28"/>
          <w:szCs w:val="28"/>
        </w:rPr>
      </w:pPr>
      <w:r>
        <w:rPr>
          <w:rFonts w:hint="eastAsia"/>
          <w:color w:val="auto"/>
          <w:sz w:val="28"/>
          <w:szCs w:val="28"/>
          <w:lang w:val="en-US" w:eastAsia="zh-CN"/>
        </w:rPr>
        <w:t>57</w:t>
      </w:r>
      <w:r>
        <w:rPr>
          <w:rFonts w:hint="eastAsia"/>
          <w:color w:val="auto"/>
          <w:sz w:val="28"/>
          <w:szCs w:val="28"/>
        </w:rPr>
        <w:t>、《高毒物品目录》（2003版）卫法监［2003］142号</w:t>
      </w:r>
    </w:p>
    <w:p>
      <w:pPr>
        <w:keepNext w:val="0"/>
        <w:keepLines w:val="0"/>
        <w:pageBreakBefore w:val="0"/>
        <w:widowControl w:val="0"/>
        <w:kinsoku/>
        <w:wordWrap/>
        <w:overflowPunct/>
        <w:topLinePunct w:val="0"/>
        <w:bidi w:val="0"/>
        <w:snapToGrid/>
        <w:spacing w:line="600" w:lineRule="exact"/>
        <w:ind w:firstLine="560"/>
        <w:textAlignment w:val="auto"/>
        <w:rPr>
          <w:rFonts w:hAnsi="宋体"/>
          <w:color w:val="auto"/>
          <w:kern w:val="0"/>
          <w:sz w:val="28"/>
          <w:szCs w:val="28"/>
        </w:rPr>
      </w:pPr>
      <w:r>
        <w:rPr>
          <w:rFonts w:hint="eastAsia"/>
          <w:color w:val="auto"/>
          <w:sz w:val="28"/>
          <w:szCs w:val="28"/>
          <w:lang w:val="en-US" w:eastAsia="zh-CN"/>
        </w:rPr>
        <w:t>58</w:t>
      </w:r>
      <w:r>
        <w:rPr>
          <w:rFonts w:hint="eastAsia"/>
          <w:color w:val="auto"/>
          <w:sz w:val="28"/>
          <w:szCs w:val="28"/>
        </w:rPr>
        <w:t>、</w:t>
      </w:r>
      <w:r>
        <w:rPr>
          <w:rFonts w:hint="eastAsia" w:hAnsi="宋体"/>
          <w:color w:val="auto"/>
          <w:kern w:val="0"/>
          <w:sz w:val="28"/>
          <w:szCs w:val="28"/>
        </w:rPr>
        <w:t>《</w:t>
      </w:r>
      <w:r>
        <w:rPr>
          <w:rFonts w:hAnsi="宋体"/>
          <w:color w:val="auto"/>
          <w:kern w:val="0"/>
          <w:sz w:val="28"/>
          <w:szCs w:val="28"/>
        </w:rPr>
        <w:t>易制爆危险化学品名录》（</w:t>
      </w:r>
      <w:r>
        <w:rPr>
          <w:color w:val="auto"/>
          <w:kern w:val="0"/>
          <w:sz w:val="28"/>
          <w:szCs w:val="28"/>
        </w:rPr>
        <w:t>20</w:t>
      </w:r>
      <w:r>
        <w:rPr>
          <w:rFonts w:hint="eastAsia"/>
          <w:color w:val="auto"/>
          <w:kern w:val="0"/>
          <w:sz w:val="28"/>
          <w:szCs w:val="28"/>
        </w:rPr>
        <w:t>17</w:t>
      </w:r>
      <w:r>
        <w:rPr>
          <w:rFonts w:hAnsi="宋体"/>
          <w:color w:val="auto"/>
          <w:kern w:val="0"/>
          <w:sz w:val="28"/>
          <w:szCs w:val="28"/>
        </w:rPr>
        <w:t>年版）</w:t>
      </w:r>
    </w:p>
    <w:p>
      <w:pPr>
        <w:keepNext w:val="0"/>
        <w:keepLines w:val="0"/>
        <w:pageBreakBefore w:val="0"/>
        <w:widowControl w:val="0"/>
        <w:kinsoku/>
        <w:wordWrap/>
        <w:overflowPunct/>
        <w:topLinePunct w:val="0"/>
        <w:bidi w:val="0"/>
        <w:snapToGrid/>
        <w:spacing w:line="600" w:lineRule="exact"/>
        <w:textAlignment w:val="auto"/>
        <w:rPr>
          <w:rFonts w:hint="default"/>
          <w:color w:val="auto"/>
          <w:lang w:val="en-US" w:eastAsia="zh-CN"/>
        </w:rPr>
      </w:pPr>
      <w:r>
        <w:rPr>
          <w:rFonts w:hint="eastAsia"/>
          <w:color w:val="auto"/>
          <w:lang w:val="en-US" w:eastAsia="zh-CN"/>
        </w:rPr>
        <w:t xml:space="preserve">    59</w:t>
      </w:r>
      <w:r>
        <w:rPr>
          <w:rFonts w:hint="default"/>
          <w:color w:val="auto"/>
          <w:lang w:val="en-US" w:eastAsia="zh-CN"/>
        </w:rPr>
        <w:t>、</w:t>
      </w:r>
      <w:r>
        <w:rPr>
          <w:rFonts w:hint="eastAsia"/>
          <w:color w:val="auto"/>
          <w:lang w:val="en-US" w:eastAsia="zh-CN"/>
        </w:rPr>
        <w:t>《各类监控化学品名录》（中华人民共和国工业和信息化部令第</w:t>
      </w:r>
      <w:r>
        <w:rPr>
          <w:rFonts w:hint="default"/>
          <w:color w:val="auto"/>
          <w:lang w:val="en-US" w:eastAsia="zh-CN"/>
        </w:rPr>
        <w:t>52</w:t>
      </w:r>
      <w:r>
        <w:rPr>
          <w:rFonts w:hint="eastAsia"/>
          <w:color w:val="auto"/>
          <w:lang w:val="en-US" w:eastAsia="zh-CN"/>
        </w:rPr>
        <w:t>号）</w:t>
      </w:r>
    </w:p>
    <w:p>
      <w:pPr>
        <w:keepNext w:val="0"/>
        <w:keepLines w:val="0"/>
        <w:pageBreakBefore w:val="0"/>
        <w:widowControl w:val="0"/>
        <w:kinsoku/>
        <w:wordWrap/>
        <w:overflowPunct/>
        <w:topLinePunct w:val="0"/>
        <w:bidi w:val="0"/>
        <w:snapToGrid/>
        <w:spacing w:line="600" w:lineRule="exact"/>
        <w:ind w:firstLine="560"/>
        <w:textAlignment w:val="auto"/>
        <w:rPr>
          <w:rFonts w:hint="eastAsia" w:hAnsi="宋体"/>
          <w:color w:val="auto"/>
          <w:kern w:val="0"/>
          <w:sz w:val="28"/>
          <w:szCs w:val="28"/>
          <w:lang w:val="en-US" w:eastAsia="zh-CN"/>
        </w:rPr>
      </w:pPr>
      <w:r>
        <w:rPr>
          <w:rFonts w:hint="eastAsia" w:hAnsi="宋体"/>
          <w:color w:val="auto"/>
          <w:kern w:val="0"/>
          <w:sz w:val="28"/>
          <w:szCs w:val="28"/>
          <w:lang w:val="en-US" w:eastAsia="zh-CN"/>
        </w:rPr>
        <w:t>60、《危险化学品建设项目安全评价细则（试行）》（安监总危化[2007]255号）</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color w:val="auto"/>
          <w:lang w:val="en-US" w:eastAsia="zh-CN"/>
        </w:rPr>
      </w:pPr>
      <w:r>
        <w:rPr>
          <w:rFonts w:hint="eastAsia"/>
          <w:color w:val="auto"/>
          <w:lang w:val="en-US" w:eastAsia="zh-CN"/>
        </w:rPr>
        <w:t>61、《化工企业总图运输设计规范》                 GB50489-2009</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lang w:val="en-US" w:eastAsia="zh-CN"/>
        </w:rPr>
      </w:pPr>
      <w:r>
        <w:rPr>
          <w:rFonts w:hint="eastAsia"/>
          <w:color w:val="auto"/>
          <w:lang w:val="en-US" w:eastAsia="zh-CN"/>
        </w:rPr>
        <w:t>62、 《精细化工企业工程设计防火标准》             GB 51283-2020</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color w:val="auto"/>
          <w:lang w:val="en-US" w:eastAsia="zh-CN"/>
        </w:rPr>
      </w:pPr>
      <w:r>
        <w:rPr>
          <w:rFonts w:hint="eastAsia"/>
          <w:color w:val="auto"/>
          <w:lang w:val="en-US" w:eastAsia="zh-CN"/>
        </w:rPr>
        <w:t>63、《储罐区防火堤设计规范》                     GB50351-2014</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default"/>
          <w:color w:val="auto"/>
          <w:lang w:val="en-US" w:eastAsia="zh-CN"/>
        </w:rPr>
      </w:pPr>
      <w:r>
        <w:rPr>
          <w:rFonts w:hint="eastAsia"/>
          <w:color w:val="auto"/>
          <w:lang w:val="en-US" w:eastAsia="zh-CN"/>
        </w:rPr>
        <w:t>64、《建筑防火通用规范》                         GB55037-2022</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lang w:val="en-US" w:eastAsia="zh-CN"/>
        </w:rPr>
      </w:pPr>
      <w:r>
        <w:rPr>
          <w:rFonts w:hint="eastAsia"/>
          <w:color w:val="auto"/>
          <w:lang w:val="en-US" w:eastAsia="zh-CN"/>
        </w:rPr>
        <w:t>65、《职业性接触毒物危害程度分级》                GBZ230-2010</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kern w:val="0"/>
          <w:sz w:val="28"/>
          <w:szCs w:val="28"/>
          <w:lang w:val="en-US" w:eastAsia="zh-CN"/>
        </w:rPr>
      </w:pPr>
      <w:r>
        <w:rPr>
          <w:rFonts w:hint="eastAsia"/>
          <w:color w:val="auto"/>
          <w:kern w:val="0"/>
          <w:sz w:val="28"/>
          <w:szCs w:val="28"/>
          <w:lang w:val="en-US" w:eastAsia="zh-CN"/>
        </w:rPr>
        <w:t>66、</w:t>
      </w:r>
      <w:r>
        <w:rPr>
          <w:color w:val="auto"/>
          <w:kern w:val="0"/>
          <w:sz w:val="28"/>
          <w:szCs w:val="28"/>
        </w:rPr>
        <w:t>《生产过程危险和有害因素分类与代码》</w:t>
      </w:r>
      <w:r>
        <w:rPr>
          <w:rFonts w:hint="eastAsia"/>
          <w:color w:val="auto"/>
          <w:kern w:val="0"/>
          <w:sz w:val="28"/>
          <w:szCs w:val="28"/>
          <w:lang w:val="en-US" w:eastAsia="zh-CN"/>
        </w:rPr>
        <w:t xml:space="preserve">       </w:t>
      </w:r>
      <w:r>
        <w:rPr>
          <w:color w:val="auto"/>
          <w:kern w:val="0"/>
          <w:sz w:val="28"/>
          <w:szCs w:val="28"/>
        </w:rPr>
        <w:t>GB/T13861-</w:t>
      </w:r>
      <w:r>
        <w:rPr>
          <w:rFonts w:hint="eastAsia"/>
          <w:color w:val="auto"/>
          <w:kern w:val="0"/>
          <w:sz w:val="28"/>
          <w:szCs w:val="28"/>
        </w:rPr>
        <w:t>20</w:t>
      </w:r>
      <w:r>
        <w:rPr>
          <w:rFonts w:hint="eastAsia"/>
          <w:color w:val="auto"/>
          <w:kern w:val="0"/>
          <w:sz w:val="28"/>
          <w:szCs w:val="28"/>
          <w:lang w:val="en-US" w:eastAsia="zh-CN"/>
        </w:rPr>
        <w:t>22</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kern w:val="0"/>
          <w:sz w:val="28"/>
          <w:szCs w:val="28"/>
          <w:highlight w:val="none"/>
          <w:lang w:val="en-US" w:eastAsia="zh-CN"/>
        </w:rPr>
      </w:pPr>
      <w:r>
        <w:rPr>
          <w:rFonts w:hint="eastAsia"/>
          <w:color w:val="auto"/>
          <w:kern w:val="0"/>
          <w:sz w:val="28"/>
          <w:szCs w:val="28"/>
          <w:highlight w:val="none"/>
          <w:lang w:val="en-US" w:eastAsia="zh-CN"/>
        </w:rPr>
        <w:t>67、《石油化工企业设计防火标准（2018年版）》     GB50160-2008</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kern w:val="0"/>
          <w:sz w:val="28"/>
          <w:szCs w:val="28"/>
          <w:highlight w:val="none"/>
          <w:lang w:val="en-US" w:eastAsia="zh-CN"/>
        </w:rPr>
      </w:pPr>
      <w:r>
        <w:rPr>
          <w:rFonts w:hint="eastAsia"/>
          <w:color w:val="auto"/>
          <w:kern w:val="0"/>
          <w:sz w:val="28"/>
          <w:szCs w:val="28"/>
          <w:highlight w:val="none"/>
          <w:lang w:val="en-US" w:eastAsia="zh-CN"/>
        </w:rPr>
        <w:t>68、《粉尘防爆安全规程》                         GB15577-2018</w:t>
      </w:r>
    </w:p>
    <w:p>
      <w:pPr>
        <w:keepNext w:val="0"/>
        <w:keepLines w:val="0"/>
        <w:pageBreakBefore w:val="0"/>
        <w:widowControl w:val="0"/>
        <w:kinsoku/>
        <w:wordWrap/>
        <w:overflowPunct/>
        <w:topLinePunct w:val="0"/>
        <w:bidi w:val="0"/>
        <w:snapToGrid/>
        <w:spacing w:line="600" w:lineRule="exact"/>
        <w:ind w:firstLine="560" w:firstLineChars="200"/>
        <w:textAlignment w:val="auto"/>
        <w:rPr>
          <w:rFonts w:hint="eastAsia"/>
          <w:color w:val="auto"/>
          <w:kern w:val="0"/>
          <w:sz w:val="28"/>
          <w:szCs w:val="28"/>
          <w:highlight w:val="none"/>
          <w:lang w:val="en-US" w:eastAsia="zh-CN"/>
        </w:rPr>
      </w:pPr>
      <w:r>
        <w:rPr>
          <w:rFonts w:hint="eastAsia"/>
          <w:color w:val="auto"/>
          <w:kern w:val="0"/>
          <w:sz w:val="28"/>
          <w:szCs w:val="28"/>
          <w:highlight w:val="none"/>
          <w:lang w:val="en-US" w:eastAsia="zh-CN"/>
        </w:rPr>
        <w:t>69、《可燃性粉尘环境用电气设备 第1部分：通用要求》</w:t>
      </w:r>
    </w:p>
    <w:p>
      <w:pPr>
        <w:keepNext w:val="0"/>
        <w:keepLines w:val="0"/>
        <w:pageBreakBefore w:val="0"/>
        <w:widowControl w:val="0"/>
        <w:kinsoku/>
        <w:wordWrap/>
        <w:overflowPunct/>
        <w:topLinePunct w:val="0"/>
        <w:bidi w:val="0"/>
        <w:snapToGrid/>
        <w:spacing w:line="600" w:lineRule="exact"/>
        <w:ind w:firstLine="560" w:firstLineChars="200"/>
        <w:jc w:val="right"/>
        <w:textAlignment w:val="auto"/>
        <w:rPr>
          <w:rFonts w:hint="eastAsia"/>
          <w:color w:val="auto"/>
          <w:kern w:val="0"/>
          <w:sz w:val="28"/>
          <w:szCs w:val="28"/>
          <w:highlight w:val="none"/>
          <w:lang w:val="en-US" w:eastAsia="zh-CN"/>
        </w:rPr>
      </w:pPr>
      <w:r>
        <w:rPr>
          <w:rFonts w:hint="eastAsia"/>
          <w:color w:val="auto"/>
          <w:kern w:val="0"/>
          <w:sz w:val="28"/>
          <w:szCs w:val="28"/>
          <w:highlight w:val="none"/>
          <w:lang w:val="en-US" w:eastAsia="zh-CN"/>
        </w:rPr>
        <w:t>GB12476.1-2013</w:t>
      </w:r>
    </w:p>
    <w:p>
      <w:pPr>
        <w:keepNext w:val="0"/>
        <w:keepLines w:val="0"/>
        <w:pageBreakBefore w:val="0"/>
        <w:widowControl w:val="0"/>
        <w:kinsoku/>
        <w:wordWrap/>
        <w:overflowPunct/>
        <w:topLinePunct w:val="0"/>
        <w:bidi w:val="0"/>
        <w:snapToGrid/>
        <w:spacing w:line="600" w:lineRule="exact"/>
        <w:ind w:firstLine="560" w:firstLineChars="200"/>
        <w:textAlignment w:val="auto"/>
        <w:rPr>
          <w:color w:val="auto"/>
        </w:rPr>
      </w:pPr>
      <w:r>
        <w:rPr>
          <w:rFonts w:hint="eastAsia"/>
          <w:color w:val="auto"/>
          <w:lang w:val="en-US" w:eastAsia="zh-CN"/>
        </w:rPr>
        <w:t>70</w:t>
      </w:r>
      <w:r>
        <w:rPr>
          <w:color w:val="auto"/>
        </w:rPr>
        <w:t>、其他</w:t>
      </w:r>
    </w:p>
    <w:p>
      <w:pPr>
        <w:pStyle w:val="3"/>
        <w:bidi w:val="0"/>
        <w:rPr>
          <w:rFonts w:hint="default" w:eastAsia="宋体"/>
          <w:color w:val="auto"/>
          <w:highlight w:val="none"/>
          <w:lang w:val="en-US" w:eastAsia="zh-CN"/>
        </w:rPr>
      </w:pPr>
      <w:bookmarkStart w:id="828" w:name="_Toc14780"/>
      <w:bookmarkStart w:id="829" w:name="_Toc30082"/>
      <w:bookmarkStart w:id="830" w:name="_Toc17253"/>
      <w:bookmarkStart w:id="831" w:name="_Toc12367"/>
      <w:bookmarkStart w:id="832" w:name="_Toc29693"/>
      <w:bookmarkStart w:id="833" w:name="_Toc23792"/>
      <w:r>
        <w:rPr>
          <w:rFonts w:hint="eastAsia"/>
          <w:color w:val="auto"/>
          <w:highlight w:val="none"/>
          <w:lang w:val="en-US" w:eastAsia="zh-CN"/>
        </w:rPr>
        <w:t>A.4</w:t>
      </w:r>
      <w:bookmarkEnd w:id="828"/>
      <w:r>
        <w:rPr>
          <w:rFonts w:hint="eastAsia"/>
          <w:color w:val="auto"/>
          <w:highlight w:val="none"/>
          <w:lang w:val="en-US" w:eastAsia="zh-CN"/>
        </w:rPr>
        <w:t>行业标准</w:t>
      </w:r>
      <w:bookmarkEnd w:id="829"/>
      <w:bookmarkEnd w:id="830"/>
      <w:bookmarkEnd w:id="831"/>
      <w:bookmarkEnd w:id="832"/>
      <w:bookmarkEnd w:id="833"/>
    </w:p>
    <w:bookmarkEnd w:id="806"/>
    <w:p>
      <w:pPr>
        <w:pStyle w:val="54"/>
        <w:numPr>
          <w:ilvl w:val="0"/>
          <w:numId w:val="9"/>
        </w:numPr>
        <w:ind w:firstLineChars="0"/>
        <w:rPr>
          <w:color w:val="auto"/>
        </w:rPr>
      </w:pPr>
      <w:r>
        <w:rPr>
          <w:color w:val="auto"/>
        </w:rPr>
        <w:t>《安全评价通则》</w:t>
      </w:r>
      <w:r>
        <w:rPr>
          <w:rFonts w:hint="eastAsia"/>
          <w:color w:val="auto"/>
        </w:rPr>
        <w:t xml:space="preserve">              </w:t>
      </w:r>
      <w:r>
        <w:rPr>
          <w:color w:val="auto"/>
        </w:rPr>
        <w:t xml:space="preserve"> </w:t>
      </w:r>
      <w:r>
        <w:rPr>
          <w:rFonts w:hint="eastAsia"/>
          <w:color w:val="auto"/>
        </w:rPr>
        <w:t xml:space="preserve">   </w:t>
      </w:r>
      <w:r>
        <w:rPr>
          <w:color w:val="auto"/>
        </w:rPr>
        <w:t xml:space="preserve"> </w:t>
      </w:r>
      <w:r>
        <w:rPr>
          <w:rFonts w:hint="eastAsia"/>
          <w:color w:val="auto"/>
        </w:rPr>
        <w:t xml:space="preserve"> </w:t>
      </w:r>
      <w:r>
        <w:rPr>
          <w:color w:val="auto"/>
        </w:rPr>
        <w:t>（AQ8001-2007）</w:t>
      </w:r>
    </w:p>
    <w:p>
      <w:pPr>
        <w:pStyle w:val="54"/>
        <w:numPr>
          <w:ilvl w:val="0"/>
          <w:numId w:val="9"/>
        </w:numPr>
        <w:ind w:firstLineChars="0"/>
        <w:rPr>
          <w:color w:val="auto"/>
        </w:rPr>
      </w:pPr>
      <w:r>
        <w:rPr>
          <w:color w:val="auto"/>
        </w:rPr>
        <w:t>《安全预评价导则》</w:t>
      </w:r>
      <w:r>
        <w:rPr>
          <w:rFonts w:hint="eastAsia"/>
          <w:color w:val="auto"/>
        </w:rPr>
        <w:t xml:space="preserve">                </w:t>
      </w:r>
      <w:r>
        <w:rPr>
          <w:color w:val="auto"/>
        </w:rPr>
        <w:t xml:space="preserve"> </w:t>
      </w:r>
      <w:r>
        <w:rPr>
          <w:rFonts w:hint="eastAsia"/>
          <w:color w:val="auto"/>
        </w:rPr>
        <w:t xml:space="preserve"> </w:t>
      </w:r>
      <w:r>
        <w:rPr>
          <w:color w:val="auto"/>
        </w:rPr>
        <w:t>（AQ8002-2007）</w:t>
      </w:r>
    </w:p>
    <w:p>
      <w:pPr>
        <w:pStyle w:val="54"/>
        <w:numPr>
          <w:ilvl w:val="0"/>
          <w:numId w:val="9"/>
        </w:numPr>
        <w:ind w:firstLineChars="0"/>
        <w:rPr>
          <w:color w:val="auto"/>
        </w:rPr>
      </w:pPr>
      <w:r>
        <w:rPr>
          <w:rFonts w:hint="eastAsia"/>
          <w:color w:val="auto"/>
        </w:rPr>
        <w:t>《化工企业定量风险评价导则》        （AQ/T3046-2013）</w:t>
      </w:r>
    </w:p>
    <w:p>
      <w:pPr>
        <w:pStyle w:val="54"/>
        <w:numPr>
          <w:ilvl w:val="0"/>
          <w:numId w:val="9"/>
        </w:numPr>
        <w:ind w:firstLineChars="0"/>
        <w:rPr>
          <w:color w:val="auto"/>
        </w:rPr>
      </w:pPr>
      <w:r>
        <w:rPr>
          <w:rFonts w:hint="eastAsia"/>
          <w:color w:val="auto"/>
        </w:rPr>
        <w:t xml:space="preserve">《化工企业腐蚀环境电力设计规程》 </w:t>
      </w:r>
      <w:r>
        <w:rPr>
          <w:color w:val="auto"/>
        </w:rPr>
        <w:t xml:space="preserve">   </w:t>
      </w:r>
      <w:r>
        <w:rPr>
          <w:rFonts w:hint="eastAsia"/>
          <w:color w:val="auto"/>
        </w:rPr>
        <w:t>（HG/T</w:t>
      </w:r>
      <w:r>
        <w:rPr>
          <w:color w:val="auto"/>
        </w:rPr>
        <w:t>20666-1999</w:t>
      </w:r>
      <w:r>
        <w:rPr>
          <w:rFonts w:hint="eastAsia"/>
          <w:color w:val="auto"/>
        </w:rPr>
        <w:t>）</w:t>
      </w:r>
    </w:p>
    <w:p>
      <w:pPr>
        <w:pStyle w:val="54"/>
        <w:numPr>
          <w:ilvl w:val="0"/>
          <w:numId w:val="9"/>
        </w:numPr>
        <w:ind w:firstLineChars="0"/>
        <w:rPr>
          <w:color w:val="auto"/>
        </w:rPr>
      </w:pPr>
      <w:r>
        <w:rPr>
          <w:rFonts w:hint="eastAsia"/>
          <w:color w:val="auto"/>
        </w:rPr>
        <w:t>《</w:t>
      </w:r>
      <w:r>
        <w:rPr>
          <w:color w:val="auto"/>
        </w:rPr>
        <w:fldChar w:fldCharType="begin"/>
      </w:r>
      <w:r>
        <w:rPr>
          <w:color w:val="auto"/>
        </w:rPr>
        <w:instrText xml:space="preserve"> HYPERLINK "http://www.jianbiaoku.com/webarbs/book/113752/3477346.shtml" \t "_blank" \o "户内户外防腐低压电器环境技术要求JB/T 9536-2013" </w:instrText>
      </w:r>
      <w:r>
        <w:rPr>
          <w:color w:val="auto"/>
        </w:rPr>
        <w:fldChar w:fldCharType="separate"/>
      </w:r>
      <w:r>
        <w:rPr>
          <w:rFonts w:hint="eastAsia"/>
          <w:color w:val="auto"/>
        </w:rPr>
        <w:t>户内户外防腐低压电器环境技术要求</w:t>
      </w:r>
      <w:r>
        <w:rPr>
          <w:rFonts w:hint="eastAsia"/>
          <w:color w:val="auto"/>
        </w:rPr>
        <w:fldChar w:fldCharType="end"/>
      </w:r>
      <w:r>
        <w:rPr>
          <w:rFonts w:hint="eastAsia"/>
          <w:color w:val="auto"/>
        </w:rPr>
        <w:t>》 （JB/T 9536-2013）</w:t>
      </w:r>
    </w:p>
    <w:p>
      <w:pPr>
        <w:pStyle w:val="54"/>
        <w:numPr>
          <w:ilvl w:val="0"/>
          <w:numId w:val="9"/>
        </w:numPr>
        <w:ind w:firstLineChars="0"/>
        <w:rPr>
          <w:color w:val="auto"/>
        </w:rPr>
      </w:pPr>
      <w:r>
        <w:rPr>
          <w:rFonts w:hint="eastAsia"/>
          <w:color w:val="auto"/>
        </w:rPr>
        <w:t xml:space="preserve">《化工装置设备布置设计规定》 </w:t>
      </w:r>
      <w:r>
        <w:rPr>
          <w:color w:val="auto"/>
        </w:rPr>
        <w:t xml:space="preserve">       </w:t>
      </w:r>
      <w:r>
        <w:rPr>
          <w:rFonts w:hint="eastAsia"/>
          <w:color w:val="auto"/>
        </w:rPr>
        <w:t>（HG/T20546-2009）</w:t>
      </w:r>
    </w:p>
    <w:p>
      <w:pPr>
        <w:pStyle w:val="54"/>
        <w:numPr>
          <w:ilvl w:val="0"/>
          <w:numId w:val="9"/>
        </w:numPr>
        <w:ind w:firstLineChars="0"/>
        <w:rPr>
          <w:color w:val="auto"/>
        </w:rPr>
      </w:pPr>
      <w:r>
        <w:rPr>
          <w:color w:val="auto"/>
        </w:rPr>
        <w:t>《化工企业安全卫生设计规定》</w:t>
      </w:r>
      <w:r>
        <w:rPr>
          <w:rFonts w:hint="eastAsia"/>
          <w:color w:val="auto"/>
        </w:rPr>
        <w:t xml:space="preserve">        </w:t>
      </w:r>
      <w:r>
        <w:rPr>
          <w:color w:val="auto"/>
        </w:rPr>
        <w:t>（HG20571-</w:t>
      </w:r>
      <w:r>
        <w:rPr>
          <w:rFonts w:hint="eastAsia"/>
          <w:color w:val="auto"/>
        </w:rPr>
        <w:t>2013</w:t>
      </w:r>
      <w:r>
        <w:rPr>
          <w:color w:val="auto"/>
        </w:rPr>
        <w:t>）</w:t>
      </w:r>
    </w:p>
    <w:p>
      <w:pPr>
        <w:pStyle w:val="54"/>
        <w:numPr>
          <w:ilvl w:val="0"/>
          <w:numId w:val="9"/>
        </w:numPr>
        <w:ind w:firstLineChars="0"/>
        <w:rPr>
          <w:color w:val="auto"/>
        </w:rPr>
      </w:pPr>
      <w:r>
        <w:rPr>
          <w:color w:val="auto"/>
        </w:rPr>
        <w:t>《控制室设计规</w:t>
      </w:r>
      <w:r>
        <w:rPr>
          <w:rFonts w:hint="eastAsia"/>
          <w:color w:val="auto"/>
        </w:rPr>
        <w:t>范</w:t>
      </w:r>
      <w:r>
        <w:rPr>
          <w:color w:val="auto"/>
        </w:rPr>
        <w:t>》                  （HG/T20508-20</w:t>
      </w:r>
      <w:r>
        <w:rPr>
          <w:rFonts w:hint="eastAsia"/>
          <w:color w:val="auto"/>
        </w:rPr>
        <w:t>14</w:t>
      </w:r>
      <w:r>
        <w:rPr>
          <w:color w:val="auto"/>
        </w:rPr>
        <w:t>）</w:t>
      </w:r>
    </w:p>
    <w:p>
      <w:pPr>
        <w:pStyle w:val="54"/>
        <w:numPr>
          <w:ilvl w:val="0"/>
          <w:numId w:val="9"/>
        </w:numPr>
        <w:ind w:firstLineChars="0"/>
        <w:rPr>
          <w:color w:val="auto"/>
        </w:rPr>
      </w:pPr>
      <w:r>
        <w:rPr>
          <w:rFonts w:hint="eastAsia"/>
          <w:color w:val="auto"/>
        </w:rPr>
        <w:t xml:space="preserve">《仪表供气设计规范》            </w:t>
      </w:r>
      <w:r>
        <w:rPr>
          <w:color w:val="auto"/>
        </w:rPr>
        <w:t xml:space="preserve">   </w:t>
      </w:r>
      <w:r>
        <w:rPr>
          <w:rFonts w:hint="eastAsia"/>
          <w:color w:val="auto"/>
        </w:rPr>
        <w:t xml:space="preserve"> （</w:t>
      </w:r>
      <w:r>
        <w:rPr>
          <w:color w:val="auto"/>
        </w:rPr>
        <w:t>HG/T 20510-2014</w:t>
      </w:r>
      <w:r>
        <w:rPr>
          <w:rFonts w:hint="eastAsia"/>
          <w:color w:val="auto"/>
        </w:rPr>
        <w:t>）</w:t>
      </w:r>
    </w:p>
    <w:p>
      <w:pPr>
        <w:pStyle w:val="54"/>
        <w:numPr>
          <w:ilvl w:val="0"/>
          <w:numId w:val="9"/>
        </w:numPr>
        <w:ind w:firstLineChars="0"/>
        <w:rPr>
          <w:color w:val="auto"/>
        </w:rPr>
      </w:pPr>
      <w:r>
        <w:rPr>
          <w:rFonts w:hint="eastAsia"/>
          <w:color w:val="auto"/>
        </w:rPr>
        <w:t xml:space="preserve">《仪表供电设计规范》          </w:t>
      </w:r>
      <w:r>
        <w:rPr>
          <w:color w:val="auto"/>
        </w:rPr>
        <w:t xml:space="preserve">    </w:t>
      </w:r>
      <w:r>
        <w:rPr>
          <w:rFonts w:hint="eastAsia"/>
          <w:color w:val="auto"/>
        </w:rPr>
        <w:t xml:space="preserve">  （</w:t>
      </w:r>
      <w:r>
        <w:rPr>
          <w:color w:val="auto"/>
        </w:rPr>
        <w:t>HG/T 20509-2014</w:t>
      </w:r>
      <w:r>
        <w:rPr>
          <w:rFonts w:hint="eastAsia"/>
          <w:color w:val="auto"/>
        </w:rPr>
        <w:t>）</w:t>
      </w:r>
    </w:p>
    <w:p>
      <w:pPr>
        <w:pStyle w:val="54"/>
        <w:numPr>
          <w:ilvl w:val="0"/>
          <w:numId w:val="9"/>
        </w:numPr>
        <w:ind w:firstLineChars="0"/>
        <w:rPr>
          <w:color w:val="auto"/>
        </w:rPr>
      </w:pPr>
      <w:r>
        <w:rPr>
          <w:color w:val="auto"/>
        </w:rPr>
        <w:t>《信号报警、安全联锁系统设计规定》 （HG/T20511-2000）</w:t>
      </w:r>
    </w:p>
    <w:p>
      <w:pPr>
        <w:pStyle w:val="54"/>
        <w:numPr>
          <w:ilvl w:val="0"/>
          <w:numId w:val="9"/>
        </w:numPr>
        <w:ind w:firstLineChars="0"/>
        <w:rPr>
          <w:color w:val="auto"/>
        </w:rPr>
      </w:pPr>
      <w:r>
        <w:rPr>
          <w:rFonts w:hint="eastAsia"/>
          <w:color w:val="auto"/>
        </w:rPr>
        <w:t xml:space="preserve">《石油化工控制室抗爆设计规范》 </w:t>
      </w:r>
      <w:r>
        <w:rPr>
          <w:color w:val="auto"/>
        </w:rPr>
        <w:t xml:space="preserve">     </w:t>
      </w:r>
      <w:r>
        <w:rPr>
          <w:rFonts w:hint="eastAsia"/>
          <w:color w:val="auto"/>
        </w:rPr>
        <w:t>（SH/T</w:t>
      </w:r>
      <w:r>
        <w:rPr>
          <w:color w:val="auto"/>
        </w:rPr>
        <w:t>50779-2012</w:t>
      </w:r>
      <w:r>
        <w:rPr>
          <w:rFonts w:hint="eastAsia"/>
          <w:color w:val="auto"/>
        </w:rPr>
        <w:t>）</w:t>
      </w:r>
    </w:p>
    <w:p>
      <w:pPr>
        <w:pStyle w:val="54"/>
        <w:numPr>
          <w:ilvl w:val="0"/>
          <w:numId w:val="9"/>
        </w:numPr>
        <w:ind w:firstLineChars="0"/>
        <w:rPr>
          <w:color w:val="auto"/>
        </w:rPr>
      </w:pPr>
      <w:r>
        <w:rPr>
          <w:rFonts w:hint="eastAsia"/>
          <w:color w:val="auto"/>
        </w:rPr>
        <w:t xml:space="preserve">《石油化工自动化仪表选型设计规范》 </w:t>
      </w:r>
      <w:r>
        <w:rPr>
          <w:color w:val="auto"/>
        </w:rPr>
        <w:t xml:space="preserve"> </w:t>
      </w:r>
      <w:r>
        <w:rPr>
          <w:rFonts w:hint="eastAsia"/>
          <w:color w:val="auto"/>
        </w:rPr>
        <w:t>（SH/T3005</w:t>
      </w:r>
      <w:r>
        <w:rPr>
          <w:color w:val="auto"/>
        </w:rPr>
        <w:t>-2016</w:t>
      </w:r>
      <w:r>
        <w:rPr>
          <w:rFonts w:hint="eastAsia"/>
          <w:color w:val="auto"/>
        </w:rPr>
        <w:t>）</w:t>
      </w:r>
    </w:p>
    <w:p>
      <w:pPr>
        <w:pStyle w:val="54"/>
        <w:numPr>
          <w:ilvl w:val="0"/>
          <w:numId w:val="9"/>
        </w:numPr>
        <w:ind w:firstLineChars="0"/>
        <w:rPr>
          <w:color w:val="auto"/>
        </w:rPr>
      </w:pPr>
      <w:r>
        <w:rPr>
          <w:color w:val="auto"/>
        </w:rPr>
        <w:t>《起重机械安全技术监察规程》       （TSG Q0002-2008）</w:t>
      </w:r>
    </w:p>
    <w:p>
      <w:pPr>
        <w:pStyle w:val="54"/>
        <w:numPr>
          <w:ilvl w:val="0"/>
          <w:numId w:val="9"/>
        </w:numPr>
        <w:ind w:firstLineChars="0"/>
        <w:rPr>
          <w:color w:val="auto"/>
        </w:rPr>
      </w:pPr>
      <w:r>
        <w:rPr>
          <w:rFonts w:hint="eastAsia"/>
          <w:color w:val="auto"/>
        </w:rPr>
        <w:t xml:space="preserve">《化工企业静电接地设计规程》 </w:t>
      </w:r>
      <w:r>
        <w:rPr>
          <w:color w:val="auto"/>
        </w:rPr>
        <w:t xml:space="preserve">      </w:t>
      </w:r>
      <w:r>
        <w:rPr>
          <w:rFonts w:hint="eastAsia"/>
          <w:color w:val="auto"/>
        </w:rPr>
        <w:t>（H</w:t>
      </w:r>
      <w:r>
        <w:rPr>
          <w:color w:val="auto"/>
        </w:rPr>
        <w:t>G/T20675-1990</w:t>
      </w:r>
      <w:r>
        <w:rPr>
          <w:rFonts w:hint="eastAsia"/>
          <w:color w:val="auto"/>
        </w:rPr>
        <w:t>）</w:t>
      </w:r>
    </w:p>
    <w:p>
      <w:pPr>
        <w:pStyle w:val="54"/>
        <w:numPr>
          <w:ilvl w:val="0"/>
          <w:numId w:val="9"/>
        </w:numPr>
        <w:ind w:firstLineChars="0"/>
        <w:rPr>
          <w:color w:val="auto"/>
        </w:rPr>
      </w:pPr>
      <w:r>
        <w:rPr>
          <w:color w:val="auto"/>
        </w:rPr>
        <w:t>《压力管道安全技术监察规范-工业管道》（TSGD001-2009）</w:t>
      </w:r>
    </w:p>
    <w:p>
      <w:pPr>
        <w:pStyle w:val="54"/>
        <w:numPr>
          <w:ilvl w:val="0"/>
          <w:numId w:val="9"/>
        </w:numPr>
        <w:ind w:firstLineChars="0"/>
        <w:rPr>
          <w:color w:val="auto"/>
        </w:rPr>
      </w:pPr>
      <w:r>
        <w:rPr>
          <w:color w:val="auto"/>
        </w:rPr>
        <w:t>《</w:t>
      </w:r>
      <w:r>
        <w:rPr>
          <w:rFonts w:hint="eastAsia"/>
          <w:color w:val="auto"/>
        </w:rPr>
        <w:t>固定式压力容器安全技术监察规程</w:t>
      </w:r>
      <w:r>
        <w:rPr>
          <w:color w:val="auto"/>
        </w:rPr>
        <w:t>》（TSG</w:t>
      </w:r>
      <w:r>
        <w:rPr>
          <w:rFonts w:hint="eastAsia"/>
          <w:color w:val="auto"/>
        </w:rPr>
        <w:t>21</w:t>
      </w:r>
      <w:r>
        <w:rPr>
          <w:color w:val="auto"/>
        </w:rPr>
        <w:t>-20</w:t>
      </w:r>
      <w:r>
        <w:rPr>
          <w:rFonts w:hint="eastAsia"/>
          <w:color w:val="auto"/>
        </w:rPr>
        <w:t>16，2</w:t>
      </w:r>
      <w:r>
        <w:rPr>
          <w:color w:val="auto"/>
        </w:rPr>
        <w:t>020</w:t>
      </w:r>
      <w:r>
        <w:rPr>
          <w:rFonts w:hint="eastAsia"/>
          <w:color w:val="auto"/>
        </w:rPr>
        <w:t>第1号单修改</w:t>
      </w:r>
      <w:r>
        <w:rPr>
          <w:color w:val="auto"/>
        </w:rPr>
        <w:t>）</w:t>
      </w:r>
    </w:p>
    <w:p>
      <w:pPr>
        <w:pStyle w:val="36"/>
        <w:ind w:firstLine="560" w:firstLineChars="200"/>
        <w:rPr>
          <w:rFonts w:hint="default"/>
          <w:color w:val="auto"/>
          <w:sz w:val="28"/>
          <w:szCs w:val="28"/>
          <w:lang w:val="en-US" w:eastAsia="zh-CN"/>
        </w:rPr>
      </w:pPr>
      <w:r>
        <w:rPr>
          <w:rFonts w:hint="eastAsia"/>
          <w:color w:val="auto"/>
          <w:sz w:val="28"/>
          <w:szCs w:val="28"/>
          <w:lang w:val="en-US" w:eastAsia="zh-CN"/>
        </w:rPr>
        <w:t>18.</w:t>
      </w:r>
      <w:r>
        <w:rPr>
          <w:rFonts w:hint="eastAsia"/>
          <w:color w:val="auto"/>
          <w:sz w:val="28"/>
          <w:szCs w:val="28"/>
        </w:rPr>
        <w:t>《危险化学品从业单位安全标准化通用规范》（AQ3013</w:t>
      </w:r>
      <w:r>
        <w:rPr>
          <w:color w:val="auto"/>
          <w:sz w:val="28"/>
          <w:szCs w:val="28"/>
        </w:rPr>
        <w:t>–</w:t>
      </w:r>
      <w:r>
        <w:rPr>
          <w:rFonts w:hint="eastAsia"/>
          <w:color w:val="auto"/>
          <w:sz w:val="28"/>
          <w:szCs w:val="28"/>
        </w:rPr>
        <w:t>2008）</w:t>
      </w: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36"/>
        <w:spacing w:line="240" w:lineRule="auto"/>
        <w:jc w:val="left"/>
        <w:rPr>
          <w:rFonts w:hint="default" w:eastAsia="宋体"/>
          <w:color w:val="auto"/>
          <w:sz w:val="28"/>
          <w:szCs w:val="28"/>
          <w:lang w:val="en-US" w:eastAsia="zh-CN"/>
        </w:rPr>
      </w:pPr>
    </w:p>
    <w:p>
      <w:pPr>
        <w:pStyle w:val="2"/>
        <w:rPr>
          <w:rFonts w:hint="eastAsia"/>
          <w:color w:val="auto"/>
        </w:rPr>
      </w:pPr>
      <w:bookmarkStart w:id="834" w:name="_Toc2049"/>
      <w:bookmarkStart w:id="835" w:name="_Toc13426"/>
      <w:bookmarkStart w:id="836" w:name="_Toc25773"/>
      <w:bookmarkStart w:id="837" w:name="_Toc31228"/>
      <w:bookmarkStart w:id="838" w:name="_Toc1169"/>
      <w:bookmarkStart w:id="839" w:name="_Toc23980"/>
      <w:r>
        <w:rPr>
          <w:rFonts w:hint="eastAsia"/>
          <w:color w:val="auto"/>
        </w:rPr>
        <w:t>附录 B 危险、有害因素的辨识及分析过程</w:t>
      </w:r>
      <w:bookmarkEnd w:id="834"/>
      <w:bookmarkEnd w:id="835"/>
      <w:bookmarkEnd w:id="836"/>
      <w:bookmarkEnd w:id="837"/>
      <w:bookmarkEnd w:id="838"/>
      <w:bookmarkEnd w:id="839"/>
    </w:p>
    <w:p>
      <w:pPr>
        <w:ind w:firstLine="560" w:firstLineChars="200"/>
        <w:rPr>
          <w:rFonts w:hint="eastAsia"/>
          <w:color w:val="auto"/>
        </w:rPr>
      </w:pPr>
      <w:r>
        <w:rPr>
          <w:rFonts w:hint="eastAsia"/>
          <w:color w:val="auto"/>
        </w:rPr>
        <w:t>危险因素是指能对人造成伤亡或对物造成突发性损坏的因素。有害因素</w:t>
      </w:r>
    </w:p>
    <w:p>
      <w:pPr>
        <w:rPr>
          <w:rFonts w:hint="eastAsia"/>
          <w:color w:val="auto"/>
        </w:rPr>
      </w:pPr>
      <w:r>
        <w:rPr>
          <w:rFonts w:hint="eastAsia"/>
          <w:color w:val="auto"/>
        </w:rPr>
        <w:t>是指能影响人的身体健康，导致疾病，或对物造成慢性损坏的因素。危险、</w:t>
      </w:r>
    </w:p>
    <w:p>
      <w:pPr>
        <w:rPr>
          <w:rFonts w:hint="eastAsia"/>
          <w:color w:val="auto"/>
        </w:rPr>
      </w:pPr>
      <w:r>
        <w:rPr>
          <w:rFonts w:hint="eastAsia"/>
          <w:color w:val="auto"/>
        </w:rPr>
        <w:t>有害因素分析是预评价的重要环节，是预评价的基础。</w:t>
      </w:r>
    </w:p>
    <w:p>
      <w:pPr>
        <w:pStyle w:val="3"/>
        <w:rPr>
          <w:rFonts w:hint="eastAsia"/>
          <w:color w:val="auto"/>
        </w:rPr>
      </w:pPr>
      <w:bookmarkStart w:id="840" w:name="_Toc31891"/>
      <w:bookmarkStart w:id="841" w:name="_Toc26025"/>
      <w:bookmarkStart w:id="842" w:name="_Toc15446"/>
      <w:bookmarkStart w:id="843" w:name="_Toc30244"/>
      <w:bookmarkStart w:id="844" w:name="_Toc2533"/>
      <w:bookmarkStart w:id="845" w:name="_Toc8184"/>
      <w:r>
        <w:rPr>
          <w:rFonts w:hint="eastAsia"/>
          <w:color w:val="auto"/>
        </w:rPr>
        <w:t>B.1 危险、有害物质的辨识</w:t>
      </w:r>
      <w:bookmarkEnd w:id="840"/>
      <w:bookmarkEnd w:id="841"/>
      <w:bookmarkEnd w:id="842"/>
      <w:bookmarkEnd w:id="843"/>
      <w:bookmarkEnd w:id="844"/>
      <w:bookmarkEnd w:id="845"/>
    </w:p>
    <w:p>
      <w:pPr>
        <w:pStyle w:val="4"/>
        <w:rPr>
          <w:rFonts w:hint="eastAsia"/>
          <w:color w:val="auto"/>
        </w:rPr>
      </w:pPr>
      <w:bookmarkStart w:id="846" w:name="_Toc3049"/>
      <w:bookmarkStart w:id="847" w:name="_Toc20646"/>
      <w:bookmarkStart w:id="848" w:name="_Toc934"/>
      <w:bookmarkStart w:id="849" w:name="_Toc14737"/>
      <w:bookmarkStart w:id="850" w:name="_Toc6236"/>
      <w:bookmarkStart w:id="851" w:name="_Toc20400"/>
      <w:r>
        <w:rPr>
          <w:rFonts w:hint="eastAsia"/>
          <w:color w:val="auto"/>
        </w:rPr>
        <w:t>B.1.1.辨识依据</w:t>
      </w:r>
      <w:bookmarkEnd w:id="846"/>
      <w:bookmarkEnd w:id="847"/>
      <w:bookmarkEnd w:id="848"/>
      <w:bookmarkEnd w:id="849"/>
      <w:bookmarkEnd w:id="850"/>
      <w:bookmarkEnd w:id="851"/>
    </w:p>
    <w:p>
      <w:pPr>
        <w:ind w:firstLine="560" w:firstLineChars="200"/>
        <w:rPr>
          <w:rFonts w:hint="eastAsia"/>
          <w:color w:val="auto"/>
        </w:rPr>
      </w:pPr>
      <w:r>
        <w:rPr>
          <w:rFonts w:hint="eastAsia"/>
          <w:color w:val="auto"/>
        </w:rPr>
        <w:t>《危险货物分类和品名编号》（GB6944-2012）</w:t>
      </w:r>
    </w:p>
    <w:p>
      <w:pPr>
        <w:ind w:firstLine="560" w:firstLineChars="200"/>
        <w:rPr>
          <w:rFonts w:hint="eastAsia"/>
          <w:color w:val="auto"/>
        </w:rPr>
      </w:pPr>
      <w:r>
        <w:rPr>
          <w:rFonts w:hint="eastAsia"/>
          <w:color w:val="auto"/>
        </w:rPr>
        <w:t>《化学品分类和危险性公示 通则》（GB13690-2009）</w:t>
      </w:r>
    </w:p>
    <w:p>
      <w:pPr>
        <w:ind w:firstLine="560" w:firstLineChars="200"/>
        <w:rPr>
          <w:rFonts w:hint="eastAsia"/>
          <w:color w:val="auto"/>
        </w:rPr>
      </w:pPr>
      <w:r>
        <w:rPr>
          <w:rFonts w:hint="eastAsia"/>
          <w:color w:val="auto"/>
        </w:rPr>
        <w:t>《危险货物品名表》（GB12268-2012）</w:t>
      </w:r>
    </w:p>
    <w:p>
      <w:pPr>
        <w:ind w:firstLine="560" w:firstLineChars="200"/>
        <w:rPr>
          <w:rFonts w:hint="eastAsia"/>
          <w:color w:val="auto"/>
        </w:rPr>
      </w:pPr>
      <w:r>
        <w:rPr>
          <w:rFonts w:hint="eastAsia"/>
          <w:color w:val="auto"/>
        </w:rPr>
        <w:t>《危险化学品名录》（2015 版）十部门 2015 年第 5 号</w:t>
      </w:r>
    </w:p>
    <w:p>
      <w:pPr>
        <w:pStyle w:val="4"/>
        <w:rPr>
          <w:rFonts w:hint="eastAsia"/>
          <w:color w:val="auto"/>
        </w:rPr>
      </w:pPr>
      <w:bookmarkStart w:id="852" w:name="_Toc14857"/>
      <w:bookmarkStart w:id="853" w:name="_Toc22987"/>
      <w:bookmarkStart w:id="854" w:name="_Toc18464"/>
      <w:bookmarkStart w:id="855" w:name="_Toc14735"/>
      <w:bookmarkStart w:id="856" w:name="_Toc21989"/>
      <w:bookmarkStart w:id="857" w:name="_Toc22600"/>
      <w:r>
        <w:rPr>
          <w:rFonts w:hint="eastAsia"/>
          <w:color w:val="auto"/>
        </w:rPr>
        <w:t>B.1.2 主要危险物质分析</w:t>
      </w:r>
      <w:bookmarkEnd w:id="852"/>
      <w:bookmarkEnd w:id="853"/>
      <w:bookmarkEnd w:id="854"/>
      <w:bookmarkEnd w:id="855"/>
      <w:bookmarkEnd w:id="856"/>
      <w:bookmarkEnd w:id="857"/>
    </w:p>
    <w:p>
      <w:pPr>
        <w:ind w:firstLine="560" w:firstLineChars="200"/>
        <w:rPr>
          <w:rFonts w:hint="eastAsia"/>
          <w:color w:val="auto"/>
        </w:rPr>
      </w:pPr>
      <w:r>
        <w:rPr>
          <w:rFonts w:hint="eastAsia"/>
          <w:color w:val="auto"/>
        </w:rPr>
        <w:t>1.原辅材料</w:t>
      </w:r>
    </w:p>
    <w:p>
      <w:pPr>
        <w:ind w:firstLine="560" w:firstLineChars="200"/>
        <w:rPr>
          <w:rFonts w:hint="eastAsia"/>
          <w:color w:val="auto"/>
        </w:rPr>
      </w:pPr>
      <w:r>
        <w:rPr>
          <w:rFonts w:hint="eastAsia"/>
          <w:color w:val="auto"/>
        </w:rPr>
        <w:t>该项目生产过程中涉及危险化学品为</w:t>
      </w:r>
      <w:r>
        <w:rPr>
          <w:rFonts w:hint="eastAsia"/>
          <w:color w:val="auto"/>
          <w:lang w:val="en-US" w:eastAsia="zh-CN"/>
        </w:rPr>
        <w:t>甲基丙烯酸甲酯</w:t>
      </w:r>
      <w:r>
        <w:rPr>
          <w:rFonts w:hint="eastAsia"/>
          <w:color w:val="auto"/>
        </w:rPr>
        <w:t>、</w:t>
      </w:r>
      <w:r>
        <w:rPr>
          <w:rFonts w:hint="eastAsia"/>
          <w:color w:val="auto"/>
          <w:lang w:val="en-US" w:eastAsia="zh-CN"/>
        </w:rPr>
        <w:t>对苯二酚、甲醇、甲基丙烯酸、丙烯酸甲酯</w:t>
      </w:r>
      <w:r>
        <w:rPr>
          <w:rFonts w:hint="eastAsia"/>
          <w:color w:val="auto"/>
        </w:rPr>
        <w:t>。</w:t>
      </w:r>
    </w:p>
    <w:p>
      <w:pPr>
        <w:ind w:firstLine="560" w:firstLineChars="200"/>
        <w:rPr>
          <w:rFonts w:hint="eastAsia"/>
          <w:color w:val="auto"/>
        </w:rPr>
      </w:pPr>
      <w:r>
        <w:rPr>
          <w:rFonts w:hint="eastAsia"/>
          <w:color w:val="auto"/>
        </w:rPr>
        <w:t>其他原辅材料为柴油（发电机用）、氮气（压缩的）。</w:t>
      </w:r>
    </w:p>
    <w:p>
      <w:pPr>
        <w:pStyle w:val="3"/>
        <w:rPr>
          <w:rFonts w:hint="eastAsia"/>
          <w:color w:val="auto"/>
        </w:rPr>
      </w:pPr>
      <w:bookmarkStart w:id="858" w:name="_Toc30448"/>
      <w:bookmarkStart w:id="859" w:name="_Toc12910"/>
      <w:bookmarkStart w:id="860" w:name="_Toc24785"/>
      <w:bookmarkStart w:id="861" w:name="_Toc23444"/>
      <w:bookmarkStart w:id="862" w:name="_Toc10489"/>
      <w:bookmarkStart w:id="863" w:name="_Toc27500"/>
      <w:r>
        <w:rPr>
          <w:rFonts w:hint="eastAsia"/>
          <w:color w:val="auto"/>
        </w:rPr>
        <w:t>B.2 危险、有害因素的辨识</w:t>
      </w:r>
      <w:bookmarkEnd w:id="858"/>
      <w:bookmarkEnd w:id="859"/>
      <w:bookmarkEnd w:id="860"/>
      <w:bookmarkEnd w:id="861"/>
      <w:bookmarkEnd w:id="862"/>
      <w:bookmarkEnd w:id="863"/>
    </w:p>
    <w:p>
      <w:pPr>
        <w:pStyle w:val="4"/>
        <w:rPr>
          <w:rFonts w:hint="eastAsia"/>
          <w:color w:val="auto"/>
        </w:rPr>
      </w:pPr>
      <w:bookmarkStart w:id="864" w:name="_Toc12357"/>
      <w:bookmarkStart w:id="865" w:name="_Toc26727"/>
      <w:bookmarkStart w:id="866" w:name="_Toc5975"/>
      <w:bookmarkStart w:id="867" w:name="_Toc25081"/>
      <w:bookmarkStart w:id="868" w:name="_Toc29779"/>
      <w:bookmarkStart w:id="869" w:name="_Toc32665"/>
      <w:r>
        <w:rPr>
          <w:rFonts w:hint="eastAsia"/>
          <w:color w:val="auto"/>
        </w:rPr>
        <w:t>B.2.1 辨识依据及产生原因</w:t>
      </w:r>
      <w:bookmarkEnd w:id="864"/>
      <w:bookmarkEnd w:id="865"/>
      <w:bookmarkEnd w:id="866"/>
      <w:bookmarkEnd w:id="867"/>
      <w:bookmarkEnd w:id="868"/>
      <w:bookmarkEnd w:id="869"/>
    </w:p>
    <w:p>
      <w:pPr>
        <w:ind w:firstLine="562" w:firstLineChars="200"/>
        <w:rPr>
          <w:rFonts w:hint="eastAsia"/>
          <w:b/>
          <w:bCs/>
          <w:color w:val="auto"/>
        </w:rPr>
      </w:pPr>
      <w:r>
        <w:rPr>
          <w:rFonts w:hint="eastAsia"/>
          <w:b/>
          <w:bCs/>
          <w:color w:val="auto"/>
        </w:rPr>
        <w:t>1.依据</w:t>
      </w:r>
    </w:p>
    <w:p>
      <w:pPr>
        <w:ind w:firstLine="560" w:firstLineChars="200"/>
        <w:rPr>
          <w:rFonts w:hint="eastAsia"/>
          <w:color w:val="auto"/>
        </w:rPr>
      </w:pPr>
      <w:r>
        <w:rPr>
          <w:rFonts w:hint="eastAsia"/>
          <w:color w:val="auto"/>
        </w:rPr>
        <w:t>危险因素是指能对人造成伤亡或对物造成突发性损坏的因素，有害因素</w:t>
      </w:r>
    </w:p>
    <w:p>
      <w:pPr>
        <w:rPr>
          <w:rFonts w:hint="eastAsia"/>
          <w:color w:val="auto"/>
        </w:rPr>
      </w:pPr>
      <w:r>
        <w:rPr>
          <w:rFonts w:hint="eastAsia"/>
          <w:color w:val="auto"/>
        </w:rPr>
        <w:t>是指能影响人的身体健康，导致疾病，或对物造成慢性损坏的因素。危险、</w:t>
      </w:r>
    </w:p>
    <w:p>
      <w:pPr>
        <w:rPr>
          <w:rFonts w:hint="eastAsia"/>
          <w:color w:val="auto"/>
        </w:rPr>
      </w:pPr>
      <w:r>
        <w:rPr>
          <w:rFonts w:hint="eastAsia"/>
          <w:color w:val="auto"/>
        </w:rPr>
        <w:t>有害因素分析是安全评价的重要环节，也是安全评价的基础。</w:t>
      </w:r>
    </w:p>
    <w:p>
      <w:pPr>
        <w:ind w:firstLine="560" w:firstLineChars="200"/>
        <w:rPr>
          <w:rFonts w:hint="eastAsia"/>
          <w:color w:val="auto"/>
        </w:rPr>
      </w:pPr>
      <w:r>
        <w:rPr>
          <w:rFonts w:hint="eastAsia"/>
          <w:color w:val="auto"/>
        </w:rPr>
        <w:t>对该项目的危险、有害因素进行辨识，依据《生产过程危险和有害因素</w:t>
      </w:r>
    </w:p>
    <w:p>
      <w:pPr>
        <w:rPr>
          <w:rFonts w:hint="eastAsia"/>
          <w:color w:val="auto"/>
        </w:rPr>
      </w:pPr>
      <w:r>
        <w:rPr>
          <w:rFonts w:hint="eastAsia"/>
          <w:color w:val="auto"/>
        </w:rPr>
        <w:t>分类与代码》GB/T13861-2022 和《企业职工伤亡事故分类》GB6441-1986 的</w:t>
      </w:r>
    </w:p>
    <w:p>
      <w:pPr>
        <w:rPr>
          <w:rFonts w:hint="eastAsia"/>
          <w:color w:val="auto"/>
        </w:rPr>
      </w:pPr>
      <w:r>
        <w:rPr>
          <w:rFonts w:hint="eastAsia"/>
          <w:color w:val="auto"/>
        </w:rPr>
        <w:t>同时，通过对该项目的厂址、平面布局、建（构）筑物、物质、生产工艺及设备、辅助生产设施（含公用工程）及职业卫生等方面进行分析而得出。</w:t>
      </w:r>
    </w:p>
    <w:p>
      <w:pPr>
        <w:ind w:firstLine="562" w:firstLineChars="200"/>
        <w:rPr>
          <w:rFonts w:hint="eastAsia"/>
          <w:b/>
          <w:bCs/>
          <w:color w:val="auto"/>
        </w:rPr>
      </w:pPr>
      <w:r>
        <w:rPr>
          <w:rFonts w:hint="eastAsia"/>
          <w:b/>
          <w:bCs/>
          <w:color w:val="auto"/>
        </w:rPr>
        <w:t>2.产生原因</w:t>
      </w:r>
    </w:p>
    <w:p>
      <w:pPr>
        <w:ind w:firstLine="560" w:firstLineChars="200"/>
        <w:rPr>
          <w:rFonts w:hint="eastAsia"/>
          <w:color w:val="auto"/>
        </w:rPr>
      </w:pPr>
      <w:r>
        <w:rPr>
          <w:rFonts w:hint="eastAsia"/>
          <w:color w:val="auto"/>
        </w:rPr>
        <w:t>危险、危害因素尽管表现形式不同，但从本质上讲，之所以能造成危险、</w:t>
      </w:r>
    </w:p>
    <w:p>
      <w:pPr>
        <w:rPr>
          <w:rFonts w:hint="eastAsia"/>
          <w:color w:val="auto"/>
        </w:rPr>
      </w:pPr>
      <w:r>
        <w:rPr>
          <w:rFonts w:hint="eastAsia"/>
          <w:color w:val="auto"/>
        </w:rPr>
        <w:t>危害后果（发生伤亡事故、损害人身健康和造成物的损坏等），均可归结为存在能量、有害物质和能量、有害物质失去控制等方面因素的综合作用，并导致能量的意外释放或有害物质泄漏、扩散的结果。存在能量、有害物质和失控是危险、危害因素产生的根本原因。危险、危害因素主要产生原因如下：</w:t>
      </w:r>
    </w:p>
    <w:p>
      <w:pPr>
        <w:ind w:firstLine="560" w:firstLineChars="200"/>
        <w:rPr>
          <w:rFonts w:hint="eastAsia"/>
          <w:color w:val="auto"/>
        </w:rPr>
      </w:pPr>
      <w:r>
        <w:rPr>
          <w:rFonts w:hint="eastAsia"/>
          <w:color w:val="auto"/>
        </w:rPr>
        <w:t>1.能量、有害物质</w:t>
      </w:r>
    </w:p>
    <w:p>
      <w:pPr>
        <w:ind w:firstLine="560" w:firstLineChars="200"/>
        <w:rPr>
          <w:rFonts w:hint="eastAsia"/>
          <w:color w:val="auto"/>
        </w:rPr>
      </w:pPr>
      <w:r>
        <w:rPr>
          <w:rFonts w:hint="eastAsia"/>
          <w:color w:val="auto"/>
        </w:rPr>
        <w:t>能量、有害物质是危险、危害因素产生的根源，也是最根本的危险、危</w:t>
      </w:r>
    </w:p>
    <w:p>
      <w:pPr>
        <w:rPr>
          <w:rFonts w:hint="eastAsia"/>
          <w:color w:val="auto"/>
        </w:rPr>
      </w:pPr>
      <w:r>
        <w:rPr>
          <w:rFonts w:hint="eastAsia"/>
          <w:color w:val="auto"/>
        </w:rPr>
        <w:t>害因素。一般地说，系统具有的能量越大、存在的危害物质的数量越多，系</w:t>
      </w:r>
    </w:p>
    <w:p>
      <w:pPr>
        <w:rPr>
          <w:rFonts w:hint="eastAsia"/>
          <w:color w:val="auto"/>
        </w:rPr>
      </w:pPr>
      <w:r>
        <w:rPr>
          <w:rFonts w:hint="eastAsia"/>
          <w:color w:val="auto"/>
        </w:rPr>
        <w:t>统的潜在危险性和危害性也越大。另一方面，只要进行生产活动，就需要相</w:t>
      </w:r>
    </w:p>
    <w:p>
      <w:pPr>
        <w:rPr>
          <w:rFonts w:hint="eastAsia"/>
          <w:color w:val="auto"/>
        </w:rPr>
      </w:pPr>
      <w:r>
        <w:rPr>
          <w:rFonts w:hint="eastAsia"/>
          <w:color w:val="auto"/>
        </w:rPr>
        <w:t>应的能量和物质（包括有害物质），因此生产活动中的危险、危害因素是客观存在的，是不能完全消除的。</w:t>
      </w:r>
    </w:p>
    <w:p>
      <w:pPr>
        <w:ind w:firstLine="560" w:firstLineChars="200"/>
        <w:rPr>
          <w:rFonts w:hint="eastAsia"/>
          <w:color w:val="auto"/>
        </w:rPr>
      </w:pPr>
      <w:r>
        <w:rPr>
          <w:rFonts w:hint="eastAsia"/>
          <w:color w:val="auto"/>
        </w:rPr>
        <w:t>1）能量就是做工的能力。它即可以造福人类，也可能造成人员伤亡和财产损失。一切产生、供给能量的能源和能量的载体在一定条件下，都可能是危险、危害因素。</w:t>
      </w:r>
    </w:p>
    <w:p>
      <w:pPr>
        <w:ind w:firstLine="560" w:firstLineChars="200"/>
        <w:rPr>
          <w:rFonts w:hint="eastAsia"/>
          <w:color w:val="auto"/>
        </w:rPr>
      </w:pPr>
      <w:r>
        <w:rPr>
          <w:rFonts w:hint="eastAsia"/>
          <w:color w:val="auto"/>
        </w:rPr>
        <w:t>2）有害物质在一定条件下能损伤人体的生理机能和正常代谢功能，破</w:t>
      </w:r>
    </w:p>
    <w:p>
      <w:pPr>
        <w:rPr>
          <w:rFonts w:hint="eastAsia"/>
          <w:color w:val="auto"/>
        </w:rPr>
      </w:pPr>
      <w:r>
        <w:rPr>
          <w:rFonts w:hint="eastAsia"/>
          <w:color w:val="auto"/>
        </w:rPr>
        <w:t>坏设备和物品的效能，也是主要的危险、危害因素。</w:t>
      </w:r>
    </w:p>
    <w:p>
      <w:pPr>
        <w:ind w:firstLine="560" w:firstLineChars="200"/>
        <w:rPr>
          <w:rFonts w:hint="eastAsia"/>
          <w:color w:val="auto"/>
        </w:rPr>
      </w:pPr>
      <w:r>
        <w:rPr>
          <w:rFonts w:hint="eastAsia"/>
          <w:color w:val="auto"/>
        </w:rPr>
        <w:t>2.失控</w:t>
      </w:r>
    </w:p>
    <w:p>
      <w:pPr>
        <w:ind w:firstLine="560" w:firstLineChars="200"/>
        <w:rPr>
          <w:rFonts w:hint="eastAsia"/>
          <w:color w:val="auto"/>
        </w:rPr>
      </w:pPr>
      <w:r>
        <w:rPr>
          <w:rFonts w:hint="eastAsia"/>
          <w:color w:val="auto"/>
        </w:rPr>
        <w:t>在生产中，人们通过工艺和工艺装备使能量、物质（包括有害物质）按</w:t>
      </w:r>
    </w:p>
    <w:p>
      <w:pPr>
        <w:rPr>
          <w:rFonts w:hint="eastAsia"/>
          <w:color w:val="auto"/>
        </w:rPr>
      </w:pPr>
      <w:r>
        <w:rPr>
          <w:rFonts w:hint="eastAsia"/>
          <w:color w:val="auto"/>
        </w:rPr>
        <w:t>人们的意愿在系统中流动、转换，进行生产。同时又必须结束和控制这些能</w:t>
      </w:r>
    </w:p>
    <w:p>
      <w:pPr>
        <w:rPr>
          <w:rFonts w:hint="eastAsia"/>
          <w:color w:val="auto"/>
        </w:rPr>
      </w:pPr>
      <w:r>
        <w:rPr>
          <w:rFonts w:hint="eastAsia"/>
          <w:color w:val="auto"/>
        </w:rPr>
        <w:t>量及有害物质，消除、减少产生不良后果的条件，使之不能发生危险、危害</w:t>
      </w:r>
    </w:p>
    <w:p>
      <w:pPr>
        <w:rPr>
          <w:rFonts w:hint="eastAsia"/>
          <w:color w:val="auto"/>
        </w:rPr>
      </w:pPr>
      <w:r>
        <w:rPr>
          <w:rFonts w:hint="eastAsia"/>
          <w:color w:val="auto"/>
        </w:rPr>
        <w:t>后果。如果发生失控(没有采取控制、屏蔽措施或控制、屏蔽措施失效)，就会发生能量、危害物质的意外释放和泄漏，从而造成人员伤害和财产损失。</w:t>
      </w:r>
    </w:p>
    <w:p>
      <w:pPr>
        <w:rPr>
          <w:rFonts w:hint="eastAsia"/>
          <w:color w:val="auto"/>
        </w:rPr>
      </w:pPr>
      <w:r>
        <w:rPr>
          <w:rFonts w:hint="eastAsia"/>
          <w:color w:val="auto"/>
        </w:rPr>
        <w:t>所以失控也是一类危险、危害因素，它主要体现在设备故障(或缺陷)、人员</w:t>
      </w:r>
    </w:p>
    <w:p>
      <w:pPr>
        <w:rPr>
          <w:rFonts w:hint="eastAsia"/>
          <w:color w:val="auto"/>
        </w:rPr>
      </w:pPr>
      <w:r>
        <w:rPr>
          <w:rFonts w:hint="eastAsia"/>
          <w:color w:val="auto"/>
        </w:rPr>
        <w:t>失误和管理缺陷 3 个方面。此外环境因素是引起失控的间接原因。</w:t>
      </w:r>
    </w:p>
    <w:p>
      <w:pPr>
        <w:ind w:firstLine="560" w:firstLineChars="200"/>
        <w:rPr>
          <w:rFonts w:hint="eastAsia"/>
          <w:color w:val="auto"/>
        </w:rPr>
      </w:pPr>
      <w:r>
        <w:rPr>
          <w:rFonts w:hint="eastAsia"/>
          <w:color w:val="auto"/>
        </w:rPr>
        <w:t>1）故障（包括生产、控制、安全装置和辅助设施等故障）</w:t>
      </w:r>
    </w:p>
    <w:p>
      <w:pPr>
        <w:ind w:firstLine="560" w:firstLineChars="200"/>
        <w:rPr>
          <w:rFonts w:hint="eastAsia"/>
          <w:color w:val="auto"/>
        </w:rPr>
      </w:pPr>
      <w:r>
        <w:rPr>
          <w:rFonts w:hint="eastAsia"/>
          <w:color w:val="auto"/>
        </w:rPr>
        <w:t>故障(含缺陷)是指系统、设备、元件等在运行过程中由于性能(含安全性</w:t>
      </w:r>
    </w:p>
    <w:p>
      <w:pPr>
        <w:rPr>
          <w:rFonts w:hint="eastAsia"/>
          <w:color w:val="auto"/>
        </w:rPr>
      </w:pPr>
      <w:r>
        <w:rPr>
          <w:rFonts w:hint="eastAsia"/>
          <w:color w:val="auto"/>
        </w:rPr>
        <w:t>能)低下而不能实现预定功能(包括安全功能)的现象。故障的发生具有随机性、</w:t>
      </w:r>
    </w:p>
    <w:p>
      <w:pPr>
        <w:rPr>
          <w:rFonts w:hint="eastAsia"/>
          <w:color w:val="auto"/>
        </w:rPr>
      </w:pPr>
      <w:r>
        <w:rPr>
          <w:rFonts w:hint="eastAsia"/>
          <w:color w:val="auto"/>
        </w:rPr>
        <w:t>渐近性或突发性。造成故障发生的原因很复杂（设计、制造、磨损、疲劳、</w:t>
      </w:r>
    </w:p>
    <w:p>
      <w:pPr>
        <w:rPr>
          <w:rFonts w:hint="eastAsia"/>
          <w:color w:val="auto"/>
        </w:rPr>
      </w:pPr>
      <w:r>
        <w:rPr>
          <w:rFonts w:hint="eastAsia"/>
          <w:color w:val="auto"/>
        </w:rPr>
        <w:t>老化、检查和维修、保养、人员失误、环境和其他系统的影响等），通过定期</w:t>
      </w:r>
      <w:r>
        <w:rPr>
          <w:rFonts w:hint="eastAsia"/>
          <w:color w:val="auto"/>
          <w:lang w:val="en-US" w:eastAsia="zh-CN"/>
        </w:rPr>
        <w:t xml:space="preserve"> </w:t>
      </w:r>
      <w:r>
        <w:rPr>
          <w:rFonts w:hint="eastAsia"/>
          <w:color w:val="auto"/>
        </w:rPr>
        <w:t>检查维修保养和分析总结可使多数故障在预定期间内得到控制（避免或减少）。掌握各类故障发生的规律是防止故障发生的重要手段，这需要应用大</w:t>
      </w:r>
      <w:r>
        <w:rPr>
          <w:rFonts w:hint="eastAsia"/>
          <w:color w:val="auto"/>
          <w:lang w:val="en-US" w:eastAsia="zh-CN"/>
        </w:rPr>
        <w:t xml:space="preserve"> </w:t>
      </w:r>
      <w:r>
        <w:rPr>
          <w:rFonts w:hint="eastAsia"/>
          <w:color w:val="auto"/>
        </w:rPr>
        <w:t>量统计数据和概率统计的方法进行分析和研究。</w:t>
      </w:r>
    </w:p>
    <w:p>
      <w:pPr>
        <w:ind w:firstLine="560" w:firstLineChars="200"/>
        <w:rPr>
          <w:rFonts w:hint="eastAsia"/>
          <w:color w:val="auto"/>
        </w:rPr>
      </w:pPr>
      <w:r>
        <w:rPr>
          <w:rFonts w:hint="eastAsia"/>
          <w:color w:val="auto"/>
        </w:rPr>
        <w:t>2）人员失误</w:t>
      </w:r>
    </w:p>
    <w:p>
      <w:pPr>
        <w:ind w:firstLine="560" w:firstLineChars="200"/>
        <w:rPr>
          <w:rFonts w:hint="eastAsia"/>
          <w:color w:val="auto"/>
        </w:rPr>
      </w:pPr>
      <w:r>
        <w:rPr>
          <w:rFonts w:hint="eastAsia"/>
          <w:color w:val="auto"/>
        </w:rPr>
        <w:t>人员失误泛指不安全行为中产生不良后果的行为(即职工在劳动过程中，</w:t>
      </w:r>
    </w:p>
    <w:p>
      <w:pPr>
        <w:rPr>
          <w:rFonts w:hint="eastAsia"/>
          <w:color w:val="auto"/>
        </w:rPr>
      </w:pPr>
      <w:r>
        <w:rPr>
          <w:rFonts w:hint="eastAsia"/>
          <w:color w:val="auto"/>
        </w:rPr>
        <w:t>违反劳动纪律、操作程序和操作方法等具有危险性的做法)。人员失误在一定经济、技术条件下，是引发危险、危害因素的重要因素。人员失误在规律和失误率通过大量的观测、统计和分析，是可以预测。</w:t>
      </w:r>
    </w:p>
    <w:p>
      <w:pPr>
        <w:ind w:firstLine="560" w:firstLineChars="200"/>
        <w:rPr>
          <w:rFonts w:hint="eastAsia"/>
          <w:color w:val="auto"/>
        </w:rPr>
      </w:pPr>
      <w:r>
        <w:rPr>
          <w:rFonts w:hint="eastAsia"/>
          <w:color w:val="auto"/>
        </w:rPr>
        <w:t>我国《企业职工伤亡事故分类标准》（GB 6441—1986）附录中将不安全行为归纳为操作失误(忽视安全、忽视警告)、造成安全装置失效、使用不安全设备、手代替工具操作、物体存放不当、冒险进入危险场所、攀坐不安全位置、在吊物下作业(停留)、机器运转时加油(修理、检查、调整、清扫等)、</w:t>
      </w:r>
    </w:p>
    <w:p>
      <w:pPr>
        <w:rPr>
          <w:rFonts w:hint="eastAsia"/>
          <w:color w:val="auto"/>
        </w:rPr>
      </w:pPr>
      <w:r>
        <w:rPr>
          <w:rFonts w:hint="eastAsia"/>
          <w:color w:val="auto"/>
        </w:rPr>
        <w:t>有分散注意力行为、忽视使用必须使用的个人防护用品或用具、不安全装束、</w:t>
      </w:r>
    </w:p>
    <w:p>
      <w:pPr>
        <w:rPr>
          <w:rFonts w:hint="eastAsia"/>
          <w:color w:val="auto"/>
        </w:rPr>
      </w:pPr>
      <w:r>
        <w:rPr>
          <w:rFonts w:hint="eastAsia"/>
          <w:color w:val="auto"/>
        </w:rPr>
        <w:t>对易燃易爆等危险品处理错误等 13 类。</w:t>
      </w:r>
    </w:p>
    <w:p>
      <w:pPr>
        <w:numPr>
          <w:ilvl w:val="0"/>
          <w:numId w:val="0"/>
        </w:numPr>
        <w:ind w:firstLine="560" w:firstLineChars="200"/>
        <w:rPr>
          <w:rFonts w:hint="eastAsia"/>
          <w:color w:val="auto"/>
        </w:rPr>
      </w:pPr>
      <w:r>
        <w:rPr>
          <w:rFonts w:hint="eastAsia" w:ascii="Times New Roman" w:hAnsi="Times New Roman" w:eastAsia="宋体" w:cs="Times New Roman"/>
          <w:color w:val="auto"/>
          <w:kern w:val="2"/>
          <w:sz w:val="28"/>
          <w:szCs w:val="24"/>
          <w:lang w:val="en-US" w:eastAsia="zh-CN" w:bidi="ar-SA"/>
        </w:rPr>
        <w:t>3）</w:t>
      </w:r>
      <w:r>
        <w:rPr>
          <w:rFonts w:hint="eastAsia"/>
          <w:color w:val="auto"/>
        </w:rPr>
        <w:t>管理缺陷</w:t>
      </w:r>
    </w:p>
    <w:p>
      <w:pPr>
        <w:numPr>
          <w:ilvl w:val="-1"/>
          <w:numId w:val="0"/>
        </w:numPr>
        <w:ind w:firstLine="560" w:firstLineChars="200"/>
        <w:rPr>
          <w:rFonts w:hint="eastAsia"/>
          <w:color w:val="auto"/>
        </w:rPr>
      </w:pPr>
      <w:r>
        <w:rPr>
          <w:rFonts w:hint="eastAsia"/>
          <w:color w:val="auto"/>
        </w:rPr>
        <w:t>安全生产管理是为保证及时、有效地实现目标，在预测、分析的基础上</w:t>
      </w:r>
    </w:p>
    <w:p>
      <w:pPr>
        <w:numPr>
          <w:ilvl w:val="-1"/>
          <w:numId w:val="0"/>
        </w:numPr>
        <w:ind w:firstLine="0" w:firstLineChars="0"/>
        <w:rPr>
          <w:rFonts w:hint="eastAsia"/>
          <w:color w:val="auto"/>
        </w:rPr>
      </w:pPr>
      <w:r>
        <w:rPr>
          <w:rFonts w:hint="eastAsia"/>
          <w:color w:val="auto"/>
        </w:rPr>
        <w:t>进行的计划、组织、协调、检查等工作，是预防发生事故和人员失误的有效</w:t>
      </w:r>
    </w:p>
    <w:p>
      <w:pPr>
        <w:numPr>
          <w:ilvl w:val="-1"/>
          <w:numId w:val="0"/>
        </w:numPr>
        <w:ind w:firstLine="0" w:firstLineChars="0"/>
        <w:rPr>
          <w:rFonts w:hint="eastAsia"/>
          <w:color w:val="auto"/>
        </w:rPr>
      </w:pPr>
      <w:r>
        <w:rPr>
          <w:rFonts w:hint="eastAsia"/>
          <w:color w:val="auto"/>
        </w:rPr>
        <w:t>手段。管理缺陷是影响失控发生的重要因素。</w:t>
      </w:r>
    </w:p>
    <w:p>
      <w:pPr>
        <w:numPr>
          <w:ilvl w:val="-1"/>
          <w:numId w:val="0"/>
        </w:numPr>
        <w:ind w:firstLine="560" w:firstLineChars="200"/>
        <w:rPr>
          <w:rFonts w:hint="eastAsia"/>
          <w:color w:val="auto"/>
        </w:rPr>
      </w:pPr>
      <w:r>
        <w:rPr>
          <w:rFonts w:hint="eastAsia"/>
          <w:color w:val="auto"/>
        </w:rPr>
        <w:t>4）客观因素</w:t>
      </w:r>
    </w:p>
    <w:p>
      <w:pPr>
        <w:numPr>
          <w:ilvl w:val="-1"/>
          <w:numId w:val="0"/>
        </w:numPr>
        <w:ind w:firstLine="560" w:firstLineChars="200"/>
        <w:rPr>
          <w:rFonts w:hint="eastAsia"/>
          <w:color w:val="auto"/>
        </w:rPr>
      </w:pPr>
      <w:r>
        <w:rPr>
          <w:rFonts w:hint="eastAsia"/>
          <w:color w:val="auto"/>
        </w:rPr>
        <w:t>温度、湿度、风雨雪、照明、视野、噪声、振动、通风换气、色彩等环</w:t>
      </w:r>
    </w:p>
    <w:p>
      <w:pPr>
        <w:numPr>
          <w:ilvl w:val="-1"/>
          <w:numId w:val="0"/>
        </w:numPr>
        <w:ind w:firstLine="0" w:firstLineChars="0"/>
        <w:rPr>
          <w:rFonts w:hint="eastAsia"/>
          <w:color w:val="auto"/>
        </w:rPr>
      </w:pPr>
      <w:r>
        <w:rPr>
          <w:rFonts w:hint="eastAsia"/>
          <w:color w:val="auto"/>
        </w:rPr>
        <w:t>境因素都会引起设备故障或人员失误，也是发生失控的间接因素。</w:t>
      </w:r>
    </w:p>
    <w:p>
      <w:pPr>
        <w:pStyle w:val="4"/>
        <w:rPr>
          <w:rFonts w:hint="eastAsia"/>
          <w:color w:val="auto"/>
        </w:rPr>
      </w:pPr>
      <w:bookmarkStart w:id="870" w:name="_Toc18737"/>
      <w:bookmarkStart w:id="871" w:name="_Toc12278"/>
      <w:bookmarkStart w:id="872" w:name="_Toc22194"/>
      <w:bookmarkStart w:id="873" w:name="_Toc24833"/>
      <w:bookmarkStart w:id="874" w:name="_Toc27132"/>
      <w:bookmarkStart w:id="875" w:name="_Toc20525"/>
      <w:r>
        <w:rPr>
          <w:rFonts w:hint="eastAsia"/>
          <w:color w:val="auto"/>
        </w:rPr>
        <w:t>B.2.2 项目厂址与总平危险有害因素辨识分析</w:t>
      </w:r>
      <w:bookmarkEnd w:id="870"/>
      <w:bookmarkEnd w:id="871"/>
      <w:bookmarkEnd w:id="872"/>
      <w:bookmarkEnd w:id="873"/>
      <w:bookmarkEnd w:id="874"/>
      <w:bookmarkEnd w:id="875"/>
    </w:p>
    <w:p>
      <w:pPr>
        <w:pStyle w:val="5"/>
        <w:rPr>
          <w:rFonts w:hint="eastAsia"/>
          <w:color w:val="auto"/>
        </w:rPr>
      </w:pPr>
      <w:r>
        <w:rPr>
          <w:rFonts w:hint="eastAsia"/>
          <w:color w:val="auto"/>
        </w:rPr>
        <w:t>B.2.2.1 项目厂址危险有害因素辨识分析</w:t>
      </w:r>
    </w:p>
    <w:p>
      <w:pPr>
        <w:numPr>
          <w:ilvl w:val="-1"/>
          <w:numId w:val="0"/>
        </w:numPr>
        <w:ind w:firstLine="560" w:firstLineChars="200"/>
        <w:rPr>
          <w:rFonts w:hint="eastAsia"/>
          <w:color w:val="auto"/>
        </w:rPr>
      </w:pPr>
      <w:r>
        <w:rPr>
          <w:rFonts w:hint="eastAsia"/>
          <w:color w:val="auto"/>
        </w:rPr>
        <w:t>江西</w:t>
      </w:r>
      <w:r>
        <w:rPr>
          <w:rFonts w:hint="eastAsia"/>
          <w:color w:val="auto"/>
          <w:lang w:val="en-US" w:eastAsia="zh-CN"/>
        </w:rPr>
        <w:t>旺达</w:t>
      </w:r>
      <w:r>
        <w:rPr>
          <w:rFonts w:hint="eastAsia"/>
          <w:color w:val="auto"/>
        </w:rPr>
        <w:t>新材料有限公司建设项目拟建设于江西省</w:t>
      </w:r>
      <w:r>
        <w:rPr>
          <w:rFonts w:hint="eastAsia"/>
          <w:color w:val="auto"/>
          <w:lang w:val="en-US" w:eastAsia="zh-CN"/>
        </w:rPr>
        <w:t>宜春</w:t>
      </w:r>
      <w:r>
        <w:rPr>
          <w:rFonts w:hint="eastAsia"/>
          <w:color w:val="auto"/>
        </w:rPr>
        <w:t>市</w:t>
      </w:r>
      <w:r>
        <w:rPr>
          <w:rFonts w:hint="eastAsia"/>
          <w:color w:val="auto"/>
          <w:lang w:val="en-US" w:eastAsia="zh-CN"/>
        </w:rPr>
        <w:t>袁州区医药工业园化工集中区</w:t>
      </w:r>
      <w:r>
        <w:rPr>
          <w:rFonts w:hint="eastAsia"/>
          <w:color w:val="auto"/>
        </w:rPr>
        <w:t>内；厂址周边 1000m 范围内存在居民区，厂址东面为</w:t>
      </w:r>
      <w:r>
        <w:rPr>
          <w:rFonts w:hint="eastAsia"/>
          <w:color w:val="auto"/>
          <w:lang w:val="en-US" w:eastAsia="zh-CN"/>
        </w:rPr>
        <w:t>银岭</w:t>
      </w:r>
      <w:r>
        <w:rPr>
          <w:rFonts w:hint="eastAsia"/>
          <w:color w:val="auto"/>
        </w:rPr>
        <w:t>路，</w:t>
      </w:r>
      <w:r>
        <w:rPr>
          <w:rFonts w:hint="eastAsia"/>
          <w:color w:val="auto"/>
          <w:lang w:val="en-US" w:eastAsia="zh-CN"/>
        </w:rPr>
        <w:t>路西侧有一条架空电力线（10KV，H=12m），隔银岭路</w:t>
      </w:r>
      <w:r>
        <w:rPr>
          <w:rFonts w:hint="eastAsia"/>
          <w:color w:val="auto"/>
        </w:rPr>
        <w:t>为</w:t>
      </w:r>
      <w:r>
        <w:rPr>
          <w:rFonts w:hint="eastAsia"/>
          <w:color w:val="auto"/>
          <w:sz w:val="28"/>
          <w:szCs w:val="28"/>
          <w:lang w:val="en-US" w:eastAsia="zh-CN"/>
        </w:rPr>
        <w:t>宜春市袁州区悦峰新材料有限公司</w:t>
      </w:r>
      <w:r>
        <w:rPr>
          <w:rFonts w:hint="eastAsia"/>
          <w:color w:val="auto"/>
        </w:rPr>
        <w:t>；西面为</w:t>
      </w:r>
      <w:r>
        <w:rPr>
          <w:rFonts w:hint="eastAsia"/>
          <w:color w:val="auto"/>
          <w:lang w:val="en-US" w:eastAsia="zh-CN"/>
        </w:rPr>
        <w:t>空地、</w:t>
      </w:r>
      <w:r>
        <w:rPr>
          <w:rFonts w:hint="eastAsia"/>
          <w:color w:val="auto"/>
        </w:rPr>
        <w:t>山坡；</w:t>
      </w:r>
      <w:r>
        <w:rPr>
          <w:rFonts w:hint="eastAsia"/>
          <w:color w:val="auto"/>
          <w:lang w:val="en-US" w:eastAsia="zh-CN"/>
        </w:rPr>
        <w:t>南面为湖西路、隔湖西路为山林；北面为山体、隔山体为江西丰日电源有限公司。</w:t>
      </w:r>
      <w:r>
        <w:rPr>
          <w:rFonts w:hint="eastAsia"/>
          <w:color w:val="auto"/>
        </w:rPr>
        <w:t>根据区域地质资料和勘察表明，规划区内的用地条件较好，区域位于扬子板块与华南板块对接带之萍（乡）乐（平）构造带西南端南侧，地质构造复杂，褶皱和断裂发育，且二者走向均呈北东向，地表除零星出露石炭纪～二叠纪碳酸盐岩～碳酸盐岩与碎屑岩不等互层外，绝大部分为第四纪冲积层和残积层，其中全新统冲积层具二元结构，主要分布于袁河及次级支流两岸；上更新统冲积层零星分布于袁河二级阶地；残积层则广泛分布于全区。该项目所在的</w:t>
      </w:r>
      <w:r>
        <w:rPr>
          <w:rFonts w:hint="eastAsia"/>
          <w:color w:val="auto"/>
          <w:lang w:val="en-US" w:eastAsia="zh-CN"/>
        </w:rPr>
        <w:t>宜春</w:t>
      </w:r>
      <w:r>
        <w:rPr>
          <w:rFonts w:hint="eastAsia"/>
          <w:color w:val="auto"/>
        </w:rPr>
        <w:t>市</w:t>
      </w:r>
      <w:r>
        <w:rPr>
          <w:rFonts w:hint="eastAsia"/>
          <w:color w:val="auto"/>
          <w:lang w:val="en-US" w:eastAsia="zh-CN"/>
        </w:rPr>
        <w:t>属</w:t>
      </w:r>
      <w:r>
        <w:rPr>
          <w:rFonts w:hint="eastAsia"/>
          <w:color w:val="auto"/>
        </w:rPr>
        <w:t>中亚热带</w:t>
      </w:r>
      <w:r>
        <w:rPr>
          <w:rFonts w:hint="eastAsia"/>
          <w:color w:val="auto"/>
          <w:lang w:val="en-US" w:eastAsia="zh-CN"/>
        </w:rPr>
        <w:t>季风气候区</w:t>
      </w:r>
      <w:r>
        <w:rPr>
          <w:rFonts w:hint="eastAsia"/>
          <w:color w:val="auto"/>
          <w:lang w:eastAsia="zh-CN"/>
        </w:rPr>
        <w:t>，</w:t>
      </w:r>
      <w:r>
        <w:rPr>
          <w:rFonts w:hint="eastAsia"/>
          <w:color w:val="auto"/>
        </w:rPr>
        <w:t>年平均温度 18℃，极端最高温度</w:t>
      </w:r>
      <w:r>
        <w:rPr>
          <w:rFonts w:hint="eastAsia"/>
          <w:color w:val="auto"/>
          <w:lang w:val="en-US" w:eastAsia="zh-CN"/>
        </w:rPr>
        <w:t>41.6</w:t>
      </w:r>
      <w:r>
        <w:rPr>
          <w:rFonts w:hint="eastAsia"/>
          <w:color w:val="auto"/>
        </w:rPr>
        <w:t>℃，极端最低温度-7.8℃；年平均降水量为 1981.7mm，最多的年降水量为 2725mm，最少的年降水量为1289.7mm，且雨量随季节分布不均，第二季度雨量集中，为汛期。全年主风向为东北</w:t>
      </w:r>
      <w:r>
        <w:rPr>
          <w:rFonts w:hint="eastAsia"/>
          <w:color w:val="auto"/>
          <w:lang w:val="en-US" w:eastAsia="zh-CN"/>
        </w:rPr>
        <w:t>偏东</w:t>
      </w:r>
      <w:r>
        <w:rPr>
          <w:rFonts w:hint="eastAsia"/>
          <w:color w:val="auto"/>
        </w:rPr>
        <w:t>风，年平均风速 1.</w:t>
      </w:r>
      <w:r>
        <w:rPr>
          <w:rFonts w:hint="eastAsia"/>
          <w:color w:val="auto"/>
          <w:lang w:val="en-US" w:eastAsia="zh-CN"/>
        </w:rPr>
        <w:t>8</w:t>
      </w:r>
      <w:r>
        <w:rPr>
          <w:rFonts w:hint="eastAsia"/>
          <w:color w:val="auto"/>
        </w:rPr>
        <w:t>m/s，最大风速 2</w:t>
      </w:r>
      <w:r>
        <w:rPr>
          <w:rFonts w:hint="eastAsia"/>
          <w:color w:val="auto"/>
          <w:lang w:val="en-US" w:eastAsia="zh-CN"/>
        </w:rPr>
        <w:t>5</w:t>
      </w:r>
      <w:r>
        <w:rPr>
          <w:rFonts w:hint="eastAsia"/>
          <w:color w:val="auto"/>
        </w:rPr>
        <w:t>m/s。年平均雷暴日数为 65天。该项目涉及易燃、易爆物质。</w:t>
      </w:r>
    </w:p>
    <w:p>
      <w:pPr>
        <w:numPr>
          <w:ilvl w:val="-1"/>
          <w:numId w:val="0"/>
        </w:numPr>
        <w:ind w:firstLine="560" w:firstLineChars="200"/>
        <w:rPr>
          <w:rFonts w:hint="eastAsia"/>
          <w:color w:val="auto"/>
        </w:rPr>
      </w:pPr>
      <w:r>
        <w:rPr>
          <w:rFonts w:hint="eastAsia"/>
          <w:color w:val="auto"/>
        </w:rPr>
        <w:t>1）</w:t>
      </w:r>
      <w:r>
        <w:rPr>
          <w:rFonts w:hint="eastAsia"/>
          <w:color w:val="auto"/>
          <w:lang w:val="en-US" w:eastAsia="zh-CN"/>
        </w:rPr>
        <w:t>不良</w:t>
      </w:r>
      <w:r>
        <w:rPr>
          <w:rFonts w:hint="eastAsia"/>
          <w:color w:val="auto"/>
        </w:rPr>
        <w:t>地质</w:t>
      </w:r>
    </w:p>
    <w:p>
      <w:pPr>
        <w:numPr>
          <w:ilvl w:val="-1"/>
          <w:numId w:val="0"/>
        </w:numPr>
        <w:ind w:firstLine="560" w:firstLineChars="200"/>
        <w:rPr>
          <w:rFonts w:hint="eastAsia"/>
          <w:color w:val="auto"/>
        </w:rPr>
      </w:pPr>
      <w:r>
        <w:rPr>
          <w:rFonts w:hint="eastAsia"/>
          <w:color w:val="auto"/>
        </w:rPr>
        <w:t>区域基层以灰白、深灰白的白云质、硅质灰岩为主，属于中等风化硬质岩石，地基承载力设计值为 4.8Mpa。基岩以上覆盖物主要是第四纪更新统 残坡积红色黏土，平均厚度 12.94m，中压缩性土，承载力标准值 270Kpa，局部下层有棕褐色黏土，平均厚度 1.34m，均匀密度 1.34m，均匀密度的可塑状黏土，承载力标准值 131Kpa。</w:t>
      </w:r>
    </w:p>
    <w:p>
      <w:pPr>
        <w:numPr>
          <w:ilvl w:val="-1"/>
          <w:numId w:val="0"/>
        </w:numPr>
        <w:ind w:firstLine="560" w:firstLineChars="200"/>
        <w:rPr>
          <w:rFonts w:hint="eastAsia"/>
          <w:color w:val="auto"/>
        </w:rPr>
      </w:pPr>
      <w:r>
        <w:rPr>
          <w:rFonts w:hint="eastAsia"/>
          <w:color w:val="auto"/>
        </w:rPr>
        <w:t>该项目</w:t>
      </w:r>
      <w:r>
        <w:rPr>
          <w:rFonts w:hint="eastAsia"/>
          <w:color w:val="auto"/>
          <w:lang w:val="en-US" w:eastAsia="zh-CN"/>
        </w:rPr>
        <w:t>区域内无不良地质</w:t>
      </w:r>
      <w:r>
        <w:rPr>
          <w:rFonts w:hint="eastAsia"/>
          <w:color w:val="auto"/>
        </w:rPr>
        <w:t>。</w:t>
      </w:r>
    </w:p>
    <w:p>
      <w:pPr>
        <w:numPr>
          <w:ilvl w:val="-1"/>
          <w:numId w:val="0"/>
        </w:numPr>
        <w:ind w:firstLine="560" w:firstLineChars="200"/>
        <w:rPr>
          <w:rFonts w:hint="eastAsia"/>
          <w:color w:val="auto"/>
        </w:rPr>
      </w:pPr>
      <w:r>
        <w:rPr>
          <w:rFonts w:hint="eastAsia"/>
          <w:color w:val="auto"/>
        </w:rPr>
        <w:t>2）水文条件</w:t>
      </w:r>
    </w:p>
    <w:p>
      <w:pPr>
        <w:numPr>
          <w:ilvl w:val="-1"/>
          <w:numId w:val="0"/>
        </w:numPr>
        <w:ind w:firstLine="560" w:firstLineChars="200"/>
        <w:rPr>
          <w:rFonts w:hint="eastAsia"/>
          <w:color w:val="auto"/>
        </w:rPr>
      </w:pPr>
      <w:r>
        <w:rPr>
          <w:rFonts w:hint="eastAsia"/>
          <w:color w:val="auto"/>
        </w:rPr>
        <w:t>根据水文地质勘查及收集资料显示，厂区及周边地下水环境现状测点水文观测数据表明，厂区内地下水主要为构造裂隙水，主要赋存于场区的素填土中，主要来自大气降水补给及基岩裂隙水的侧向渗透补给。拟建场地所在区域地下水总体由西往东方向经渥江汇入袁河。评价区地下水位埋深 3.9m，水力坡度 0.023。水文地质条件复杂程度划分为较简单。</w:t>
      </w:r>
    </w:p>
    <w:p>
      <w:pPr>
        <w:numPr>
          <w:ilvl w:val="0"/>
          <w:numId w:val="0"/>
        </w:numPr>
        <w:ind w:firstLine="560" w:firstLineChars="200"/>
        <w:rPr>
          <w:rFonts w:hint="eastAsia"/>
          <w:color w:val="auto"/>
          <w:lang w:val="en-US" w:eastAsia="zh-CN"/>
        </w:rPr>
      </w:pPr>
      <w:r>
        <w:rPr>
          <w:rFonts w:hint="eastAsia" w:cs="Times New Roman"/>
          <w:color w:val="auto"/>
          <w:kern w:val="2"/>
          <w:sz w:val="28"/>
          <w:szCs w:val="24"/>
          <w:lang w:val="en-US" w:eastAsia="zh-CN" w:bidi="ar-SA"/>
        </w:rPr>
        <w:t>3</w:t>
      </w:r>
      <w:r>
        <w:rPr>
          <w:rFonts w:hint="eastAsia" w:ascii="Times New Roman" w:hAnsi="Times New Roman" w:eastAsia="宋体" w:cs="Times New Roman"/>
          <w:color w:val="auto"/>
          <w:kern w:val="2"/>
          <w:sz w:val="28"/>
          <w:szCs w:val="24"/>
          <w:lang w:val="en-US" w:eastAsia="zh-CN" w:bidi="ar-SA"/>
        </w:rPr>
        <w:t>）</w:t>
      </w:r>
      <w:r>
        <w:rPr>
          <w:rFonts w:hint="eastAsia"/>
          <w:color w:val="auto"/>
          <w:lang w:val="en-US" w:eastAsia="zh-CN"/>
        </w:rPr>
        <w:t>雷电</w:t>
      </w:r>
    </w:p>
    <w:p>
      <w:pPr>
        <w:numPr>
          <w:ilvl w:val="-1"/>
          <w:numId w:val="0"/>
        </w:numPr>
        <w:ind w:firstLine="0" w:firstLineChars="0"/>
        <w:rPr>
          <w:rFonts w:hint="eastAsia"/>
          <w:color w:val="auto"/>
          <w:lang w:val="en-US" w:eastAsia="zh-CN"/>
        </w:rPr>
      </w:pPr>
      <w:r>
        <w:rPr>
          <w:rFonts w:hint="eastAsia"/>
          <w:color w:val="auto"/>
          <w:lang w:val="en-US" w:eastAsia="zh-CN"/>
        </w:rPr>
        <w:t xml:space="preserve">    雷电可分为直击雷、静电感应雷、电磁感应雷和球雷等。直击雷放电、</w:t>
      </w:r>
    </w:p>
    <w:p>
      <w:pPr>
        <w:numPr>
          <w:ilvl w:val="-1"/>
          <w:numId w:val="0"/>
        </w:numPr>
        <w:ind w:firstLine="0" w:firstLineChars="0"/>
        <w:rPr>
          <w:rFonts w:hint="eastAsia"/>
          <w:color w:val="auto"/>
          <w:lang w:val="en-US" w:eastAsia="zh-CN"/>
        </w:rPr>
      </w:pPr>
      <w:r>
        <w:rPr>
          <w:rFonts w:hint="eastAsia"/>
          <w:color w:val="auto"/>
          <w:lang w:val="en-US" w:eastAsia="zh-CN"/>
        </w:rPr>
        <w:t>二次放电、球雷侵入、雷电流转化的高温、冲击电压击穿电气设备绝缘路均</w:t>
      </w:r>
    </w:p>
    <w:p>
      <w:pPr>
        <w:numPr>
          <w:ilvl w:val="-1"/>
          <w:numId w:val="0"/>
        </w:numPr>
        <w:ind w:firstLine="0" w:firstLineChars="0"/>
        <w:rPr>
          <w:rFonts w:hint="eastAsia"/>
          <w:color w:val="auto"/>
          <w:lang w:val="en-US" w:eastAsia="zh-CN"/>
        </w:rPr>
      </w:pPr>
      <w:r>
        <w:rPr>
          <w:rFonts w:hint="eastAsia"/>
          <w:color w:val="auto"/>
          <w:lang w:val="en-US" w:eastAsia="zh-CN"/>
        </w:rPr>
        <w:t>可能引起爆炸和火灾。直击雷放电、二次放电、球雷打击、跨步电压、绝缘</w:t>
      </w:r>
    </w:p>
    <w:p>
      <w:pPr>
        <w:numPr>
          <w:ilvl w:val="-1"/>
          <w:numId w:val="0"/>
        </w:numPr>
        <w:ind w:firstLine="0" w:firstLineChars="0"/>
        <w:rPr>
          <w:rFonts w:hint="eastAsia"/>
          <w:color w:val="auto"/>
          <w:lang w:val="en-US" w:eastAsia="zh-CN"/>
        </w:rPr>
      </w:pPr>
      <w:r>
        <w:rPr>
          <w:rFonts w:hint="eastAsia"/>
          <w:color w:val="auto"/>
          <w:lang w:val="en-US" w:eastAsia="zh-CN"/>
        </w:rPr>
        <w:t>击穿均可能造成电击，造成设备损坏和人员伤亡。毁坏设备和设施。冲击电</w:t>
      </w:r>
    </w:p>
    <w:p>
      <w:pPr>
        <w:numPr>
          <w:ilvl w:val="-1"/>
          <w:numId w:val="0"/>
        </w:numPr>
        <w:ind w:firstLine="0" w:firstLineChars="0"/>
        <w:rPr>
          <w:rFonts w:hint="eastAsia"/>
          <w:color w:val="auto"/>
          <w:lang w:val="en-US" w:eastAsia="zh-CN"/>
        </w:rPr>
      </w:pPr>
      <w:r>
        <w:rPr>
          <w:rFonts w:hint="eastAsia"/>
          <w:color w:val="auto"/>
          <w:lang w:val="en-US" w:eastAsia="zh-CN"/>
        </w:rPr>
        <w:t>压可击穿电气设备的绝缘、力效应可毁坏设备和设施。事故停电。电力设备</w:t>
      </w:r>
    </w:p>
    <w:p>
      <w:pPr>
        <w:numPr>
          <w:ilvl w:val="-1"/>
          <w:numId w:val="0"/>
        </w:numPr>
        <w:ind w:firstLine="0" w:firstLineChars="0"/>
        <w:rPr>
          <w:rFonts w:hint="eastAsia"/>
          <w:color w:val="auto"/>
          <w:lang w:val="en-US" w:eastAsia="zh-CN"/>
        </w:rPr>
      </w:pPr>
      <w:r>
        <w:rPr>
          <w:rFonts w:hint="eastAsia"/>
          <w:color w:val="auto"/>
          <w:lang w:val="en-US" w:eastAsia="zh-CN"/>
        </w:rPr>
        <w:t>或电力线路损坏后可能导致大规模停电。如火灾、爆炸危险环境内设备、管</w:t>
      </w:r>
    </w:p>
    <w:p>
      <w:pPr>
        <w:numPr>
          <w:ilvl w:val="-1"/>
          <w:numId w:val="0"/>
        </w:numPr>
        <w:ind w:firstLine="0" w:firstLineChars="0"/>
        <w:rPr>
          <w:rFonts w:hint="eastAsia"/>
          <w:color w:val="auto"/>
          <w:lang w:val="en-US" w:eastAsia="zh-CN"/>
        </w:rPr>
      </w:pPr>
      <w:r>
        <w:rPr>
          <w:rFonts w:hint="eastAsia"/>
          <w:color w:val="auto"/>
          <w:lang w:val="en-US" w:eastAsia="zh-CN"/>
        </w:rPr>
        <w:t>路防静电设计或施工不规范，在使用、输送、贮存属导电性差的物料时所产</w:t>
      </w:r>
    </w:p>
    <w:p>
      <w:pPr>
        <w:numPr>
          <w:ilvl w:val="-1"/>
          <w:numId w:val="0"/>
        </w:numPr>
        <w:ind w:firstLine="0" w:firstLineChars="0"/>
        <w:rPr>
          <w:rFonts w:hint="eastAsia"/>
          <w:color w:val="auto"/>
          <w:lang w:val="en-US" w:eastAsia="zh-CN"/>
        </w:rPr>
      </w:pPr>
      <w:r>
        <w:rPr>
          <w:rFonts w:hint="eastAsia"/>
          <w:color w:val="auto"/>
          <w:lang w:val="en-US" w:eastAsia="zh-CN"/>
        </w:rPr>
        <w:t>生的静电电荷，如不能及时消除，随着时间延续，静电荷将越聚越多，静电</w:t>
      </w:r>
    </w:p>
    <w:p>
      <w:pPr>
        <w:numPr>
          <w:ilvl w:val="-1"/>
          <w:numId w:val="0"/>
        </w:numPr>
        <w:ind w:firstLine="0" w:firstLineChars="0"/>
        <w:rPr>
          <w:rFonts w:hint="eastAsia"/>
          <w:color w:val="auto"/>
          <w:lang w:val="en-US" w:eastAsia="zh-CN"/>
        </w:rPr>
      </w:pPr>
      <w:r>
        <w:rPr>
          <w:rFonts w:hint="eastAsia"/>
          <w:color w:val="auto"/>
          <w:lang w:val="en-US" w:eastAsia="zh-CN"/>
        </w:rPr>
        <w:t>电压逐渐升高，当达到一定程度时，就会发生放电产生火花，或使用可产生</w:t>
      </w:r>
    </w:p>
    <w:p>
      <w:pPr>
        <w:numPr>
          <w:ilvl w:val="-1"/>
          <w:numId w:val="0"/>
        </w:numPr>
        <w:ind w:firstLine="0" w:firstLineChars="0"/>
        <w:rPr>
          <w:rFonts w:hint="eastAsia"/>
          <w:color w:val="auto"/>
          <w:lang w:val="en-US" w:eastAsia="zh-CN"/>
        </w:rPr>
      </w:pPr>
      <w:r>
        <w:rPr>
          <w:rFonts w:hint="eastAsia"/>
          <w:color w:val="auto"/>
          <w:lang w:val="en-US" w:eastAsia="zh-CN"/>
        </w:rPr>
        <w:t>火花的工具、穿用不防静电的鞋、服装等，均可能引燃易燃易爆物质，造成</w:t>
      </w:r>
    </w:p>
    <w:p>
      <w:pPr>
        <w:numPr>
          <w:ilvl w:val="-1"/>
          <w:numId w:val="0"/>
        </w:numPr>
        <w:ind w:firstLine="0" w:firstLineChars="0"/>
        <w:rPr>
          <w:rFonts w:hint="eastAsia"/>
          <w:color w:val="auto"/>
          <w:lang w:val="en-US" w:eastAsia="zh-CN"/>
        </w:rPr>
      </w:pPr>
      <w:r>
        <w:rPr>
          <w:rFonts w:hint="eastAsia"/>
          <w:color w:val="auto"/>
          <w:lang w:val="en-US" w:eastAsia="zh-CN"/>
        </w:rPr>
        <w:t>火灾、爆炸。</w:t>
      </w:r>
    </w:p>
    <w:p>
      <w:pPr>
        <w:numPr>
          <w:ilvl w:val="-1"/>
          <w:numId w:val="0"/>
        </w:numPr>
        <w:ind w:firstLine="560" w:firstLineChars="200"/>
        <w:rPr>
          <w:rFonts w:hint="eastAsia"/>
          <w:color w:val="auto"/>
          <w:lang w:val="en-US" w:eastAsia="zh-CN"/>
        </w:rPr>
      </w:pPr>
      <w:r>
        <w:rPr>
          <w:rFonts w:hint="eastAsia"/>
          <w:color w:val="auto"/>
          <w:lang w:val="en-US" w:eastAsia="zh-CN"/>
        </w:rPr>
        <w:t>该项目所在地夏天多雷雨天气，雷暴日 65 天，如果该项目防雷接地系</w:t>
      </w:r>
    </w:p>
    <w:p>
      <w:pPr>
        <w:numPr>
          <w:ilvl w:val="-1"/>
          <w:numId w:val="0"/>
        </w:numPr>
        <w:ind w:firstLine="0" w:firstLineChars="0"/>
        <w:rPr>
          <w:rFonts w:hint="eastAsia"/>
          <w:color w:val="auto"/>
          <w:lang w:val="en-US" w:eastAsia="zh-CN"/>
        </w:rPr>
      </w:pPr>
      <w:r>
        <w:rPr>
          <w:rFonts w:hint="eastAsia"/>
          <w:color w:val="auto"/>
          <w:lang w:val="en-US" w:eastAsia="zh-CN"/>
        </w:rPr>
        <w:t>统不符合要求或损坏，如遇雷击，会可造成人员伤亡，生产设备设施及建筑</w:t>
      </w:r>
    </w:p>
    <w:p>
      <w:pPr>
        <w:numPr>
          <w:ilvl w:val="-1"/>
          <w:numId w:val="0"/>
        </w:numPr>
        <w:ind w:firstLine="0" w:firstLineChars="0"/>
        <w:rPr>
          <w:rFonts w:hint="eastAsia"/>
          <w:color w:val="auto"/>
          <w:lang w:val="en-US" w:eastAsia="zh-CN"/>
        </w:rPr>
      </w:pPr>
      <w:r>
        <w:rPr>
          <w:rFonts w:hint="eastAsia"/>
          <w:color w:val="auto"/>
          <w:lang w:val="en-US" w:eastAsia="zh-CN"/>
        </w:rPr>
        <w:t>物的损坏。</w:t>
      </w:r>
    </w:p>
    <w:p>
      <w:pPr>
        <w:numPr>
          <w:ilvl w:val="-1"/>
          <w:numId w:val="0"/>
        </w:numPr>
        <w:ind w:firstLine="560" w:firstLineChars="200"/>
        <w:rPr>
          <w:rFonts w:hint="eastAsia"/>
          <w:color w:val="auto"/>
          <w:lang w:val="en-US" w:eastAsia="zh-CN"/>
        </w:rPr>
      </w:pPr>
      <w:r>
        <w:rPr>
          <w:rFonts w:hint="eastAsia"/>
          <w:color w:val="auto"/>
          <w:lang w:val="en-US" w:eastAsia="zh-CN"/>
        </w:rPr>
        <w:t>当地的最大风速为 25m/s。风对装置生产过程中安全性的影响，主要表现在可燃气体的无组织排放（系指泄漏量），风可加速向外扩散，从而使泄漏的有害气体到达较远的区域，造成事故的扩大和对周围大气环境的污染。</w:t>
      </w:r>
    </w:p>
    <w:p>
      <w:pPr>
        <w:numPr>
          <w:ilvl w:val="-1"/>
          <w:numId w:val="0"/>
        </w:numPr>
        <w:ind w:firstLine="0" w:firstLineChars="0"/>
        <w:rPr>
          <w:rFonts w:hint="eastAsia"/>
          <w:color w:val="auto"/>
          <w:lang w:val="en-US" w:eastAsia="zh-CN"/>
        </w:rPr>
      </w:pPr>
      <w:r>
        <w:rPr>
          <w:rFonts w:hint="eastAsia"/>
          <w:color w:val="auto"/>
          <w:lang w:val="en-US" w:eastAsia="zh-CN"/>
        </w:rPr>
        <w:t>当地年最高温度40℃，高温天气会加大易燃、易爆物料的挥发性，易引起火灾、爆炸、容器爆炸事故。</w:t>
      </w:r>
    </w:p>
    <w:p>
      <w:pPr>
        <w:numPr>
          <w:ilvl w:val="-1"/>
          <w:numId w:val="0"/>
        </w:numPr>
        <w:ind w:firstLine="560" w:firstLineChars="200"/>
        <w:rPr>
          <w:rFonts w:hint="eastAsia"/>
          <w:color w:val="auto"/>
          <w:lang w:val="en-US" w:eastAsia="zh-CN"/>
        </w:rPr>
      </w:pPr>
      <w:r>
        <w:rPr>
          <w:rFonts w:hint="eastAsia"/>
          <w:color w:val="auto"/>
          <w:lang w:val="en-US" w:eastAsia="zh-CN"/>
        </w:rPr>
        <w:t>4）地震</w:t>
      </w:r>
    </w:p>
    <w:p>
      <w:pPr>
        <w:numPr>
          <w:ilvl w:val="-1"/>
          <w:numId w:val="0"/>
        </w:numPr>
        <w:ind w:firstLine="560" w:firstLineChars="200"/>
        <w:rPr>
          <w:rFonts w:hint="eastAsia"/>
          <w:color w:val="auto"/>
          <w:lang w:val="en-US" w:eastAsia="zh-CN"/>
        </w:rPr>
      </w:pPr>
      <w:r>
        <w:rPr>
          <w:rFonts w:hint="eastAsia"/>
          <w:color w:val="auto"/>
          <w:lang w:val="en-US" w:eastAsia="zh-CN"/>
        </w:rPr>
        <w:t>地震是危害度较大的自然现象，地震对建筑物、设备有极大的破坏作用，</w:t>
      </w:r>
    </w:p>
    <w:p>
      <w:pPr>
        <w:numPr>
          <w:ilvl w:val="-1"/>
          <w:numId w:val="0"/>
        </w:numPr>
        <w:ind w:firstLine="0" w:firstLineChars="0"/>
        <w:rPr>
          <w:rFonts w:hint="eastAsia"/>
          <w:color w:val="auto"/>
          <w:lang w:val="en-US" w:eastAsia="zh-CN"/>
        </w:rPr>
      </w:pPr>
      <w:r>
        <w:rPr>
          <w:rFonts w:hint="eastAsia"/>
          <w:color w:val="auto"/>
          <w:lang w:val="en-US" w:eastAsia="zh-CN"/>
        </w:rPr>
        <w:t>它可造成厂房等建筑物的倒塌、破坏整个厂区的供电、排水系统，造成机械</w:t>
      </w:r>
    </w:p>
    <w:p>
      <w:pPr>
        <w:numPr>
          <w:ilvl w:val="-1"/>
          <w:numId w:val="0"/>
        </w:numPr>
        <w:ind w:firstLine="0" w:firstLineChars="0"/>
        <w:rPr>
          <w:rFonts w:hint="default"/>
          <w:color w:val="auto"/>
          <w:lang w:val="en-US" w:eastAsia="zh-CN"/>
        </w:rPr>
      </w:pPr>
      <w:r>
        <w:rPr>
          <w:rFonts w:hint="default"/>
          <w:color w:val="auto"/>
          <w:lang w:val="en-US" w:eastAsia="zh-CN"/>
        </w:rPr>
        <w:t>损害，人员伤亡。因此建（构）筑物应根据该项目场地的地震基本烈度，提</w:t>
      </w:r>
    </w:p>
    <w:p>
      <w:pPr>
        <w:numPr>
          <w:ilvl w:val="-1"/>
          <w:numId w:val="0"/>
        </w:numPr>
        <w:ind w:firstLine="0" w:firstLineChars="0"/>
        <w:rPr>
          <w:rFonts w:hint="default"/>
          <w:color w:val="auto"/>
          <w:lang w:val="en-US" w:eastAsia="zh-CN"/>
        </w:rPr>
      </w:pPr>
      <w:r>
        <w:rPr>
          <w:rFonts w:hint="default"/>
          <w:color w:val="auto"/>
          <w:lang w:val="en-US" w:eastAsia="zh-CN"/>
        </w:rPr>
        <w:t>高一级设防。否则一旦发生地震灾害时，如果厂房及建（构）筑物的抗震等</w:t>
      </w:r>
    </w:p>
    <w:p>
      <w:pPr>
        <w:numPr>
          <w:ilvl w:val="-1"/>
          <w:numId w:val="0"/>
        </w:numPr>
        <w:ind w:firstLine="0" w:firstLineChars="0"/>
        <w:rPr>
          <w:rFonts w:hint="default"/>
          <w:color w:val="auto"/>
          <w:lang w:val="en-US" w:eastAsia="zh-CN"/>
        </w:rPr>
      </w:pPr>
      <w:r>
        <w:rPr>
          <w:rFonts w:hint="default"/>
          <w:color w:val="auto"/>
          <w:lang w:val="en-US" w:eastAsia="zh-CN"/>
        </w:rPr>
        <w:t>级不够时，会发生厂房坍塌、倾倒事故，大型设备发生偏移、倾斜，从而损</w:t>
      </w:r>
    </w:p>
    <w:p>
      <w:pPr>
        <w:numPr>
          <w:ilvl w:val="-1"/>
          <w:numId w:val="0"/>
        </w:numPr>
        <w:ind w:firstLine="0" w:firstLineChars="0"/>
        <w:rPr>
          <w:rFonts w:hint="default"/>
          <w:color w:val="auto"/>
          <w:lang w:val="en-US" w:eastAsia="zh-CN"/>
        </w:rPr>
      </w:pPr>
      <w:r>
        <w:rPr>
          <w:rFonts w:hint="default"/>
          <w:color w:val="auto"/>
          <w:lang w:val="en-US" w:eastAsia="zh-CN"/>
        </w:rPr>
        <w:t>坏设备的使用，对人员和财产造成危害。该项目所在区域地震烈度为</w:t>
      </w:r>
      <w:r>
        <w:rPr>
          <w:rFonts w:hint="eastAsia"/>
          <w:color w:val="auto"/>
          <w:lang w:val="en-US" w:eastAsia="zh-CN"/>
        </w:rPr>
        <w:t>6</w:t>
      </w:r>
      <w:r>
        <w:rPr>
          <w:rFonts w:hint="default"/>
          <w:color w:val="auto"/>
          <w:lang w:val="en-US" w:eastAsia="zh-CN"/>
        </w:rPr>
        <w:t>度，</w:t>
      </w:r>
    </w:p>
    <w:p>
      <w:pPr>
        <w:numPr>
          <w:ilvl w:val="-1"/>
          <w:numId w:val="0"/>
        </w:numPr>
        <w:ind w:firstLine="0" w:firstLineChars="0"/>
        <w:rPr>
          <w:rFonts w:hint="default"/>
          <w:color w:val="auto"/>
          <w:lang w:val="en-US" w:eastAsia="zh-CN"/>
        </w:rPr>
      </w:pPr>
      <w:r>
        <w:rPr>
          <w:rFonts w:hint="default"/>
          <w:color w:val="auto"/>
          <w:lang w:val="en-US" w:eastAsia="zh-CN"/>
        </w:rPr>
        <w:t>地震的威胁较小。</w:t>
      </w:r>
    </w:p>
    <w:p>
      <w:pPr>
        <w:numPr>
          <w:ilvl w:val="-1"/>
          <w:numId w:val="0"/>
        </w:numPr>
        <w:ind w:firstLine="560" w:firstLineChars="200"/>
        <w:rPr>
          <w:rFonts w:hint="default"/>
          <w:color w:val="auto"/>
          <w:lang w:val="en-US" w:eastAsia="zh-CN"/>
        </w:rPr>
      </w:pPr>
      <w:r>
        <w:rPr>
          <w:rFonts w:hint="default"/>
          <w:color w:val="auto"/>
          <w:lang w:val="en-US" w:eastAsia="zh-CN"/>
        </w:rPr>
        <w:t>5）周围环境</w:t>
      </w:r>
    </w:p>
    <w:p>
      <w:pPr>
        <w:numPr>
          <w:ilvl w:val="-1"/>
          <w:numId w:val="0"/>
        </w:numPr>
        <w:ind w:firstLine="560" w:firstLineChars="200"/>
        <w:rPr>
          <w:rFonts w:hint="default"/>
          <w:color w:val="auto"/>
          <w:lang w:val="en-US" w:eastAsia="zh-CN"/>
        </w:rPr>
      </w:pPr>
      <w:r>
        <w:rPr>
          <w:rFonts w:hint="default"/>
          <w:color w:val="auto"/>
          <w:lang w:val="en-US" w:eastAsia="zh-CN"/>
        </w:rPr>
        <w:t>该公司周边存在居民区、道路，最近居民区距离该该公司边界约6</w:t>
      </w:r>
      <w:r>
        <w:rPr>
          <w:rFonts w:hint="eastAsia"/>
          <w:color w:val="auto"/>
          <w:lang w:val="en-US" w:eastAsia="zh-CN"/>
        </w:rPr>
        <w:t>05</w:t>
      </w:r>
      <w:r>
        <w:rPr>
          <w:rFonts w:hint="default"/>
          <w:color w:val="auto"/>
          <w:lang w:val="en-US" w:eastAsia="zh-CN"/>
        </w:rPr>
        <w:t>m，</w:t>
      </w:r>
    </w:p>
    <w:p>
      <w:pPr>
        <w:numPr>
          <w:ilvl w:val="-1"/>
          <w:numId w:val="0"/>
        </w:numPr>
        <w:ind w:firstLine="0" w:firstLineChars="0"/>
        <w:rPr>
          <w:rFonts w:hint="default"/>
          <w:color w:val="auto"/>
          <w:lang w:val="en-US" w:eastAsia="zh-CN"/>
        </w:rPr>
      </w:pPr>
      <w:r>
        <w:rPr>
          <w:rFonts w:hint="default"/>
          <w:color w:val="auto"/>
          <w:lang w:val="en-US" w:eastAsia="zh-CN"/>
        </w:rPr>
        <w:t>居民区居民活动对该项目基本无影响。</w:t>
      </w:r>
    </w:p>
    <w:p>
      <w:pPr>
        <w:numPr>
          <w:ilvl w:val="-1"/>
          <w:numId w:val="0"/>
        </w:numPr>
        <w:ind w:firstLine="560" w:firstLineChars="200"/>
        <w:rPr>
          <w:rFonts w:hint="default"/>
          <w:color w:val="auto"/>
          <w:lang w:val="en-US" w:eastAsia="zh-CN"/>
        </w:rPr>
      </w:pPr>
      <w:r>
        <w:rPr>
          <w:rFonts w:hint="default"/>
          <w:color w:val="auto"/>
          <w:lang w:val="en-US" w:eastAsia="zh-CN"/>
        </w:rPr>
        <w:t>该公司与</w:t>
      </w:r>
      <w:r>
        <w:rPr>
          <w:rFonts w:hint="eastAsia"/>
          <w:color w:val="auto"/>
          <w:lang w:val="en-US" w:eastAsia="zh-CN"/>
        </w:rPr>
        <w:t>北</w:t>
      </w:r>
      <w:r>
        <w:rPr>
          <w:rFonts w:hint="default"/>
          <w:color w:val="auto"/>
          <w:lang w:val="en-US" w:eastAsia="zh-CN"/>
        </w:rPr>
        <w:t>侧江西</w:t>
      </w:r>
      <w:r>
        <w:rPr>
          <w:rFonts w:hint="eastAsia"/>
          <w:color w:val="auto"/>
          <w:lang w:val="en-US" w:eastAsia="zh-CN"/>
        </w:rPr>
        <w:t>丰日电源</w:t>
      </w:r>
      <w:r>
        <w:rPr>
          <w:rFonts w:hint="default"/>
          <w:color w:val="auto"/>
          <w:lang w:val="en-US" w:eastAsia="zh-CN"/>
        </w:rPr>
        <w:t>有限公司</w:t>
      </w:r>
      <w:r>
        <w:rPr>
          <w:rFonts w:hint="eastAsia"/>
          <w:color w:val="auto"/>
          <w:lang w:val="en-US" w:eastAsia="zh-CN"/>
        </w:rPr>
        <w:t>相隔山体</w:t>
      </w:r>
      <w:r>
        <w:rPr>
          <w:rFonts w:hint="default"/>
          <w:color w:val="auto"/>
          <w:lang w:val="en-US" w:eastAsia="zh-CN"/>
        </w:rPr>
        <w:t>，</w:t>
      </w:r>
      <w:r>
        <w:rPr>
          <w:rFonts w:hint="eastAsia"/>
          <w:color w:val="auto"/>
          <w:lang w:val="en-US" w:eastAsia="zh-CN"/>
        </w:rPr>
        <w:t>东</w:t>
      </w:r>
      <w:r>
        <w:rPr>
          <w:rFonts w:hint="default"/>
          <w:color w:val="auto"/>
          <w:lang w:val="en-US" w:eastAsia="zh-CN"/>
        </w:rPr>
        <w:t>侧</w:t>
      </w:r>
      <w:r>
        <w:rPr>
          <w:rFonts w:hint="eastAsia"/>
          <w:color w:val="auto"/>
          <w:lang w:val="en-US" w:eastAsia="zh-CN"/>
        </w:rPr>
        <w:t>隔道路为宜春市袁州区悦峰新材料</w:t>
      </w:r>
      <w:r>
        <w:rPr>
          <w:rFonts w:hint="default"/>
          <w:color w:val="auto"/>
          <w:lang w:val="en-US" w:eastAsia="zh-CN"/>
        </w:rPr>
        <w:t>有限公司，</w:t>
      </w:r>
      <w:r>
        <w:rPr>
          <w:rFonts w:hint="eastAsia"/>
          <w:color w:val="auto"/>
          <w:lang w:val="en-US" w:eastAsia="zh-CN"/>
        </w:rPr>
        <w:t>宜春市袁州区悦峰新材料</w:t>
      </w:r>
      <w:r>
        <w:rPr>
          <w:rFonts w:hint="default"/>
          <w:color w:val="auto"/>
          <w:lang w:val="en-US" w:eastAsia="zh-CN"/>
        </w:rPr>
        <w:t>有限公司</w:t>
      </w:r>
      <w:r>
        <w:rPr>
          <w:rFonts w:hint="eastAsia"/>
          <w:color w:val="auto"/>
          <w:lang w:val="en-US" w:eastAsia="zh-CN"/>
        </w:rPr>
        <w:t>生产装置发生火灾、爆炸事故，</w:t>
      </w:r>
      <w:r>
        <w:rPr>
          <w:rFonts w:hint="default"/>
          <w:color w:val="auto"/>
          <w:lang w:val="en-US" w:eastAsia="zh-CN"/>
        </w:rPr>
        <w:t>江西</w:t>
      </w:r>
      <w:r>
        <w:rPr>
          <w:rFonts w:hint="eastAsia"/>
          <w:color w:val="auto"/>
          <w:lang w:val="en-US" w:eastAsia="zh-CN"/>
        </w:rPr>
        <w:t>丰日电源</w:t>
      </w:r>
      <w:r>
        <w:rPr>
          <w:rFonts w:hint="default"/>
          <w:color w:val="auto"/>
          <w:lang w:val="en-US" w:eastAsia="zh-CN"/>
        </w:rPr>
        <w:t>有限公司厂房发生火灾事故，波及到该项目的生产或储存等设施</w:t>
      </w:r>
      <w:r>
        <w:rPr>
          <w:rFonts w:hint="eastAsia"/>
          <w:color w:val="auto"/>
          <w:lang w:val="en-US" w:eastAsia="zh-CN"/>
        </w:rPr>
        <w:t>的可能性较小</w:t>
      </w:r>
      <w:r>
        <w:rPr>
          <w:rFonts w:hint="default"/>
          <w:color w:val="auto"/>
          <w:lang w:val="en-US" w:eastAsia="zh-CN"/>
        </w:rPr>
        <w:t>。</w:t>
      </w:r>
    </w:p>
    <w:p>
      <w:pPr>
        <w:numPr>
          <w:ilvl w:val="-1"/>
          <w:numId w:val="0"/>
        </w:numPr>
        <w:ind w:firstLine="560" w:firstLineChars="200"/>
        <w:rPr>
          <w:rFonts w:hint="default"/>
          <w:color w:val="auto"/>
          <w:lang w:val="en-US" w:eastAsia="zh-CN"/>
        </w:rPr>
      </w:pPr>
      <w:r>
        <w:rPr>
          <w:rFonts w:hint="default"/>
          <w:color w:val="auto"/>
          <w:lang w:val="en-US" w:eastAsia="zh-CN"/>
        </w:rPr>
        <w:t>该项目装置发生易燃易爆物品泄漏事故，且易燃易爆物品挥发随大气扩</w:t>
      </w:r>
    </w:p>
    <w:p>
      <w:pPr>
        <w:numPr>
          <w:ilvl w:val="-1"/>
          <w:numId w:val="0"/>
        </w:numPr>
        <w:ind w:firstLine="0" w:firstLineChars="0"/>
        <w:rPr>
          <w:rFonts w:hint="default"/>
          <w:color w:val="auto"/>
          <w:lang w:val="en-US" w:eastAsia="zh-CN"/>
        </w:rPr>
      </w:pPr>
      <w:r>
        <w:rPr>
          <w:rFonts w:hint="default"/>
          <w:color w:val="auto"/>
          <w:lang w:val="en-US" w:eastAsia="zh-CN"/>
        </w:rPr>
        <w:t>散到周边其它场所，可能引起火灾、爆炸及中毒窒息事故。</w:t>
      </w:r>
    </w:p>
    <w:p>
      <w:pPr>
        <w:numPr>
          <w:ilvl w:val="-1"/>
          <w:numId w:val="0"/>
        </w:numPr>
        <w:ind w:firstLine="560" w:firstLineChars="200"/>
        <w:rPr>
          <w:rFonts w:hint="default"/>
          <w:color w:val="auto"/>
          <w:lang w:val="en-US" w:eastAsia="zh-CN"/>
        </w:rPr>
      </w:pPr>
      <w:r>
        <w:rPr>
          <w:rFonts w:hint="default"/>
          <w:color w:val="auto"/>
          <w:lang w:val="en-US" w:eastAsia="zh-CN"/>
        </w:rPr>
        <w:t>由以上的分析可知，项目厂址所在地的自然危险因素为气象、水文、地</w:t>
      </w:r>
    </w:p>
    <w:p>
      <w:pPr>
        <w:numPr>
          <w:ilvl w:val="-1"/>
          <w:numId w:val="0"/>
        </w:numPr>
        <w:ind w:firstLine="0" w:firstLineChars="0"/>
        <w:rPr>
          <w:rFonts w:hint="default"/>
          <w:color w:val="auto"/>
          <w:lang w:val="en-US" w:eastAsia="zh-CN"/>
        </w:rPr>
      </w:pPr>
      <w:r>
        <w:rPr>
          <w:rFonts w:hint="default"/>
          <w:color w:val="auto"/>
          <w:lang w:val="en-US" w:eastAsia="zh-CN"/>
        </w:rPr>
        <w:t>质、地震、雷击等，其会对厂址的安全产生一些影响，但采取一定的措施后</w:t>
      </w:r>
    </w:p>
    <w:p>
      <w:pPr>
        <w:numPr>
          <w:ilvl w:val="-1"/>
          <w:numId w:val="0"/>
        </w:numPr>
        <w:ind w:firstLine="0" w:firstLineChars="0"/>
        <w:rPr>
          <w:rFonts w:hint="default"/>
          <w:color w:val="auto"/>
          <w:lang w:val="en-US" w:eastAsia="zh-CN"/>
        </w:rPr>
      </w:pPr>
      <w:r>
        <w:rPr>
          <w:rFonts w:hint="default"/>
          <w:color w:val="auto"/>
          <w:lang w:val="en-US" w:eastAsia="zh-CN"/>
        </w:rPr>
        <w:t>是安全的。</w:t>
      </w:r>
    </w:p>
    <w:p>
      <w:pPr>
        <w:pStyle w:val="5"/>
        <w:rPr>
          <w:rFonts w:hint="default"/>
          <w:color w:val="auto"/>
          <w:lang w:val="en-US" w:eastAsia="zh-CN"/>
        </w:rPr>
      </w:pPr>
      <w:r>
        <w:rPr>
          <w:rFonts w:hint="default"/>
          <w:color w:val="auto"/>
          <w:lang w:val="en-US" w:eastAsia="zh-CN"/>
        </w:rPr>
        <w:t>B.2.2.2 总平面布置与建筑物危险有害因素辨识分析</w:t>
      </w:r>
    </w:p>
    <w:p>
      <w:pPr>
        <w:numPr>
          <w:ilvl w:val="-1"/>
          <w:numId w:val="0"/>
        </w:numPr>
        <w:ind w:firstLine="560" w:firstLineChars="200"/>
        <w:rPr>
          <w:rFonts w:hint="default"/>
          <w:color w:val="auto"/>
          <w:lang w:val="en-US" w:eastAsia="zh-CN"/>
        </w:rPr>
      </w:pPr>
      <w:r>
        <w:rPr>
          <w:rFonts w:hint="default"/>
          <w:color w:val="auto"/>
          <w:lang w:val="en-US" w:eastAsia="zh-CN"/>
        </w:rPr>
        <w:t>该项目产品及原辅材料使用量较大、生产装置中存在易燃、有毒、腐蚀</w:t>
      </w:r>
    </w:p>
    <w:p>
      <w:pPr>
        <w:numPr>
          <w:ilvl w:val="-1"/>
          <w:numId w:val="0"/>
        </w:numPr>
        <w:ind w:firstLine="0" w:firstLineChars="0"/>
        <w:rPr>
          <w:rFonts w:hint="default"/>
          <w:color w:val="auto"/>
          <w:lang w:val="en-US" w:eastAsia="zh-CN"/>
        </w:rPr>
      </w:pPr>
      <w:r>
        <w:rPr>
          <w:rFonts w:hint="default"/>
          <w:color w:val="auto"/>
          <w:lang w:val="en-US" w:eastAsia="zh-CN"/>
        </w:rPr>
        <w:t>性物质。因此，规范进行平面布置显得十分重要。</w:t>
      </w:r>
    </w:p>
    <w:p>
      <w:pPr>
        <w:numPr>
          <w:ilvl w:val="-1"/>
          <w:numId w:val="0"/>
        </w:numPr>
        <w:ind w:firstLine="560" w:firstLineChars="200"/>
        <w:rPr>
          <w:rFonts w:hint="default"/>
          <w:color w:val="auto"/>
          <w:lang w:val="en-US" w:eastAsia="zh-CN"/>
        </w:rPr>
      </w:pPr>
      <w:r>
        <w:rPr>
          <w:rFonts w:hint="default"/>
          <w:color w:val="auto"/>
          <w:lang w:val="en-US" w:eastAsia="zh-CN"/>
        </w:rPr>
        <w:t>功能分区不合理会造成安全生产管理不便，增大了事故发生的机率，一</w:t>
      </w:r>
    </w:p>
    <w:p>
      <w:pPr>
        <w:numPr>
          <w:ilvl w:val="-1"/>
          <w:numId w:val="0"/>
        </w:numPr>
        <w:ind w:firstLine="0" w:firstLineChars="0"/>
        <w:rPr>
          <w:rFonts w:hint="default"/>
          <w:color w:val="auto"/>
          <w:lang w:val="en-US" w:eastAsia="zh-CN"/>
        </w:rPr>
      </w:pPr>
      <w:r>
        <w:rPr>
          <w:rFonts w:hint="default"/>
          <w:color w:val="auto"/>
          <w:lang w:val="en-US" w:eastAsia="zh-CN"/>
        </w:rPr>
        <w:t>旦发生事故救援困难、受害人数增加，财产损失加大，事故后果扩大。</w:t>
      </w:r>
    </w:p>
    <w:p>
      <w:pPr>
        <w:numPr>
          <w:ilvl w:val="-1"/>
          <w:numId w:val="0"/>
        </w:numPr>
        <w:ind w:firstLine="560" w:firstLineChars="200"/>
        <w:rPr>
          <w:rFonts w:hint="default"/>
          <w:color w:val="auto"/>
          <w:lang w:val="en-US" w:eastAsia="zh-CN"/>
        </w:rPr>
      </w:pPr>
      <w:r>
        <w:rPr>
          <w:rFonts w:hint="default"/>
          <w:color w:val="auto"/>
          <w:lang w:val="en-US" w:eastAsia="zh-CN"/>
        </w:rPr>
        <w:t>厂房与厂房、仓库或罐区相互之间防火间距如不能符合《精细化工企业</w:t>
      </w:r>
    </w:p>
    <w:p>
      <w:pPr>
        <w:numPr>
          <w:ilvl w:val="-1"/>
          <w:numId w:val="0"/>
        </w:numPr>
        <w:ind w:firstLine="0" w:firstLineChars="0"/>
        <w:rPr>
          <w:rFonts w:hint="default"/>
          <w:color w:val="auto"/>
          <w:lang w:val="en-US" w:eastAsia="zh-CN"/>
        </w:rPr>
      </w:pPr>
      <w:r>
        <w:rPr>
          <w:rFonts w:hint="default"/>
          <w:color w:val="auto"/>
          <w:lang w:val="en-US" w:eastAsia="zh-CN"/>
        </w:rPr>
        <w:t>工程设计防火标准》等规范要求，容易引发火灾爆炸事故及火灾蔓延，火情</w:t>
      </w:r>
    </w:p>
    <w:p>
      <w:pPr>
        <w:numPr>
          <w:ilvl w:val="-1"/>
          <w:numId w:val="0"/>
        </w:numPr>
        <w:ind w:firstLine="0" w:firstLineChars="0"/>
        <w:rPr>
          <w:rFonts w:hint="default"/>
          <w:color w:val="auto"/>
          <w:lang w:val="en-US" w:eastAsia="zh-CN"/>
        </w:rPr>
      </w:pPr>
      <w:r>
        <w:rPr>
          <w:rFonts w:hint="default"/>
          <w:color w:val="auto"/>
          <w:lang w:val="en-US" w:eastAsia="zh-CN"/>
        </w:rPr>
        <w:t>扩大，给消防灭火、事故处置和人员抢救都带来不利影响。</w:t>
      </w:r>
    </w:p>
    <w:p>
      <w:pPr>
        <w:numPr>
          <w:ilvl w:val="-1"/>
          <w:numId w:val="0"/>
        </w:numPr>
        <w:ind w:firstLine="560" w:firstLineChars="200"/>
        <w:rPr>
          <w:rFonts w:hint="default"/>
          <w:color w:val="auto"/>
          <w:lang w:val="en-US" w:eastAsia="zh-CN"/>
        </w:rPr>
      </w:pPr>
      <w:r>
        <w:rPr>
          <w:rFonts w:hint="default"/>
          <w:color w:val="auto"/>
          <w:lang w:val="en-US" w:eastAsia="zh-CN"/>
        </w:rPr>
        <w:t>厂区通道不畅、路面宽度、架空管道高度不符合消防要求；无环形通道</w:t>
      </w:r>
    </w:p>
    <w:p>
      <w:pPr>
        <w:numPr>
          <w:ilvl w:val="-1"/>
          <w:numId w:val="0"/>
        </w:numPr>
        <w:ind w:firstLine="0" w:firstLineChars="0"/>
        <w:rPr>
          <w:rFonts w:hint="default"/>
          <w:color w:val="auto"/>
          <w:lang w:val="en-US" w:eastAsia="zh-CN"/>
        </w:rPr>
      </w:pPr>
      <w:r>
        <w:rPr>
          <w:rFonts w:hint="default"/>
          <w:color w:val="auto"/>
          <w:lang w:val="en-US" w:eastAsia="zh-CN"/>
        </w:rPr>
        <w:t>或无回车场，都将给消防灭火带来不利影响。</w:t>
      </w:r>
    </w:p>
    <w:p>
      <w:pPr>
        <w:numPr>
          <w:ilvl w:val="-1"/>
          <w:numId w:val="0"/>
        </w:numPr>
        <w:ind w:firstLine="560" w:firstLineChars="200"/>
        <w:rPr>
          <w:rFonts w:hint="default"/>
          <w:color w:val="auto"/>
          <w:lang w:val="en-US" w:eastAsia="zh-CN"/>
        </w:rPr>
      </w:pPr>
      <w:r>
        <w:rPr>
          <w:rFonts w:hint="default"/>
          <w:color w:val="auto"/>
          <w:lang w:val="en-US" w:eastAsia="zh-CN"/>
        </w:rPr>
        <w:t>按规范要求设置出入口，合理的进行人流、物流，保证人员迅速疏散，</w:t>
      </w:r>
    </w:p>
    <w:p>
      <w:pPr>
        <w:numPr>
          <w:ilvl w:val="-1"/>
          <w:numId w:val="0"/>
        </w:numPr>
        <w:ind w:firstLine="0" w:firstLineChars="0"/>
        <w:rPr>
          <w:rFonts w:hint="default"/>
          <w:color w:val="auto"/>
          <w:lang w:val="en-US" w:eastAsia="zh-CN"/>
        </w:rPr>
      </w:pPr>
      <w:r>
        <w:rPr>
          <w:rFonts w:hint="default"/>
          <w:color w:val="auto"/>
          <w:lang w:val="en-US" w:eastAsia="zh-CN"/>
        </w:rPr>
        <w:t>物流畅通，有利于事故的应急处理。</w:t>
      </w:r>
    </w:p>
    <w:p>
      <w:pPr>
        <w:numPr>
          <w:ilvl w:val="-1"/>
          <w:numId w:val="0"/>
        </w:numPr>
        <w:ind w:firstLine="560" w:firstLineChars="200"/>
        <w:rPr>
          <w:rFonts w:hint="default"/>
          <w:color w:val="auto"/>
          <w:lang w:val="en-US" w:eastAsia="zh-CN"/>
        </w:rPr>
      </w:pPr>
      <w:r>
        <w:rPr>
          <w:rFonts w:hint="default"/>
          <w:color w:val="auto"/>
          <w:lang w:val="en-US" w:eastAsia="zh-CN"/>
        </w:rPr>
        <w:t>项目设计时未按防洪要求设计，场内排水设施不完备造成大雨季节发生</w:t>
      </w:r>
    </w:p>
    <w:p>
      <w:pPr>
        <w:numPr>
          <w:ilvl w:val="-1"/>
          <w:numId w:val="0"/>
        </w:numPr>
        <w:ind w:firstLine="0" w:firstLineChars="0"/>
        <w:rPr>
          <w:rFonts w:hint="default"/>
          <w:color w:val="auto"/>
          <w:lang w:val="en-US" w:eastAsia="zh-CN"/>
        </w:rPr>
      </w:pPr>
      <w:r>
        <w:rPr>
          <w:rFonts w:hint="default"/>
          <w:color w:val="auto"/>
          <w:lang w:val="en-US" w:eastAsia="zh-CN"/>
        </w:rPr>
        <w:t>洪涝灾害，引发火灾、电气故障、触电等事故，还会因物料外泄造成环境污</w:t>
      </w:r>
    </w:p>
    <w:p>
      <w:pPr>
        <w:numPr>
          <w:ilvl w:val="-1"/>
          <w:numId w:val="0"/>
        </w:numPr>
        <w:ind w:firstLine="0" w:firstLineChars="0"/>
        <w:rPr>
          <w:rFonts w:hint="default"/>
          <w:color w:val="auto"/>
          <w:lang w:val="en-US" w:eastAsia="zh-CN"/>
        </w:rPr>
      </w:pPr>
      <w:r>
        <w:rPr>
          <w:rFonts w:hint="default"/>
          <w:color w:val="auto"/>
          <w:lang w:val="en-US" w:eastAsia="zh-CN"/>
        </w:rPr>
        <w:t>染事件。</w:t>
      </w:r>
    </w:p>
    <w:p>
      <w:pPr>
        <w:numPr>
          <w:ilvl w:val="-1"/>
          <w:numId w:val="0"/>
        </w:numPr>
        <w:ind w:firstLine="560" w:firstLineChars="200"/>
        <w:rPr>
          <w:rFonts w:hint="default"/>
          <w:color w:val="auto"/>
          <w:lang w:val="en-US" w:eastAsia="zh-CN"/>
        </w:rPr>
      </w:pPr>
      <w:r>
        <w:rPr>
          <w:rFonts w:hint="default"/>
          <w:color w:val="auto"/>
          <w:lang w:val="en-US" w:eastAsia="zh-CN"/>
        </w:rPr>
        <w:t>该项目生产厂房和仓库其耐火等级必须达到二级以上，符合防火要求。</w:t>
      </w:r>
    </w:p>
    <w:p>
      <w:pPr>
        <w:numPr>
          <w:ilvl w:val="-1"/>
          <w:numId w:val="0"/>
        </w:numPr>
        <w:ind w:firstLine="0" w:firstLineChars="0"/>
        <w:rPr>
          <w:rFonts w:hint="default"/>
          <w:color w:val="auto"/>
          <w:lang w:val="en-US" w:eastAsia="zh-CN"/>
        </w:rPr>
      </w:pPr>
      <w:r>
        <w:rPr>
          <w:rFonts w:hint="default"/>
          <w:color w:val="auto"/>
          <w:lang w:val="en-US" w:eastAsia="zh-CN"/>
        </w:rPr>
        <w:t>厂房、仓库、罐区等均需设置防雷和防直</w:t>
      </w:r>
      <w:r>
        <w:rPr>
          <w:rFonts w:hint="eastAsia"/>
          <w:color w:val="auto"/>
          <w:lang w:val="en-US" w:eastAsia="zh-CN"/>
        </w:rPr>
        <w:t>击</w:t>
      </w:r>
      <w:r>
        <w:rPr>
          <w:rFonts w:hint="default"/>
          <w:color w:val="auto"/>
          <w:lang w:val="en-US" w:eastAsia="zh-CN"/>
        </w:rPr>
        <w:t>雷设施，否则，一旦发生火灾或</w:t>
      </w:r>
    </w:p>
    <w:p>
      <w:pPr>
        <w:numPr>
          <w:ilvl w:val="-1"/>
          <w:numId w:val="0"/>
        </w:numPr>
        <w:ind w:firstLine="0" w:firstLineChars="0"/>
        <w:rPr>
          <w:rFonts w:hint="default"/>
          <w:color w:val="auto"/>
          <w:lang w:val="en-US" w:eastAsia="zh-CN"/>
        </w:rPr>
      </w:pPr>
      <w:r>
        <w:rPr>
          <w:rFonts w:hint="default"/>
          <w:color w:val="auto"/>
          <w:lang w:val="en-US" w:eastAsia="zh-CN"/>
        </w:rPr>
        <w:t>因雷击导致的火灾事故，会迅速穿顶，甚至造成厂房倒塌等危害。</w:t>
      </w:r>
    </w:p>
    <w:p>
      <w:pPr>
        <w:numPr>
          <w:ilvl w:val="-1"/>
          <w:numId w:val="0"/>
        </w:numPr>
        <w:ind w:firstLine="560" w:firstLineChars="200"/>
        <w:rPr>
          <w:rFonts w:hint="default"/>
          <w:color w:val="auto"/>
          <w:lang w:val="en-US" w:eastAsia="zh-CN"/>
        </w:rPr>
      </w:pPr>
      <w:r>
        <w:rPr>
          <w:rFonts w:hint="default"/>
          <w:color w:val="auto"/>
          <w:lang w:val="en-US" w:eastAsia="zh-CN"/>
        </w:rPr>
        <w:t>建（构）筑物之间的间距应考虑到消防施救和人员疏散的要求，否则可</w:t>
      </w:r>
    </w:p>
    <w:p>
      <w:pPr>
        <w:numPr>
          <w:ilvl w:val="-1"/>
          <w:numId w:val="0"/>
        </w:numPr>
        <w:ind w:firstLine="0" w:firstLineChars="0"/>
        <w:rPr>
          <w:rFonts w:hint="default"/>
          <w:color w:val="auto"/>
          <w:lang w:val="en-US" w:eastAsia="zh-CN"/>
        </w:rPr>
      </w:pPr>
      <w:r>
        <w:rPr>
          <w:rFonts w:hint="default"/>
          <w:color w:val="auto"/>
          <w:lang w:val="en-US" w:eastAsia="zh-CN"/>
        </w:rPr>
        <w:t>能造成火情或其它事故的扩大。</w:t>
      </w:r>
    </w:p>
    <w:p>
      <w:pPr>
        <w:numPr>
          <w:ilvl w:val="-1"/>
          <w:numId w:val="0"/>
        </w:numPr>
        <w:ind w:firstLine="560" w:firstLineChars="200"/>
        <w:rPr>
          <w:rFonts w:hint="default"/>
          <w:color w:val="auto"/>
          <w:lang w:val="en-US" w:eastAsia="zh-CN"/>
        </w:rPr>
      </w:pPr>
      <w:r>
        <w:rPr>
          <w:rFonts w:hint="default"/>
          <w:color w:val="auto"/>
          <w:lang w:val="en-US" w:eastAsia="zh-CN"/>
        </w:rPr>
        <w:t>有爆炸危险的甲类生产部位，不得设在建筑物的地下室或半地下室内，以免发生事故影响上层，同时也不利于疏散和扑救。这些部位宜设在单层厂房靠外墙或多层厂房的最上一层靠外墙处；如有可能，尽量设在敞开式建筑物内，以利通风和防爆泄压，减少事故损失。</w:t>
      </w:r>
    </w:p>
    <w:p>
      <w:pPr>
        <w:numPr>
          <w:ilvl w:val="-1"/>
          <w:numId w:val="0"/>
        </w:numPr>
        <w:ind w:firstLine="560" w:firstLineChars="200"/>
        <w:rPr>
          <w:rFonts w:hint="default"/>
          <w:color w:val="auto"/>
          <w:lang w:val="en-US" w:eastAsia="zh-CN"/>
        </w:rPr>
      </w:pPr>
      <w:r>
        <w:rPr>
          <w:rFonts w:hint="default"/>
          <w:color w:val="auto"/>
          <w:lang w:val="en-US" w:eastAsia="zh-CN"/>
        </w:rPr>
        <w:t>该项目生产车间、储罐区、装卸区等之间的间距应考虑到消防施救和人</w:t>
      </w:r>
    </w:p>
    <w:p>
      <w:pPr>
        <w:numPr>
          <w:ilvl w:val="-1"/>
          <w:numId w:val="0"/>
        </w:numPr>
        <w:ind w:firstLine="0" w:firstLineChars="0"/>
        <w:rPr>
          <w:rFonts w:hint="default"/>
          <w:color w:val="auto"/>
          <w:lang w:val="en-US" w:eastAsia="zh-CN"/>
        </w:rPr>
      </w:pPr>
      <w:r>
        <w:rPr>
          <w:rFonts w:hint="default"/>
          <w:color w:val="auto"/>
          <w:lang w:val="en-US" w:eastAsia="zh-CN"/>
        </w:rPr>
        <w:t>员疏散的要求，否则可能造成火情或其它事故的扩大。</w:t>
      </w:r>
    </w:p>
    <w:p>
      <w:pPr>
        <w:numPr>
          <w:ilvl w:val="-1"/>
          <w:numId w:val="0"/>
        </w:numPr>
        <w:ind w:firstLine="560" w:firstLineChars="200"/>
        <w:rPr>
          <w:rFonts w:hint="default"/>
          <w:color w:val="auto"/>
          <w:lang w:val="en-US" w:eastAsia="zh-CN"/>
        </w:rPr>
      </w:pPr>
      <w:r>
        <w:rPr>
          <w:rFonts w:hint="default"/>
          <w:color w:val="auto"/>
          <w:lang w:val="en-US" w:eastAsia="zh-CN"/>
        </w:rPr>
        <w:t>生产装置和贮槽很大，基础负荷也很大，若基础设计、施工有问题，易</w:t>
      </w:r>
    </w:p>
    <w:p>
      <w:pPr>
        <w:numPr>
          <w:ilvl w:val="-1"/>
          <w:numId w:val="0"/>
        </w:numPr>
        <w:ind w:firstLine="0" w:firstLineChars="0"/>
        <w:rPr>
          <w:rFonts w:hint="default"/>
          <w:color w:val="auto"/>
          <w:lang w:val="en-US" w:eastAsia="zh-CN"/>
        </w:rPr>
      </w:pPr>
      <w:r>
        <w:rPr>
          <w:rFonts w:hint="default"/>
          <w:color w:val="auto"/>
          <w:lang w:val="en-US" w:eastAsia="zh-CN"/>
        </w:rPr>
        <w:t>造成基础沉降，会引起设备、管线损坏，物料泄漏，造成中毒、火灾、爆炸</w:t>
      </w:r>
    </w:p>
    <w:p>
      <w:pPr>
        <w:numPr>
          <w:ilvl w:val="-1"/>
          <w:numId w:val="0"/>
        </w:numPr>
        <w:ind w:firstLine="0" w:firstLineChars="0"/>
        <w:rPr>
          <w:rFonts w:hint="default"/>
          <w:color w:val="auto"/>
          <w:lang w:val="en-US" w:eastAsia="zh-CN"/>
        </w:rPr>
      </w:pPr>
      <w:r>
        <w:rPr>
          <w:rFonts w:hint="default"/>
          <w:color w:val="auto"/>
          <w:lang w:val="en-US" w:eastAsia="zh-CN"/>
        </w:rPr>
        <w:t>事故。</w:t>
      </w:r>
    </w:p>
    <w:p>
      <w:pPr>
        <w:pStyle w:val="4"/>
        <w:rPr>
          <w:rFonts w:hint="default"/>
          <w:color w:val="auto"/>
          <w:lang w:val="en-US" w:eastAsia="zh-CN"/>
        </w:rPr>
      </w:pPr>
      <w:bookmarkStart w:id="876" w:name="_Toc3279"/>
      <w:bookmarkStart w:id="877" w:name="_Toc723"/>
      <w:bookmarkStart w:id="878" w:name="_Toc27374"/>
      <w:bookmarkStart w:id="879" w:name="_Toc30402"/>
      <w:bookmarkStart w:id="880" w:name="_Toc645"/>
      <w:bookmarkStart w:id="881" w:name="_Toc27944"/>
      <w:r>
        <w:rPr>
          <w:rFonts w:hint="default"/>
          <w:color w:val="auto"/>
          <w:lang w:val="en-US" w:eastAsia="zh-CN"/>
        </w:rPr>
        <w:t>B.2.3 按导致事故类别进行危险、有害因素辨识与分析</w:t>
      </w:r>
      <w:bookmarkEnd w:id="876"/>
      <w:bookmarkEnd w:id="877"/>
      <w:bookmarkEnd w:id="878"/>
      <w:bookmarkEnd w:id="879"/>
      <w:bookmarkEnd w:id="880"/>
      <w:bookmarkEnd w:id="881"/>
    </w:p>
    <w:p>
      <w:pPr>
        <w:numPr>
          <w:ilvl w:val="-1"/>
          <w:numId w:val="0"/>
        </w:numPr>
        <w:ind w:firstLine="560" w:firstLineChars="200"/>
        <w:rPr>
          <w:rFonts w:hint="default"/>
          <w:color w:val="auto"/>
          <w:lang w:val="en-US" w:eastAsia="zh-CN"/>
        </w:rPr>
      </w:pPr>
      <w:r>
        <w:rPr>
          <w:rFonts w:hint="default"/>
          <w:color w:val="auto"/>
          <w:lang w:val="en-US" w:eastAsia="zh-CN"/>
        </w:rPr>
        <w:t>参照《企业职工伤亡事故分类标准》(GB 6441-1986)，综合考虑起因物、</w:t>
      </w:r>
    </w:p>
    <w:p>
      <w:pPr>
        <w:numPr>
          <w:ilvl w:val="-1"/>
          <w:numId w:val="0"/>
        </w:numPr>
        <w:ind w:firstLine="0" w:firstLineChars="0"/>
        <w:rPr>
          <w:rFonts w:hint="default"/>
          <w:color w:val="auto"/>
          <w:lang w:val="en-US" w:eastAsia="zh-CN"/>
        </w:rPr>
      </w:pPr>
      <w:r>
        <w:rPr>
          <w:rFonts w:hint="default"/>
          <w:color w:val="auto"/>
          <w:lang w:val="en-US" w:eastAsia="zh-CN"/>
        </w:rPr>
        <w:t>引起事故的诱导性原因、致害物、伤害方式等。</w:t>
      </w:r>
    </w:p>
    <w:p>
      <w:pPr>
        <w:pStyle w:val="5"/>
        <w:rPr>
          <w:rFonts w:hint="default"/>
          <w:color w:val="auto"/>
          <w:lang w:val="en-US" w:eastAsia="zh-CN"/>
        </w:rPr>
      </w:pPr>
      <w:r>
        <w:rPr>
          <w:rFonts w:hint="default"/>
          <w:color w:val="auto"/>
          <w:lang w:val="en-US" w:eastAsia="zh-CN"/>
        </w:rPr>
        <w:t xml:space="preserve">B.2.3.1 </w:t>
      </w:r>
      <w:r>
        <w:rPr>
          <w:color w:val="auto"/>
          <w:sz w:val="32"/>
          <w:szCs w:val="32"/>
        </w:rPr>
        <w:t>工艺过程危险、有害因素分析</w:t>
      </w:r>
    </w:p>
    <w:p>
      <w:pPr>
        <w:spacing w:line="360" w:lineRule="auto"/>
        <w:ind w:firstLine="560" w:firstLineChars="200"/>
        <w:rPr>
          <w:color w:val="auto"/>
          <w:kern w:val="0"/>
          <w:sz w:val="28"/>
          <w:szCs w:val="28"/>
        </w:rPr>
      </w:pPr>
      <w:bookmarkStart w:id="882" w:name="_Toc412926471"/>
      <w:bookmarkStart w:id="883" w:name="_Toc3666013"/>
      <w:r>
        <w:rPr>
          <w:color w:val="auto"/>
          <w:kern w:val="0"/>
          <w:sz w:val="28"/>
          <w:szCs w:val="28"/>
        </w:rPr>
        <w:t>一、主要危险因素分析</w:t>
      </w:r>
      <w:bookmarkEnd w:id="882"/>
      <w:bookmarkEnd w:id="883"/>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按照《企业工伤事故分类》GB6441-1986的规定，对该项目存在危险因素进行分析辨识。根据物质的危险、有害因素和类比装置现场调查、了解的资料分析，生产过程中存在的</w:t>
      </w:r>
      <w:r>
        <w:rPr>
          <w:rFonts w:hint="eastAsia"/>
          <w:color w:val="auto"/>
          <w:kern w:val="0"/>
          <w:sz w:val="28"/>
          <w:szCs w:val="28"/>
          <w:lang w:val="en-US" w:eastAsia="zh-CN"/>
        </w:rPr>
        <w:t>甲基丙烯酸甲酯、尾气（甲醇、丙烯酸甲酯）</w:t>
      </w:r>
      <w:r>
        <w:rPr>
          <w:color w:val="auto"/>
          <w:kern w:val="0"/>
          <w:sz w:val="28"/>
          <w:szCs w:val="28"/>
        </w:rPr>
        <w:t>是发生火灾和爆炸危险的物质因素。</w:t>
      </w:r>
    </w:p>
    <w:p>
      <w:pPr>
        <w:autoSpaceDE w:val="0"/>
        <w:autoSpaceDN w:val="0"/>
        <w:adjustRightInd w:val="0"/>
        <w:spacing w:line="360" w:lineRule="auto"/>
        <w:ind w:firstLine="560" w:firstLineChars="200"/>
        <w:jc w:val="left"/>
        <w:rPr>
          <w:color w:val="auto"/>
          <w:spacing w:val="-2"/>
          <w:kern w:val="0"/>
          <w:sz w:val="28"/>
          <w:szCs w:val="28"/>
        </w:rPr>
      </w:pPr>
      <w:r>
        <w:rPr>
          <w:rFonts w:hint="eastAsia"/>
          <w:color w:val="auto"/>
          <w:kern w:val="0"/>
          <w:sz w:val="28"/>
          <w:szCs w:val="28"/>
          <w:lang w:val="en-US" w:eastAsia="zh-CN"/>
        </w:rPr>
        <w:t>甲基丙烯酸甲酯、尾气（甲醇、丙烯酸甲酯）</w:t>
      </w:r>
      <w:r>
        <w:rPr>
          <w:color w:val="auto"/>
          <w:spacing w:val="-2"/>
          <w:kern w:val="0"/>
          <w:sz w:val="28"/>
          <w:szCs w:val="28"/>
        </w:rPr>
        <w:t>在空气、氧气等具有助燃物质的环境中，遇到点火源会发生燃烧，严重时形成火灾。同时，易燃气体、可燃液体蒸气与空气混合达到爆炸极限时，遇到点火源或高热将会发生化学爆炸。因而，易燃、可燃物料的泄漏是发生火灾、爆炸的主要物质原因之一。</w:t>
      </w:r>
    </w:p>
    <w:p>
      <w:pPr>
        <w:autoSpaceDE w:val="0"/>
        <w:autoSpaceDN w:val="0"/>
        <w:adjustRightInd w:val="0"/>
        <w:spacing w:line="360" w:lineRule="auto"/>
        <w:ind w:firstLine="552" w:firstLineChars="200"/>
        <w:jc w:val="left"/>
        <w:rPr>
          <w:color w:val="auto"/>
          <w:spacing w:val="-2"/>
          <w:kern w:val="0"/>
          <w:sz w:val="28"/>
          <w:szCs w:val="28"/>
        </w:rPr>
      </w:pPr>
      <w:r>
        <w:rPr>
          <w:color w:val="auto"/>
          <w:spacing w:val="-2"/>
          <w:kern w:val="0"/>
          <w:sz w:val="28"/>
          <w:szCs w:val="28"/>
        </w:rPr>
        <w:t>1、火灾、爆炸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引起化学火灾事故的主要因素之一是易燃、易爆物质发生泄漏及遇上点火源。该项目发生火灾危险的可能性如下：</w:t>
      </w:r>
    </w:p>
    <w:p>
      <w:pPr>
        <w:numPr>
          <w:ilvl w:val="0"/>
          <w:numId w:val="10"/>
        </w:numPr>
        <w:autoSpaceDE w:val="0"/>
        <w:autoSpaceDN w:val="0"/>
        <w:adjustRightInd w:val="0"/>
        <w:spacing w:line="360" w:lineRule="auto"/>
        <w:ind w:firstLine="562" w:firstLineChars="200"/>
        <w:jc w:val="left"/>
        <w:rPr>
          <w:b/>
          <w:bCs/>
          <w:color w:val="auto"/>
          <w:kern w:val="0"/>
          <w:sz w:val="28"/>
          <w:szCs w:val="28"/>
        </w:rPr>
      </w:pPr>
      <w:r>
        <w:rPr>
          <w:b/>
          <w:bCs/>
          <w:color w:val="auto"/>
          <w:kern w:val="0"/>
          <w:sz w:val="28"/>
          <w:szCs w:val="28"/>
        </w:rPr>
        <w:t>在裂解</w:t>
      </w:r>
      <w:r>
        <w:rPr>
          <w:rFonts w:hint="eastAsia"/>
          <w:b/>
          <w:bCs/>
          <w:color w:val="auto"/>
          <w:kern w:val="0"/>
          <w:sz w:val="28"/>
          <w:szCs w:val="28"/>
          <w:lang w:val="en-US" w:eastAsia="zh-CN"/>
        </w:rPr>
        <w:t>工艺</w:t>
      </w:r>
      <w:r>
        <w:rPr>
          <w:b/>
          <w:bCs/>
          <w:color w:val="auto"/>
          <w:kern w:val="0"/>
          <w:sz w:val="28"/>
          <w:szCs w:val="28"/>
        </w:rPr>
        <w:t>可能造成火灾、爆炸事故的危险、有害因素主要有：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该项目裂解装置采用</w:t>
      </w:r>
      <w:r>
        <w:rPr>
          <w:rFonts w:hint="eastAsia"/>
          <w:color w:val="auto"/>
          <w:kern w:val="0"/>
          <w:sz w:val="28"/>
          <w:szCs w:val="28"/>
          <w:lang w:val="en-US" w:eastAsia="zh-CN"/>
        </w:rPr>
        <w:t>电阻</w:t>
      </w:r>
      <w:r>
        <w:rPr>
          <w:color w:val="auto"/>
          <w:kern w:val="0"/>
          <w:sz w:val="28"/>
          <w:szCs w:val="28"/>
        </w:rPr>
        <w:t>加热，涉及高温环境。如设备选型或设计不合理，安装过程中导致损坏，车间内可燃性气体、液体进入或接触到设备加热部件或高温部位，可能或导致火灾爆炸事故；裂解</w:t>
      </w:r>
      <w:r>
        <w:rPr>
          <w:rFonts w:hint="eastAsia"/>
          <w:color w:val="auto"/>
          <w:kern w:val="0"/>
          <w:sz w:val="28"/>
          <w:szCs w:val="28"/>
          <w:lang w:val="en-US" w:eastAsia="zh-CN"/>
        </w:rPr>
        <w:t>炉</w:t>
      </w:r>
      <w:r>
        <w:rPr>
          <w:color w:val="auto"/>
          <w:kern w:val="0"/>
          <w:sz w:val="28"/>
          <w:szCs w:val="28"/>
        </w:rPr>
        <w:t>属于甲类火灾危险性生产装置，其原料及产品均属可燃物质，具有明显的火灾爆炸危险性。</w:t>
      </w:r>
      <w:r>
        <w:rPr>
          <w:rFonts w:hint="eastAsia"/>
          <w:color w:val="auto"/>
          <w:kern w:val="0"/>
          <w:sz w:val="28"/>
          <w:szCs w:val="28"/>
          <w:lang w:val="en-US" w:eastAsia="zh-CN"/>
        </w:rPr>
        <w:t>裂解炉</w:t>
      </w:r>
      <w:r>
        <w:rPr>
          <w:color w:val="auto"/>
          <w:kern w:val="0"/>
          <w:sz w:val="28"/>
          <w:szCs w:val="28"/>
        </w:rPr>
        <w:t>是</w:t>
      </w:r>
      <w:r>
        <w:rPr>
          <w:rFonts w:hint="eastAsia"/>
          <w:color w:val="auto"/>
          <w:kern w:val="0"/>
          <w:sz w:val="28"/>
          <w:szCs w:val="28"/>
          <w:lang w:val="en-US" w:eastAsia="zh-CN"/>
        </w:rPr>
        <w:t>反应</w:t>
      </w:r>
      <w:r>
        <w:rPr>
          <w:color w:val="auto"/>
          <w:kern w:val="0"/>
          <w:sz w:val="28"/>
          <w:szCs w:val="28"/>
        </w:rPr>
        <w:t>装置的核心设备，如进出口法兰紧固不当或螺栓失效伸长变形，温度压力波动太大时，</w:t>
      </w:r>
      <w:r>
        <w:rPr>
          <w:rFonts w:hint="eastAsia"/>
          <w:color w:val="auto"/>
          <w:kern w:val="0"/>
          <w:sz w:val="28"/>
          <w:szCs w:val="28"/>
          <w:lang w:val="en-US" w:eastAsia="zh-CN"/>
        </w:rPr>
        <w:t>裂解炉</w:t>
      </w:r>
      <w:r>
        <w:rPr>
          <w:color w:val="auto"/>
          <w:kern w:val="0"/>
          <w:sz w:val="28"/>
          <w:szCs w:val="28"/>
        </w:rPr>
        <w:t>进出口法兰可能泄漏，易燃物料遇空气会立即自燃发生火灾。如果由于</w:t>
      </w:r>
      <w:r>
        <w:rPr>
          <w:rFonts w:hint="eastAsia"/>
          <w:color w:val="auto"/>
          <w:kern w:val="0"/>
          <w:sz w:val="28"/>
          <w:szCs w:val="28"/>
          <w:lang w:val="en-US" w:eastAsia="zh-CN"/>
        </w:rPr>
        <w:t>电加热温度调节控制回路故障等原因可能导致甲基丙烯酸甲酯从裂解炉溢出，物料泄漏到现场，导致火灾爆炸</w:t>
      </w:r>
      <w:r>
        <w:rPr>
          <w:color w:val="auto"/>
          <w:kern w:val="0"/>
          <w:sz w:val="28"/>
          <w:szCs w:val="28"/>
        </w:rPr>
        <w:t>。生产过程中如</w:t>
      </w:r>
      <w:r>
        <w:rPr>
          <w:rFonts w:hint="eastAsia"/>
          <w:color w:val="auto"/>
          <w:kern w:val="0"/>
          <w:sz w:val="28"/>
          <w:szCs w:val="28"/>
          <w:lang w:val="en-US" w:eastAsia="zh-CN"/>
        </w:rPr>
        <w:t>温度</w:t>
      </w:r>
      <w:r>
        <w:rPr>
          <w:color w:val="auto"/>
          <w:kern w:val="0"/>
          <w:sz w:val="28"/>
          <w:szCs w:val="28"/>
        </w:rPr>
        <w:t>控制不当，</w:t>
      </w:r>
      <w:r>
        <w:rPr>
          <w:rFonts w:hint="eastAsia"/>
          <w:color w:val="auto"/>
          <w:kern w:val="0"/>
          <w:sz w:val="28"/>
          <w:szCs w:val="28"/>
          <w:lang w:val="en-US" w:eastAsia="zh-CN"/>
        </w:rPr>
        <w:t>裂解反应</w:t>
      </w:r>
      <w:r>
        <w:rPr>
          <w:color w:val="auto"/>
          <w:kern w:val="0"/>
          <w:sz w:val="28"/>
          <w:szCs w:val="28"/>
        </w:rPr>
        <w:t>速度过快，可能造成容器内压升高，气体夹带液体喷出着火或设备爆炸，同时造成周围设备损坏，易燃物料泄漏引起二次事故；加入速度过慢可能造成裂解过度，产生大量不凝性气体，进入中间槽罐、管道，引发设备、管道破裂，导致火灾爆炸事故。如冷却系统故障或供应量不足，冷凝效果不佳，可能导致气体进入中间槽罐、管道，引发设备、管道破裂，导致火灾爆炸事故。</w:t>
      </w:r>
    </w:p>
    <w:p>
      <w:pPr>
        <w:bidi w:val="0"/>
        <w:ind w:firstLine="560" w:firstLineChars="200"/>
        <w:rPr>
          <w:color w:val="auto"/>
        </w:rPr>
      </w:pPr>
      <w:r>
        <w:rPr>
          <w:color w:val="auto"/>
        </w:rPr>
        <w:t>物料在</w:t>
      </w:r>
      <w:r>
        <w:rPr>
          <w:rFonts w:hint="eastAsia"/>
          <w:color w:val="auto"/>
          <w:lang w:val="en-US" w:eastAsia="zh-CN"/>
        </w:rPr>
        <w:t>裂解炉</w:t>
      </w:r>
      <w:r>
        <w:rPr>
          <w:color w:val="auto"/>
        </w:rPr>
        <w:t>、管道中沉淀、结焦、堵塞而造成局部过热破裂，泄漏；可能导致火灾，爆炸。</w:t>
      </w:r>
    </w:p>
    <w:p>
      <w:pPr>
        <w:autoSpaceDE w:val="0"/>
        <w:autoSpaceDN w:val="0"/>
        <w:adjustRightInd w:val="0"/>
        <w:spacing w:line="360" w:lineRule="auto"/>
        <w:ind w:firstLine="562" w:firstLineChars="200"/>
        <w:jc w:val="left"/>
        <w:rPr>
          <w:color w:val="auto"/>
          <w:kern w:val="0"/>
          <w:sz w:val="28"/>
          <w:szCs w:val="28"/>
        </w:rPr>
      </w:pPr>
      <w:r>
        <w:rPr>
          <w:b/>
          <w:bCs/>
          <w:color w:val="auto"/>
          <w:kern w:val="0"/>
          <w:sz w:val="28"/>
          <w:szCs w:val="28"/>
        </w:rPr>
        <w:t>2）在</w:t>
      </w:r>
      <w:r>
        <w:rPr>
          <w:rFonts w:hint="eastAsia"/>
          <w:b/>
          <w:bCs/>
          <w:color w:val="auto"/>
          <w:kern w:val="0"/>
          <w:sz w:val="28"/>
          <w:szCs w:val="28"/>
          <w:lang w:val="en-US" w:eastAsia="zh-CN"/>
        </w:rPr>
        <w:t>精馏工艺</w:t>
      </w:r>
      <w:r>
        <w:rPr>
          <w:b/>
          <w:bCs/>
          <w:color w:val="auto"/>
          <w:kern w:val="0"/>
          <w:sz w:val="28"/>
          <w:szCs w:val="28"/>
        </w:rPr>
        <w:t>可能造成火灾、爆炸事故的危险、有害因素主要有：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w:t>
      </w:r>
      <w:r>
        <w:rPr>
          <w:rFonts w:hint="eastAsia"/>
          <w:color w:val="auto"/>
          <w:kern w:val="0"/>
          <w:sz w:val="28"/>
          <w:szCs w:val="28"/>
          <w:lang w:val="en-US" w:eastAsia="zh-CN"/>
        </w:rPr>
        <w:t>物料在蒸馏过程中，如果塔顶冷凝器冷却水中断，而釜内的物料仍在继续蒸馏循环，会造成系统由原来的负压状态变成正压，超过设备的承受能力发生爆炸</w:t>
      </w:r>
      <w:r>
        <w:rPr>
          <w:color w:val="auto"/>
          <w:kern w:val="0"/>
          <w:sz w:val="28"/>
          <w:szCs w:val="28"/>
        </w:rPr>
        <w:t>。</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w:t>
      </w:r>
      <w:r>
        <w:rPr>
          <w:rFonts w:hint="eastAsia"/>
          <w:color w:val="auto"/>
          <w:kern w:val="0"/>
          <w:sz w:val="28"/>
          <w:szCs w:val="28"/>
          <w:lang w:val="en-US" w:eastAsia="zh-CN"/>
        </w:rPr>
        <w:t>蒸馏釜、塔节设计不合理、设备结构形状不连续、焊缝布置不当等，可能引起应力集中</w:t>
      </w:r>
      <w:r>
        <w:rPr>
          <w:color w:val="auto"/>
          <w:kern w:val="0"/>
          <w:sz w:val="28"/>
          <w:szCs w:val="28"/>
        </w:rPr>
        <w:t>。</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w:t>
      </w:r>
      <w:r>
        <w:rPr>
          <w:rFonts w:hint="eastAsia"/>
          <w:color w:val="auto"/>
          <w:kern w:val="0"/>
          <w:sz w:val="28"/>
          <w:szCs w:val="28"/>
          <w:lang w:val="en-US" w:eastAsia="zh-CN"/>
        </w:rPr>
        <w:t>3</w:t>
      </w:r>
      <w:r>
        <w:rPr>
          <w:color w:val="auto"/>
          <w:kern w:val="0"/>
          <w:sz w:val="28"/>
          <w:szCs w:val="28"/>
        </w:rPr>
        <w:t>）生产装置在制造、安装过程中可能存在质量缺陷，加工、材质、焊接等质量不好或安装不当，安装过程中焊接质量缺陷、法兰连接处密封垫及机械密封选型不当，在运行时造成设备、容器破坏。运行过程中材质和密封因物料腐蚀老化，撞击或人为损坏造成容器、管道泄漏等都可能造成物料的泄漏，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w:t>
      </w:r>
      <w:r>
        <w:rPr>
          <w:rFonts w:hint="eastAsia"/>
          <w:color w:val="auto"/>
          <w:kern w:val="0"/>
          <w:sz w:val="28"/>
          <w:szCs w:val="28"/>
          <w:lang w:val="en-US" w:eastAsia="zh-CN"/>
        </w:rPr>
        <w:t>4</w:t>
      </w:r>
      <w:r>
        <w:rPr>
          <w:color w:val="auto"/>
          <w:kern w:val="0"/>
          <w:sz w:val="28"/>
          <w:szCs w:val="28"/>
        </w:rPr>
        <w:t>）工艺内各装置之间的连接管道法兰、阀门及管道因外力等原因破裂、破损造成</w:t>
      </w:r>
      <w:r>
        <w:rPr>
          <w:rFonts w:hint="eastAsia"/>
          <w:color w:val="auto"/>
          <w:kern w:val="0"/>
          <w:sz w:val="28"/>
          <w:szCs w:val="28"/>
          <w:lang w:val="en-US" w:eastAsia="zh-CN"/>
        </w:rPr>
        <w:t>物料</w:t>
      </w:r>
      <w:r>
        <w:rPr>
          <w:color w:val="auto"/>
          <w:kern w:val="0"/>
          <w:sz w:val="28"/>
          <w:szCs w:val="28"/>
        </w:rPr>
        <w:t>泄漏，</w:t>
      </w:r>
      <w:r>
        <w:rPr>
          <w:rFonts w:hint="eastAsia"/>
          <w:color w:val="auto"/>
          <w:kern w:val="0"/>
          <w:sz w:val="28"/>
          <w:szCs w:val="28"/>
          <w:lang w:val="en-US" w:eastAsia="zh-CN"/>
        </w:rPr>
        <w:t>可能导致火灾、爆炸</w:t>
      </w:r>
      <w:r>
        <w:rPr>
          <w:color w:val="auto"/>
          <w:kern w:val="0"/>
          <w:sz w:val="28"/>
          <w:szCs w:val="28"/>
        </w:rPr>
        <w:t>。</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w:t>
      </w:r>
      <w:r>
        <w:rPr>
          <w:rFonts w:hint="eastAsia"/>
          <w:color w:val="auto"/>
          <w:kern w:val="0"/>
          <w:sz w:val="28"/>
          <w:szCs w:val="28"/>
          <w:lang w:val="en-US" w:eastAsia="zh-CN"/>
        </w:rPr>
        <w:t>5</w:t>
      </w:r>
      <w:r>
        <w:rPr>
          <w:color w:val="auto"/>
          <w:kern w:val="0"/>
          <w:sz w:val="28"/>
          <w:szCs w:val="28"/>
        </w:rPr>
        <w:t>）</w:t>
      </w:r>
      <w:r>
        <w:rPr>
          <w:rFonts w:hint="eastAsia"/>
          <w:color w:val="auto"/>
          <w:kern w:val="0"/>
          <w:sz w:val="28"/>
          <w:szCs w:val="28"/>
          <w:lang w:val="en-US" w:eastAsia="zh-CN"/>
        </w:rPr>
        <w:t>裂解炉</w:t>
      </w:r>
      <w:r>
        <w:rPr>
          <w:color w:val="auto"/>
          <w:kern w:val="0"/>
          <w:sz w:val="28"/>
          <w:szCs w:val="28"/>
        </w:rPr>
        <w:t>因温度与循环水联锁失效而引起超温、超压造成破裂、泄漏；安全泄压装置等安全附件失灵、损坏或操作不当发生泄漏，发生泄漏，均可能导致火灾，爆炸。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（9）动火作业时未严格执行作业票证制度，未对设备进行清洗置换并分析合格进行动火作业引发火灾、爆炸事故。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（10）巡检人员或检修人员工具不按规定使用而造成高处落物损坏管道造成泄漏等；因管道标志不清检修时误拆管道；检修时吊车等起重作业不小心碰断管线引起着火、爆炸事故。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11）采用DCS控制系统，并设置独立的安全仪表系统SIS，如果操作件失灵或仪表空气压力不足，联锁装置失效，仪表空气中带液在管道末端积聚，造成操作机构失灵，或者变送信号线屏蔽不好，产生感应信号等引起误动作，现场巡查不及时，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（12）该项目生产和辅助装置中大量使用电气设备、设施，包括变配电所、电气设备，同时大量使用电缆、电线，这些可能因负荷过载、绝缘老化，异物侵入等引起火灾爆炸。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（13）易燃易爆场所没有按要求安装防爆电气设施，高温时运转设备的温升过高，压力容器、压力设备压力增大容易发生设备事故，甚至火灾、爆炸事故。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（14）巡检人员或检修人员工具不按规定使用而造成高处落物损坏管道造成泄漏等；因管道标志不清检修时误拆管道；检修时起重作业不小心碰断管线引起着火、爆炸事故。</w:t>
      </w:r>
    </w:p>
    <w:p>
      <w:pPr>
        <w:spacing w:line="360" w:lineRule="auto"/>
        <w:ind w:firstLine="560" w:firstLineChars="200"/>
        <w:rPr>
          <w:color w:val="auto"/>
          <w:sz w:val="28"/>
          <w:szCs w:val="28"/>
        </w:rPr>
      </w:pPr>
      <w:r>
        <w:rPr>
          <w:color w:val="auto"/>
          <w:sz w:val="28"/>
          <w:szCs w:val="28"/>
        </w:rPr>
        <w:t>（16）合成装置因冷却水能力不足，造成反应温度失控，造成爆炸火灾等事故。</w:t>
      </w:r>
    </w:p>
    <w:p>
      <w:pPr>
        <w:spacing w:line="360" w:lineRule="auto"/>
        <w:ind w:firstLine="560" w:firstLineChars="200"/>
        <w:rPr>
          <w:color w:val="auto"/>
          <w:sz w:val="28"/>
          <w:szCs w:val="28"/>
        </w:rPr>
      </w:pPr>
      <w:r>
        <w:rPr>
          <w:color w:val="auto"/>
          <w:sz w:val="28"/>
          <w:szCs w:val="28"/>
        </w:rPr>
        <w:t>（17）生产过程中为高温、高压过程，对设备材质的要求非常高，如果设备、容器密闭性差，生产时易燃物料挥发到空气中，在空气中达到爆炸极限，遇点火源引起火灾爆炸。</w:t>
      </w:r>
    </w:p>
    <w:p>
      <w:pPr>
        <w:autoSpaceDE w:val="0"/>
        <w:autoSpaceDN w:val="0"/>
        <w:adjustRightInd w:val="0"/>
        <w:spacing w:line="360" w:lineRule="auto"/>
        <w:ind w:firstLine="562" w:firstLineChars="200"/>
        <w:jc w:val="left"/>
        <w:rPr>
          <w:b/>
          <w:bCs/>
          <w:color w:val="auto"/>
          <w:kern w:val="0"/>
          <w:sz w:val="28"/>
          <w:szCs w:val="28"/>
        </w:rPr>
      </w:pPr>
      <w:r>
        <w:rPr>
          <w:rFonts w:hint="eastAsia"/>
          <w:b/>
          <w:bCs/>
          <w:color w:val="auto"/>
          <w:kern w:val="0"/>
          <w:sz w:val="28"/>
          <w:szCs w:val="28"/>
          <w:lang w:val="en-US" w:eastAsia="zh-CN"/>
        </w:rPr>
        <w:t>3</w:t>
      </w:r>
      <w:r>
        <w:rPr>
          <w:b/>
          <w:bCs/>
          <w:color w:val="auto"/>
          <w:kern w:val="0"/>
          <w:sz w:val="28"/>
          <w:szCs w:val="28"/>
        </w:rPr>
        <w:t>）</w:t>
      </w:r>
      <w:r>
        <w:rPr>
          <w:rFonts w:hint="eastAsia"/>
          <w:b/>
          <w:bCs/>
          <w:color w:val="auto"/>
          <w:kern w:val="0"/>
          <w:sz w:val="28"/>
          <w:szCs w:val="28"/>
          <w:lang w:val="en-US" w:eastAsia="zh-CN"/>
        </w:rPr>
        <w:t>尾气处理工艺</w:t>
      </w:r>
      <w:r>
        <w:rPr>
          <w:b/>
          <w:bCs/>
          <w:color w:val="auto"/>
          <w:kern w:val="0"/>
          <w:sz w:val="28"/>
          <w:szCs w:val="28"/>
        </w:rPr>
        <w:t>可能造成火灾、爆炸事故的危险、有害因素主要有：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生产装置在制造、安装过程中可能存在质量缺陷，安装过程中焊接质量缺陷、法兰连接处密封垫及机械密封选型不当，在运行时造成设备、容器破坏。运行过程中材质和密封因物料腐蚀老化等，都可能造成物料的泄漏，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w:t>
      </w:r>
      <w:r>
        <w:rPr>
          <w:rFonts w:hint="eastAsia"/>
          <w:color w:val="auto"/>
          <w:kern w:val="0"/>
          <w:sz w:val="28"/>
          <w:szCs w:val="28"/>
          <w:lang w:val="en-US" w:eastAsia="zh-CN"/>
        </w:rPr>
        <w:t>甲基丙烯酸甲酯</w:t>
      </w:r>
      <w:r>
        <w:rPr>
          <w:color w:val="auto"/>
          <w:kern w:val="0"/>
          <w:sz w:val="28"/>
          <w:szCs w:val="28"/>
        </w:rPr>
        <w:t>气体如发生泄漏，可能导致火灾，爆炸。与氧化剂能发生强烈反应。其蒸气比空气重，能在较低处扩散到相当远的地方，遇火源着火回燃，引起火灾、爆炸事故。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（3）巡检人员或检修人员工具不按规定使用而造成高处落物损坏管道造成泄漏等；因管道标志不清检修时误拆管道；检修时不小心碰断管线引起火灾、爆炸事故。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（4）易燃易爆场所没有按要求安装防爆电气设施引发火灾、爆炸事故。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（5）该项目建成后，需与已建成的装置并系统运行，如果并系统过程中未制定相应的方案，未进行相应的隔绝和置换合格，在并管过程中发生火灾、爆炸事故。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（6）稳压储液罐因超压安全附件不全或不可靠造成破裂、泄漏，或工艺控制不好造成超压发生物理爆炸，遇点火能源引发二次事故。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（7）该项目生产和辅助装置中大量使用电气设备、设施，同时大量使用电缆、电线，这些可能因负荷过载、绝缘老化，异物侵入等引起火灾爆炸。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（8）物料在容器、管道中沉淀、结焦、堵塞而造成局部过热破裂，泄漏；可能导致火灾，爆炸。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（9）动火作业时未严格执行作业票证制度，未对设备进行清洗置换并分析合格进行动火作业引发火灾、爆炸事故。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采用DCS控制系统，如果操作件失灵或仪表空气压力不足，联锁装置失效，仪表空气中带液在管道末端积聚，造成操作机构失灵，或者变送信号线屏蔽不好，产生感应信号等引起误动作，现场巡查不及时，引发火灾、爆炸事故。</w:t>
      </w:r>
    </w:p>
    <w:p>
      <w:pPr>
        <w:autoSpaceDE w:val="0"/>
        <w:autoSpaceDN w:val="0"/>
        <w:adjustRightInd w:val="0"/>
        <w:spacing w:line="360" w:lineRule="auto"/>
        <w:ind w:firstLine="560" w:firstLineChars="200"/>
        <w:jc w:val="left"/>
        <w:rPr>
          <w:color w:val="auto"/>
          <w:kern w:val="0"/>
          <w:sz w:val="28"/>
          <w:szCs w:val="28"/>
          <w:highlight w:val="yellow"/>
        </w:rPr>
      </w:pPr>
      <w:r>
        <w:rPr>
          <w:color w:val="auto"/>
          <w:kern w:val="0"/>
          <w:sz w:val="28"/>
          <w:szCs w:val="28"/>
          <w:highlight w:val="none"/>
        </w:rPr>
        <w:t>5）在尾气处理装置可能造成火灾、爆炸事故的危险、有害因素主要有：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w:t>
      </w:r>
      <w:r>
        <w:rPr>
          <w:rFonts w:hint="eastAsia"/>
          <w:color w:val="auto"/>
          <w:kern w:val="0"/>
          <w:sz w:val="28"/>
          <w:szCs w:val="28"/>
          <w:lang w:val="en-US" w:eastAsia="zh-CN"/>
        </w:rPr>
        <w:t>甲醇、丙烯酸甲酯、甲基丙烯酸</w:t>
      </w:r>
      <w:r>
        <w:rPr>
          <w:color w:val="auto"/>
          <w:kern w:val="0"/>
          <w:sz w:val="28"/>
          <w:szCs w:val="28"/>
        </w:rPr>
        <w:t>在输送、处理发生泄漏形成爆炸性混合气体，引起火灾、爆炸事故。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w:t>
      </w:r>
      <w:r>
        <w:rPr>
          <w:rFonts w:hint="eastAsia"/>
          <w:color w:val="auto"/>
          <w:kern w:val="0"/>
          <w:sz w:val="28"/>
          <w:szCs w:val="28"/>
          <w:lang w:val="en-US" w:eastAsia="zh-CN"/>
        </w:rPr>
        <w:t>甲醇、丙烯酸甲酯、甲基丙烯酸</w:t>
      </w:r>
      <w:r>
        <w:rPr>
          <w:color w:val="auto"/>
          <w:kern w:val="0"/>
          <w:sz w:val="28"/>
          <w:szCs w:val="28"/>
        </w:rPr>
        <w:t>压力过高冲破水封，发生泄漏，并在水封内形成爆炸性气体混合空间，发生火灾、爆炸事故。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（3）巡检人员或检修人员工具不按规定使用而造成高处落物损坏管道造成泄漏等；因管道标志不清检修时误拆管道；检修时吊车等起重作业不小心碰断管线引起着火、爆炸事故。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（4）动火作业时未严格执行作业票证制度，未对设备进行清洗置换并分析合格进行动火作业引发火灾、爆炸事故。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（5）易燃易爆场所没有按要求安装防爆电气设施，高温时运转设备的温升过高，压力容器、压力设备压力增大容易发生设备事故，甚至火灾、爆炸事故。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6）在</w:t>
      </w:r>
      <w:r>
        <w:rPr>
          <w:rFonts w:hint="eastAsia"/>
          <w:color w:val="auto"/>
          <w:kern w:val="0"/>
          <w:sz w:val="28"/>
          <w:szCs w:val="28"/>
          <w:lang w:val="en-US" w:eastAsia="zh-CN"/>
        </w:rPr>
        <w:t>破碎</w:t>
      </w:r>
      <w:r>
        <w:rPr>
          <w:color w:val="auto"/>
          <w:kern w:val="0"/>
          <w:sz w:val="28"/>
          <w:szCs w:val="28"/>
        </w:rPr>
        <w:t>车间可能造成火灾、爆炸事故的危险、有害因素主要有：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w:t>
      </w:r>
      <w:r>
        <w:rPr>
          <w:rFonts w:hint="eastAsia"/>
          <w:color w:val="auto"/>
          <w:kern w:val="0"/>
          <w:sz w:val="28"/>
          <w:szCs w:val="28"/>
          <w:lang w:val="en-US" w:eastAsia="zh-CN"/>
        </w:rPr>
        <w:t>有机玻璃粉尘</w:t>
      </w:r>
      <w:r>
        <w:rPr>
          <w:color w:val="auto"/>
          <w:kern w:val="0"/>
          <w:sz w:val="28"/>
          <w:szCs w:val="28"/>
        </w:rPr>
        <w:t>在输送、</w:t>
      </w:r>
      <w:r>
        <w:rPr>
          <w:rFonts w:hint="eastAsia"/>
          <w:color w:val="auto"/>
          <w:kern w:val="0"/>
          <w:sz w:val="28"/>
          <w:szCs w:val="28"/>
          <w:lang w:val="en-US" w:eastAsia="zh-CN"/>
        </w:rPr>
        <w:t>收集</w:t>
      </w:r>
      <w:r>
        <w:rPr>
          <w:color w:val="auto"/>
          <w:kern w:val="0"/>
          <w:sz w:val="28"/>
          <w:szCs w:val="28"/>
        </w:rPr>
        <w:t>时发生泄漏形成</w:t>
      </w:r>
      <w:r>
        <w:rPr>
          <w:rFonts w:hint="eastAsia"/>
          <w:color w:val="auto"/>
          <w:kern w:val="0"/>
          <w:sz w:val="28"/>
          <w:szCs w:val="28"/>
          <w:lang w:val="en-US" w:eastAsia="zh-CN"/>
        </w:rPr>
        <w:t>可燃</w:t>
      </w:r>
      <w:r>
        <w:rPr>
          <w:color w:val="auto"/>
          <w:kern w:val="0"/>
          <w:sz w:val="28"/>
          <w:szCs w:val="28"/>
        </w:rPr>
        <w:t>混合气体，引起火灾、爆炸事故。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w:t>
      </w:r>
      <w:r>
        <w:rPr>
          <w:rFonts w:hint="eastAsia"/>
          <w:color w:val="auto"/>
          <w:kern w:val="0"/>
          <w:sz w:val="28"/>
          <w:szCs w:val="28"/>
          <w:lang w:val="en-US" w:eastAsia="zh-CN"/>
        </w:rPr>
        <w:t>粉尘清扫制度未得到</w:t>
      </w:r>
      <w:r>
        <w:rPr>
          <w:color w:val="auto"/>
          <w:kern w:val="0"/>
          <w:sz w:val="28"/>
          <w:szCs w:val="28"/>
        </w:rPr>
        <w:t>；检修时起重作业不小心碰断管线引起着火、爆炸事故。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（3）动火作业时未严格执行作业票证制度，未对设备进行清洗置换并分析合格进行动火作业引发火灾、爆炸事故。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（4）易燃易爆场所没有按要求安装防爆电气设施，高温时运转设备的温升过高，压力容器、压力设备压力增大容易发生设备事故，甚至火灾、爆炸事故。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w:t>
      </w:r>
      <w:r>
        <w:rPr>
          <w:rFonts w:hint="eastAsia"/>
          <w:color w:val="auto"/>
          <w:kern w:val="0"/>
          <w:sz w:val="28"/>
          <w:szCs w:val="28"/>
          <w:lang w:val="en-US" w:eastAsia="zh-CN"/>
        </w:rPr>
        <w:t>甲基丙烯酸甲酯</w:t>
      </w:r>
      <w:r>
        <w:rPr>
          <w:color w:val="auto"/>
          <w:kern w:val="0"/>
          <w:sz w:val="28"/>
          <w:szCs w:val="28"/>
        </w:rPr>
        <w:t>在回收冷凝过程中物料处于气－液交换状态，设置有冷凝器等，如果温度控制不当、冷却水中断或不足，物料不能及时冷凝，造成内部压力升高，引起设备损坏泄漏甚至爆炸。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7）储存过程火灾、爆炸危险分析</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w:t>
      </w:r>
      <w:r>
        <w:rPr>
          <w:rFonts w:hint="eastAsia"/>
          <w:color w:val="auto"/>
          <w:kern w:val="0"/>
          <w:sz w:val="28"/>
          <w:szCs w:val="28"/>
          <w:lang w:val="en-US" w:eastAsia="zh-CN"/>
        </w:rPr>
        <w:t>甲基丙烯酸甲酯</w:t>
      </w:r>
      <w:r>
        <w:rPr>
          <w:color w:val="auto"/>
          <w:kern w:val="0"/>
          <w:sz w:val="28"/>
          <w:szCs w:val="28"/>
        </w:rPr>
        <w:t>储罐采用</w:t>
      </w:r>
      <w:r>
        <w:rPr>
          <w:rFonts w:hint="eastAsia"/>
          <w:color w:val="auto"/>
          <w:kern w:val="0"/>
          <w:sz w:val="28"/>
          <w:szCs w:val="28"/>
          <w:lang w:val="en-US" w:eastAsia="zh-CN"/>
        </w:rPr>
        <w:t>氮封</w:t>
      </w:r>
      <w:r>
        <w:rPr>
          <w:color w:val="auto"/>
          <w:kern w:val="0"/>
          <w:sz w:val="28"/>
          <w:szCs w:val="28"/>
        </w:rPr>
        <w:t>。一方面可因接管、阀门缺陷造成泄漏，进而引起火灾爆炸和中毒危险。另一方面可因安全阀、压力表、液位计故障造成容器破裂和泄漏，进而引起火灾爆炸和中毒危险的发生。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（2）管理人员缺乏专业知识或违反安全操作规程可能导致燃烧爆炸和中毒事故的发生；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（3）外来火源和内部火源管理控制不严有引起燃烧爆炸和中毒的危险。</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8）火灾爆炸危险原因分析</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（1）物料泄漏是火灾、爆炸危险的物质条件</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危险物质和过量能量的泄漏是危险发生的最基本的物质因，</w:t>
      </w:r>
      <w:r>
        <w:rPr>
          <w:rFonts w:hint="eastAsia"/>
          <w:color w:val="auto"/>
          <w:kern w:val="0"/>
          <w:sz w:val="28"/>
          <w:szCs w:val="28"/>
          <w:lang w:val="en-US" w:eastAsia="zh-CN"/>
        </w:rPr>
        <w:t>该项目</w:t>
      </w:r>
      <w:r>
        <w:rPr>
          <w:color w:val="auto"/>
          <w:kern w:val="0"/>
          <w:sz w:val="28"/>
          <w:szCs w:val="28"/>
        </w:rPr>
        <w:t>生产装置可能发生泄漏的</w:t>
      </w:r>
      <w:r>
        <w:rPr>
          <w:rFonts w:hint="eastAsia"/>
          <w:color w:val="auto"/>
          <w:kern w:val="0"/>
          <w:sz w:val="28"/>
          <w:szCs w:val="28"/>
          <w:lang w:val="en-US" w:eastAsia="zh-CN"/>
        </w:rPr>
        <w:t>可燃</w:t>
      </w:r>
      <w:r>
        <w:rPr>
          <w:color w:val="auto"/>
          <w:kern w:val="0"/>
          <w:sz w:val="28"/>
          <w:szCs w:val="28"/>
        </w:rPr>
        <w:t>性危险物质主要是</w:t>
      </w:r>
      <w:r>
        <w:rPr>
          <w:rFonts w:hint="eastAsia"/>
          <w:color w:val="auto"/>
          <w:kern w:val="0"/>
          <w:sz w:val="28"/>
          <w:szCs w:val="28"/>
          <w:lang w:val="en-US" w:eastAsia="zh-CN"/>
        </w:rPr>
        <w:t>甲基丙烯酸甲酯</w:t>
      </w:r>
      <w:r>
        <w:rPr>
          <w:color w:val="auto"/>
          <w:kern w:val="0"/>
          <w:sz w:val="28"/>
          <w:szCs w:val="28"/>
        </w:rPr>
        <w:t>。当其从系统中泄漏出来时，就可能使装置中客观存在的火灾、爆炸危险因素演变成现实的火灾或爆炸危险事故。引起危险物料泄漏的原因主要有：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①操作人员的违章作业，检修人员的违章行为。</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②操作人员因种种因素而引起的操作错误。</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③由于安装检修人员责任心不强或技术素质低等因素而引起的安装检修质量不符合安全要求。</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④其他人员的不安全行为或违章行为。</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⑤设备装置的制造质量不符合安全要求。</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⑥设备在运行中由于物理、化学因素而引起的损坏，如腐蚀穿孔、超压、超温引起的形变、裂纹甚至是开裂、爆炸。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⑦管道、阀门在运行出现的密封失效等。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⑧检修质量不合格而引起的不安全状态。</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⑨安全与自控装置失效，如安全阀、压力表、液位计、防雷设施、防静电设施、防火灭火设施等的失效。</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（2）火源与高热是火灾、爆炸危险的触发因素</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易燃易爆物质遇到足够的点火能量就会燃烧，当其气体或蒸气与空气、氧气混合，达到一定浓度，遇到足够的点火能就会引起爆炸。因此，有效控制点火源是预防火灾、爆炸的关键环节。该装置生产中可能出现的点火源主要包括：</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①明火，包括检修动火，生活用火，违章吸烟，车辆尾气管排火等；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②电火花：电机、电器、灯具等运行或启用时，会产生火花。</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③雷击：雷电是自然界中的静电放电现象，其产生的火花温度可能熔化金属，也是引起火灾爆炸的祸根；</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④摩擦与撞击火花：金属间的摩擦和撞击容易发热。同时，设备转动部分不洁，或缺少润滑也会因摩擦产生高温。钢铁等金属工具、设备在工作运行中可因撞击、摩擦产生火花。穿钉子鞋在水泥路上行走会产生火花。检修、操作用工具产生的摩擦、撞击火花；</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⑤静电：物体间紧密接触和分离或互相摩擦，发生电荷转移，破坏了物质原子中正负电荷的平衡而产生静电，使物体带电。静电引起火灾的条件是：有静电产生；静电各界面间已经达到引起火花放电的电压，有能引起火花放电的间隙；放电间隙周围有易燃易爆气体；放电火花能量超过易燃物的最小点能。生产过程中的静电主要是物质在管道中流动速度超过规定值摩擦产生的。从业人员穿着某些化纤衣服也是重要静电的来源之一。</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⑥流散杂电能：在防爆区域使用手机、光暴晒、直射的太阳光等。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⑦工艺过程所引起的高温。</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9）公用工程及辅助设施对火灾、爆炸危险因素的影响</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①生产过程中发生停电，尤其是局部停电，冷凝器中断，合成反应不能及时中止，阀门不能正常动作，可能发生事故。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②冷凝器因循环水温高，气温高造成冷却故障，造成</w:t>
      </w:r>
      <w:r>
        <w:rPr>
          <w:rFonts w:hint="eastAsia"/>
          <w:color w:val="auto"/>
          <w:kern w:val="0"/>
          <w:sz w:val="28"/>
          <w:szCs w:val="28"/>
          <w:lang w:val="en-US" w:eastAsia="zh-CN"/>
        </w:rPr>
        <w:t>甲基丙烯酸甲酯</w:t>
      </w:r>
      <w:r>
        <w:rPr>
          <w:color w:val="auto"/>
          <w:kern w:val="0"/>
          <w:sz w:val="28"/>
          <w:szCs w:val="28"/>
        </w:rPr>
        <w:t>气体不能及时冷却成液体，可能引发压力升高，造成泄露中级及火灾爆炸事故。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③生产及储存过程中使用的温度、压力、称重等仪器、仪表不准确或损坏，造成设备内部参数反应与实际情况发生偏差，可能造成事故的发生。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④安全设施失效，如安全阀不动作或泄放量不足，检测报警装置不灵敏，造成不能及时发现和消除故障或隐患，引发事故。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⑤该项目就地控制仪表选用基地式气动调节阀，仪表用压缩空气压力低、中断或带水，造成现场仪表或控制阀不能及时动作，可能引发事故。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⑥该项目配电间、控制室中使用大量电气设备、设施及电缆、电线，可能因负荷过载、绝缘老化，异物侵入或受高温及热辐射等引起火灾。</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⑦配电间距释放源过近或未采取防火墙隔离，可燃气体进入配电间引发火灾、爆炸事故；若车间配电间电缆排水沟未与工业排污沟隔离，易燃液体串入配电间引起燃烧。</w:t>
      </w:r>
    </w:p>
    <w:p>
      <w:pPr>
        <w:autoSpaceDE w:val="0"/>
        <w:autoSpaceDN w:val="0"/>
        <w:adjustRightInd w:val="0"/>
        <w:spacing w:line="360" w:lineRule="auto"/>
        <w:ind w:firstLine="560" w:firstLineChars="200"/>
        <w:jc w:val="left"/>
        <w:rPr>
          <w:color w:val="auto"/>
          <w:kern w:val="0"/>
          <w:sz w:val="28"/>
          <w:szCs w:val="28"/>
        </w:rPr>
      </w:pPr>
      <w:r>
        <w:rPr>
          <w:rFonts w:hint="eastAsia"/>
          <w:color w:val="auto"/>
          <w:kern w:val="0"/>
          <w:sz w:val="28"/>
          <w:szCs w:val="28"/>
          <w:lang w:val="en-US" w:eastAsia="zh-CN"/>
        </w:rPr>
        <w:t>⑧</w:t>
      </w:r>
      <w:r>
        <w:rPr>
          <w:color w:val="auto"/>
          <w:kern w:val="0"/>
          <w:sz w:val="28"/>
          <w:szCs w:val="28"/>
        </w:rPr>
        <w:t>电力电缆的火灾危险：</w:t>
      </w:r>
      <w:r>
        <w:rPr>
          <w:rFonts w:hint="eastAsia"/>
          <w:color w:val="auto"/>
          <w:kern w:val="0"/>
          <w:sz w:val="28"/>
          <w:szCs w:val="28"/>
        </w:rPr>
        <w:t>该项目</w:t>
      </w:r>
      <w:r>
        <w:rPr>
          <w:color w:val="auto"/>
          <w:kern w:val="0"/>
          <w:sz w:val="28"/>
          <w:szCs w:val="28"/>
        </w:rPr>
        <w:t>设的电力电缆、电线，分别连接着各个电气设备并连接到集中控制室。电缆自身故障产生的电弧以及附近发生着火引起电缆的绝缘物和护套着火后具有沿电缆继续延烧的特点。如果不采取可靠的阻燃防火措施，就全延烧到至控制室，扩大火灾范围和火灾损失。电气设备、材料的火灾危险：由于电气设备过载、短路或电缆等材料过负荷、老化或因散热不良而引发火灾。由于火灾爆炸危险场所的配电装置、电动机以及各种照明设备等不符合危险分区的要求而导致火灾、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10）设备质量、检修火灾、爆炸危险因素</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（1）设备选型</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该项目存在对设备、管道等材料有特殊要求的物质，因此，贮存、输送设施必须采取相应的防腐措施，设备选型如果不当，可能造成内部介质与材质发生反应，造成设备腐蚀发生泄漏或介质发生分解，引发事故。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（2）质量缺陷或密封不良</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生产装置或贮罐、管道、机泵在制造、安装过程中可能存在质量缺陷，安装过程中焊接质量缺陷、法兰连接处密封垫及机械密封不当，在运行时造成设备、容器破坏。运行过程中材质和密封因物料腐蚀老化等，都可能造成物料的泄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（3）检修时如需要动火，动火点距正在运行的装置较近，动火时易造成火灾、事故。在检修时车辆运输、设备吊装、安装等，可能碰坏正在运行的设备、管道，引起泄漏并引发火灾、爆炸事故。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（4）单台或部分设备检修前未制定相应的方案，未进行相应的隔绝和置换合格，在检修过程中发生火灾、爆炸事故。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（5）物质发生火灾、爆炸的三个必要条件是可燃物，助燃物和足够的点火能量，三者缺一不可。该项目控制点火源对防止火灾、爆炸事故至关重要。</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在工业生产中，能够引起物料着火、爆炸的火源很多，如静电火花、电气火花、冲击摩擦热、雷电、化学反应热、高温物体及热辐射等。有些点火源很隐蔽，不易被人们察觉，如潜伏性强的静电。随着各种电气设备和自动化仪表的广泛应用，由于电接点接触不良、线路短路等所致的电火花引起的火灾明显增多。在易燃易爆物存在的场合，点火源越多，火灾危险性越大。</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5）电气火灾</w:t>
      </w:r>
    </w:p>
    <w:p>
      <w:pPr>
        <w:autoSpaceDE w:val="0"/>
        <w:autoSpaceDN w:val="0"/>
        <w:adjustRightInd w:val="0"/>
        <w:spacing w:line="360" w:lineRule="auto"/>
        <w:ind w:firstLine="560" w:firstLineChars="200"/>
        <w:jc w:val="left"/>
        <w:rPr>
          <w:color w:val="auto"/>
          <w:kern w:val="0"/>
          <w:sz w:val="28"/>
          <w:szCs w:val="28"/>
        </w:rPr>
      </w:pPr>
      <w:r>
        <w:rPr>
          <w:rFonts w:hint="eastAsia"/>
          <w:color w:val="auto"/>
          <w:kern w:val="0"/>
          <w:sz w:val="28"/>
          <w:szCs w:val="28"/>
          <w:lang w:val="en-US" w:eastAsia="zh-CN"/>
        </w:rPr>
        <w:t>该项目新建</w:t>
      </w:r>
      <w:r>
        <w:rPr>
          <w:color w:val="auto"/>
          <w:kern w:val="0"/>
          <w:sz w:val="28"/>
          <w:szCs w:val="28"/>
        </w:rPr>
        <w:t>配电间，生产和辅助装置中使用电气设备、设施，同时大量使用电缆、电线，这些可能因负荷过载、绝缘老化，异物侵入或受高温及热辐射等引起火灾。该项目使用电气设备，采用DCS自动控制，应用了自动化仪表，由于电机不防爆或安装不合理，电接点接触不良、线路短路等产生电火花。配电间距装置过近或未采用防火墙隔离，可燃气体进入配电间引发火灾、爆炸事故。电间电缆排水沟未与工业排污沟隔离，易燃液体串入配电间引起燃烧。</w:t>
      </w:r>
    </w:p>
    <w:p>
      <w:pPr>
        <w:autoSpaceDE w:val="0"/>
        <w:autoSpaceDN w:val="0"/>
        <w:adjustRightInd w:val="0"/>
        <w:spacing w:line="360" w:lineRule="auto"/>
        <w:ind w:firstLine="562" w:firstLineChars="200"/>
        <w:jc w:val="left"/>
        <w:rPr>
          <w:b/>
          <w:bCs w:val="0"/>
          <w:color w:val="auto"/>
          <w:kern w:val="0"/>
          <w:sz w:val="28"/>
          <w:szCs w:val="28"/>
        </w:rPr>
      </w:pPr>
      <w:r>
        <w:rPr>
          <w:b/>
          <w:bCs w:val="0"/>
          <w:color w:val="auto"/>
          <w:kern w:val="0"/>
          <w:sz w:val="28"/>
          <w:szCs w:val="28"/>
        </w:rPr>
        <w:t>2、中毒、窒息</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中毒是物体进入机体，与机体组织发生生物化学或生物物理学变化，干扰或破坏机体的正常生理功能，引起暂时性或永久性的病理状态，甚至危及生命的过程。</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该项目中的</w:t>
      </w:r>
      <w:r>
        <w:rPr>
          <w:rFonts w:hint="eastAsia"/>
          <w:color w:val="auto"/>
          <w:kern w:val="0"/>
          <w:sz w:val="28"/>
          <w:szCs w:val="28"/>
          <w:lang w:val="en-US" w:eastAsia="zh-CN"/>
        </w:rPr>
        <w:t>甲基丙烯酸甲酯具有麻醉作用、有刺激性</w:t>
      </w:r>
      <w:r>
        <w:rPr>
          <w:color w:val="auto"/>
          <w:kern w:val="0"/>
          <w:sz w:val="28"/>
          <w:szCs w:val="28"/>
        </w:rPr>
        <w:t>；</w:t>
      </w:r>
      <w:r>
        <w:rPr>
          <w:rFonts w:hint="eastAsia"/>
          <w:color w:val="auto"/>
          <w:kern w:val="0"/>
          <w:sz w:val="28"/>
          <w:szCs w:val="28"/>
          <w:lang w:val="en-US" w:eastAsia="zh-CN"/>
        </w:rPr>
        <w:t>对苯二酚具有急性毒性（类别3）</w:t>
      </w:r>
      <w:r>
        <w:rPr>
          <w:color w:val="auto"/>
          <w:kern w:val="0"/>
          <w:sz w:val="28"/>
          <w:szCs w:val="28"/>
        </w:rPr>
        <w:t>；氮气具有窒息性等。人体直接接触高浓度此类物质会造成中毒危险。</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（1）该项目涉及的</w:t>
      </w:r>
      <w:r>
        <w:rPr>
          <w:rFonts w:hint="eastAsia"/>
          <w:color w:val="auto"/>
          <w:kern w:val="0"/>
          <w:sz w:val="28"/>
          <w:szCs w:val="28"/>
          <w:lang w:val="en-US" w:eastAsia="zh-CN"/>
        </w:rPr>
        <w:t>有毒物质</w:t>
      </w:r>
      <w:r>
        <w:rPr>
          <w:color w:val="auto"/>
          <w:kern w:val="0"/>
          <w:sz w:val="28"/>
          <w:szCs w:val="28"/>
        </w:rPr>
        <w:t>在反应过程中如果发生泄漏，管道、装置发生泄漏等造成人员中毒。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（2）该项目</w:t>
      </w:r>
      <w:r>
        <w:rPr>
          <w:color w:val="auto"/>
          <w:sz w:val="28"/>
          <w:szCs w:val="28"/>
        </w:rPr>
        <w:t>尾气吸收处理装置不力，管道、装置发生泄漏等造成</w:t>
      </w:r>
      <w:r>
        <w:rPr>
          <w:rFonts w:hint="eastAsia"/>
          <w:color w:val="auto"/>
          <w:sz w:val="28"/>
          <w:szCs w:val="28"/>
          <w:lang w:val="en-US" w:eastAsia="zh-CN"/>
        </w:rPr>
        <w:t>尾气</w:t>
      </w:r>
      <w:r>
        <w:rPr>
          <w:color w:val="auto"/>
          <w:sz w:val="28"/>
          <w:szCs w:val="28"/>
        </w:rPr>
        <w:t>泄漏造成人员中毒。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（3）有毒物料在储存、运输、使用过程中发生泄漏，造成局部高毒环境，毒物可以经过呼吸道、消化道、皮肤等途径进入作业人员体内，从而发生人员中毒事故。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（4）生产中使用的设备、管道因质量缺陷、超期使用、锈蚀穿孔等原因导致物料泄漏，空气中有毒气体浓度超标，可能造成人员中毒。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进入设备、储罐内进行清洗检查作业时，如设备内的惰性气体或有毒有害气体置换不彻底，未进行敞开处理并通足够的空气，未进行氧气浓度分析或分析不合格，设备外无人监护，进入设备内作业的人员极易发生中毒、窒息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（6）生产场所内通风设置或布置不善，自然通风差或换气量不足等，会造成毒性气体积聚，导致人员中毒和窒息。</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（7）操作人员对使用的物料的毒性缺乏认知，忽视安全、忽视警告，未能严格遵守操作规程，操作时不佩戴必要的防护措施，容易造成中毒事故。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（8）当物料发生泄漏，如防护用品缺少或失效，应急和抢救不当，操作人员缺乏泄漏物料的危险、危害特性及其应急预防方法的知识，可能导致人员中毒。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（9）在有毒环境下进行应急抢险作业，未按规定使用防毒用品，可能造成人员中毒；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（10）在有毒环境下进食、饮水，毒物随食物食入可能造成人员中毒，导致过敏性窒息。</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（11）在发生火灾、爆炸事故时，往往会产生大量有毒、有害的气体，也有可能造成其它有毒有害物料泄漏，引起人员中毒。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（12）清理污水处理池、</w:t>
      </w:r>
      <w:r>
        <w:rPr>
          <w:rFonts w:hint="eastAsia"/>
          <w:color w:val="auto"/>
          <w:kern w:val="0"/>
          <w:sz w:val="28"/>
          <w:szCs w:val="28"/>
          <w:lang w:val="en-US" w:eastAsia="zh-CN"/>
        </w:rPr>
        <w:t>事故</w:t>
      </w:r>
      <w:r>
        <w:rPr>
          <w:color w:val="auto"/>
          <w:kern w:val="0"/>
          <w:sz w:val="28"/>
          <w:szCs w:val="28"/>
        </w:rPr>
        <w:t>池等水池中的淤泥时，若池中气体未经检测、无监护人员或作业人员素质不高等，遇池中氧气不足，易导致作业人员窒息死亡。</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作业场所发生中毒的可能性、途径分析如下：</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（1）因设备及附属管线材质及制造质量缺陷，安装过程中安装质量缺陷，造成内部介质泄漏。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（2）检修时未置换合格，人员进入设备内作业引起中毒。</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（3）有毒、腐蚀性物料在搬运、输送、加料、生产过程中挥发、泄漏。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（4）设备因材质不当，设备制造质量缺陷及安装缺陷，如基础不牢造成设备变形，液位计损坏等原因，内部介质泄漏。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（5）进入容器内检修或拆装管道时，残液造成人员中毒或灼伤。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（6）机泵设备等填料或连接件法兰泄漏，放出有毒气体发生中毒，接触到人体发生灼伤。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（7）机泵检修拆开时残液喷出，造成人员中毒或灼伤。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（8）泵运行过程中机械件损坏造成泵体损坏，发生泄漏，引起人员中毒及灼伤。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（10）生产装置发生火灾、爆炸产生有毒有害气体，造成设备损坏致使有毒物料泄漏、扩散。</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（11）存在有毒介质的压力容器发生破坏或物理爆炸引起泄漏。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（12）故障状态下，人员紧急处置过程(如堵漏)中未使用相应的防护用品，发生中毒或灼伤。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（13）甲醇储罐因容器损坏发生泄漏，在地面人员活动层扩散并积聚，造成人员中毒。</w:t>
      </w:r>
    </w:p>
    <w:p>
      <w:pPr>
        <w:autoSpaceDE w:val="0"/>
        <w:autoSpaceDN w:val="0"/>
        <w:adjustRightInd w:val="0"/>
        <w:spacing w:line="360" w:lineRule="auto"/>
        <w:ind w:firstLine="562" w:firstLineChars="200"/>
        <w:jc w:val="left"/>
        <w:rPr>
          <w:b/>
          <w:bCs w:val="0"/>
          <w:color w:val="auto"/>
          <w:kern w:val="0"/>
          <w:sz w:val="28"/>
          <w:szCs w:val="28"/>
        </w:rPr>
      </w:pPr>
      <w:r>
        <w:rPr>
          <w:b/>
          <w:bCs w:val="0"/>
          <w:color w:val="auto"/>
          <w:kern w:val="0"/>
          <w:sz w:val="28"/>
          <w:szCs w:val="28"/>
        </w:rPr>
        <w:t>3、容器爆炸</w:t>
      </w:r>
    </w:p>
    <w:p>
      <w:pPr>
        <w:autoSpaceDE w:val="0"/>
        <w:autoSpaceDN w:val="0"/>
        <w:adjustRightInd w:val="0"/>
        <w:spacing w:line="360" w:lineRule="auto"/>
        <w:ind w:firstLine="560" w:firstLineChars="200"/>
        <w:jc w:val="left"/>
        <w:rPr>
          <w:color w:val="auto"/>
          <w:kern w:val="0"/>
          <w:sz w:val="28"/>
          <w:szCs w:val="28"/>
        </w:rPr>
      </w:pPr>
      <w:r>
        <w:rPr>
          <w:rFonts w:hint="eastAsia"/>
          <w:color w:val="auto"/>
          <w:kern w:val="0"/>
          <w:sz w:val="28"/>
          <w:szCs w:val="28"/>
          <w:lang w:val="en-US" w:eastAsia="zh-CN"/>
        </w:rPr>
        <w:t>该项目</w:t>
      </w:r>
      <w:r>
        <w:rPr>
          <w:color w:val="auto"/>
          <w:kern w:val="0"/>
          <w:sz w:val="28"/>
          <w:szCs w:val="28"/>
        </w:rPr>
        <w:t>在生产中</w:t>
      </w:r>
      <w:r>
        <w:rPr>
          <w:rFonts w:hint="eastAsia"/>
          <w:color w:val="auto"/>
          <w:kern w:val="0"/>
          <w:sz w:val="28"/>
          <w:szCs w:val="28"/>
          <w:lang w:val="en-US" w:eastAsia="zh-CN"/>
        </w:rPr>
        <w:t>拟设置</w:t>
      </w:r>
      <w:r>
        <w:rPr>
          <w:color w:val="auto"/>
          <w:kern w:val="0"/>
          <w:sz w:val="28"/>
          <w:szCs w:val="28"/>
        </w:rPr>
        <w:t>如</w:t>
      </w:r>
      <w:r>
        <w:rPr>
          <w:rFonts w:hint="eastAsia"/>
          <w:color w:val="auto"/>
          <w:kern w:val="0"/>
          <w:sz w:val="28"/>
          <w:szCs w:val="28"/>
          <w:lang w:val="en-US" w:eastAsia="zh-CN"/>
        </w:rPr>
        <w:t>空气储罐</w:t>
      </w:r>
      <w:r>
        <w:rPr>
          <w:color w:val="auto"/>
          <w:kern w:val="0"/>
          <w:sz w:val="28"/>
          <w:szCs w:val="28"/>
        </w:rPr>
        <w:t>、氮气储罐等压力容器和压力管道。</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当上述压力容器和压力管道在运行中可因安全附件失效、过载运行、过量充装，或由于金属材料疲劳、腐蚀壁厚减簿、蠕变出现裂缝等因素，造成超压或承压能力降低均有发生爆炸和爆破的危险性。也可因维护不良、操作错误、违章作业等人为因素而发生爆炸。其结果可因爆炸冲击或中毒造成人员伤亡。如安全附件不全或不可靠，工艺控制不好造成超压发生物理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（1）由于操作失误、仪表失灵、材质腐蚀及安全阀失效等可能引发爆炸事故。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（2）压力容器内部温度超过正常温度，致使内压升高，有可能引发爆炸事故。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（3）压力容器冷却水中断或压力低、冷却效果不能满足正常工艺生产，造成系统压力升高，有可能引发爆炸事故。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（4）在制造、安装过程中可能存在质量缺陷，加工、材质、焊接等质量不好或安装不当，安装过程中焊接质量缺陷、法兰连接处密封垫及机械密封选型不当，有可能引发爆炸事故。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（5）物料在容器、管道中沉淀、结焦、堵塞而造成局部过热破裂，有可能引发爆炸事故。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采用DCS控制系统，如果操作件失灵或仪表空气压力不足，联锁装置失效，仪表空气中带液在管道末端积聚，造成操作机构失灵，或者变送信号线屏蔽不好，产生感应信号等引起误动作，现场巡查不及时，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（7）高温时运转设备的温升过高，压力容器、压力设备压力增大容易发生设备事故，有可能引发爆炸事故。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w:t>
      </w:r>
      <w:r>
        <w:rPr>
          <w:rFonts w:hint="eastAsia"/>
          <w:color w:val="auto"/>
          <w:kern w:val="0"/>
          <w:sz w:val="28"/>
          <w:szCs w:val="28"/>
          <w:lang w:val="en-US" w:eastAsia="zh-CN"/>
        </w:rPr>
        <w:t>公用工程</w:t>
      </w:r>
      <w:r>
        <w:rPr>
          <w:color w:val="auto"/>
          <w:kern w:val="0"/>
          <w:sz w:val="28"/>
          <w:szCs w:val="28"/>
        </w:rPr>
        <w:t>间的</w:t>
      </w:r>
      <w:r>
        <w:rPr>
          <w:rFonts w:hint="eastAsia"/>
          <w:color w:val="auto"/>
          <w:kern w:val="0"/>
          <w:sz w:val="28"/>
          <w:szCs w:val="28"/>
          <w:lang w:val="en-US" w:eastAsia="zh-CN"/>
        </w:rPr>
        <w:t>空气储罐、</w:t>
      </w:r>
      <w:r>
        <w:rPr>
          <w:color w:val="auto"/>
          <w:kern w:val="0"/>
          <w:sz w:val="28"/>
          <w:szCs w:val="28"/>
        </w:rPr>
        <w:t>氮气</w:t>
      </w:r>
      <w:r>
        <w:rPr>
          <w:rFonts w:hint="eastAsia"/>
          <w:color w:val="auto"/>
          <w:kern w:val="0"/>
          <w:sz w:val="28"/>
          <w:szCs w:val="28"/>
          <w:lang w:val="en-US" w:eastAsia="zh-CN"/>
        </w:rPr>
        <w:t>储</w:t>
      </w:r>
      <w:r>
        <w:rPr>
          <w:color w:val="auto"/>
          <w:kern w:val="0"/>
          <w:sz w:val="28"/>
          <w:szCs w:val="28"/>
        </w:rPr>
        <w:t>罐因超压破坏，发生爆炸。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（9）未按要求进行定期检测，设备实际状况不清，承压力不够，引起爆炸。</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4、其他爆炸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w:t>
      </w:r>
      <w:r>
        <w:rPr>
          <w:rFonts w:hint="eastAsia"/>
          <w:color w:val="auto"/>
          <w:kern w:val="0"/>
          <w:sz w:val="28"/>
          <w:szCs w:val="28"/>
          <w:lang w:val="en-US" w:eastAsia="zh-CN"/>
        </w:rPr>
        <w:t>有机玻璃粉末</w:t>
      </w:r>
      <w:r>
        <w:rPr>
          <w:color w:val="auto"/>
          <w:kern w:val="0"/>
          <w:sz w:val="28"/>
          <w:szCs w:val="28"/>
        </w:rPr>
        <w:t>属于可燃性粉尘</w:t>
      </w:r>
      <w:r>
        <w:rPr>
          <w:rFonts w:hint="eastAsia"/>
          <w:color w:val="auto"/>
          <w:kern w:val="0"/>
          <w:sz w:val="28"/>
          <w:szCs w:val="28"/>
        </w:rPr>
        <w:t>，</w:t>
      </w:r>
      <w:r>
        <w:rPr>
          <w:color w:val="auto"/>
          <w:kern w:val="0"/>
          <w:sz w:val="28"/>
          <w:szCs w:val="28"/>
        </w:rPr>
        <w:t>操作不当或电气设施不防爆，可能引发粉尘爆炸。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粉尘爆炸条件一般有</w:t>
      </w:r>
      <w:r>
        <w:rPr>
          <w:rFonts w:hint="eastAsia"/>
          <w:color w:val="auto"/>
          <w:kern w:val="0"/>
          <w:sz w:val="28"/>
          <w:szCs w:val="28"/>
        </w:rPr>
        <w:t>五</w:t>
      </w:r>
      <w:r>
        <w:rPr>
          <w:color w:val="auto"/>
          <w:kern w:val="0"/>
          <w:sz w:val="28"/>
          <w:szCs w:val="28"/>
        </w:rPr>
        <w:t>个:</w:t>
      </w:r>
    </w:p>
    <w:p>
      <w:pPr>
        <w:autoSpaceDE w:val="0"/>
        <w:autoSpaceDN w:val="0"/>
        <w:adjustRightInd w:val="0"/>
        <w:spacing w:line="360" w:lineRule="auto"/>
        <w:ind w:firstLine="560" w:firstLineChars="200"/>
        <w:jc w:val="left"/>
        <w:rPr>
          <w:rFonts w:hint="eastAsia"/>
          <w:color w:val="auto"/>
          <w:kern w:val="0"/>
          <w:sz w:val="28"/>
          <w:szCs w:val="28"/>
        </w:rPr>
      </w:pPr>
      <w:r>
        <w:rPr>
          <w:rFonts w:hint="eastAsia"/>
          <w:color w:val="auto"/>
          <w:kern w:val="0"/>
          <w:sz w:val="28"/>
          <w:szCs w:val="28"/>
        </w:rPr>
        <w:t>（1）粉尘本身具有可燃性或者爆炸性；</w:t>
      </w:r>
    </w:p>
    <w:p>
      <w:pPr>
        <w:autoSpaceDE w:val="0"/>
        <w:autoSpaceDN w:val="0"/>
        <w:adjustRightInd w:val="0"/>
        <w:spacing w:line="360" w:lineRule="auto"/>
        <w:ind w:firstLine="560" w:firstLineChars="200"/>
        <w:jc w:val="left"/>
        <w:rPr>
          <w:rFonts w:hint="eastAsia"/>
          <w:color w:val="auto"/>
          <w:kern w:val="0"/>
          <w:sz w:val="28"/>
          <w:szCs w:val="28"/>
        </w:rPr>
      </w:pPr>
      <w:r>
        <w:rPr>
          <w:rFonts w:hint="eastAsia"/>
          <w:color w:val="auto"/>
          <w:kern w:val="0"/>
          <w:sz w:val="28"/>
          <w:szCs w:val="28"/>
        </w:rPr>
        <w:t>（2）粉尘必须悬浮在空气中并与空气或氧气混合达到爆炸极限；</w:t>
      </w:r>
    </w:p>
    <w:p>
      <w:pPr>
        <w:autoSpaceDE w:val="0"/>
        <w:autoSpaceDN w:val="0"/>
        <w:adjustRightInd w:val="0"/>
        <w:spacing w:line="360" w:lineRule="auto"/>
        <w:ind w:firstLine="560" w:firstLineChars="200"/>
        <w:jc w:val="left"/>
        <w:rPr>
          <w:rFonts w:hint="eastAsia"/>
          <w:color w:val="auto"/>
          <w:kern w:val="0"/>
          <w:sz w:val="28"/>
          <w:szCs w:val="28"/>
        </w:rPr>
      </w:pPr>
      <w:r>
        <w:rPr>
          <w:rFonts w:hint="eastAsia"/>
          <w:color w:val="auto"/>
          <w:kern w:val="0"/>
          <w:sz w:val="28"/>
          <w:szCs w:val="28"/>
        </w:rPr>
        <w:t>（3）有足以引起粉尘爆炸的热能源，即点火源；</w:t>
      </w:r>
    </w:p>
    <w:p>
      <w:pPr>
        <w:autoSpaceDE w:val="0"/>
        <w:autoSpaceDN w:val="0"/>
        <w:adjustRightInd w:val="0"/>
        <w:spacing w:line="360" w:lineRule="auto"/>
        <w:ind w:firstLine="560" w:firstLineChars="200"/>
        <w:jc w:val="left"/>
        <w:rPr>
          <w:rFonts w:hint="eastAsia"/>
          <w:color w:val="auto"/>
          <w:kern w:val="0"/>
          <w:sz w:val="28"/>
          <w:szCs w:val="28"/>
        </w:rPr>
      </w:pPr>
      <w:r>
        <w:rPr>
          <w:rFonts w:hint="eastAsia"/>
          <w:color w:val="auto"/>
          <w:kern w:val="0"/>
          <w:sz w:val="28"/>
          <w:szCs w:val="28"/>
        </w:rPr>
        <w:t>（4）粉尘具有一定扩散性；</w:t>
      </w:r>
    </w:p>
    <w:p>
      <w:pPr>
        <w:autoSpaceDE w:val="0"/>
        <w:autoSpaceDN w:val="0"/>
        <w:adjustRightInd w:val="0"/>
        <w:spacing w:line="360" w:lineRule="auto"/>
        <w:ind w:firstLine="560" w:firstLineChars="200"/>
        <w:jc w:val="left"/>
        <w:rPr>
          <w:color w:val="auto"/>
          <w:kern w:val="0"/>
          <w:sz w:val="28"/>
          <w:szCs w:val="28"/>
        </w:rPr>
      </w:pPr>
      <w:r>
        <w:rPr>
          <w:rFonts w:hint="eastAsia"/>
          <w:color w:val="auto"/>
          <w:kern w:val="0"/>
          <w:sz w:val="28"/>
          <w:szCs w:val="28"/>
        </w:rPr>
        <w:t>（5）粉尘在密封空间会产生爆炸。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粉尘爆炸的难易与粉尘的物理、化学性质和环境条件有关。燃烧热越大的物质越容易爆炸等。氧化速度快的物质容易爆炸。容易带电的粉尘也很容易引起爆炸。</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导电不良的物质与机器或空气摩擦产生的静电积聚起来，当达到一定量时，就会放电产生电火花，构成爆炸的火源。</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粉尘爆炸有以下特点：</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（1）多次爆炸是粉尘爆炸的最大特点。</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第一次爆炸气浪，会把沉积在设备或地面上的粉尘吹扬起来，在爆炸后短时间内爆炸中心区会形成负压，周围的新鲜空气便由外向内填补进来，与扬起的粉尘混合，从而引发二次爆炸。二次爆炸时，粉尘浓度会更高。</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（2）粉尘爆炸所需的最小点火能量较高，一般在几十毫焦耳以上。</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（3）与可燃性气体爆炸相比，粉尘爆炸压力上升较缓慢，较高压力持续时间长，释放的能量大，破坏力强。</w:t>
      </w:r>
    </w:p>
    <w:p>
      <w:pPr>
        <w:autoSpaceDE w:val="0"/>
        <w:autoSpaceDN w:val="0"/>
        <w:adjustRightInd w:val="0"/>
        <w:spacing w:line="360" w:lineRule="auto"/>
        <w:ind w:firstLine="560" w:firstLineChars="200"/>
        <w:jc w:val="left"/>
        <w:rPr>
          <w:color w:val="auto"/>
          <w:kern w:val="0"/>
          <w:sz w:val="28"/>
          <w:szCs w:val="28"/>
        </w:rPr>
      </w:pPr>
      <w:bookmarkStart w:id="884" w:name="3137845-3307097-3_3"/>
      <w:bookmarkEnd w:id="884"/>
      <w:r>
        <w:rPr>
          <w:color w:val="auto"/>
          <w:kern w:val="0"/>
          <w:sz w:val="28"/>
          <w:szCs w:val="28"/>
        </w:rPr>
        <w:t>（4）能产生有毒气体</w:t>
      </w:r>
      <w:r>
        <w:rPr>
          <w:rFonts w:hint="eastAsia"/>
          <w:color w:val="auto"/>
          <w:kern w:val="0"/>
          <w:sz w:val="28"/>
          <w:szCs w:val="28"/>
          <w:lang w:eastAsia="zh-CN"/>
        </w:rPr>
        <w:t>，</w:t>
      </w:r>
      <w:r>
        <w:rPr>
          <w:rFonts w:hint="eastAsia"/>
          <w:color w:val="auto"/>
          <w:kern w:val="0"/>
          <w:sz w:val="28"/>
          <w:szCs w:val="28"/>
          <w:lang w:val="en-US" w:eastAsia="zh-CN"/>
        </w:rPr>
        <w:t>如：一氧化碳。</w:t>
      </w:r>
      <w:r>
        <w:rPr>
          <w:color w:val="auto"/>
          <w:kern w:val="0"/>
          <w:sz w:val="28"/>
          <w:szCs w:val="28"/>
        </w:rPr>
        <w:t>毒气的产生往往造成爆炸过后的人员中毒伤亡，必须充分重视。</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5、灼烫伤害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1）高温物体灼烫</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该项目中存在高温介质的设备的外表如表面隔热层隔热效果不良或无警示标志，造成人体直接接触到高温物体的表面，或内部高温介质泄漏接触到人体，可能造成灼烫事故。</w:t>
      </w:r>
    </w:p>
    <w:p>
      <w:pPr>
        <w:autoSpaceDE w:val="0"/>
        <w:autoSpaceDN w:val="0"/>
        <w:adjustRightInd w:val="0"/>
        <w:spacing w:line="360" w:lineRule="auto"/>
        <w:ind w:firstLine="560" w:firstLineChars="200"/>
        <w:jc w:val="left"/>
        <w:rPr>
          <w:color w:val="auto"/>
          <w:kern w:val="0"/>
          <w:sz w:val="28"/>
          <w:szCs w:val="28"/>
        </w:rPr>
      </w:pPr>
      <w:r>
        <w:rPr>
          <w:rFonts w:hint="eastAsia"/>
          <w:color w:val="auto"/>
          <w:kern w:val="0"/>
          <w:sz w:val="28"/>
          <w:szCs w:val="28"/>
          <w:lang w:val="en-US" w:eastAsia="zh-CN"/>
        </w:rPr>
        <w:t>裂解</w:t>
      </w:r>
      <w:r>
        <w:rPr>
          <w:color w:val="auto"/>
          <w:kern w:val="0"/>
          <w:sz w:val="28"/>
          <w:szCs w:val="28"/>
        </w:rPr>
        <w:t>工艺有</w:t>
      </w:r>
      <w:r>
        <w:rPr>
          <w:rFonts w:hint="eastAsia"/>
          <w:color w:val="auto"/>
          <w:kern w:val="0"/>
          <w:sz w:val="28"/>
          <w:szCs w:val="28"/>
          <w:lang w:val="en-US" w:eastAsia="zh-CN"/>
        </w:rPr>
        <w:t>加</w:t>
      </w:r>
      <w:r>
        <w:rPr>
          <w:color w:val="auto"/>
          <w:kern w:val="0"/>
          <w:sz w:val="28"/>
          <w:szCs w:val="28"/>
        </w:rPr>
        <w:t>热过程，温度最高达到</w:t>
      </w:r>
      <w:r>
        <w:rPr>
          <w:rFonts w:hint="eastAsia"/>
          <w:color w:val="auto"/>
          <w:kern w:val="0"/>
          <w:sz w:val="28"/>
          <w:szCs w:val="28"/>
          <w:lang w:val="en-US" w:eastAsia="zh-CN"/>
        </w:rPr>
        <w:t>5</w:t>
      </w:r>
      <w:r>
        <w:rPr>
          <w:color w:val="auto"/>
          <w:kern w:val="0"/>
          <w:sz w:val="28"/>
          <w:szCs w:val="28"/>
        </w:rPr>
        <w:t>00℃左右，其</w:t>
      </w:r>
      <w:r>
        <w:rPr>
          <w:rFonts w:hint="eastAsia"/>
          <w:color w:val="auto"/>
          <w:kern w:val="0"/>
          <w:sz w:val="28"/>
          <w:szCs w:val="28"/>
          <w:lang w:val="en-US" w:eastAsia="zh-CN"/>
        </w:rPr>
        <w:t>裂解</w:t>
      </w:r>
      <w:r>
        <w:rPr>
          <w:color w:val="auto"/>
          <w:kern w:val="0"/>
          <w:sz w:val="28"/>
          <w:szCs w:val="28"/>
        </w:rPr>
        <w:t>釜及管道内介质均属于高温介质，其高温介质由于各种原因发生泄漏有人员碰触到，存在高温介质的设备、管道的外表如表面隔热层隔热效果不良或无警示标志，造成人体直接接触到高温物体的表面均有可能发生灼烫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（2）化学灼伤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化学灼伤是化工生产中的常见急症。</w:t>
      </w:r>
      <w:r>
        <w:rPr>
          <w:rFonts w:hint="eastAsia"/>
          <w:color w:val="auto"/>
          <w:kern w:val="0"/>
          <w:sz w:val="28"/>
          <w:szCs w:val="28"/>
          <w:lang w:val="en-US" w:eastAsia="zh-CN"/>
        </w:rPr>
        <w:t>该</w:t>
      </w:r>
      <w:r>
        <w:rPr>
          <w:color w:val="auto"/>
          <w:kern w:val="0"/>
          <w:sz w:val="28"/>
          <w:szCs w:val="28"/>
        </w:rPr>
        <w:t>项目中存在的腐蚀性化学物品，如甲醇、氨、氨水、磷酸对人体有灼伤力，人体直接接触到此类物质时，会造成严重的灼伤。因此，如果发生设备的跑、冒、泄漏、喷洒、容器管道破裂等均可导致人体表面急性化学灼伤或人身伤亡事故。因此需加强对反应容器、车间的防腐措施，时刻关注各反应釜的性能，定期检测检验，严禁使用因腐蚀而损坏的反应设备。</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6、机械伤害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机械伤害是指机械设备运动（静止）部件、工具、加工件直接与人体接触引起的夹击、碰撞、剪切、卷入、绞、碾、割、刺等伤害。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运转中的设备、传动件、转动部位这些设备和机械可因防护缺陷、维护不良而使运动部件（零件）外露，当人体接触时引起卷入、绞入、挤压、夹击、碰撞、剪切、碾、割、刺伤等机械伤害，该类事故多以个体受伤为主，事故后果可以致人轻伤、重伤甚至死亡。同时在设备检修中管理不善、违章作业，也是发生机械伤害的重要原因之一。</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项目中发生机械伤害危险的主要途径和场所包括：</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（1）设备防护没有防护装置或防护装置不符合要求；</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（2）设备的防护装置被拆除；</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（3）在设备运转时，对设备的转动部位进行检查、加油或擦拭设备；</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（4）设备带病运转；</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（5）在检修完毕试车时，没有作好确认，盲目开车；</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（6）设备高速转动部位材质不合格或卡压不牢，造成转动部件飞出；</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（7）岗位人员操作技能差；</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（8）对不熟悉的设备擅自操作；</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（9）岗位工人酒后上岗；</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（10）违章操作；</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（11）操作规程存在问题；</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（12）设备检修时未断电和设立警示标志，误起动造成机械伤害；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（13）其它原因。</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7、触电</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从生产装置到仪表控制、照明、检修焊接，都离不开各种电气设备和电能。用电安全是生产安全的重要组成部分。电气在运行时可能因绝缘失效，防护不良，使电气漏电，人员一旦接触便可发生触电事故。同时缺乏用电常识，违章操作也会使人触电。触电事故可造成电击、电伤和触电的二次事故。其伤害严重程度因触电部位、电压高低和电流大小和触电时间长短而不同。电击是电流通过人体内部，破坏人的心脏、肺及神经系统的正常功能极易引起死亡。而电伤则是电流的热效应，化学效应或机械效应对人形成的伤害，主要表现形式为电烧伤、电烙印和皮肤金属化。触电的二次事故是指人体触及的电流较小，一般小于摆脱电流时由于电流刺激而引起肌肉、关节振颤、痉挛而坠落、摔倒造成的伤害。其后果不很确定。</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电气事故的另一种表现形式为因过载、过流、短路、发热等异常情况出现时，如果电气装置未设置有效的保护措施，或安全装置失效则可能因此损坏设备或停电事故。其后果不仅造成财产损失，而且意外停电也会造成生产装置失控发生连锁反应出现其它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触电是电气伤害的主要形式。在生产过程中用到的机械和电气设备较较多。电气线路安装不当、保养不善及接地、接零损坏或失效等，将会引起电气绝缘性能降低或保护失效，可能造成漏电，引起触电事故。造成触电事故的主要原因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（1）电气线路安装不当，保养不善及接地、接零损坏或失效等，将会引起设备各绝缘性能降低或保护失效，造成漏电，引起触电事故；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（2）电气设备在潮湿的环境中可引起电化学腐蚀及触电事故发生；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（3）使用不合格的绝缘工具和电气工具；</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（4）未断电进行电气设备检修工作；</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（5）电器设备未按规定接地或绝缘不良，导致事故发生；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（6）使用的电动工具金属外壳不接地，操作时不戴绝缘手套；</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（7）防雷电设施或接地损坏、失效等导致雷击，造成火灾、爆炸、设备损坏、人员触电伤害事故；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（8）操作人员操作技能较差或安全意识较差；</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（9）酒后上岗；</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（10）其它原因。</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8、车辆伤害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车辆伤害是指企业机动车辆在行驶中引起的人体坠落和物体倒塌、飞落、挤压伤亡事故，不包括起重设备提升、牵引车辆和车辆停驶时发生的事故。该</w:t>
      </w:r>
      <w:r>
        <w:rPr>
          <w:rFonts w:hint="eastAsia"/>
          <w:color w:val="auto"/>
          <w:kern w:val="0"/>
          <w:sz w:val="28"/>
          <w:szCs w:val="28"/>
          <w:lang w:val="en-US" w:eastAsia="zh-CN"/>
        </w:rPr>
        <w:t>项目</w:t>
      </w:r>
      <w:r>
        <w:rPr>
          <w:color w:val="auto"/>
          <w:kern w:val="0"/>
          <w:sz w:val="28"/>
          <w:szCs w:val="28"/>
        </w:rPr>
        <w:t>原料和产品等均由汽车运输，因此，正常生产过程时厂内机动车辆来往频繁，有可能因车辆违章行驶造成车辆伤害；厂内机动车辆在厂内作业行驶，如违章搭人、装运物资不当影响驾驶人员视线，另外道路参数，视线不良；缺少行车安全警示标志；车辆或驾驶人员的管理等方面的缺陷；驾驶人员违章作业或无证上岗等可能造成人员车辆伤害事故。</w:t>
      </w:r>
    </w:p>
    <w:p>
      <w:pPr>
        <w:autoSpaceDE w:val="0"/>
        <w:autoSpaceDN w:val="0"/>
        <w:adjustRightInd w:val="0"/>
        <w:spacing w:line="360" w:lineRule="auto"/>
        <w:ind w:firstLine="536" w:firstLineChars="200"/>
        <w:jc w:val="left"/>
        <w:rPr>
          <w:color w:val="auto"/>
          <w:kern w:val="0"/>
          <w:sz w:val="28"/>
          <w:szCs w:val="28"/>
        </w:rPr>
      </w:pPr>
      <w:r>
        <w:rPr>
          <w:rFonts w:hint="eastAsia"/>
          <w:color w:val="auto"/>
          <w:spacing w:val="-6"/>
          <w:kern w:val="0"/>
          <w:sz w:val="28"/>
          <w:szCs w:val="28"/>
          <w:lang w:val="en-US" w:eastAsia="zh-CN"/>
        </w:rPr>
        <w:t>该项目</w:t>
      </w:r>
      <w:r>
        <w:rPr>
          <w:color w:val="auto"/>
          <w:spacing w:val="-6"/>
          <w:kern w:val="0"/>
          <w:sz w:val="28"/>
          <w:szCs w:val="28"/>
        </w:rPr>
        <w:t>厂内机动车辆来往较频繁，有可能因车辆违章行驶造成车辆伤害；厂内机动车辆在厂内作业行驶，如违章搭人、装运物资不当影响驾驶人员视线，另外道路参数，视线不良；缺少行车安全警示标志；车辆或驾驶人员的管理等方面的缺陷；驾驶人员违章作业或无证上岗等可能造成人员车辆伤害事故。</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9、起重伤害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物料装运和设备检修使用起重设备，可能导致吊具、吊物发生挤压、坠落或打击，导致人员伤害或设备设施的损害。其伤害程度一般均比较严重，轻则重伤，重则人员死亡。起重伤害通常发生的可能性有：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1）起重作业中发生挤压、坠落（吊具、吊重）的物体打击；</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2）重物撞击人体；</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3）起吊重物坠落、吊勾坠落；</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4）起重机械吊钩超载断裂，重物坠落；</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5）起重设备带故障运行，电气绝缘设施损坏漏电；</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6）钢丝绳长期使用磨损或疲劳，超过钢丝绳安全使用系数；</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7）制动器、摩擦垫片安全防护装置磨损或有缺陷；</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8）吊装时方法不正确，斜拉吊装，使钢丝绳从滑轮的滑槽中脱落或在卷筒上不规则缠绕；</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9）违章指挥、违章作业；</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10）起重设备的保险、信号装置有缺陷；</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11）起重作业联系信号不畅，作业不协调；</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12）员工工作时注意力不集中；</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13）劳动防护用品未正确穿戴；</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14）未按照操作规程作业，发生违规事故；</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15）起重设备</w:t>
      </w:r>
      <w:r>
        <w:rPr>
          <w:rFonts w:hint="eastAsia"/>
          <w:color w:val="auto"/>
          <w:kern w:val="0"/>
          <w:sz w:val="28"/>
          <w:szCs w:val="28"/>
          <w:lang w:val="en-US" w:eastAsia="zh-CN"/>
        </w:rPr>
        <w:t>未选型，若选型</w:t>
      </w:r>
      <w:r>
        <w:rPr>
          <w:color w:val="auto"/>
          <w:kern w:val="0"/>
          <w:sz w:val="28"/>
          <w:szCs w:val="28"/>
        </w:rPr>
        <w:t>为特种设备，未定时检测，导致设备带病工作导致事故。起重伤害的形式主要有重物撞击人体，起吊重物坠落、吊勾坠落等。其伤害程度一般均比较严重，轻则重伤，重则人员死亡。</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10、物体打击</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物体在重力或外力作用下产生运动时，直接接触人体会造成人员伤害，该项目主要在生产、运输、检修作业过程中，如果金属材料、机械零部件坠落、飞出、碰撞，工具使用、放置不当，作业人员思想麻痹、注意力不集中、配合不当等，可能发生物体打击事故。若该设备的转（运）动部件卡压工件不牢固或转（运）动设备的转动部件飞出等，均有可能造成物体打击事件的发生。</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操作人员在高处作业过程中违反操作规程乱放工具等物件而导致落下打击下面人员等，也有可能造成物体打击事件的发生。</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11、高处坠落</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处于2m以上高处作业的人员，作业不系安全带、高处平台没有安全防护设施或安全防护设施有缺陷、有禁忌症人员从事高空作业等原因可能引起高处坠落事故。造成高处坠落事故的主要因素有：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1）高处作业处未设置安全防护设施。</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2）高处作业时安全防护设施损坏。</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3）高处作业安全管理不到位、作业人员违章操作、错误操作。</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4）操作人员没有按要求使用安全带、安全帽，没有按要求穿防滑性能良好的软底鞋等。</w:t>
      </w:r>
    </w:p>
    <w:p>
      <w:pPr>
        <w:autoSpaceDE w:val="0"/>
        <w:autoSpaceDN w:val="0"/>
        <w:adjustRightInd w:val="0"/>
        <w:spacing w:line="360" w:lineRule="auto"/>
        <w:ind w:firstLine="560" w:firstLineChars="200"/>
        <w:jc w:val="left"/>
        <w:rPr>
          <w:bCs/>
          <w:color w:val="auto"/>
          <w:kern w:val="0"/>
          <w:sz w:val="28"/>
          <w:szCs w:val="28"/>
        </w:rPr>
      </w:pPr>
      <w:r>
        <w:rPr>
          <w:bCs/>
          <w:color w:val="auto"/>
          <w:kern w:val="0"/>
          <w:sz w:val="28"/>
          <w:szCs w:val="28"/>
        </w:rPr>
        <w:t>12、淹溺</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该项目新建</w:t>
      </w:r>
      <w:r>
        <w:rPr>
          <w:rFonts w:hint="eastAsia"/>
          <w:color w:val="auto"/>
          <w:kern w:val="0"/>
          <w:sz w:val="28"/>
          <w:szCs w:val="28"/>
          <w:lang w:val="en-US" w:eastAsia="zh-CN"/>
        </w:rPr>
        <w:t>初期</w:t>
      </w:r>
      <w:r>
        <w:rPr>
          <w:color w:val="auto"/>
          <w:kern w:val="0"/>
          <w:sz w:val="28"/>
          <w:szCs w:val="28"/>
        </w:rPr>
        <w:t>雨水池，消防水</w:t>
      </w:r>
      <w:r>
        <w:rPr>
          <w:rFonts w:hint="eastAsia"/>
          <w:color w:val="auto"/>
          <w:kern w:val="0"/>
          <w:sz w:val="28"/>
          <w:szCs w:val="28"/>
          <w:lang w:val="en-US" w:eastAsia="zh-CN"/>
        </w:rPr>
        <w:t>罐</w:t>
      </w:r>
      <w:r>
        <w:rPr>
          <w:color w:val="auto"/>
          <w:kern w:val="0"/>
          <w:sz w:val="28"/>
          <w:szCs w:val="28"/>
        </w:rPr>
        <w:t>、污水处理池深达2m以上，如操作人员因各种原因，不慎跌落其中，可能造成淹溺伤亡事故。</w:t>
      </w:r>
    </w:p>
    <w:p>
      <w:pPr>
        <w:autoSpaceDE w:val="0"/>
        <w:autoSpaceDN w:val="0"/>
        <w:adjustRightInd w:val="0"/>
        <w:spacing w:line="360" w:lineRule="auto"/>
        <w:ind w:firstLine="560" w:firstLineChars="200"/>
        <w:jc w:val="left"/>
        <w:rPr>
          <w:bCs/>
          <w:color w:val="auto"/>
          <w:kern w:val="0"/>
          <w:sz w:val="28"/>
          <w:szCs w:val="28"/>
        </w:rPr>
      </w:pPr>
      <w:bookmarkStart w:id="885" w:name="_Toc354428779"/>
      <w:bookmarkStart w:id="886" w:name="_Toc412926472"/>
      <w:bookmarkStart w:id="887" w:name="_Toc3666014"/>
      <w:r>
        <w:rPr>
          <w:bCs/>
          <w:color w:val="auto"/>
          <w:kern w:val="0"/>
          <w:sz w:val="28"/>
          <w:szCs w:val="28"/>
        </w:rPr>
        <w:t>二、主要有害因素分析</w:t>
      </w:r>
      <w:bookmarkEnd w:id="885"/>
      <w:bookmarkEnd w:id="886"/>
      <w:bookmarkEnd w:id="887"/>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有害因素主要是指长时间作用产生的对人体机能造成损害。</w:t>
      </w:r>
    </w:p>
    <w:p>
      <w:pPr>
        <w:spacing w:line="360" w:lineRule="auto"/>
        <w:ind w:firstLine="570"/>
        <w:rPr>
          <w:color w:val="auto"/>
          <w:sz w:val="28"/>
        </w:rPr>
      </w:pPr>
      <w:r>
        <w:rPr>
          <w:color w:val="auto"/>
          <w:kern w:val="0"/>
          <w:sz w:val="28"/>
          <w:szCs w:val="28"/>
        </w:rPr>
        <w:t>根据《职业病范围和职业病患者处理办法的规定》，该</w:t>
      </w:r>
      <w:r>
        <w:rPr>
          <w:rFonts w:hint="eastAsia"/>
          <w:color w:val="auto"/>
          <w:kern w:val="0"/>
          <w:sz w:val="28"/>
          <w:szCs w:val="28"/>
          <w:lang w:val="en-US" w:eastAsia="zh-CN"/>
        </w:rPr>
        <w:t>项目</w:t>
      </w:r>
      <w:r>
        <w:rPr>
          <w:color w:val="auto"/>
          <w:kern w:val="0"/>
          <w:sz w:val="28"/>
          <w:szCs w:val="28"/>
        </w:rPr>
        <w:t>存在的主要有害因素为噪声、高温及热辐射等。</w:t>
      </w:r>
    </w:p>
    <w:p>
      <w:pPr>
        <w:spacing w:line="360" w:lineRule="auto"/>
        <w:ind w:firstLine="570"/>
        <w:rPr>
          <w:color w:val="auto"/>
          <w:sz w:val="28"/>
        </w:rPr>
      </w:pPr>
      <w:r>
        <w:rPr>
          <w:color w:val="auto"/>
          <w:sz w:val="28"/>
        </w:rPr>
        <w:t>1、有毒物质</w:t>
      </w:r>
    </w:p>
    <w:p>
      <w:pPr>
        <w:spacing w:line="360" w:lineRule="auto"/>
        <w:ind w:firstLine="570"/>
        <w:rPr>
          <w:color w:val="auto"/>
          <w:kern w:val="0"/>
          <w:sz w:val="28"/>
          <w:szCs w:val="28"/>
          <w:highlight w:val="none"/>
        </w:rPr>
      </w:pPr>
      <w:r>
        <w:rPr>
          <w:color w:val="auto"/>
          <w:kern w:val="0"/>
          <w:sz w:val="28"/>
          <w:szCs w:val="28"/>
          <w:highlight w:val="none"/>
        </w:rPr>
        <w:t>该项目中的</w:t>
      </w:r>
      <w:r>
        <w:rPr>
          <w:rFonts w:hint="eastAsia"/>
          <w:color w:val="auto"/>
          <w:kern w:val="0"/>
          <w:sz w:val="28"/>
          <w:szCs w:val="28"/>
          <w:highlight w:val="none"/>
          <w:lang w:val="en-US" w:eastAsia="zh-CN"/>
        </w:rPr>
        <w:t>对苯二酚具有中等毒性，服用1g能刺激食道而引起耳鸣、恶心、呕吐、腹痛、虚脱。服用5g可致死</w:t>
      </w:r>
      <w:r>
        <w:rPr>
          <w:rFonts w:hint="eastAsia"/>
          <w:color w:val="auto"/>
          <w:kern w:val="0"/>
          <w:sz w:val="28"/>
          <w:szCs w:val="28"/>
          <w:highlight w:val="none"/>
          <w:lang w:eastAsia="zh-CN"/>
        </w:rPr>
        <w:t>。</w:t>
      </w:r>
      <w:r>
        <w:rPr>
          <w:color w:val="auto"/>
          <w:kern w:val="0"/>
          <w:sz w:val="28"/>
          <w:szCs w:val="28"/>
          <w:highlight w:val="none"/>
        </w:rPr>
        <w:t>氮气具有窒息性</w:t>
      </w:r>
      <w:r>
        <w:rPr>
          <w:rFonts w:hint="eastAsia"/>
          <w:color w:val="auto"/>
          <w:kern w:val="0"/>
          <w:sz w:val="28"/>
          <w:szCs w:val="28"/>
          <w:highlight w:val="none"/>
          <w:lang w:eastAsia="zh-CN"/>
        </w:rPr>
        <w:t>，</w:t>
      </w:r>
      <w:r>
        <w:rPr>
          <w:color w:val="auto"/>
          <w:kern w:val="0"/>
          <w:sz w:val="28"/>
          <w:szCs w:val="28"/>
          <w:highlight w:val="none"/>
        </w:rPr>
        <w:t>人体直接接触高浓度此类物质会造成中毒危险。</w:t>
      </w:r>
    </w:p>
    <w:p>
      <w:pPr>
        <w:spacing w:line="360" w:lineRule="auto"/>
        <w:ind w:firstLine="570"/>
        <w:rPr>
          <w:color w:val="auto"/>
          <w:kern w:val="0"/>
          <w:sz w:val="28"/>
          <w:szCs w:val="28"/>
          <w:highlight w:val="yellow"/>
        </w:rPr>
      </w:pPr>
      <w:r>
        <w:rPr>
          <w:color w:val="auto"/>
          <w:kern w:val="0"/>
          <w:sz w:val="28"/>
          <w:szCs w:val="28"/>
          <w:highlight w:val="none"/>
        </w:rPr>
        <w:t>有害因素主要考虑作业人员长期接触存在低浓度有毒环境可能造成的生理机能的损害。</w:t>
      </w:r>
    </w:p>
    <w:p>
      <w:pPr>
        <w:spacing w:line="360" w:lineRule="auto"/>
        <w:ind w:firstLine="570"/>
        <w:rPr>
          <w:color w:val="auto"/>
          <w:kern w:val="0"/>
          <w:sz w:val="28"/>
          <w:szCs w:val="28"/>
        </w:rPr>
      </w:pPr>
      <w:r>
        <w:rPr>
          <w:color w:val="auto"/>
          <w:kern w:val="0"/>
          <w:sz w:val="28"/>
          <w:szCs w:val="28"/>
        </w:rPr>
        <w:t>2、噪声与振动</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 xml:space="preserve">噪声是一种无规律的频率波动范围很大的声波，长期接触可导致人员听力下降，心理情绪不稳，生理功能不良，影响从业人员健康。同时噪声可致人注意力分散，情绪失常而增加失误的机率，诱发机械事故发生。 </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该</w:t>
      </w:r>
      <w:r>
        <w:rPr>
          <w:rFonts w:hint="eastAsia"/>
          <w:color w:val="auto"/>
          <w:kern w:val="0"/>
          <w:sz w:val="28"/>
          <w:szCs w:val="28"/>
          <w:lang w:val="en-US" w:eastAsia="zh-CN"/>
        </w:rPr>
        <w:t>项目</w:t>
      </w:r>
      <w:r>
        <w:rPr>
          <w:color w:val="auto"/>
          <w:kern w:val="0"/>
          <w:sz w:val="28"/>
          <w:szCs w:val="28"/>
        </w:rPr>
        <w:t>产生噪声源的主要设施为项目的相关机泵</w:t>
      </w:r>
      <w:r>
        <w:rPr>
          <w:color w:val="auto"/>
          <w:sz w:val="28"/>
          <w:szCs w:val="28"/>
        </w:rPr>
        <w:t>等</w:t>
      </w:r>
      <w:r>
        <w:rPr>
          <w:color w:val="auto"/>
          <w:kern w:val="0"/>
          <w:sz w:val="28"/>
          <w:szCs w:val="28"/>
        </w:rPr>
        <w:t>，其在运行过程中可能产生不同程度的噪声。噪声类别多为机械类噪声和动力性噪声，在采取有效的措施时，另外加强个体防护措施。</w:t>
      </w:r>
    </w:p>
    <w:p>
      <w:pPr>
        <w:spacing w:line="360" w:lineRule="auto"/>
        <w:ind w:firstLine="570"/>
        <w:rPr>
          <w:color w:val="auto"/>
          <w:sz w:val="28"/>
        </w:rPr>
      </w:pPr>
      <w:r>
        <w:rPr>
          <w:color w:val="auto"/>
          <w:sz w:val="28"/>
        </w:rPr>
        <w:t>3、高温与热辐射</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高温作业主要是夏季气温较高，湿度高，该</w:t>
      </w:r>
      <w:r>
        <w:rPr>
          <w:rFonts w:hint="eastAsia"/>
          <w:color w:val="auto"/>
          <w:kern w:val="0"/>
          <w:sz w:val="28"/>
          <w:szCs w:val="28"/>
          <w:lang w:val="en-US" w:eastAsia="zh-CN"/>
        </w:rPr>
        <w:t>项目</w:t>
      </w:r>
      <w:r>
        <w:rPr>
          <w:color w:val="auto"/>
          <w:kern w:val="0"/>
          <w:sz w:val="28"/>
          <w:szCs w:val="28"/>
        </w:rPr>
        <w:t>所在地极端最高气温达40℃以上，相对湿度可达到80%，如通风不良就形成高温、高湿和低气流的不良气象条件，即湿热环境。人在此环境下劳动，即使气温不很高，但由于蒸发散热更为困难，故虽大量出汗也不能发挥有效的散热作用，易导致体内热蓄积或水、电解质平衡失调，从而发生中暑。</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高温危害程度与气温、湿度、气流、辐射热和个体热耐受性有关。</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4、不良采光照明</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现场采光照明，对作业环境的好坏起着至关重要的作用。现场采光照明不良，从业人员可能在巡检和经营过程中，因视线不清而致误操作，或造成滑跌，碰伤等。</w:t>
      </w:r>
    </w:p>
    <w:p>
      <w:pPr>
        <w:autoSpaceDE w:val="0"/>
        <w:autoSpaceDN w:val="0"/>
        <w:adjustRightInd w:val="0"/>
        <w:spacing w:line="360" w:lineRule="auto"/>
        <w:ind w:firstLine="560" w:firstLineChars="200"/>
        <w:jc w:val="left"/>
        <w:rPr>
          <w:color w:val="auto"/>
          <w:kern w:val="0"/>
          <w:sz w:val="28"/>
          <w:szCs w:val="28"/>
        </w:rPr>
      </w:pPr>
      <w:r>
        <w:rPr>
          <w:color w:val="auto"/>
          <w:kern w:val="0"/>
          <w:sz w:val="28"/>
          <w:szCs w:val="28"/>
        </w:rPr>
        <w:t>5、低温</w:t>
      </w:r>
    </w:p>
    <w:p>
      <w:pPr>
        <w:autoSpaceDE w:val="0"/>
        <w:autoSpaceDN w:val="0"/>
        <w:adjustRightInd w:val="0"/>
        <w:spacing w:line="360" w:lineRule="auto"/>
        <w:ind w:firstLine="560" w:firstLineChars="200"/>
        <w:jc w:val="left"/>
        <w:rPr>
          <w:color w:val="auto"/>
          <w:sz w:val="28"/>
          <w:szCs w:val="28"/>
        </w:rPr>
      </w:pPr>
      <w:r>
        <w:rPr>
          <w:color w:val="auto"/>
          <w:sz w:val="28"/>
          <w:szCs w:val="28"/>
        </w:rPr>
        <w:t>该</w:t>
      </w:r>
      <w:r>
        <w:rPr>
          <w:rFonts w:hint="eastAsia"/>
          <w:color w:val="auto"/>
          <w:sz w:val="28"/>
          <w:szCs w:val="28"/>
          <w:lang w:val="en-US" w:eastAsia="zh-CN"/>
        </w:rPr>
        <w:t>项目</w:t>
      </w:r>
      <w:r>
        <w:rPr>
          <w:color w:val="auto"/>
          <w:sz w:val="28"/>
          <w:szCs w:val="28"/>
        </w:rPr>
        <w:t>地点四季分明，冬季极端最低气温低于-7℃，作业人员在冬季室外作业时有低温冻伤的危害。</w:t>
      </w:r>
    </w:p>
    <w:p>
      <w:pPr>
        <w:pStyle w:val="5"/>
        <w:rPr>
          <w:rFonts w:hint="default"/>
          <w:color w:val="auto"/>
          <w:lang w:val="en-US" w:eastAsia="zh-CN"/>
        </w:rPr>
      </w:pPr>
      <w:r>
        <w:rPr>
          <w:rFonts w:hint="default"/>
          <w:color w:val="auto"/>
          <w:lang w:val="en-US" w:eastAsia="zh-CN"/>
        </w:rPr>
        <w:t>B.2.3.1 生产系统中危险因素的辨识与分析</w:t>
      </w:r>
    </w:p>
    <w:p>
      <w:pPr>
        <w:numPr>
          <w:ilvl w:val="-1"/>
          <w:numId w:val="0"/>
        </w:numPr>
        <w:ind w:firstLine="560" w:firstLineChars="200"/>
        <w:rPr>
          <w:rFonts w:hint="default"/>
          <w:color w:val="auto"/>
          <w:lang w:val="en-US" w:eastAsia="zh-CN"/>
        </w:rPr>
      </w:pPr>
      <w:r>
        <w:rPr>
          <w:rFonts w:hint="default"/>
          <w:color w:val="auto"/>
          <w:lang w:val="en-US" w:eastAsia="zh-CN"/>
        </w:rPr>
        <w:t>根据该项目物料的危险、有害因素和该公司提供的其他资料分析，按照</w:t>
      </w:r>
    </w:p>
    <w:p>
      <w:pPr>
        <w:numPr>
          <w:ilvl w:val="-1"/>
          <w:numId w:val="0"/>
        </w:numPr>
        <w:ind w:firstLine="0" w:firstLineChars="0"/>
        <w:rPr>
          <w:rFonts w:hint="default"/>
          <w:color w:val="auto"/>
          <w:lang w:val="en-US" w:eastAsia="zh-CN"/>
        </w:rPr>
      </w:pPr>
      <w:r>
        <w:rPr>
          <w:rFonts w:hint="default"/>
          <w:color w:val="auto"/>
          <w:lang w:val="en-US" w:eastAsia="zh-CN"/>
        </w:rPr>
        <w:t>《企业工伤事故分类》GB6441-1986 的规定，该项目生产过程中的主要危险</w:t>
      </w:r>
    </w:p>
    <w:p>
      <w:pPr>
        <w:numPr>
          <w:ilvl w:val="-1"/>
          <w:numId w:val="0"/>
        </w:numPr>
        <w:ind w:firstLine="0" w:firstLineChars="0"/>
        <w:rPr>
          <w:rFonts w:hint="default"/>
          <w:color w:val="auto"/>
          <w:lang w:val="en-US" w:eastAsia="zh-CN"/>
        </w:rPr>
      </w:pPr>
      <w:r>
        <w:rPr>
          <w:rFonts w:hint="default"/>
          <w:color w:val="auto"/>
          <w:lang w:val="en-US" w:eastAsia="zh-CN"/>
        </w:rPr>
        <w:t>因素有：火灾、爆炸、灼烫等，此外还存在中毒与窒息、触电、高处坠落、</w:t>
      </w:r>
    </w:p>
    <w:p>
      <w:pPr>
        <w:numPr>
          <w:ilvl w:val="-1"/>
          <w:numId w:val="0"/>
        </w:numPr>
        <w:ind w:firstLine="0" w:firstLineChars="0"/>
        <w:rPr>
          <w:rFonts w:hint="default"/>
          <w:color w:val="auto"/>
          <w:lang w:val="en-US" w:eastAsia="zh-CN"/>
        </w:rPr>
      </w:pPr>
      <w:r>
        <w:rPr>
          <w:rFonts w:hint="default"/>
          <w:color w:val="auto"/>
          <w:lang w:val="en-US" w:eastAsia="zh-CN"/>
        </w:rPr>
        <w:t>机械伤害、物体打击、起重伤害、车辆伤害、淹溺及噪声、高温热辐射等危</w:t>
      </w:r>
    </w:p>
    <w:p>
      <w:pPr>
        <w:numPr>
          <w:ilvl w:val="-1"/>
          <w:numId w:val="0"/>
        </w:numPr>
        <w:ind w:firstLine="0" w:firstLineChars="0"/>
        <w:rPr>
          <w:rFonts w:hint="default"/>
          <w:color w:val="auto"/>
          <w:lang w:val="en-US" w:eastAsia="zh-CN"/>
        </w:rPr>
      </w:pPr>
      <w:r>
        <w:rPr>
          <w:rFonts w:hint="default"/>
          <w:color w:val="auto"/>
          <w:lang w:val="en-US" w:eastAsia="zh-CN"/>
        </w:rPr>
        <w:t>险、有害因素。</w:t>
      </w:r>
    </w:p>
    <w:p>
      <w:pPr>
        <w:numPr>
          <w:ilvl w:val="-1"/>
          <w:numId w:val="0"/>
        </w:numPr>
        <w:ind w:firstLine="560" w:firstLineChars="200"/>
        <w:rPr>
          <w:rFonts w:hint="default"/>
          <w:color w:val="auto"/>
          <w:lang w:val="en-US" w:eastAsia="zh-CN"/>
        </w:rPr>
      </w:pPr>
      <w:r>
        <w:rPr>
          <w:rFonts w:hint="default"/>
          <w:color w:val="auto"/>
          <w:lang w:val="en-US" w:eastAsia="zh-CN"/>
        </w:rPr>
        <w:t xml:space="preserve">该项目工艺生产装置为 101 </w:t>
      </w:r>
      <w:r>
        <w:rPr>
          <w:rFonts w:hint="eastAsia"/>
          <w:color w:val="auto"/>
          <w:lang w:val="en-US" w:eastAsia="zh-CN"/>
        </w:rPr>
        <w:t>裂解</w:t>
      </w:r>
      <w:r>
        <w:rPr>
          <w:rFonts w:hint="default"/>
          <w:color w:val="auto"/>
          <w:lang w:val="en-US" w:eastAsia="zh-CN"/>
        </w:rPr>
        <w:t>车间</w:t>
      </w:r>
      <w:r>
        <w:rPr>
          <w:rFonts w:hint="eastAsia"/>
          <w:color w:val="auto"/>
          <w:lang w:val="en-US" w:eastAsia="zh-CN"/>
        </w:rPr>
        <w:t>裂解炉</w:t>
      </w:r>
      <w:r>
        <w:rPr>
          <w:rFonts w:hint="default"/>
          <w:color w:val="auto"/>
          <w:lang w:val="en-US" w:eastAsia="zh-CN"/>
        </w:rPr>
        <w:t>。</w:t>
      </w:r>
    </w:p>
    <w:p>
      <w:pPr>
        <w:numPr>
          <w:ilvl w:val="-1"/>
          <w:numId w:val="0"/>
        </w:numPr>
        <w:ind w:firstLine="560" w:firstLineChars="200"/>
        <w:rPr>
          <w:rFonts w:hint="default"/>
          <w:color w:val="auto"/>
          <w:lang w:val="en-US" w:eastAsia="zh-CN"/>
        </w:rPr>
      </w:pPr>
      <w:r>
        <w:rPr>
          <w:rFonts w:hint="default"/>
          <w:color w:val="auto"/>
          <w:lang w:val="en-US" w:eastAsia="zh-CN"/>
        </w:rPr>
        <w:t>该项目工艺生产设备涉及高温并涉及蒸馏、精馏及负压操作作业，其中</w:t>
      </w:r>
    </w:p>
    <w:p>
      <w:pPr>
        <w:numPr>
          <w:ilvl w:val="-1"/>
          <w:numId w:val="0"/>
        </w:numPr>
        <w:ind w:firstLine="0" w:firstLineChars="0"/>
        <w:rPr>
          <w:rFonts w:hint="default"/>
          <w:color w:val="auto"/>
          <w:lang w:val="en-US" w:eastAsia="zh-CN"/>
        </w:rPr>
      </w:pPr>
      <w:r>
        <w:rPr>
          <w:rFonts w:hint="default"/>
          <w:color w:val="auto"/>
          <w:lang w:val="en-US" w:eastAsia="zh-CN"/>
        </w:rPr>
        <w:t>该项目部分装置生产操作条件涉及高温。</w:t>
      </w:r>
    </w:p>
    <w:p>
      <w:pPr>
        <w:numPr>
          <w:ilvl w:val="-1"/>
          <w:numId w:val="0"/>
        </w:numPr>
        <w:ind w:firstLine="560" w:firstLineChars="200"/>
        <w:rPr>
          <w:rFonts w:hint="default"/>
          <w:color w:val="auto"/>
          <w:lang w:val="en-US" w:eastAsia="zh-CN"/>
        </w:rPr>
      </w:pPr>
      <w:r>
        <w:rPr>
          <w:rFonts w:hint="default"/>
          <w:color w:val="auto"/>
          <w:lang w:val="en-US" w:eastAsia="zh-CN"/>
        </w:rPr>
        <w:t>该项目涉及的</w:t>
      </w:r>
      <w:r>
        <w:rPr>
          <w:rFonts w:hint="eastAsia"/>
          <w:color w:val="auto"/>
          <w:lang w:val="en-US" w:eastAsia="zh-CN"/>
        </w:rPr>
        <w:t>甲基丙烯酸甲酯</w:t>
      </w:r>
      <w:r>
        <w:rPr>
          <w:rFonts w:hint="default"/>
          <w:color w:val="auto"/>
          <w:lang w:val="en-US" w:eastAsia="zh-CN"/>
        </w:rPr>
        <w:t>属于易燃易爆物质；</w:t>
      </w:r>
      <w:r>
        <w:rPr>
          <w:rFonts w:hint="eastAsia"/>
          <w:color w:val="auto"/>
          <w:lang w:val="en-US" w:eastAsia="zh-CN"/>
        </w:rPr>
        <w:t>对苯二酚</w:t>
      </w:r>
      <w:r>
        <w:rPr>
          <w:rFonts w:hint="default"/>
          <w:color w:val="auto"/>
          <w:lang w:val="en-US" w:eastAsia="zh-CN"/>
        </w:rPr>
        <w:t>、柴油等具有可燃性，遇热源、明火、氧化剂有燃烧爆炸的危险；因此，火灾、爆炸是该公司主要危险因素之一。</w:t>
      </w:r>
    </w:p>
    <w:p>
      <w:pPr>
        <w:numPr>
          <w:ilvl w:val="-1"/>
          <w:numId w:val="0"/>
        </w:numPr>
        <w:ind w:firstLine="560" w:firstLineChars="200"/>
        <w:rPr>
          <w:rFonts w:hint="default"/>
          <w:color w:val="auto"/>
          <w:lang w:val="en-US" w:eastAsia="zh-CN"/>
        </w:rPr>
      </w:pPr>
      <w:r>
        <w:rPr>
          <w:rFonts w:hint="default"/>
          <w:color w:val="auto"/>
          <w:lang w:val="en-US" w:eastAsia="zh-CN"/>
        </w:rPr>
        <w:t>该项目涉及的</w:t>
      </w:r>
      <w:r>
        <w:rPr>
          <w:rFonts w:hint="eastAsia"/>
          <w:color w:val="auto"/>
          <w:lang w:val="en-US" w:eastAsia="zh-CN"/>
        </w:rPr>
        <w:t>对苯二酚、氮气</w:t>
      </w:r>
      <w:r>
        <w:rPr>
          <w:rFonts w:hint="default"/>
          <w:color w:val="auto"/>
          <w:lang w:val="en-US" w:eastAsia="zh-CN"/>
        </w:rPr>
        <w:t>等具有一定</w:t>
      </w:r>
      <w:r>
        <w:rPr>
          <w:rFonts w:hint="eastAsia"/>
          <w:color w:val="auto"/>
          <w:lang w:val="en-US" w:eastAsia="zh-CN"/>
        </w:rPr>
        <w:t>毒</w:t>
      </w:r>
      <w:r>
        <w:rPr>
          <w:rFonts w:hint="default"/>
          <w:color w:val="auto"/>
          <w:lang w:val="en-US" w:eastAsia="zh-CN"/>
        </w:rPr>
        <w:t>性，对人体具有</w:t>
      </w:r>
      <w:r>
        <w:rPr>
          <w:rFonts w:hint="eastAsia"/>
          <w:color w:val="auto"/>
          <w:lang w:val="en-US" w:eastAsia="zh-CN"/>
        </w:rPr>
        <w:t>毒</w:t>
      </w:r>
      <w:r>
        <w:rPr>
          <w:rFonts w:hint="default"/>
          <w:color w:val="auto"/>
          <w:lang w:val="en-US" w:eastAsia="zh-CN"/>
        </w:rPr>
        <w:t>性；因此，</w:t>
      </w:r>
      <w:r>
        <w:rPr>
          <w:rFonts w:hint="eastAsia"/>
          <w:color w:val="auto"/>
          <w:lang w:val="en-US" w:eastAsia="zh-CN"/>
        </w:rPr>
        <w:t>中毒和窒息</w:t>
      </w:r>
      <w:r>
        <w:rPr>
          <w:rFonts w:hint="default"/>
          <w:color w:val="auto"/>
          <w:lang w:val="en-US" w:eastAsia="zh-CN"/>
        </w:rPr>
        <w:t>是主要危险因素之一。</w:t>
      </w:r>
    </w:p>
    <w:p>
      <w:pPr>
        <w:numPr>
          <w:ilvl w:val="-1"/>
          <w:numId w:val="0"/>
        </w:numPr>
        <w:ind w:firstLine="562" w:firstLineChars="200"/>
        <w:rPr>
          <w:rFonts w:hint="default"/>
          <w:b/>
          <w:bCs/>
          <w:color w:val="auto"/>
          <w:lang w:val="en-US" w:eastAsia="zh-CN"/>
        </w:rPr>
      </w:pPr>
      <w:r>
        <w:rPr>
          <w:rFonts w:hint="default"/>
          <w:b/>
          <w:bCs/>
          <w:color w:val="auto"/>
          <w:lang w:val="en-US" w:eastAsia="zh-CN"/>
        </w:rPr>
        <w:t>1.火灾、爆炸</w:t>
      </w:r>
    </w:p>
    <w:p>
      <w:pPr>
        <w:numPr>
          <w:ilvl w:val="-1"/>
          <w:numId w:val="0"/>
        </w:numPr>
        <w:ind w:firstLine="560" w:firstLineChars="200"/>
        <w:rPr>
          <w:rFonts w:hint="default"/>
          <w:color w:val="auto"/>
          <w:lang w:val="en-US" w:eastAsia="zh-CN"/>
        </w:rPr>
      </w:pPr>
      <w:r>
        <w:rPr>
          <w:rFonts w:hint="default"/>
          <w:color w:val="auto"/>
          <w:lang w:val="en-US" w:eastAsia="zh-CN"/>
        </w:rPr>
        <w:t>该项目生产装置由于技术特点，为半间歇性生产且其生产过程涉高温。生产过程是在高温操作，物料中存在大量</w:t>
      </w:r>
      <w:r>
        <w:rPr>
          <w:rFonts w:hint="eastAsia"/>
          <w:color w:val="auto"/>
          <w:lang w:val="en-US" w:eastAsia="zh-CN"/>
        </w:rPr>
        <w:t>甲基丙烯酸甲酯</w:t>
      </w:r>
      <w:r>
        <w:rPr>
          <w:rFonts w:hint="default"/>
          <w:color w:val="auto"/>
          <w:lang w:val="en-US" w:eastAsia="zh-CN"/>
        </w:rPr>
        <w:t>等甲类危险品，生产过程中的温度往往在内部介质的闪点以上，发生泄漏遇静电、火星、明火即可引起火灾、爆炸事故。所以生产装置中易出现事故。设备的故障率也较高。因此，该</w:t>
      </w:r>
      <w:r>
        <w:rPr>
          <w:rFonts w:hint="eastAsia"/>
          <w:color w:val="auto"/>
          <w:lang w:val="en-US" w:eastAsia="zh-CN"/>
        </w:rPr>
        <w:t>项目</w:t>
      </w:r>
      <w:r>
        <w:rPr>
          <w:rFonts w:hint="default"/>
          <w:color w:val="auto"/>
          <w:lang w:val="en-US" w:eastAsia="zh-CN"/>
        </w:rPr>
        <w:t>任何设计不当，设备选材不妥，安装差错，投料生产操作失误都极易发生着火爆炸事故。</w:t>
      </w:r>
    </w:p>
    <w:p>
      <w:pPr>
        <w:numPr>
          <w:ilvl w:val="-1"/>
          <w:numId w:val="0"/>
        </w:numPr>
        <w:ind w:firstLine="560" w:firstLineChars="200"/>
        <w:rPr>
          <w:rFonts w:hint="default"/>
          <w:color w:val="auto"/>
          <w:lang w:val="en-US" w:eastAsia="zh-CN"/>
        </w:rPr>
      </w:pPr>
      <w:r>
        <w:rPr>
          <w:rFonts w:hint="default"/>
          <w:color w:val="auto"/>
          <w:lang w:val="en-US" w:eastAsia="zh-CN"/>
        </w:rPr>
        <w:t>设备或管道安装质量差、以及设备开停频繁、温度升降骤变等原因，极易引起设备、管道及其连接点、阀门、法兰等部位泄漏，造成着火爆炸。</w:t>
      </w:r>
    </w:p>
    <w:p>
      <w:pPr>
        <w:numPr>
          <w:ilvl w:val="-1"/>
          <w:numId w:val="0"/>
        </w:numPr>
        <w:ind w:firstLine="560" w:firstLineChars="200"/>
        <w:rPr>
          <w:rFonts w:hint="default"/>
          <w:color w:val="auto"/>
          <w:lang w:val="en-US" w:eastAsia="zh-CN"/>
        </w:rPr>
      </w:pPr>
      <w:r>
        <w:rPr>
          <w:rFonts w:hint="default"/>
          <w:color w:val="auto"/>
          <w:lang w:val="en-US" w:eastAsia="zh-CN"/>
        </w:rPr>
        <w:t>该</w:t>
      </w:r>
      <w:r>
        <w:rPr>
          <w:rFonts w:hint="eastAsia"/>
          <w:color w:val="auto"/>
          <w:lang w:val="en-US" w:eastAsia="zh-CN"/>
        </w:rPr>
        <w:t>项目</w:t>
      </w:r>
      <w:r>
        <w:rPr>
          <w:rFonts w:hint="default"/>
          <w:color w:val="auto"/>
          <w:lang w:val="en-US" w:eastAsia="zh-CN"/>
        </w:rPr>
        <w:t>设备操作温度大多数高于物质的闪点，如果生产过程中未采用密闭系统、误操作等，造成物料溢出或泄漏形成爆炸性混合混合物，存在火灾、爆炸事故的可能性。</w:t>
      </w:r>
    </w:p>
    <w:p>
      <w:pPr>
        <w:numPr>
          <w:ilvl w:val="-1"/>
          <w:numId w:val="0"/>
        </w:numPr>
        <w:ind w:firstLine="560" w:firstLineChars="200"/>
        <w:rPr>
          <w:rFonts w:hint="default"/>
          <w:color w:val="auto"/>
          <w:lang w:val="en-US" w:eastAsia="zh-CN"/>
        </w:rPr>
      </w:pPr>
      <w:r>
        <w:rPr>
          <w:rFonts w:hint="default"/>
          <w:color w:val="auto"/>
          <w:lang w:val="en-US" w:eastAsia="zh-CN"/>
        </w:rPr>
        <w:t>如果设备、管道发生泄漏，而仪表、连锁报警装置、附件等出现意外、装置区无导静电装置或静电导除装置有缺陷、遇火源或静电火花极易发生火灾爆炸事故。</w:t>
      </w:r>
    </w:p>
    <w:p>
      <w:pPr>
        <w:numPr>
          <w:ilvl w:val="-1"/>
          <w:numId w:val="0"/>
        </w:numPr>
        <w:ind w:firstLine="560" w:firstLineChars="200"/>
        <w:rPr>
          <w:rFonts w:hint="default"/>
          <w:color w:val="auto"/>
          <w:lang w:val="en-US" w:eastAsia="zh-CN"/>
        </w:rPr>
      </w:pPr>
      <w:r>
        <w:rPr>
          <w:rFonts w:hint="default"/>
          <w:color w:val="auto"/>
          <w:lang w:val="en-US" w:eastAsia="zh-CN"/>
        </w:rPr>
        <w:t>操作人员对出现的设备或工艺故障未及时发现或采取的措施不当等。液体排液、放空或取样时，若阀门开度过大，容易产生静电或引起着火事故。</w:t>
      </w:r>
    </w:p>
    <w:p>
      <w:pPr>
        <w:numPr>
          <w:ilvl w:val="-1"/>
          <w:numId w:val="0"/>
        </w:numPr>
        <w:ind w:firstLine="560" w:firstLineChars="200"/>
        <w:rPr>
          <w:rFonts w:hint="default"/>
          <w:color w:val="auto"/>
          <w:lang w:val="en-US" w:eastAsia="zh-CN"/>
        </w:rPr>
      </w:pPr>
      <w:r>
        <w:rPr>
          <w:rFonts w:hint="default"/>
          <w:color w:val="auto"/>
          <w:lang w:val="en-US" w:eastAsia="zh-CN"/>
        </w:rPr>
        <w:t>生产装置采用 DCS 自动控制系统，现场使用遥控调节阀、切断阀等，如果检测仪表失灵或不准确，上传给控制系统的信号与实际数值出现偏差，操作件失灵或仪表空气压力不足、仪表空气中带液在管道末端积聚，造成操作机构失灵，或者变送信号线屏蔽不好，产生感应信号等引起误动作，引发事故。</w:t>
      </w:r>
    </w:p>
    <w:p>
      <w:pPr>
        <w:numPr>
          <w:ilvl w:val="-1"/>
          <w:numId w:val="0"/>
        </w:numPr>
        <w:ind w:firstLine="560" w:firstLineChars="200"/>
        <w:rPr>
          <w:rFonts w:hint="default"/>
          <w:color w:val="auto"/>
          <w:lang w:val="en-US" w:eastAsia="zh-CN"/>
        </w:rPr>
      </w:pPr>
      <w:r>
        <w:rPr>
          <w:rFonts w:hint="default"/>
          <w:color w:val="auto"/>
          <w:lang w:val="en-US" w:eastAsia="zh-CN"/>
        </w:rPr>
        <w:t>该项目生产过程在一定温度下进行，为</w:t>
      </w:r>
      <w:r>
        <w:rPr>
          <w:rFonts w:hint="eastAsia"/>
          <w:color w:val="auto"/>
          <w:lang w:val="en-US" w:eastAsia="zh-CN"/>
        </w:rPr>
        <w:t>吸</w:t>
      </w:r>
      <w:r>
        <w:rPr>
          <w:rFonts w:hint="default"/>
          <w:color w:val="auto"/>
          <w:lang w:val="en-US" w:eastAsia="zh-CN"/>
        </w:rPr>
        <w:t>热反应，如安全附件不全或不可靠，工艺控制失误，配套的冷却、氮气保护等安全设施中断或不足，引起着火、爆炸事故。</w:t>
      </w:r>
    </w:p>
    <w:p>
      <w:pPr>
        <w:numPr>
          <w:ilvl w:val="-1"/>
          <w:numId w:val="0"/>
        </w:numPr>
        <w:ind w:firstLine="560" w:firstLineChars="200"/>
        <w:rPr>
          <w:rFonts w:hint="default"/>
          <w:color w:val="auto"/>
          <w:lang w:val="en-US" w:eastAsia="zh-CN"/>
        </w:rPr>
      </w:pPr>
      <w:r>
        <w:rPr>
          <w:rFonts w:hint="default"/>
          <w:color w:val="auto"/>
          <w:lang w:val="en-US" w:eastAsia="zh-CN"/>
        </w:rPr>
        <w:t>该项目生产过程中涉及</w:t>
      </w:r>
      <w:r>
        <w:rPr>
          <w:rFonts w:hint="eastAsia"/>
          <w:color w:val="auto"/>
          <w:lang w:val="en-US" w:eastAsia="zh-CN"/>
        </w:rPr>
        <w:t>裂解</w:t>
      </w:r>
      <w:r>
        <w:rPr>
          <w:rFonts w:hint="default"/>
          <w:color w:val="auto"/>
          <w:lang w:val="en-US" w:eastAsia="zh-CN"/>
        </w:rPr>
        <w:t>、蒸馏过程，采用常压或负压，如设备、管道密封不良物料中混入空气，导致氧含量超标，形成爆炸性混合物，遇到火花、静电等点火源时，有引发爆炸的可能。</w:t>
      </w:r>
    </w:p>
    <w:p>
      <w:pPr>
        <w:numPr>
          <w:ilvl w:val="-1"/>
          <w:numId w:val="0"/>
        </w:numPr>
        <w:ind w:firstLine="560" w:firstLineChars="200"/>
        <w:rPr>
          <w:rFonts w:hint="default"/>
          <w:color w:val="auto"/>
          <w:lang w:val="en-US" w:eastAsia="zh-CN"/>
        </w:rPr>
      </w:pPr>
      <w:r>
        <w:rPr>
          <w:rFonts w:hint="default"/>
          <w:color w:val="auto"/>
          <w:lang w:val="en-US" w:eastAsia="zh-CN"/>
        </w:rPr>
        <w:t>生产过程涉及真空负压操作，如果采用负压蒸馏，如系统开车前未进行置换合格或设备管道密封失效，导致氧含量超标进入系统，形成爆炸性混合物，有引发爆炸的可能。真空度控制不好，造成设备、管道物理变形破坏引起泄漏，遇点火源发生火灾、爆炸事故；操作时系统应保证良好的密封,以防空气吸入与易燃物料混合，遇点火源发生火灾、爆炸事故；作业时未控制物料温度，液体物料在负压条件下大量气化被抽出，遇点火源发生火灾、爆炸事故；真空作业时如排放气速率过大，容易产生静电或引起着火事故。涉及部分气态物料具有回火性质，如未设置阻火、防回火设施或设施失效，存在发生火灾、爆炸的可能。</w:t>
      </w:r>
    </w:p>
    <w:p>
      <w:pPr>
        <w:numPr>
          <w:ilvl w:val="-1"/>
          <w:numId w:val="0"/>
        </w:numPr>
        <w:ind w:firstLine="560" w:firstLineChars="200"/>
        <w:rPr>
          <w:rFonts w:hint="default"/>
          <w:color w:val="auto"/>
          <w:lang w:val="en-US" w:eastAsia="zh-CN"/>
        </w:rPr>
      </w:pPr>
      <w:r>
        <w:rPr>
          <w:rFonts w:hint="default"/>
          <w:color w:val="auto"/>
          <w:lang w:val="en-US" w:eastAsia="zh-CN"/>
        </w:rPr>
        <w:t>精馏过程中如对加热蒸汽量、回流量、进料量、进料温度等控制不当，可能会发生冲塔、淹塔及塔内积料等不正常现象，存在发生火灾、爆炸的可能。</w:t>
      </w:r>
    </w:p>
    <w:p>
      <w:pPr>
        <w:numPr>
          <w:ilvl w:val="-1"/>
          <w:numId w:val="0"/>
        </w:numPr>
        <w:ind w:firstLine="560" w:firstLineChars="200"/>
        <w:rPr>
          <w:rFonts w:hint="default"/>
          <w:color w:val="auto"/>
          <w:lang w:val="en-US" w:eastAsia="zh-CN"/>
        </w:rPr>
      </w:pPr>
      <w:r>
        <w:rPr>
          <w:rFonts w:hint="default"/>
          <w:color w:val="auto"/>
          <w:lang w:val="en-US" w:eastAsia="zh-CN"/>
        </w:rPr>
        <w:t>分离过程中物料处于气－液交换状态，设置有各种塔、接受罐、冷凝器等，如果温度控制不当、冷却水中断或不足，物料不能及时冷凝，造成内部压力升高，引起设备损坏泄漏甚至爆炸。</w:t>
      </w:r>
    </w:p>
    <w:p>
      <w:pPr>
        <w:numPr>
          <w:ilvl w:val="-1"/>
          <w:numId w:val="0"/>
        </w:numPr>
        <w:ind w:firstLine="560" w:firstLineChars="200"/>
        <w:rPr>
          <w:rFonts w:hint="default"/>
          <w:color w:val="auto"/>
          <w:lang w:val="en-US" w:eastAsia="zh-CN"/>
        </w:rPr>
      </w:pPr>
      <w:r>
        <w:rPr>
          <w:rFonts w:hint="default"/>
          <w:color w:val="auto"/>
          <w:lang w:val="en-US" w:eastAsia="zh-CN"/>
        </w:rPr>
        <w:t>该项目生产过程中存在计量罐、缓冲罐、高位槽等，在生产运行过程中，若因操作错误、计量仪表、联锁报警装置、附件不能正常工作等原因，造成物料溢出或泄漏，有可能导致火灾、爆炸事故。</w:t>
      </w:r>
    </w:p>
    <w:p>
      <w:pPr>
        <w:numPr>
          <w:ilvl w:val="-1"/>
          <w:numId w:val="0"/>
        </w:numPr>
        <w:ind w:firstLine="560" w:firstLineChars="200"/>
        <w:rPr>
          <w:rFonts w:hint="default"/>
          <w:color w:val="auto"/>
          <w:lang w:val="en-US" w:eastAsia="zh-CN"/>
        </w:rPr>
      </w:pPr>
      <w:r>
        <w:rPr>
          <w:rFonts w:hint="default"/>
          <w:color w:val="auto"/>
          <w:lang w:val="en-US" w:eastAsia="zh-CN"/>
        </w:rPr>
        <w:t>该项目生产过程中合成、精馏过程中温度过高或冷凝器效果差，造成气化的液体不能及时冷凝下来引起泄漏，发生火灾、爆炸事故。</w:t>
      </w:r>
    </w:p>
    <w:p>
      <w:pPr>
        <w:numPr>
          <w:ilvl w:val="-1"/>
          <w:numId w:val="0"/>
        </w:numPr>
        <w:ind w:firstLine="560" w:firstLineChars="200"/>
        <w:rPr>
          <w:rFonts w:hint="default"/>
          <w:color w:val="auto"/>
          <w:lang w:val="en-US" w:eastAsia="zh-CN"/>
        </w:rPr>
      </w:pPr>
      <w:r>
        <w:rPr>
          <w:rFonts w:hint="default"/>
          <w:color w:val="auto"/>
          <w:lang w:val="en-US" w:eastAsia="zh-CN"/>
        </w:rPr>
        <w:t>该项目生产过程涉及负压操作，如果真空度控制不好，造成设备、管道物理变形破坏引起泄漏，遇点火源发生火灾、爆炸事故。</w:t>
      </w:r>
    </w:p>
    <w:p>
      <w:pPr>
        <w:numPr>
          <w:ilvl w:val="-1"/>
          <w:numId w:val="0"/>
        </w:numPr>
        <w:ind w:firstLine="560" w:firstLineChars="200"/>
        <w:rPr>
          <w:rFonts w:hint="default"/>
          <w:color w:val="auto"/>
          <w:highlight w:val="yellow"/>
          <w:lang w:val="en-US" w:eastAsia="zh-CN"/>
        </w:rPr>
      </w:pPr>
      <w:r>
        <w:rPr>
          <w:rFonts w:hint="default"/>
          <w:color w:val="auto"/>
          <w:highlight w:val="none"/>
          <w:lang w:val="en-US" w:eastAsia="zh-CN"/>
        </w:rPr>
        <w:t>该项目部分反应设备设有搅拌方式，搅拌器设计或选型不当，如机械强度不足，变形而与反应器器壁摩擦造成事故。搅拌速度过快时可能会产生静电，如设备内存在易燃液体蒸气和空气的爆炸性混合物，会导致火灾和爆炸事故。特别是对于放热反应如中途停止搅拌，物料不能充分混匀，反应不良，且大量积聚；而当搅拌恢复时，则大量未反应的物料迅速混合，反应剧烈，往往造成冲料，有燃烧、爆炸危险。</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生产过程中发生停电，尤其是局部停电，反应不能及时中止，阀门不能正常动作，可能发生事故。</w:t>
      </w:r>
    </w:p>
    <w:p>
      <w:pPr>
        <w:numPr>
          <w:ilvl w:val="-1"/>
          <w:numId w:val="0"/>
        </w:numPr>
        <w:ind w:firstLine="560" w:firstLineChars="200"/>
        <w:rPr>
          <w:rFonts w:hint="default"/>
          <w:color w:val="auto"/>
          <w:highlight w:val="none"/>
          <w:lang w:val="en-US" w:eastAsia="zh-CN"/>
        </w:rPr>
      </w:pPr>
      <w:r>
        <w:rPr>
          <w:rFonts w:hint="default"/>
          <w:color w:val="auto"/>
          <w:highlight w:val="none"/>
          <w:lang w:val="en-US" w:eastAsia="zh-CN"/>
        </w:rPr>
        <w:t>反应时冷却水缺乏使反应热无法及时转移，会导致温度急剧升高引起爆炸。</w:t>
      </w:r>
    </w:p>
    <w:p>
      <w:pPr>
        <w:numPr>
          <w:ilvl w:val="-1"/>
          <w:numId w:val="0"/>
        </w:numPr>
        <w:ind w:firstLine="560" w:firstLineChars="200"/>
        <w:rPr>
          <w:rFonts w:hint="default"/>
          <w:color w:val="auto"/>
          <w:lang w:val="en-US" w:eastAsia="zh-CN"/>
        </w:rPr>
      </w:pPr>
      <w:r>
        <w:rPr>
          <w:rFonts w:hint="default"/>
          <w:color w:val="auto"/>
          <w:lang w:val="en-US" w:eastAsia="zh-CN"/>
        </w:rPr>
        <w:t>该项目生产涉及半间歇性，如前批生产物料未清理干净，加入互为禁忌物料，可引发火灾爆炸事故。如投料前未采用氮气等物料进行置换，设备内氧含量超标与物料形成爆炸性气体环境，遇高热，可引发火灾爆炸事故。</w:t>
      </w:r>
    </w:p>
    <w:p>
      <w:pPr>
        <w:numPr>
          <w:ilvl w:val="-1"/>
          <w:numId w:val="0"/>
        </w:numPr>
        <w:ind w:firstLine="560" w:firstLineChars="200"/>
        <w:rPr>
          <w:rFonts w:hint="default"/>
          <w:color w:val="auto"/>
          <w:lang w:val="en-US" w:eastAsia="zh-CN"/>
        </w:rPr>
      </w:pPr>
      <w:r>
        <w:rPr>
          <w:rFonts w:hint="default"/>
          <w:color w:val="auto"/>
          <w:lang w:val="en-US" w:eastAsia="zh-CN"/>
        </w:rPr>
        <w:t>车间内液体储罐如布置不合理，靠近热源或中间罐等中液位过高且温度控制不当，液体物料急剧气化引起爆炸事故；</w:t>
      </w:r>
    </w:p>
    <w:p>
      <w:pPr>
        <w:numPr>
          <w:ilvl w:val="-1"/>
          <w:numId w:val="0"/>
        </w:numPr>
        <w:ind w:firstLine="560" w:firstLineChars="200"/>
        <w:rPr>
          <w:rFonts w:hint="default"/>
          <w:color w:val="auto"/>
          <w:lang w:val="en-US" w:eastAsia="zh-CN"/>
        </w:rPr>
      </w:pPr>
      <w:r>
        <w:rPr>
          <w:rFonts w:hint="default"/>
          <w:color w:val="auto"/>
          <w:lang w:val="en-US" w:eastAsia="zh-CN"/>
        </w:rPr>
        <w:t>在爆炸危险区域内使用非防爆电气设备。在爆炸危险区域内动火检修时，未办理动火许可证，未按操作规程规定对该系统进行吹扫、清洗、置换、检测，无专人监护，均易引起爆燃事故。</w:t>
      </w:r>
    </w:p>
    <w:p>
      <w:pPr>
        <w:numPr>
          <w:ilvl w:val="-1"/>
          <w:numId w:val="0"/>
        </w:numPr>
        <w:ind w:firstLine="560" w:firstLineChars="200"/>
        <w:rPr>
          <w:rFonts w:hint="default"/>
          <w:color w:val="auto"/>
          <w:lang w:val="en-US" w:eastAsia="zh-CN"/>
        </w:rPr>
      </w:pPr>
      <w:r>
        <w:rPr>
          <w:rFonts w:hint="default"/>
          <w:color w:val="auto"/>
          <w:lang w:val="en-US" w:eastAsia="zh-CN"/>
        </w:rPr>
        <w:t>生产区域内</w:t>
      </w:r>
      <w:r>
        <w:rPr>
          <w:rFonts w:hint="eastAsia"/>
          <w:color w:val="auto"/>
          <w:lang w:val="en-US" w:eastAsia="zh-CN"/>
        </w:rPr>
        <w:t>设备清洗</w:t>
      </w:r>
      <w:r>
        <w:rPr>
          <w:rFonts w:hint="default"/>
          <w:color w:val="auto"/>
          <w:lang w:val="en-US" w:eastAsia="zh-CN"/>
        </w:rPr>
        <w:t>废水排到污水处理，水中夹带有易燃液体，在吸水管道、污水沟、池中积聚，发生火灾、爆炸事故。</w:t>
      </w:r>
    </w:p>
    <w:p>
      <w:pPr>
        <w:numPr>
          <w:ilvl w:val="-1"/>
          <w:numId w:val="0"/>
        </w:numPr>
        <w:ind w:firstLine="560" w:firstLineChars="200"/>
        <w:rPr>
          <w:rFonts w:hint="default"/>
          <w:color w:val="auto"/>
          <w:lang w:val="en-US" w:eastAsia="zh-CN"/>
        </w:rPr>
      </w:pPr>
      <w:r>
        <w:rPr>
          <w:rFonts w:hint="default"/>
          <w:color w:val="auto"/>
          <w:lang w:val="en-US" w:eastAsia="zh-CN"/>
        </w:rPr>
        <w:t>操作人员或检修人员工具不按规定使用而造成高处落物损坏管道造成泄漏等；因管道标志不清检修时误拆管道；检修时吊车、叉车等起重作业不小心碰断管线。</w:t>
      </w:r>
    </w:p>
    <w:p>
      <w:pPr>
        <w:numPr>
          <w:ilvl w:val="-1"/>
          <w:numId w:val="0"/>
        </w:numPr>
        <w:ind w:firstLine="560" w:firstLineChars="200"/>
        <w:rPr>
          <w:rFonts w:hint="default"/>
          <w:color w:val="auto"/>
          <w:lang w:val="en-US" w:eastAsia="zh-CN"/>
        </w:rPr>
      </w:pPr>
      <w:r>
        <w:rPr>
          <w:rFonts w:hint="default"/>
          <w:color w:val="auto"/>
          <w:lang w:val="en-US" w:eastAsia="zh-CN"/>
        </w:rPr>
        <w:t>进入防爆区域内的机动车辆未戴阻火器，可能引发火灾、爆炸事故。</w:t>
      </w:r>
    </w:p>
    <w:p>
      <w:pPr>
        <w:numPr>
          <w:ilvl w:val="-1"/>
          <w:numId w:val="0"/>
        </w:numPr>
        <w:ind w:firstLine="560" w:firstLineChars="200"/>
        <w:rPr>
          <w:rFonts w:hint="default"/>
          <w:color w:val="auto"/>
          <w:lang w:val="en-US" w:eastAsia="zh-CN"/>
        </w:rPr>
      </w:pPr>
      <w:r>
        <w:rPr>
          <w:rFonts w:hint="default"/>
          <w:color w:val="auto"/>
          <w:lang w:val="en-US" w:eastAsia="zh-CN"/>
        </w:rPr>
        <w:t>操作人员对出现的设备或工艺故障未及时发现或采取的措施不当等。液体排液、放空或取样时，若阀门开度过大，容易产生静电或引起着火事故。</w:t>
      </w:r>
    </w:p>
    <w:p>
      <w:pPr>
        <w:numPr>
          <w:ilvl w:val="-1"/>
          <w:numId w:val="0"/>
        </w:numPr>
        <w:ind w:firstLine="560" w:firstLineChars="200"/>
        <w:rPr>
          <w:rFonts w:hint="default"/>
          <w:color w:val="auto"/>
          <w:lang w:val="en-US" w:eastAsia="zh-CN"/>
        </w:rPr>
      </w:pPr>
      <w:r>
        <w:rPr>
          <w:rFonts w:hint="default"/>
          <w:color w:val="auto"/>
          <w:lang w:val="en-US" w:eastAsia="zh-CN"/>
        </w:rPr>
        <w:t>设备基础、支架因地质灾害、长期腐蚀或着火后受热变形，造成管线焊点拉裂易燃可燃物质泄漏着火。</w:t>
      </w:r>
    </w:p>
    <w:p>
      <w:pPr>
        <w:numPr>
          <w:ilvl w:val="-1"/>
          <w:numId w:val="0"/>
        </w:numPr>
        <w:ind w:firstLine="560" w:firstLineChars="200"/>
        <w:rPr>
          <w:rFonts w:hint="default"/>
          <w:color w:val="auto"/>
          <w:lang w:val="en-US" w:eastAsia="zh-CN"/>
        </w:rPr>
      </w:pPr>
      <w:r>
        <w:rPr>
          <w:rFonts w:hint="default"/>
          <w:color w:val="auto"/>
          <w:lang w:val="en-US" w:eastAsia="zh-CN"/>
        </w:rPr>
        <w:t>2.中毒和窒息</w:t>
      </w:r>
    </w:p>
    <w:p>
      <w:pPr>
        <w:numPr>
          <w:ilvl w:val="-1"/>
          <w:numId w:val="0"/>
        </w:numPr>
        <w:ind w:firstLine="560" w:firstLineChars="200"/>
        <w:rPr>
          <w:rFonts w:hint="default"/>
          <w:color w:val="auto"/>
          <w:lang w:val="en-US" w:eastAsia="zh-CN"/>
        </w:rPr>
      </w:pPr>
      <w:r>
        <w:rPr>
          <w:rFonts w:hint="default"/>
          <w:color w:val="auto"/>
          <w:lang w:val="en-US" w:eastAsia="zh-CN"/>
        </w:rPr>
        <w:t>该项目涉及的</w:t>
      </w:r>
      <w:r>
        <w:rPr>
          <w:rFonts w:hint="eastAsia"/>
          <w:color w:val="auto"/>
          <w:lang w:val="en-US" w:eastAsia="zh-CN"/>
        </w:rPr>
        <w:t>甲基丙烯酸甲酯</w:t>
      </w:r>
      <w:r>
        <w:rPr>
          <w:rFonts w:hint="default"/>
          <w:color w:val="auto"/>
          <w:lang w:val="en-US" w:eastAsia="zh-CN"/>
        </w:rPr>
        <w:t>、</w:t>
      </w:r>
      <w:r>
        <w:rPr>
          <w:rFonts w:hint="eastAsia"/>
          <w:color w:val="auto"/>
          <w:lang w:val="en-US" w:eastAsia="zh-CN"/>
        </w:rPr>
        <w:t>对苯二酚</w:t>
      </w:r>
      <w:r>
        <w:rPr>
          <w:rFonts w:hint="default"/>
          <w:color w:val="auto"/>
          <w:lang w:val="en-US" w:eastAsia="zh-CN"/>
        </w:rPr>
        <w:t>等均具有一定毒性，作用于人体，能引起人体急性或慢性中毒；氮气及污水处理过程产生二氧化碳的泄漏可致窒息。</w:t>
      </w:r>
    </w:p>
    <w:p>
      <w:pPr>
        <w:numPr>
          <w:ilvl w:val="-1"/>
          <w:numId w:val="0"/>
        </w:numPr>
        <w:ind w:firstLine="560" w:firstLineChars="200"/>
        <w:rPr>
          <w:rFonts w:hint="default"/>
          <w:color w:val="auto"/>
          <w:lang w:val="en-US" w:eastAsia="zh-CN"/>
        </w:rPr>
      </w:pPr>
      <w:r>
        <w:rPr>
          <w:rFonts w:hint="default"/>
          <w:color w:val="auto"/>
          <w:lang w:val="en-US" w:eastAsia="zh-CN"/>
        </w:rPr>
        <w:t>由于该项目存在高温条件，如设备、管道、仪表、联锁报警装置、附件等出现意外损坏或操作失控造成有毒物质等泄漏，致使其挥发混存于空气中，有毒气体或窒息性气体不断积聚，会造成有毒或窒息性成分在一定区域空气内的浓度升高。如果作业场所有毒或窒息性物质大量聚集且通风条件不好；作业人员的个人防护又不当，有可能导致中毒；当有毒或窒息性成分在一定区域空气内的浓度达到或超过急性中毒浓度时，可导致急性中毒或使人窒息死亡。</w:t>
      </w:r>
    </w:p>
    <w:p>
      <w:pPr>
        <w:numPr>
          <w:ilvl w:val="-1"/>
          <w:numId w:val="0"/>
        </w:numPr>
        <w:ind w:firstLine="560" w:firstLineChars="200"/>
        <w:rPr>
          <w:rFonts w:hint="default"/>
          <w:color w:val="auto"/>
          <w:lang w:val="en-US" w:eastAsia="zh-CN"/>
        </w:rPr>
      </w:pPr>
      <w:r>
        <w:rPr>
          <w:rFonts w:hint="default"/>
          <w:color w:val="auto"/>
          <w:lang w:val="en-US" w:eastAsia="zh-CN"/>
        </w:rPr>
        <w:t>该项目涉及</w:t>
      </w:r>
      <w:r>
        <w:rPr>
          <w:rFonts w:hint="eastAsia"/>
          <w:color w:val="auto"/>
          <w:lang w:val="en-US" w:eastAsia="zh-CN"/>
        </w:rPr>
        <w:t>甲基丙烯酸甲酯</w:t>
      </w:r>
      <w:r>
        <w:rPr>
          <w:rFonts w:hint="default"/>
          <w:color w:val="auto"/>
          <w:lang w:val="en-US" w:eastAsia="zh-CN"/>
        </w:rPr>
        <w:t>等中间罐，如布置不合理，靠近热源或中间罐液位过高且温度控制不当，液体物料急剧气化设备管道内压增大，一旦泄漏危险性较大，可导致急性中毒或使人窒息死亡。</w:t>
      </w:r>
    </w:p>
    <w:p>
      <w:pPr>
        <w:numPr>
          <w:ilvl w:val="-1"/>
          <w:numId w:val="0"/>
        </w:numPr>
        <w:ind w:firstLine="560" w:firstLineChars="200"/>
        <w:rPr>
          <w:rFonts w:hint="default"/>
          <w:color w:val="auto"/>
          <w:lang w:val="en-US" w:eastAsia="zh-CN"/>
        </w:rPr>
      </w:pPr>
      <w:r>
        <w:rPr>
          <w:rFonts w:hint="default"/>
          <w:color w:val="auto"/>
          <w:lang w:val="en-US" w:eastAsia="zh-CN"/>
        </w:rPr>
        <w:t>该项目污水处理过程产生的二氧化碳及吹扫置换氮气均为窒息性气体，如作业场所通风不良，则存在中毒和窒息的可能性。</w:t>
      </w:r>
    </w:p>
    <w:p>
      <w:pPr>
        <w:numPr>
          <w:ilvl w:val="-1"/>
          <w:numId w:val="0"/>
        </w:numPr>
        <w:ind w:firstLine="560" w:firstLineChars="200"/>
        <w:rPr>
          <w:rFonts w:hint="default"/>
          <w:color w:val="auto"/>
          <w:lang w:val="en-US" w:eastAsia="zh-CN"/>
        </w:rPr>
      </w:pPr>
      <w:r>
        <w:rPr>
          <w:rFonts w:hint="default"/>
          <w:color w:val="auto"/>
          <w:lang w:val="en-US" w:eastAsia="zh-CN"/>
        </w:rPr>
        <w:t>生产设备存在塔、槽、罐等，进入设备内作业时由于设备内未清洗置换干净，造成人员中毒。或虽进行了清洗、置换，但可能因通风不良，清洗、置换不彻底等原因造成设备内氧含量降低，出现窒息危险。</w:t>
      </w:r>
    </w:p>
    <w:p>
      <w:pPr>
        <w:numPr>
          <w:ilvl w:val="-1"/>
          <w:numId w:val="0"/>
        </w:numPr>
        <w:ind w:firstLine="560" w:firstLineChars="200"/>
        <w:rPr>
          <w:rFonts w:hint="default"/>
          <w:color w:val="auto"/>
          <w:lang w:val="en-US" w:eastAsia="zh-CN"/>
        </w:rPr>
      </w:pPr>
      <w:r>
        <w:rPr>
          <w:rFonts w:hint="default"/>
          <w:color w:val="auto"/>
          <w:lang w:val="en-US" w:eastAsia="zh-CN"/>
        </w:rPr>
        <w:t>机泵设备等填料或连接件法兰泄漏，放出有毒物质发生中毒；泵运行过程中机械件损坏造成泵体损坏，发生毒物质物料喷溅，引起人员中毒及灼伤。</w:t>
      </w:r>
    </w:p>
    <w:p>
      <w:pPr>
        <w:numPr>
          <w:ilvl w:val="-1"/>
          <w:numId w:val="0"/>
        </w:numPr>
        <w:ind w:firstLine="560" w:firstLineChars="200"/>
        <w:rPr>
          <w:rFonts w:hint="default"/>
          <w:color w:val="auto"/>
          <w:lang w:val="en-US" w:eastAsia="zh-CN"/>
        </w:rPr>
      </w:pPr>
      <w:r>
        <w:rPr>
          <w:rFonts w:hint="default"/>
          <w:color w:val="auto"/>
          <w:lang w:val="en-US" w:eastAsia="zh-CN"/>
        </w:rPr>
        <w:t>生产装置发生火灾、爆炸产生有毒有害气体，或火灾、爆炸造成设备损坏致使有毒物料泄漏、气化扩散。</w:t>
      </w:r>
    </w:p>
    <w:p>
      <w:pPr>
        <w:numPr>
          <w:ilvl w:val="-1"/>
          <w:numId w:val="0"/>
        </w:numPr>
        <w:ind w:firstLine="562" w:firstLineChars="200"/>
        <w:rPr>
          <w:rFonts w:hint="default"/>
          <w:b/>
          <w:bCs/>
          <w:color w:val="auto"/>
          <w:lang w:val="en-US" w:eastAsia="zh-CN"/>
        </w:rPr>
      </w:pPr>
      <w:r>
        <w:rPr>
          <w:rFonts w:hint="default"/>
          <w:b/>
          <w:bCs/>
          <w:color w:val="auto"/>
          <w:lang w:val="en-US" w:eastAsia="zh-CN"/>
        </w:rPr>
        <w:t>3.灼烫</w:t>
      </w:r>
    </w:p>
    <w:p>
      <w:pPr>
        <w:numPr>
          <w:ilvl w:val="-1"/>
          <w:numId w:val="0"/>
        </w:numPr>
        <w:ind w:firstLine="560" w:firstLineChars="200"/>
        <w:rPr>
          <w:rFonts w:hint="default"/>
          <w:color w:val="auto"/>
          <w:lang w:val="en-US" w:eastAsia="zh-CN"/>
        </w:rPr>
      </w:pPr>
      <w:r>
        <w:rPr>
          <w:rFonts w:hint="default"/>
          <w:color w:val="auto"/>
          <w:lang w:val="en-US" w:eastAsia="zh-CN"/>
        </w:rPr>
        <w:t>该项目产品涉及的</w:t>
      </w:r>
      <w:r>
        <w:rPr>
          <w:rFonts w:hint="eastAsia"/>
          <w:color w:val="auto"/>
          <w:lang w:val="en-US" w:eastAsia="zh-CN"/>
        </w:rPr>
        <w:t>裂解</w:t>
      </w:r>
      <w:r>
        <w:rPr>
          <w:rFonts w:hint="default"/>
          <w:color w:val="auto"/>
          <w:lang w:val="en-US" w:eastAsia="zh-CN"/>
        </w:rPr>
        <w:t>反应、蒸馏等过程中蒸汽等高温物料，故障喷出，蒸汽等高温介质等管道、设备、机泵、阀门破裂，高温介质喷射到人身上，会造成灼烫事故，严重时会导致人员死亡。</w:t>
      </w:r>
    </w:p>
    <w:p>
      <w:pPr>
        <w:numPr>
          <w:ilvl w:val="-1"/>
          <w:numId w:val="0"/>
        </w:numPr>
        <w:ind w:firstLine="560" w:firstLineChars="200"/>
        <w:rPr>
          <w:rFonts w:hint="default"/>
          <w:color w:val="auto"/>
          <w:lang w:val="en-US" w:eastAsia="zh-CN"/>
        </w:rPr>
      </w:pPr>
      <w:r>
        <w:rPr>
          <w:rFonts w:hint="default"/>
          <w:color w:val="auto"/>
          <w:lang w:val="en-US" w:eastAsia="zh-CN"/>
        </w:rPr>
        <w:t>蒸馏釜、精馏塔等温控系统失效，物料汽化，系统超压破裂，物料发生喷溅，易造成人员烫伤。</w:t>
      </w:r>
    </w:p>
    <w:p>
      <w:pPr>
        <w:numPr>
          <w:ilvl w:val="-1"/>
          <w:numId w:val="0"/>
        </w:numPr>
        <w:ind w:firstLine="560" w:firstLineChars="200"/>
        <w:rPr>
          <w:rFonts w:hint="default"/>
          <w:color w:val="auto"/>
          <w:lang w:val="en-US" w:eastAsia="zh-CN"/>
        </w:rPr>
      </w:pPr>
      <w:r>
        <w:rPr>
          <w:rFonts w:hint="default"/>
          <w:color w:val="auto"/>
          <w:lang w:val="en-US" w:eastAsia="zh-CN"/>
        </w:rPr>
        <w:t>清洗、检修罐、阀、泵、管等设备时泄漏，未使用防护用品，接触到高温、腐蚀性介质。作业人员没有按照要求穿戴劳动防护用品，巡查、检修、操作等过程中接触达高温设备、管道、物料时易造成灼烫事故。</w:t>
      </w:r>
    </w:p>
    <w:p>
      <w:pPr>
        <w:numPr>
          <w:ilvl w:val="-1"/>
          <w:numId w:val="0"/>
        </w:numPr>
        <w:ind w:firstLine="562" w:firstLineChars="200"/>
        <w:rPr>
          <w:rFonts w:hint="default"/>
          <w:b/>
          <w:bCs/>
          <w:color w:val="auto"/>
          <w:lang w:val="en-US" w:eastAsia="zh-CN"/>
        </w:rPr>
      </w:pPr>
      <w:r>
        <w:rPr>
          <w:rFonts w:hint="default"/>
          <w:b/>
          <w:bCs/>
          <w:color w:val="auto"/>
          <w:lang w:val="en-US" w:eastAsia="zh-CN"/>
        </w:rPr>
        <w:t>4.触电</w:t>
      </w:r>
    </w:p>
    <w:p>
      <w:pPr>
        <w:numPr>
          <w:ilvl w:val="-1"/>
          <w:numId w:val="0"/>
        </w:numPr>
        <w:ind w:firstLine="560" w:firstLineChars="200"/>
        <w:rPr>
          <w:rFonts w:hint="default"/>
          <w:color w:val="auto"/>
          <w:lang w:val="en-US" w:eastAsia="zh-CN"/>
        </w:rPr>
      </w:pPr>
      <w:r>
        <w:rPr>
          <w:rFonts w:hint="default"/>
          <w:color w:val="auto"/>
          <w:lang w:val="en-US" w:eastAsia="zh-CN"/>
        </w:rPr>
        <w:t>该项目生产过程中使用大量电力设备，电气设备、临时电源漏电，设备绝缘损坏、老化，保护接地、接零不当，手持电动工具类别选择不当，疏于管理；安全距离不够（如架空线路、室内线路、变配电设备、用电设备及检修的安全距离）；建筑结构未做到“五防一通”（即防火、防水、防漏、防雨雪、防小动物和通风良好）；防护用品和工具缺少或质量缺陷、使用不当；雷击；动土施工时误挖断电缆；这些均易导致触电事故的发生。</w:t>
      </w:r>
    </w:p>
    <w:p>
      <w:pPr>
        <w:numPr>
          <w:ilvl w:val="-1"/>
          <w:numId w:val="0"/>
        </w:numPr>
        <w:ind w:firstLine="562" w:firstLineChars="200"/>
        <w:rPr>
          <w:rFonts w:hint="default"/>
          <w:b/>
          <w:bCs/>
          <w:color w:val="auto"/>
          <w:lang w:val="en-US" w:eastAsia="zh-CN"/>
        </w:rPr>
      </w:pPr>
      <w:r>
        <w:rPr>
          <w:rFonts w:hint="default"/>
          <w:b/>
          <w:bCs/>
          <w:color w:val="auto"/>
          <w:lang w:val="en-US" w:eastAsia="zh-CN"/>
        </w:rPr>
        <w:t>5.机械伤害</w:t>
      </w:r>
    </w:p>
    <w:p>
      <w:pPr>
        <w:numPr>
          <w:ilvl w:val="-1"/>
          <w:numId w:val="0"/>
        </w:numPr>
        <w:ind w:firstLine="560" w:firstLineChars="200"/>
        <w:rPr>
          <w:rFonts w:hint="default"/>
          <w:color w:val="auto"/>
          <w:lang w:val="en-US" w:eastAsia="zh-CN"/>
        </w:rPr>
      </w:pPr>
      <w:r>
        <w:rPr>
          <w:rFonts w:hint="default"/>
          <w:color w:val="auto"/>
          <w:lang w:val="en-US" w:eastAsia="zh-CN"/>
        </w:rPr>
        <w:t>该项目生产过程中使用大量机泵，机械设备缺乏安全防护装置，本身的结构、强度等不合理；运行部件飞出；旋转、往复、滑动物撞击人体；安装维修不当，使设备的安全性能不佳；工作场所环境不良，如空间狭窄，设备布局不合理等；违反操作规程；运行状态时打扫卫生；设备有故障；机械设备安全防护装置缺乏或损坏、被拆除等；操作人员疏忽大意，身体进入机械危险部位；安全管理上存在不足等均易造成机械伤害事故。</w:t>
      </w:r>
    </w:p>
    <w:p>
      <w:pPr>
        <w:pStyle w:val="5"/>
        <w:rPr>
          <w:rFonts w:hint="default"/>
          <w:color w:val="auto"/>
          <w:lang w:val="en-US" w:eastAsia="zh-CN"/>
        </w:rPr>
      </w:pPr>
      <w:r>
        <w:rPr>
          <w:rFonts w:hint="default"/>
          <w:color w:val="auto"/>
          <w:lang w:val="en-US" w:eastAsia="zh-CN"/>
        </w:rPr>
        <w:t>B.2.3.2 储存装置、装卸设施的危险因素辨识</w:t>
      </w:r>
    </w:p>
    <w:p>
      <w:pPr>
        <w:numPr>
          <w:ilvl w:val="-1"/>
          <w:numId w:val="0"/>
        </w:numPr>
        <w:ind w:firstLine="560" w:firstLineChars="200"/>
        <w:rPr>
          <w:rFonts w:hint="default"/>
          <w:color w:val="auto"/>
          <w:lang w:val="en-US" w:eastAsia="zh-CN"/>
        </w:rPr>
      </w:pPr>
      <w:r>
        <w:rPr>
          <w:rFonts w:hint="default"/>
          <w:color w:val="auto"/>
          <w:lang w:val="en-US" w:eastAsia="zh-CN"/>
        </w:rPr>
        <w:t xml:space="preserve">危险品储存、装卸设施、设备包括罐区及仓库等。该项目拟设置 201 </w:t>
      </w:r>
      <w:r>
        <w:rPr>
          <w:rFonts w:hint="eastAsia"/>
          <w:color w:val="auto"/>
          <w:lang w:val="en-US" w:eastAsia="zh-CN"/>
        </w:rPr>
        <w:t>甲类仓库</w:t>
      </w:r>
      <w:r>
        <w:rPr>
          <w:rFonts w:hint="default"/>
          <w:color w:val="auto"/>
          <w:lang w:val="en-US" w:eastAsia="zh-CN"/>
        </w:rPr>
        <w:t>、20</w:t>
      </w:r>
      <w:r>
        <w:rPr>
          <w:rFonts w:hint="eastAsia"/>
          <w:color w:val="auto"/>
          <w:lang w:val="en-US" w:eastAsia="zh-CN"/>
        </w:rPr>
        <w:t>3</w:t>
      </w:r>
      <w:r>
        <w:rPr>
          <w:rFonts w:hint="default"/>
          <w:color w:val="auto"/>
          <w:lang w:val="en-US" w:eastAsia="zh-CN"/>
        </w:rPr>
        <w:t>罐区、</w:t>
      </w:r>
      <w:r>
        <w:rPr>
          <w:rFonts w:hint="eastAsia"/>
          <w:color w:val="auto"/>
          <w:lang w:val="en-US" w:eastAsia="zh-CN"/>
        </w:rPr>
        <w:t>装卸区</w:t>
      </w:r>
      <w:r>
        <w:rPr>
          <w:rFonts w:hint="default"/>
          <w:color w:val="auto"/>
          <w:lang w:val="en-US" w:eastAsia="zh-CN"/>
        </w:rPr>
        <w:t>及20</w:t>
      </w:r>
      <w:r>
        <w:rPr>
          <w:rFonts w:hint="eastAsia"/>
          <w:color w:val="auto"/>
          <w:lang w:val="en-US" w:eastAsia="zh-CN"/>
        </w:rPr>
        <w:t>2丙</w:t>
      </w:r>
      <w:r>
        <w:rPr>
          <w:rFonts w:hint="default"/>
          <w:color w:val="auto"/>
          <w:lang w:val="en-US" w:eastAsia="zh-CN"/>
        </w:rPr>
        <w:t>类仓库</w:t>
      </w:r>
      <w:r>
        <w:rPr>
          <w:rFonts w:hint="eastAsia"/>
          <w:color w:val="auto"/>
          <w:lang w:val="en-US" w:eastAsia="zh-CN"/>
        </w:rPr>
        <w:t>一、204丙类仓库二</w:t>
      </w:r>
      <w:r>
        <w:rPr>
          <w:rFonts w:hint="default"/>
          <w:color w:val="auto"/>
          <w:lang w:val="en-US" w:eastAsia="zh-CN"/>
        </w:rPr>
        <w:t>等储存装卸设备设施。危险化学品的储存是工厂安全管理的重要环节。按工艺过程，储存分为现场储存和仓储（仓库、储罐）两部分：现场危险化学品的小批量储存和罐区储存，其危险有害因素与生产工艺过程和生产装置相类似，但罐区的危险性由于其物料数量的明显增加而显著增大。</w:t>
      </w:r>
    </w:p>
    <w:p>
      <w:pPr>
        <w:numPr>
          <w:ilvl w:val="-1"/>
          <w:numId w:val="0"/>
        </w:numPr>
        <w:ind w:firstLine="560" w:firstLineChars="200"/>
        <w:rPr>
          <w:rFonts w:hint="default"/>
          <w:color w:val="auto"/>
          <w:lang w:val="en-US" w:eastAsia="zh-CN"/>
        </w:rPr>
      </w:pPr>
      <w:r>
        <w:rPr>
          <w:rFonts w:hint="default"/>
          <w:color w:val="auto"/>
          <w:lang w:val="en-US" w:eastAsia="zh-CN"/>
        </w:rPr>
        <w:t>该项目储存场所涉及危险化学品物料主要有</w:t>
      </w:r>
      <w:r>
        <w:rPr>
          <w:rFonts w:hint="eastAsia"/>
          <w:color w:val="auto"/>
          <w:lang w:val="en-US" w:eastAsia="zh-CN"/>
        </w:rPr>
        <w:t>甲基丙烯酸甲酯、对苯二酚、氮气（压缩的）</w:t>
      </w:r>
      <w:r>
        <w:rPr>
          <w:rFonts w:hint="default"/>
          <w:color w:val="auto"/>
          <w:lang w:val="en-US" w:eastAsia="zh-CN"/>
        </w:rPr>
        <w:t>、</w:t>
      </w:r>
      <w:r>
        <w:rPr>
          <w:rFonts w:hint="eastAsia"/>
          <w:color w:val="auto"/>
          <w:lang w:val="en-US" w:eastAsia="zh-CN"/>
        </w:rPr>
        <w:t>柴油、</w:t>
      </w:r>
      <w:r>
        <w:rPr>
          <w:rFonts w:hint="default"/>
          <w:color w:val="auto"/>
          <w:lang w:val="en-US" w:eastAsia="zh-CN"/>
        </w:rPr>
        <w:t>危废等。从危险化学品分类来看主要为易燃液体和</w:t>
      </w:r>
      <w:r>
        <w:rPr>
          <w:rFonts w:hint="eastAsia"/>
          <w:color w:val="auto"/>
          <w:lang w:val="en-US" w:eastAsia="zh-CN"/>
        </w:rPr>
        <w:t>压缩气体</w:t>
      </w:r>
      <w:r>
        <w:rPr>
          <w:rFonts w:hint="default"/>
          <w:color w:val="auto"/>
          <w:lang w:val="en-US" w:eastAsia="zh-CN"/>
        </w:rPr>
        <w:t>。</w:t>
      </w:r>
    </w:p>
    <w:p>
      <w:pPr>
        <w:numPr>
          <w:ilvl w:val="-1"/>
          <w:numId w:val="0"/>
        </w:numPr>
        <w:ind w:firstLine="560" w:firstLineChars="200"/>
        <w:rPr>
          <w:rFonts w:hint="default"/>
          <w:color w:val="auto"/>
          <w:lang w:val="en-US" w:eastAsia="zh-CN"/>
        </w:rPr>
      </w:pPr>
      <w:r>
        <w:rPr>
          <w:rFonts w:hint="default"/>
          <w:color w:val="auto"/>
          <w:lang w:val="en-US" w:eastAsia="zh-CN"/>
        </w:rPr>
        <w:t>易燃液体的蒸气与空气可形成爆炸性混合物，遇明火、高热能引起燃烧爆炸；因此，在储存过程中所涉及的数量很大，有可能发生火灾、爆炸事故，必须注意防范。腐蚀品对设备、管线有腐蚀作用，有可能造成物料的泄漏，同样引发火灾、爆炸和对人体造成灼烫事故。</w:t>
      </w:r>
    </w:p>
    <w:p>
      <w:pPr>
        <w:numPr>
          <w:ilvl w:val="-1"/>
          <w:numId w:val="0"/>
        </w:numPr>
        <w:ind w:firstLine="562" w:firstLineChars="200"/>
        <w:rPr>
          <w:rFonts w:hint="default"/>
          <w:b/>
          <w:bCs/>
          <w:color w:val="auto"/>
          <w:lang w:val="en-US" w:eastAsia="zh-CN"/>
        </w:rPr>
      </w:pPr>
      <w:r>
        <w:rPr>
          <w:rFonts w:hint="default"/>
          <w:b/>
          <w:bCs/>
          <w:color w:val="auto"/>
          <w:lang w:val="en-US" w:eastAsia="zh-CN"/>
        </w:rPr>
        <w:t>1.仓库储存主要危险、有害因素辨识</w:t>
      </w:r>
    </w:p>
    <w:p>
      <w:pPr>
        <w:numPr>
          <w:ilvl w:val="-1"/>
          <w:numId w:val="0"/>
        </w:numPr>
        <w:ind w:firstLine="562" w:firstLineChars="200"/>
        <w:rPr>
          <w:rFonts w:hint="default"/>
          <w:b/>
          <w:bCs/>
          <w:color w:val="auto"/>
          <w:lang w:val="en-US" w:eastAsia="zh-CN"/>
        </w:rPr>
      </w:pPr>
      <w:r>
        <w:rPr>
          <w:rFonts w:hint="default"/>
          <w:b/>
          <w:bCs/>
          <w:color w:val="auto"/>
          <w:lang w:val="en-US" w:eastAsia="zh-CN"/>
        </w:rPr>
        <w:t>1）火灾、爆炸</w:t>
      </w:r>
    </w:p>
    <w:p>
      <w:pPr>
        <w:numPr>
          <w:ilvl w:val="-1"/>
          <w:numId w:val="0"/>
        </w:numPr>
        <w:ind w:firstLine="560" w:firstLineChars="200"/>
        <w:rPr>
          <w:rFonts w:hint="default"/>
          <w:color w:val="auto"/>
          <w:lang w:val="en-US" w:eastAsia="zh-CN"/>
        </w:rPr>
      </w:pPr>
      <w:r>
        <w:rPr>
          <w:rFonts w:hint="default"/>
          <w:color w:val="auto"/>
          <w:lang w:val="en-US" w:eastAsia="zh-CN"/>
        </w:rPr>
        <w:t>该项目新建 20</w:t>
      </w:r>
      <w:r>
        <w:rPr>
          <w:rFonts w:hint="eastAsia"/>
          <w:color w:val="auto"/>
          <w:lang w:val="en-US" w:eastAsia="zh-CN"/>
        </w:rPr>
        <w:t>1甲</w:t>
      </w:r>
      <w:r>
        <w:rPr>
          <w:rFonts w:hint="default"/>
          <w:color w:val="auto"/>
          <w:lang w:val="en-US" w:eastAsia="zh-CN"/>
        </w:rPr>
        <w:t>类仓库储存该项目的原辅材料及产品。涉及</w:t>
      </w:r>
      <w:r>
        <w:rPr>
          <w:rFonts w:hint="eastAsia"/>
          <w:color w:val="auto"/>
          <w:lang w:val="en-US" w:eastAsia="zh-CN"/>
        </w:rPr>
        <w:t>储</w:t>
      </w:r>
      <w:r>
        <w:rPr>
          <w:rFonts w:hint="default"/>
          <w:color w:val="auto"/>
          <w:lang w:val="en-US" w:eastAsia="zh-CN"/>
        </w:rPr>
        <w:t>存</w:t>
      </w:r>
      <w:r>
        <w:rPr>
          <w:rFonts w:hint="eastAsia"/>
          <w:color w:val="auto"/>
          <w:lang w:val="en-US" w:eastAsia="zh-CN"/>
        </w:rPr>
        <w:t>甲基丙烯酸甲酯、对苯二酚</w:t>
      </w:r>
      <w:r>
        <w:rPr>
          <w:rFonts w:hint="default"/>
          <w:color w:val="auto"/>
          <w:lang w:val="en-US" w:eastAsia="zh-CN"/>
        </w:rPr>
        <w:t>等危险化学品</w:t>
      </w:r>
      <w:r>
        <w:rPr>
          <w:rFonts w:hint="eastAsia"/>
          <w:color w:val="auto"/>
          <w:lang w:val="en-US" w:eastAsia="zh-CN"/>
        </w:rPr>
        <w:t>和</w:t>
      </w:r>
      <w:r>
        <w:rPr>
          <w:rFonts w:hint="default"/>
          <w:color w:val="auto"/>
          <w:lang w:val="en-US" w:eastAsia="zh-CN"/>
        </w:rPr>
        <w:t>可燃物料。桶装液体装卸、搬运、储存过程中容器损坏泄漏引起着火，甚至爆炸事故。仓库内可燃液体气态浓度达到爆炸极限，</w:t>
      </w:r>
      <w:r>
        <w:rPr>
          <w:rFonts w:hint="eastAsia"/>
          <w:color w:val="auto"/>
          <w:lang w:val="en-US" w:eastAsia="zh-CN"/>
        </w:rPr>
        <w:t>甲</w:t>
      </w:r>
      <w:r>
        <w:rPr>
          <w:rFonts w:hint="default"/>
          <w:color w:val="auto"/>
          <w:lang w:val="en-US" w:eastAsia="zh-CN"/>
        </w:rPr>
        <w:t>类仓库电气设备不防爆、叉车未装阻火器进行作业，引发爆炸。</w:t>
      </w:r>
    </w:p>
    <w:p>
      <w:pPr>
        <w:numPr>
          <w:ilvl w:val="-1"/>
          <w:numId w:val="0"/>
        </w:numPr>
        <w:ind w:firstLine="560" w:firstLineChars="200"/>
        <w:rPr>
          <w:rFonts w:hint="default"/>
          <w:color w:val="auto"/>
          <w:lang w:val="en-US" w:eastAsia="zh-CN"/>
        </w:rPr>
      </w:pPr>
      <w:r>
        <w:rPr>
          <w:rFonts w:hint="default"/>
          <w:color w:val="auto"/>
          <w:lang w:val="en-US" w:eastAsia="zh-CN"/>
        </w:rPr>
        <w:t>在储存过程中，由于违规操作、管理不善或其他原因，可能会引起火灾、爆炸、中毒等危害。例如：若性质相互抵触的物品混存（如双氧水与可燃液体、固体产品混储），可能会发生剧烈反应，引起火灾爆炸事故；若储藏养护管理不善（如温湿度控制不严等），有些危险化学品受热挥发可能造成容器膨胀破裂等，引起火灾事故；在存储过程中，若管理不善，造成毒害品的遗失，可能会带来一定的社会危害。此外若库房堆垛不合理、通道不畅、通风不良，电气设备不良，防雷设施、静电接地不良等，也存在一定的事故隐患，如货物跌落砸伤人，人员触电伤害，静电火花引起火灾事故等。</w:t>
      </w:r>
    </w:p>
    <w:p>
      <w:pPr>
        <w:numPr>
          <w:ilvl w:val="-1"/>
          <w:numId w:val="0"/>
        </w:numPr>
        <w:ind w:firstLine="560" w:firstLineChars="200"/>
        <w:rPr>
          <w:rFonts w:hint="default"/>
          <w:color w:val="auto"/>
          <w:lang w:val="en-US" w:eastAsia="zh-CN"/>
        </w:rPr>
      </w:pPr>
      <w:r>
        <w:rPr>
          <w:rFonts w:hint="default"/>
          <w:color w:val="auto"/>
          <w:lang w:val="en-US" w:eastAsia="zh-CN"/>
        </w:rPr>
        <w:t>若在雷雨天气卸装，危险化学品仓库无防雷装置或不在防雷装置的保护范围内，以及防雷装置损坏或不符合规定阻值要求，则会遭到雷电的袭扰而引起燃爆事故。</w:t>
      </w:r>
    </w:p>
    <w:p>
      <w:pPr>
        <w:numPr>
          <w:ilvl w:val="-1"/>
          <w:numId w:val="0"/>
        </w:numPr>
        <w:ind w:firstLine="560" w:firstLineChars="200"/>
        <w:rPr>
          <w:rFonts w:hint="default"/>
          <w:color w:val="auto"/>
          <w:highlight w:val="none"/>
          <w:lang w:val="en-US" w:eastAsia="zh-CN"/>
        </w:rPr>
      </w:pPr>
      <w:r>
        <w:rPr>
          <w:rFonts w:hint="eastAsia"/>
          <w:color w:val="auto"/>
          <w:highlight w:val="none"/>
          <w:lang w:val="en-US" w:eastAsia="zh-CN"/>
        </w:rPr>
        <w:t>该项目新建204丙类仓库二内设置有破碎工艺，对有机玻璃废料进行破碎，存在火灾、粉尘爆炸危险。破碎作业过程中破碎设备未密闭作业，电气设备不防爆、叉车未装阻火器进行作业等均可能引起火灾、爆炸。</w:t>
      </w:r>
    </w:p>
    <w:p>
      <w:pPr>
        <w:numPr>
          <w:ilvl w:val="-1"/>
          <w:numId w:val="0"/>
        </w:numPr>
        <w:ind w:firstLine="562" w:firstLineChars="200"/>
        <w:rPr>
          <w:rFonts w:hint="default"/>
          <w:b/>
          <w:bCs/>
          <w:color w:val="auto"/>
          <w:lang w:val="en-US" w:eastAsia="zh-CN"/>
        </w:rPr>
      </w:pPr>
      <w:r>
        <w:rPr>
          <w:rFonts w:hint="default"/>
          <w:b/>
          <w:bCs/>
          <w:color w:val="auto"/>
          <w:lang w:val="en-US" w:eastAsia="zh-CN"/>
        </w:rPr>
        <w:t>2）中毒窒息</w:t>
      </w:r>
    </w:p>
    <w:p>
      <w:pPr>
        <w:numPr>
          <w:ilvl w:val="-1"/>
          <w:numId w:val="0"/>
        </w:numPr>
        <w:ind w:firstLine="560" w:firstLineChars="200"/>
        <w:rPr>
          <w:rFonts w:hint="default"/>
          <w:color w:val="auto"/>
          <w:lang w:val="en-US" w:eastAsia="zh-CN"/>
        </w:rPr>
      </w:pPr>
      <w:r>
        <w:rPr>
          <w:rFonts w:hint="default"/>
          <w:color w:val="auto"/>
          <w:lang w:val="en-US" w:eastAsia="zh-CN"/>
        </w:rPr>
        <w:t>该项目20</w:t>
      </w:r>
      <w:r>
        <w:rPr>
          <w:rFonts w:hint="eastAsia"/>
          <w:color w:val="auto"/>
          <w:lang w:val="en-US" w:eastAsia="zh-CN"/>
        </w:rPr>
        <w:t>2丙类仓库一</w:t>
      </w:r>
      <w:r>
        <w:rPr>
          <w:rFonts w:hint="default"/>
          <w:color w:val="auto"/>
          <w:lang w:val="en-US" w:eastAsia="zh-CN"/>
        </w:rPr>
        <w:t>内储存的</w:t>
      </w:r>
      <w:r>
        <w:rPr>
          <w:rFonts w:hint="eastAsia"/>
          <w:color w:val="auto"/>
          <w:lang w:val="en-US" w:eastAsia="zh-CN"/>
        </w:rPr>
        <w:t>物料为氮气（压缩的）</w:t>
      </w:r>
      <w:r>
        <w:rPr>
          <w:rFonts w:hint="default"/>
          <w:color w:val="auto"/>
          <w:lang w:val="en-US" w:eastAsia="zh-CN"/>
        </w:rPr>
        <w:t>，存在</w:t>
      </w:r>
      <w:r>
        <w:rPr>
          <w:rFonts w:hint="eastAsia"/>
          <w:color w:val="auto"/>
          <w:lang w:val="en-US" w:eastAsia="zh-CN"/>
        </w:rPr>
        <w:t>中毒和窒息</w:t>
      </w:r>
      <w:r>
        <w:rPr>
          <w:rFonts w:hint="default"/>
          <w:color w:val="auto"/>
          <w:lang w:val="en-US" w:eastAsia="zh-CN"/>
        </w:rPr>
        <w:t>、</w:t>
      </w:r>
      <w:r>
        <w:rPr>
          <w:rFonts w:hint="eastAsia"/>
          <w:color w:val="auto"/>
          <w:lang w:val="en-US" w:eastAsia="zh-CN"/>
        </w:rPr>
        <w:t>容器</w:t>
      </w:r>
      <w:r>
        <w:rPr>
          <w:rFonts w:hint="default"/>
          <w:color w:val="auto"/>
          <w:lang w:val="en-US" w:eastAsia="zh-CN"/>
        </w:rPr>
        <w:t>爆炸危险。发生物料泄漏，中毒和窒息的危险可能性较大。仓库的作业过程中可挥发出窒息性气体，人员长期吸入，有造成人员中毒或窒息的危险。</w:t>
      </w:r>
    </w:p>
    <w:p>
      <w:pPr>
        <w:numPr>
          <w:ilvl w:val="-1"/>
          <w:numId w:val="0"/>
        </w:numPr>
        <w:ind w:firstLine="560" w:firstLineChars="200"/>
        <w:rPr>
          <w:rFonts w:hint="default"/>
          <w:color w:val="auto"/>
          <w:lang w:val="en-US" w:eastAsia="zh-CN"/>
        </w:rPr>
      </w:pPr>
      <w:r>
        <w:rPr>
          <w:rFonts w:hint="eastAsia"/>
          <w:color w:val="auto"/>
          <w:lang w:val="en-US" w:eastAsia="zh-CN"/>
        </w:rPr>
        <w:t>气瓶为压力容器，若气瓶因环境温度过高或者充装过量引起内压过高容易发生物理爆炸事故；气瓶本身质量问题或者超过使用年限气内无余压等问题导致气瓶出现爆炸现象；气混充以及工人误操作、违规操作、工人未培训等也会造成爆炸事故，气瓶不固定,容易发生倒瓶造成气体泄漏发生中毒窒息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3）车辆伤害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原料、产品等采用汽车运输（或转运），同时厂区内物料采用叉车和手推小推车搬运，汽车的流通量较大，因厂区的平面布置、厂内道路的设计、交通标志和安全标志的设置、照明的质量、绿化的规划、厂房内行驶通道、车辆的管理等方面的缺陷，均可能引发厂内运输的车辆伤害伤亡事故车辆伤害事故的发生，一方面是驾驶员违章驾驶造成的，如驾驶员无照驾驶、酒后驾车或超速驾车等；另一方面是厂内交通标志不完善造成的。</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仓库单元还存在物体打击、坍塌等危险、有害因素。</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2.罐区储存装置危险、有害因素辨识</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1）火灾和爆炸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该项目新建203罐区用于存储甲基丙烯酸甲酯粗体、甲基丙烯酸甲酯精体和甲基丙烯酸甲酯残液， 203罐区储罐均采用立式固定顶储罐，储罐采用氮封。</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罐区储存的物料甲基丙烯酸甲酯粗体、甲基丙烯酸甲酯精体和甲基丙烯酸甲酯残液均具有可燃、易燃性质；储罐、输送管线、法兰腐蚀，法兰密封联接不可靠和施工质量不符合要求；法兰密封联接不可靠和施工质量不符合要求等原因发生泄漏，其泄漏、外渗或外漏的蒸气聚集，遇火源可能发生火灾、爆炸；罐区配电装置、电气设备及各种照明设备及线路等不符合防爆要求，电器设施开启或闭合时能产生电弧及电气火花，成为点火源引起火灾爆炸。防静电设施不齐全或储罐、建（构）筑物防静电接地措施不符合要求、防静电措施未落实或不可靠，储罐、容器、管路及各种金属设备、设施上积聚的静电荷与周围物体形成一定的电位差而放电，静电放电产生的火花易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储罐、输送管线、法兰腐蚀，法兰密封联接不可靠和施工质量不符合要求；设备材质不合理、法兰垫片选型不当、法兰密封联接不可靠和施工质量不符合要求等原因发生泄漏，其泄漏、外渗或外漏的物料或蒸气聚集，遇火源可能发生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储罐在运行过程中，如控制系统液位报警、紧急切断系统等失效，作业人员如违章作业或粗心大意，向罐内进料时，液位超高，可发生冒罐、跑料事故。事故处理不及时，遇点火源，外泄的物料极易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贮罐安全附件（压力表、呼吸阀、液面计等）及远传装置、控制系统必须健全，并定时检验，确保好用，否则贮罐出现超装，存在泄漏的可能性，遇火源可能发生火灾、爆炸。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运行中，罐体、管线如腐蚀开裂；储罐、管线因焊接质量不佳、选材不当，运行过程中出现裂缝、砂眼；阀门、法兰垫片出现破裂；阀门开关不严，都有可能发生油品外漏，而引发火灾、爆炸事故。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新建常压罐体承受一切的静动力。如果储罐基础设计不合理，在运行中罐基础发生不均匀沉降，可引发罐底开裂或与罐体连接的刚性管线开裂事故，导致油品外泄，而引发火灾、爆炸事故。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此外，人体穿化纤衣服而又穿胶鞋、塑料鞋之类的绝缘鞋时，由于行走、工作、运动中磨擦或穿脱衣服而产生静电也可引发火灾爆炸事故。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防雷设施不齐全或储罐、建（构）筑物防雷接地措施不符合要求，在雷雨天气里有可能引发火灾爆炸事故。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2）中毒和窒息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罐区的作业过程中甲基丙烯酸甲酯可挥发出有毒或刺激性蒸气，人员长期吸入，有造成人员中毒的危险。吹扫、保护用氮气具有窒息性。</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甲基丙烯酸甲酯为有毒性物质，在储存过程工段如果发生泄漏，则可造成甲基丙烯酸甲酯等有毒物料，外逸导致现场人员中毒事故的发生。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贮罐安全附件（压力表、呼吸阀、液面计等）及远传装置、控制系统必须健全，并定时检验，确保好用，否则贮罐出现超装发生泄漏，有中毒或窒息的危险。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甲类储罐采用氮封，及检维修时储罐使用氮气进行置换，氮气可产生窒息危害。引入罐区的氮气管线泄漏、阀门和管道及罐体的连接处等发生泄漏，氮气聚集可使人窒息而造成事故。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设备检修期间，作业人员未采取安全措施进入未置换合格，而充有氮气等气体的设备容器内时，作业人员检修过程中进入该类设备前未使用蒸汽吹扫，用空气置换并检测合格后进入，在作业过程中通风不良，阀门关闭不严，操作不当，监护不力，未佩戴安全防护设施或安全防护设施损坏等都可能造成中毒和窒息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3）高处坠落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在储运系统管架、储罐平台、栈桥上作业都属于高空作业，岗位人员在这类设备设施的平台上巡检和作业时，一旦平台、扶梯、栏杆等处有损坏、松动、打滑或不符合规范要求，操作者不慎，失去平衡时则有高处坠落的危险，应注意个体防护。</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4）其它危险有害因素分析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储运系统的机泵等转动设备的旋转部件、传动件，若防护罩失效或残缺，人体接触易发生辗伤、挤伤等机械伤害的危险。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作业人员在装卸作业时，如粗心大意、违章作业，还有可能发生车辆伤害、物体打击等人身伤害事故。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3.物料装卸输送过程危险、有害因素辨识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该项目装卸作业主要涉及原辅材料及产品。</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1）火灾、爆炸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罐区甲基丙烯酸甲酯等易燃易爆物质在装卸过程中，设备故障(管线、阀门等缺陷)产生的泄漏和运行中(流量、流速、压力、温度等)产生的可燃液体泄漏，泄漏的蒸气与空气混合达到燃烧爆炸极限，并具有激发能源——明火所引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泵体与输送管线的联接法兰、阀门等，由于使用不当、维护不好和其它机械损坏而发生跑、冒、滴、漏现象；输送泵在运行过程中会由于各种原因发生振动，若操作人员疏于检查或维护保养不到位，泵体及其连接的阀门或管件会产生裂纹或密封损坏，而发生跑、冒、滴、漏；操作阀门，由于长时间的开、关会使的密封间隙变大，压盖不紧，维护不当而发生泄漏；若设计有误，计算不当，选型不准，对泵的额定流量和输送管道的直径选配不当，或管道质量不好，内壁粗糙，造成输油管中的流速超过额定限速，产生静电荷，当静电荷积累到一定量，若泵体、阀门和管道无防静电接地或防静电接地装置损坏或不符合规定阻值，便会产生静电火花，如遇以上爆炸性混合气体，发生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机动车辆排气管未装有有效的隔热和熄灭火星的装置；输送泵、照明等电气设备和线路均应为防爆型，它们的安装、使用、维护、检修均须按防爆规范要求进行，假若选用非防爆型，电气线路不按防爆规范要求施工、安装，使用时因电气火花及遇爆炸性混合气体，则会引起火灾和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若在雷雨天气卸装，装卸泵房无防雷装置或不在防雷装置的保护范围内，以及防雷装置损坏或不符合规定阻值要求，则会遭到雷电的袭扰而引起燃爆事故。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若有人在装卸现场吸烟或违章动火，或使用铁器和铁制工具敲击管道或阀门、设备等，或有人使用不防爆手机、呼机和其它电气用具，易发生火灾和爆炸事故。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2）中毒和窒息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甲基丙烯酸甲酯具有一定毒性，在装卸过程中，若使用不合格的装卸工具或操作不当（摔、碰、拖拉、翻滚等），可能会导致摩擦、震动、撞击或包装破损等，引起中毒和窒息事故。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3）噪声与振动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该工序中存在有卸车泵等设备，它们在运转时能够产生噪声与振动。噪声与振动严重时可能给操作人员带来伤害，使受害人员丧失听力形成永久性致残。</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4）车辆伤害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公司原料及成品等采用汽车或槽车运输（或转运），同时厂区内物料采用叉车搬运，汽车的流通量较大，因厂区的平面布置、厂内道路的设计、交通标志和安全标志的设置、照明的质量、绿化的规划、厂房内行驶通道、车辆的管理等方面的缺陷，均可能引发厂内运输的车辆伤害伤亡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车辆伤害事故的发生，一方面是驾驶员违章驾驶造成的，如驾驶员无照驾驶、酒后驾车或超速驾车等；另一方面是厂内交通标志不完善造成的。</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4.物料运输过程危险有害因素辨识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委托没有危化品运输资质的运输单位进行运输，易发生运输事故。驾驶员、押运员不持证上岗，不熟悉运送物料的危险特性，就不能有效防止和处置运输途中发生货车相撞、意外翻车等交通事故可能引发的危险化学品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2）运输车辆、槽车未定期检测检验，如果驾驶员、押运员责任性不强，技术欠缺，可能引起运输物料泄漏、散落，一旦灾情扩大，甚至发生爆炸、火灾。</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3）物料包装物的自然破损或事故中的意外破损，可能造成有毒物料外泄，引起火灾或人员中毒危险。因此，除了禁止野蛮作业外，运输途中应该备有应急容器和劳动保护用品。</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4）装卸作业不按规范要求进行，装卸前不连接静电接地桩，接装物料出错，就可能引发火灾、爆炸事故。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运输车辆进入厂区，如果有车辆、设备和物料占据道路，影响车辆通行，可能引发场内机动车事故。如企业平面布置、生产设施、道路设计、交通标志和安全标志设置、照明质量、车辆管理等方面存在缺陷，均可能引发运输事故。</w:t>
      </w:r>
    </w:p>
    <w:p>
      <w:pPr>
        <w:pStyle w:val="5"/>
        <w:rPr>
          <w:rFonts w:hint="eastAsia"/>
          <w:color w:val="auto"/>
          <w:lang w:val="en-US" w:eastAsia="zh-CN"/>
        </w:rPr>
      </w:pPr>
      <w:r>
        <w:rPr>
          <w:rFonts w:hint="eastAsia"/>
          <w:color w:val="auto"/>
          <w:lang w:val="en-US" w:eastAsia="zh-CN"/>
        </w:rPr>
        <w:t>B.2.3.3 公用工程及辅助系统的危险因素辨识</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1.供配电系统</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1）触电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开关柜、照明配电柜等均存在直接接触电击及间接接触电击的可能。如电气线路或电气设备在设计、安装上存在缺陷，或在运行中，缺乏必要的检修维护，使设备或线路存在漏电、过热、短路、接头松脱、折线碰壳、绝缘老化、绝缘击穿、绝缘损坏、PE 线断线等隐患，致使直接接触和间接接触的防护措施不到位；没有完成必要的保证安全的技术措施(如停电、验电、装设接地线、悬挂标志牌和装设遮拦)；电气设备运行管理不当，安全管理制度不完善；没有必要的保证安全的组织措施(工作票制度、工作许可制度、工作监护制度、工作间断转移和终结制度)；电工或机电设备操作人员的操作失误，或违章作业等；操作无监护或监护不力意外触及带电体；未按规程正确使用电工安全用具(绝缘用具、屏护、警示牌等)；带负荷(特别是感性负荷)拉开裸露的闸刀开关；绝缘破坏、设备漏电；误操作引起短路；线路短路、开启式熔断器熔断时，炽热的金属微粒飞溅；人体过于接近带电体等；误操作引起短路；以上原因均可能导致触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使用了大量的电气设备和电线电缆。如果电气设备或线路绝缘因击穿、老化、腐蚀、机械损坏等失效；电气设备未装设屏护装置将带电体与外界相隔离；带电体与地面、其它带电体和人体范围之间的安全距离不符合要求；低压电气设备未装设漏电保护装置或漏电保护装置失效；人体不可避免的长期接触的有触电危险的场所未采用相应等级的安全电压；用电设备金属外壳保护接地不良及人员操作、监护、防护缺陷等等，均可能导致触电。</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2）火灾、爆炸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短路：短路时由于电阻突然减小则电流将突然增大，因此线路短路时在极短的时间内会发出很大的热量。这个热量不仅能使绝缘层燃烧，而且能使金属熔化，引起邻近的易燃、可燃物质燃烧，从而造成火灾。</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过载(超负荷)：电气线路中允许连续通过而不致于使电线过热的电流量，称为安全载流量或安全电流。如导线流过的电流超过安全电流值，就叫导线过载。一般导线的最高允许工作温度为 65℃。当过载时，导线的温度超过这个温度值，会使绝缘加速老化，甚至损坏，引起短路火灾事故。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接触电阻过大：导体连接时，在接触面上形成的电阻称为接触电阻。接头处理良好，则接触电阻小；连接不牢或其他原因，使接头接触不良，则会导致局部接触电阻过大，产生高温，使金属变色甚至熔化，引起绝缘材料中</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可燃物燃烧。电缆铺设不当影响通风散热。电火花及电弧：电火花是极间的击穿放电。电弧是大量的电火花汇集而成的。一般电火花的温度都很高，特别是电弧，温度可高达 6000℃。因此，电火花不仅能引起绝缘物质的燃烧，而且可以引起金属熔化、飞溅，是危险火源。</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2.给排水系统危险、有害因素分析</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1）火灾、爆炸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有机废气经尾气喷淋塔喷淋，有机废气溶于或粘附在水中收集至污水处理池。多数有机物密度小于水，有些难溶于水的物质会浮于污水池上方形成一层有机物膜，在一定条件下有机物挥发形成气体爆炸危险环境，容易发生火灾爆炸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2）中毒、窒息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由于该项目污水处理设施污水成分复杂，污水输送、收集、排放系统易发生腐蚀泄漏；污水输送、收集、排放系统如设备、管道、仪表、联锁报警装置、附件等出现意外损坏或操作失控造成有毒物质等泄漏，致使其挥发混存于空气中，有毒气体或窒息性气体不断积聚，会造成有毒或窒息性成分在一定区域空气内的浓度升高。如果作业场所有毒或窒息性物质大量聚集且通风条件不好；作业人员的个人防护又不当，有可能导致中毒；当有毒或窒息性成分在一定区域空气内的浓度达到或超过急性中毒浓度时，可导致急性中毒或使人窒息死亡。</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装置存在污水处理池，进入设备内作业时由于处理池内清除污泥未清洗置换干净，造成人员中毒。或虽进行了清洗、置换，但可能因通风不良，清洗、置换不彻底等原因造成设备内氧含量降低，出现窒息危险。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装置发生火灾、爆炸产生有毒有害气体，或火灾、爆炸造成设备损坏致使有毒物料泄漏、气化扩散。</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3）淹溺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循环水池、污水处理池、初期雨水池、事故应急池等工业处理池面积较大，水深较深，若不小心发生意外，会造成落水淹溺事故。严重者会造成人员伤亡。该项目的循环水池、污水处理池、初期雨水池、事故应急池等，如果安全防护栏损坏、夜间照明条件不良或人员不注意跌落池中，有发生淹溺的危险。</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3.空压氮气系统危险、有害因素分析</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1）触电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空压机组均为用电设备。发生触电的原因主要有：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电气设备的外壳未做保护接地；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线路外皮的绝缘损坏、线路短路；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不按照规定设置漏电保护器；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安全防护装置不全或故障；</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作业环境不良；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维护管理不善。</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2）容器爆炸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容器爆炸就是物理状态参数（温度、压力、体积）迅速发生变化，在瞬间放出的爆破能量以冲击波能量、碎片能量和容器残余变形能量表现出来，可致房屋倒塌，设备损坏，人员伤亡。项目中压缩空气、氮气储罐属于压力容器。发生容器爆炸的原因主要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未按要求设置安全阀、压力表；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安全阀、压力表损坏，不能正常工作；</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空压机、储罐选型不合适、不配套；</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储罐、压缩机材质不符合要求；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空气、氮气储罐未定期检测；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安全阀、压力表未定期检测。</w:t>
      </w:r>
    </w:p>
    <w:p>
      <w:pPr>
        <w:numPr>
          <w:ilvl w:val="0"/>
          <w:numId w:val="0"/>
        </w:numPr>
        <w:ind w:firstLine="562" w:firstLineChars="200"/>
        <w:rPr>
          <w:rFonts w:hint="eastAsia"/>
          <w:b/>
          <w:bCs/>
          <w:color w:val="auto"/>
          <w:highlight w:val="none"/>
          <w:lang w:val="en-US" w:eastAsia="zh-CN"/>
        </w:rPr>
      </w:pPr>
      <w:r>
        <w:rPr>
          <w:rFonts w:hint="eastAsia" w:ascii="Times New Roman" w:hAnsi="Times New Roman" w:eastAsia="宋体" w:cs="Times New Roman"/>
          <w:b/>
          <w:bCs/>
          <w:color w:val="auto"/>
          <w:kern w:val="2"/>
          <w:sz w:val="28"/>
          <w:szCs w:val="24"/>
          <w:lang w:val="en-US" w:eastAsia="zh-CN" w:bidi="ar-SA"/>
        </w:rPr>
        <w:t>3）</w:t>
      </w:r>
      <w:r>
        <w:rPr>
          <w:rFonts w:hint="eastAsia"/>
          <w:b/>
          <w:bCs/>
          <w:color w:val="auto"/>
          <w:highlight w:val="none"/>
          <w:lang w:val="en-US" w:eastAsia="zh-CN"/>
        </w:rPr>
        <w:t>中毒和窒息</w:t>
      </w:r>
    </w:p>
    <w:p>
      <w:pPr>
        <w:numPr>
          <w:ilvl w:val="-1"/>
          <w:numId w:val="0"/>
        </w:numPr>
        <w:ind w:firstLine="560" w:firstLineChars="0"/>
        <w:rPr>
          <w:rFonts w:hint="eastAsia"/>
          <w:b w:val="0"/>
          <w:bCs w:val="0"/>
          <w:color w:val="auto"/>
          <w:highlight w:val="none"/>
          <w:lang w:val="en-US" w:eastAsia="zh-CN"/>
        </w:rPr>
      </w:pPr>
      <w:r>
        <w:rPr>
          <w:rFonts w:hint="eastAsia"/>
          <w:b w:val="0"/>
          <w:bCs w:val="0"/>
          <w:color w:val="auto"/>
          <w:highlight w:val="none"/>
          <w:lang w:val="en-US" w:eastAsia="zh-CN"/>
        </w:rPr>
        <w:t>氮气存储场所发生中毒和窒息的原因主要有：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未按要求设置安全阀、压力表；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安全阀、压力表损坏，不能正常工作；</w:t>
      </w:r>
    </w:p>
    <w:p>
      <w:pPr>
        <w:numPr>
          <w:ilvl w:val="-1"/>
          <w:numId w:val="0"/>
        </w:numPr>
        <w:ind w:firstLine="560" w:firstLineChars="0"/>
        <w:rPr>
          <w:rFonts w:hint="eastAsia"/>
          <w:color w:val="auto"/>
          <w:highlight w:val="none"/>
          <w:lang w:val="en-US" w:eastAsia="zh-CN"/>
        </w:rPr>
      </w:pPr>
      <w:r>
        <w:rPr>
          <w:rFonts w:hint="eastAsia"/>
          <w:color w:val="auto"/>
          <w:highlight w:val="none"/>
          <w:lang w:val="en-US" w:eastAsia="zh-CN"/>
        </w:rPr>
        <w:t>氮气储罐材质不符合要求；</w:t>
      </w:r>
    </w:p>
    <w:p>
      <w:pPr>
        <w:numPr>
          <w:ilvl w:val="-1"/>
          <w:numId w:val="0"/>
        </w:numPr>
        <w:ind w:firstLine="560" w:firstLineChars="0"/>
        <w:rPr>
          <w:rFonts w:hint="eastAsia"/>
          <w:color w:val="auto"/>
          <w:highlight w:val="none"/>
          <w:lang w:val="en-US" w:eastAsia="zh-CN"/>
        </w:rPr>
      </w:pPr>
      <w:r>
        <w:rPr>
          <w:rFonts w:hint="eastAsia"/>
          <w:color w:val="auto"/>
          <w:highlight w:val="none"/>
          <w:lang w:val="en-US" w:eastAsia="zh-CN"/>
        </w:rPr>
        <w:t>氮气储罐未定期检测；</w:t>
      </w:r>
    </w:p>
    <w:p>
      <w:pPr>
        <w:numPr>
          <w:ilvl w:val="-1"/>
          <w:numId w:val="0"/>
        </w:numPr>
        <w:ind w:firstLine="560" w:firstLineChars="0"/>
        <w:rPr>
          <w:rFonts w:hint="eastAsia"/>
          <w:color w:val="auto"/>
          <w:highlight w:val="none"/>
          <w:lang w:val="en-US" w:eastAsia="zh-CN"/>
        </w:rPr>
      </w:pPr>
      <w:r>
        <w:rPr>
          <w:rFonts w:hint="eastAsia"/>
          <w:color w:val="auto"/>
          <w:highlight w:val="none"/>
          <w:lang w:val="en-US" w:eastAsia="zh-CN"/>
        </w:rPr>
        <w:t>未安装氧气报警器或氧气报警器故障；</w:t>
      </w:r>
    </w:p>
    <w:p>
      <w:pPr>
        <w:numPr>
          <w:ilvl w:val="-1"/>
          <w:numId w:val="0"/>
        </w:numPr>
        <w:ind w:firstLine="560" w:firstLineChars="0"/>
        <w:rPr>
          <w:rFonts w:hint="eastAsia"/>
          <w:color w:val="auto"/>
          <w:highlight w:val="none"/>
          <w:lang w:val="en-US" w:eastAsia="zh-CN"/>
        </w:rPr>
      </w:pPr>
      <w:r>
        <w:rPr>
          <w:rFonts w:hint="eastAsia"/>
          <w:color w:val="auto"/>
          <w:highlight w:val="none"/>
          <w:lang w:val="en-US" w:eastAsia="zh-CN"/>
        </w:rPr>
        <w:t>未完善机械通风系统；</w:t>
      </w:r>
    </w:p>
    <w:p>
      <w:pPr>
        <w:numPr>
          <w:ilvl w:val="0"/>
          <w:numId w:val="11"/>
        </w:numPr>
        <w:ind w:firstLine="562" w:firstLineChars="200"/>
        <w:rPr>
          <w:rFonts w:hint="eastAsia"/>
          <w:b/>
          <w:bCs/>
          <w:color w:val="auto"/>
          <w:highlight w:val="none"/>
          <w:lang w:val="en-US" w:eastAsia="zh-CN"/>
        </w:rPr>
      </w:pPr>
      <w:r>
        <w:rPr>
          <w:rFonts w:hint="eastAsia"/>
          <w:b/>
          <w:bCs/>
          <w:color w:val="auto"/>
          <w:highlight w:val="none"/>
          <w:lang w:val="en-US" w:eastAsia="zh-CN"/>
        </w:rPr>
        <w:t>尾气处理系统危险、有害因素分析</w:t>
      </w:r>
    </w:p>
    <w:p>
      <w:pPr>
        <w:numPr>
          <w:ilvl w:val="0"/>
          <w:numId w:val="0"/>
        </w:numPr>
        <w:ind w:left="560" w:firstLine="0" w:firstLineChars="0"/>
        <w:rPr>
          <w:rFonts w:hint="eastAsia"/>
          <w:b/>
          <w:bCs/>
          <w:color w:val="auto"/>
          <w:highlight w:val="none"/>
          <w:lang w:val="en-US" w:eastAsia="zh-CN"/>
        </w:rPr>
      </w:pPr>
      <w:r>
        <w:rPr>
          <w:rFonts w:hint="eastAsia" w:ascii="Times New Roman" w:hAnsi="Times New Roman" w:eastAsia="宋体" w:cs="Times New Roman"/>
          <w:b/>
          <w:bCs/>
          <w:color w:val="auto"/>
          <w:kern w:val="2"/>
          <w:sz w:val="28"/>
          <w:szCs w:val="24"/>
          <w:lang w:val="en-US" w:eastAsia="zh-CN" w:bidi="ar-SA"/>
        </w:rPr>
        <w:t>1）</w:t>
      </w:r>
      <w:r>
        <w:rPr>
          <w:rFonts w:hint="eastAsia"/>
          <w:b/>
          <w:bCs/>
          <w:color w:val="auto"/>
          <w:highlight w:val="none"/>
          <w:lang w:val="en-US" w:eastAsia="zh-CN"/>
        </w:rPr>
        <w:t>火灾、爆炸</w:t>
      </w:r>
    </w:p>
    <w:p>
      <w:pPr>
        <w:numPr>
          <w:ilvl w:val="-1"/>
          <w:numId w:val="0"/>
        </w:numPr>
        <w:ind w:left="0" w:firstLine="560" w:firstLineChars="200"/>
        <w:rPr>
          <w:rFonts w:hint="eastAsia"/>
          <w:b w:val="0"/>
          <w:bCs w:val="0"/>
          <w:color w:val="auto"/>
          <w:highlight w:val="none"/>
          <w:lang w:val="en-US" w:eastAsia="zh-CN"/>
        </w:rPr>
      </w:pPr>
      <w:r>
        <w:rPr>
          <w:rFonts w:hint="eastAsia"/>
          <w:b w:val="0"/>
          <w:bCs w:val="0"/>
          <w:color w:val="auto"/>
          <w:highlight w:val="none"/>
          <w:lang w:val="en-US" w:eastAsia="zh-CN"/>
        </w:rPr>
        <w:t>输送有机废气的风管，其正压段通过其他房间，如果发生火灾、爆炸事故将会扩大事故影响及伤害。</w:t>
      </w:r>
    </w:p>
    <w:p>
      <w:pPr>
        <w:numPr>
          <w:ilvl w:val="-1"/>
          <w:numId w:val="0"/>
        </w:numPr>
        <w:ind w:left="0" w:firstLine="560" w:firstLineChars="200"/>
        <w:rPr>
          <w:rFonts w:hint="eastAsia"/>
          <w:b w:val="0"/>
          <w:bCs w:val="0"/>
          <w:color w:val="auto"/>
          <w:highlight w:val="none"/>
          <w:lang w:val="en-US" w:eastAsia="zh-CN"/>
        </w:rPr>
      </w:pPr>
      <w:r>
        <w:rPr>
          <w:rFonts w:hint="eastAsia"/>
          <w:b w:val="0"/>
          <w:bCs w:val="0"/>
          <w:color w:val="auto"/>
          <w:highlight w:val="none"/>
          <w:lang w:val="en-US" w:eastAsia="zh-CN"/>
        </w:rPr>
        <w:t>进入废气净化装置的有机废气在系统失控情况下的浓度高于其爆炸极限下限值的25%，形成的爆炸性混合气体，遇到外来的点火源时发生火灾、爆炸事故。</w:t>
      </w:r>
    </w:p>
    <w:p>
      <w:pPr>
        <w:numPr>
          <w:ilvl w:val="-1"/>
          <w:numId w:val="0"/>
        </w:numPr>
        <w:ind w:left="0" w:firstLine="560" w:firstLineChars="200"/>
        <w:rPr>
          <w:rFonts w:hint="eastAsia"/>
          <w:b w:val="0"/>
          <w:bCs w:val="0"/>
          <w:color w:val="auto"/>
          <w:highlight w:val="none"/>
          <w:lang w:val="en-US" w:eastAsia="zh-CN"/>
        </w:rPr>
      </w:pPr>
      <w:r>
        <w:rPr>
          <w:rFonts w:hint="eastAsia"/>
          <w:b w:val="0"/>
          <w:bCs w:val="0"/>
          <w:color w:val="auto"/>
          <w:highlight w:val="none"/>
          <w:lang w:val="en-US" w:eastAsia="zh-CN"/>
        </w:rPr>
        <w:t>废气净化装置前未设置有机废气直接排空装置，或原始废气送风系统故障，送风系统未与有机废气直接排空装置联锁，当净化装置一旦发生故障或工作结束后，因有机废气无法排空而使有机废气集聚，如果发生火灾、爆炸事故将会扩大事故影响及伤害。</w:t>
      </w:r>
    </w:p>
    <w:p>
      <w:pPr>
        <w:numPr>
          <w:ilvl w:val="-1"/>
          <w:numId w:val="0"/>
        </w:numPr>
        <w:ind w:left="0" w:firstLine="560" w:firstLineChars="200"/>
        <w:rPr>
          <w:rFonts w:hint="eastAsia"/>
          <w:b w:val="0"/>
          <w:bCs w:val="0"/>
          <w:color w:val="auto"/>
          <w:highlight w:val="none"/>
          <w:lang w:val="en-US" w:eastAsia="zh-CN"/>
        </w:rPr>
      </w:pPr>
      <w:r>
        <w:rPr>
          <w:rFonts w:hint="eastAsia"/>
          <w:b w:val="0"/>
          <w:bCs w:val="0"/>
          <w:color w:val="auto"/>
          <w:highlight w:val="none"/>
          <w:lang w:val="en-US" w:eastAsia="zh-CN"/>
        </w:rPr>
        <w:t>净化装置中可能产生静电的管道和设备均未可靠接地，或未设置专用的静电接地体，当静电大量积聚或遇到雷击时，易发生火灾、爆炸事故。</w:t>
      </w:r>
    </w:p>
    <w:p>
      <w:pPr>
        <w:numPr>
          <w:ilvl w:val="0"/>
          <w:numId w:val="0"/>
        </w:numPr>
        <w:ind w:left="0" w:firstLine="562" w:firstLineChars="200"/>
        <w:rPr>
          <w:rFonts w:hint="eastAsia"/>
          <w:b/>
          <w:bCs/>
          <w:color w:val="auto"/>
          <w:highlight w:val="none"/>
          <w:lang w:val="en-US" w:eastAsia="zh-CN"/>
        </w:rPr>
      </w:pPr>
      <w:r>
        <w:rPr>
          <w:rFonts w:hint="eastAsia" w:ascii="Times New Roman" w:hAnsi="Times New Roman" w:eastAsia="宋体" w:cs="Times New Roman"/>
          <w:b/>
          <w:bCs/>
          <w:color w:val="auto"/>
          <w:kern w:val="2"/>
          <w:sz w:val="28"/>
          <w:szCs w:val="24"/>
          <w:lang w:val="en-US" w:eastAsia="zh-CN" w:bidi="ar-SA"/>
        </w:rPr>
        <w:t>2）</w:t>
      </w:r>
      <w:r>
        <w:rPr>
          <w:rFonts w:hint="eastAsia"/>
          <w:b/>
          <w:bCs/>
          <w:color w:val="auto"/>
          <w:highlight w:val="none"/>
          <w:lang w:val="en-US" w:eastAsia="zh-CN"/>
        </w:rPr>
        <w:t>中毒和窒息</w:t>
      </w:r>
    </w:p>
    <w:p>
      <w:pPr>
        <w:numPr>
          <w:ilvl w:val="-1"/>
          <w:numId w:val="0"/>
        </w:numPr>
        <w:ind w:left="0" w:leftChars="0" w:firstLine="560" w:firstLineChars="200"/>
        <w:rPr>
          <w:rFonts w:hint="eastAsia"/>
          <w:b w:val="0"/>
          <w:bCs w:val="0"/>
          <w:color w:val="auto"/>
          <w:highlight w:val="none"/>
          <w:lang w:val="en-US" w:eastAsia="zh-CN"/>
        </w:rPr>
      </w:pPr>
      <w:r>
        <w:rPr>
          <w:rFonts w:hint="eastAsia"/>
          <w:b w:val="0"/>
          <w:bCs w:val="0"/>
          <w:color w:val="auto"/>
          <w:highlight w:val="none"/>
          <w:lang w:val="en-US" w:eastAsia="zh-CN"/>
        </w:rPr>
        <w:t>因有机废气中含有甲醇、甲基丙烯酸、丙烯酸甲酯等易燃有毒物质，如发生泄漏，会引起中毒和窒息湿度。</w:t>
      </w:r>
    </w:p>
    <w:p>
      <w:pPr>
        <w:numPr>
          <w:ilvl w:val="0"/>
          <w:numId w:val="0"/>
        </w:numPr>
        <w:ind w:firstLine="562" w:firstLineChars="200"/>
        <w:rPr>
          <w:rFonts w:hint="eastAsia"/>
          <w:b/>
          <w:bCs/>
          <w:color w:val="auto"/>
          <w:highlight w:val="none"/>
          <w:lang w:val="en-US" w:eastAsia="zh-CN"/>
        </w:rPr>
      </w:pPr>
      <w:r>
        <w:rPr>
          <w:rFonts w:hint="eastAsia" w:ascii="Times New Roman" w:hAnsi="Times New Roman" w:eastAsia="宋体" w:cs="Times New Roman"/>
          <w:b/>
          <w:bCs/>
          <w:color w:val="auto"/>
          <w:kern w:val="2"/>
          <w:sz w:val="28"/>
          <w:szCs w:val="24"/>
          <w:lang w:val="en-US" w:eastAsia="zh-CN" w:bidi="ar-SA"/>
        </w:rPr>
        <w:t>3）</w:t>
      </w:r>
      <w:r>
        <w:rPr>
          <w:rFonts w:hint="eastAsia"/>
          <w:b/>
          <w:bCs/>
          <w:color w:val="auto"/>
          <w:highlight w:val="none"/>
          <w:lang w:val="en-US" w:eastAsia="zh-CN"/>
        </w:rPr>
        <w:t>触电</w:t>
      </w:r>
    </w:p>
    <w:p>
      <w:pPr>
        <w:numPr>
          <w:ilvl w:val="-1"/>
          <w:numId w:val="0"/>
        </w:numPr>
        <w:tabs>
          <w:tab w:val="left" w:pos="0"/>
        </w:tabs>
        <w:ind w:left="-2" w:firstLine="0" w:firstLineChars="0"/>
        <w:rPr>
          <w:rFonts w:hint="eastAsia"/>
          <w:b w:val="0"/>
          <w:bCs w:val="0"/>
          <w:color w:val="auto"/>
          <w:highlight w:val="none"/>
          <w:lang w:val="en-US" w:eastAsia="zh-CN"/>
        </w:rPr>
      </w:pPr>
      <w:r>
        <w:rPr>
          <w:rFonts w:hint="eastAsia"/>
          <w:b/>
          <w:bCs/>
          <w:color w:val="auto"/>
          <w:highlight w:val="none"/>
          <w:lang w:val="en-US" w:eastAsia="zh-CN"/>
        </w:rPr>
        <w:t xml:space="preserve">    </w:t>
      </w:r>
      <w:r>
        <w:rPr>
          <w:rFonts w:hint="eastAsia"/>
          <w:b w:val="0"/>
          <w:bCs w:val="0"/>
          <w:color w:val="auto"/>
          <w:highlight w:val="none"/>
          <w:lang w:val="en-US" w:eastAsia="zh-CN"/>
        </w:rPr>
        <w:t>风机等驱动电机及其配电箱或开关，电气线路等在生产中日常检查、维护、保养及检修不到位，可能会由于电气老化、外力损坏等造成电气设备漏电，引发触电事故。</w:t>
      </w:r>
    </w:p>
    <w:p>
      <w:pPr>
        <w:numPr>
          <w:ilvl w:val="-1"/>
          <w:numId w:val="0"/>
        </w:numPr>
        <w:ind w:left="0" w:leftChars="-200" w:hanging="560" w:hangingChars="200"/>
        <w:rPr>
          <w:rFonts w:hint="eastAsia"/>
          <w:b w:val="0"/>
          <w:bCs w:val="0"/>
          <w:color w:val="auto"/>
          <w:highlight w:val="none"/>
          <w:lang w:val="en-US" w:eastAsia="zh-CN"/>
        </w:rPr>
      </w:pPr>
      <w:r>
        <w:rPr>
          <w:rFonts w:hint="eastAsia"/>
          <w:b w:val="0"/>
          <w:bCs w:val="0"/>
          <w:color w:val="auto"/>
          <w:highlight w:val="none"/>
          <w:lang w:val="en-US" w:eastAsia="zh-CN"/>
        </w:rPr>
        <w:t xml:space="preserve">        电气设备的保护接地或保护接零、漏电保护、过载保护等日常检查、维护、保养及检修不到位，预防性试验不到位等，可能会造成保护系统失灵，在系统不正常发生漏电时引发触电事故。</w:t>
      </w:r>
    </w:p>
    <w:p>
      <w:pPr>
        <w:numPr>
          <w:ilvl w:val="-1"/>
          <w:numId w:val="0"/>
        </w:numPr>
        <w:ind w:left="0" w:firstLine="0" w:firstLineChars="0"/>
        <w:rPr>
          <w:rFonts w:hint="default"/>
          <w:b w:val="0"/>
          <w:bCs w:val="0"/>
          <w:color w:val="auto"/>
          <w:highlight w:val="none"/>
          <w:lang w:val="en-US" w:eastAsia="zh-CN"/>
        </w:rPr>
      </w:pPr>
      <w:r>
        <w:rPr>
          <w:rFonts w:hint="eastAsia"/>
          <w:b w:val="0"/>
          <w:bCs w:val="0"/>
          <w:color w:val="auto"/>
          <w:highlight w:val="none"/>
          <w:lang w:val="en-US" w:eastAsia="zh-CN"/>
        </w:rPr>
        <w:t xml:space="preserve">     作业人员违章操作，电气维修人员违章检修等，如电气维修人员在维修前不首先验电，就直接开始电气维修作业等。</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5.冷冻系统危险、有害因素分析</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1）触电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冷冻机组为用电设备。发生触电的原因主要有：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电气设备的外壳未做保护接地；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线路外皮的绝缘损坏、线路短路；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不按照规定设置漏电保护器；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安全防护装置不全或故障；</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作业环境不良；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维护管理不善。</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2）冻伤</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该项目306公用工程间设置冷冻机组。二次冷凝有5℃温度的冷冻水需求，5℃冷冻水大量泄漏接触到人体时，可能会造成冻伤。</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6.管廊管道输送过程的危险、有害因素分析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该项目管廊管道输送的物料包括：甲基丙烯酸甲酯、压缩空气、氮气、冷冻水、蒸汽等物料。</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1）火灾、爆炸</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输送的物料存在易燃、易爆、可燃物质，如甲基丙烯酸甲酯。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管道质量因素，如设计不合理，管道的结构、管件与阀门的连接形式不合理或螺纹制式不一致，未考虑管道受热膨胀问题；材料本身缺陷，管壁太薄、有砂眼，材质不符合要求；加工不良，冷加工时，内壁有划伤；焊接质量低劣，焊接裂纹、错位、烧穿、未焊透、焊瘤和咬边等；阀门、法兰等处密封失效。</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（2）管道工艺因素，如管道中高速流动的介质冲击与磨损；反复应力的作用；长期在高温下工作发生蠕变；低温下操作材料冷脆断裂；老化变质等。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（3）外来因素破坏，如外来飞行物、狂风等外力冲击；气流脉冲引起振动、摇摆；施工造成破坏；地震、地基下沉等。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（4）操作失误引起泄漏，如错误操作阀门使可燃物料漏出；超温、超压、超速、超负荷运转；维护不周，不及时维修，超期和带病运转等。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（5）危险物料输送管道周围具有摩擦撞击、明火、高温热体、电火花、</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雷击等多种外部电火源。可燃物料从管道破裂处或密封不严处高速喷出时会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产生静电，成为泄漏的可燃物料或周围可燃物的引火源。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（6）输送过程中产生静电，静电不能及时导除，可能引起火灾、爆炸。</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2）中毒和窒息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甲基丙烯酸甲酯具有一定的毒性，若输送管线发生泄漏，导致管线周边人员发生中毒和窒息事故发生。</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3）灼烫</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该项目使用的蒸汽由厂外园区供汽管网接入，若接入的蒸汽管网保温措施不到位，或蒸汽发生泄漏，可能会发生灼烫事故。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4）高处坠落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该项目管廊高度都在 2m 以上，检修人员在维修过程中，若防护设施设置不当、操作人员精力不集中、无人监护等易造成作业人员发生高处坠落事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故。</w:t>
      </w:r>
    </w:p>
    <w:p>
      <w:pPr>
        <w:pStyle w:val="5"/>
        <w:rPr>
          <w:rFonts w:hint="eastAsia"/>
          <w:color w:val="auto"/>
          <w:lang w:val="en-US" w:eastAsia="zh-CN"/>
        </w:rPr>
      </w:pPr>
      <w:r>
        <w:rPr>
          <w:rFonts w:hint="eastAsia"/>
          <w:color w:val="auto"/>
          <w:lang w:val="en-US" w:eastAsia="zh-CN"/>
        </w:rPr>
        <w:t>B.2.3.4 其他危险因素分析</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1.项目个体其他危险因素</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1）机械伤害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生产过程中使用的真空机组、各种泵类等机械设备存在对人体机械伤害的可能。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造成机械伤害事故，主要是由于设备制造质量不符合设计要求或设计上本身就存在缺陷，设备的安全防护装置没有或损坏，人为的违章指挥，违章操作及对机械设备的故障不及时维修，设备在非正常状态下工作等造成的。常见的因素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（1）违章操作，导致事故发生；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（2）机械设备安全防护装置缺乏或损坏、被拆除等，导致事故发生；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（3）操作人员疏忽大意，身体进入机械危险部位，导致事故发生；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（4）在检修和正常工作时，机器突然被别人随意启动，导致事故发生；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（5）在不安全的机械上停留、休息，设备突然运转时，导致事故发生；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（6）机械设备有故障不及时排除，设备带有故障运行，导致事故发生；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（7）机械设备制造质量不合格或设计上本身就存在缺陷，设备运行中导致事故发生；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（8）设备控制系统失灵，造成设备误动作，导致事故发生。</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2）触电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该项目有大量电动设备，电动泵接地不良，设备漏电、电气设备场所潮湿，均可能造成巡检作业人员发生触电危险。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触电危险的分布极广，凡是用到电气设备的和有电气线路通过的场所都是触电事故可能发生的场所。</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该项目在生产作业及检修过程中可能发生触电事故的场所主要有作业现场的电机、变配电设备、照明灯具、电缆及变电所、配电室、仪表控制室、</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化验室、值班室及办公室等有电气设备设施的场所。常见的引发触电事故的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因素有：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（1）电线、电气设施的绝缘或外壳损坏、设备漏电。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（2）电气设备接地损坏或接地不良。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（3）移动使用的配电箱、板及所用导线不符合要求，未使用漏电保护</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（4）乱接不符合要求的临时线。</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（5）不办理操作票或不执行监护制度，不使用或使用不合格绝缘工具</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和电气工具。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（6）检修电气设备工作完毕，未办理工作票终结手续，就对检修设备恢复送电。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（7）在带电设备附近作业，不符合安全距离的规定要求或无监护措施。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（8）跨越安全围栏或超越安全警戒线；工作人员走错间隔误碰带电设</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备；在带电设备附近使用钢卷尺等进行测量或携带金属超高物体在带电设备</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下行走。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（9）线路检修时不装设或未按规定装设接地线，不验电。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（10）工作人员擅自扩大工作范围。</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（11）使用的电动工具金属外壳不接地，操作时不戴绝缘手套。</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（12）在电缆沟、夹层或金属容器内工作时不使用安全电压行灯照明。</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（13）标志缺陷（如裸露带电部分附近的无警告牌或警示标识不明显，就可能导致作业人员疏忽大意，进而发生触电，误合刀闸等人身或设备事故）。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3）高处坠落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高处坠落是指作业人员在高处作业中发生坠落造成的伤亡事故，如从设备上、高处平台坠落下来。对此要求登高作业人员必须系安全带；高处作业平台加装必要的防护栏；高处施工点下面加装安全网；上下梯子应设置扶手及护栏；现场工作人员必须戴安全帽，非工作人员远离现场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有各类塔器、各类储罐等高大型的设备。作业人员经常在高于地面或操作平台2m以上的设备、塔器、平台、框架、房顶、罐顶、杆上等作业场所巡检或对其进行维修、维护，如果操作平台无护拦、护栏损坏，孔洞无盖板等安全防护设施损坏或作业人员违章操作等情况时均可导致作业人员高处坠落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造成高处坠落的主要因素是：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（1）没有按要求使用安全带。</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（2）高处作业时安全防护设施损坏。</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（3）使用安全保护装置不完善或在缺乏安全设备、设施上进行作业。</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（4）工作责任心不强，主观判断失误。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（5）作业人员疏忽大意，疲劳过度。</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（6）高处作业安全管理不到位。</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（7）没有按要求穿防滑性能良好的软底鞋等。</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4）物体打击</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该项目中潜在的物体打击事故主要发生在高处检修作业中，操作人员违反操作规程乱放工具或备件，物品落下而导致砸伤下面人员。</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5）起重伤害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起重伤害是指起重设备安装、检修、试验中发生的挤压、坠落，运行时</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吊具、吊重的物体打击和触电事故。该项目设置设置起重机用于生产和检修，</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如因起重设备安全附件失灵或人为拆除，违章作业，钢丝绳断裂，指挥信号</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失误，吊物下站人等或检修时未使用相应的防护用品，可能造成起重伤害事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2.施工阶段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设备、管道、控制系统的设计、材质、安装质量问题，将会导致物料泄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漏，甚至发生超压物理爆炸，引发火灾、爆炸、中毒、窒息、腐蚀、灼伤的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危险、危害。如物料的输送管道不畅；材质不满足工艺要求；设备、管道内</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的危险化学品泄漏；生产系统密封性不好，杂质进入系统；设备发生坍塌等。</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均有可能导致火灾、爆炸、中毒窒息的恶性事故，造成人员伤亡和财产损失。</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生产中的设备、管道缺少安全装置和防护设施，或者安全装置和防护设</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施存在缺陷可能引起事故。如缺少液位计、压力表、温度计，容易造成员工</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误操作；缺少紧急放空管、安全阀、爆破片，容易造成压力容器、压力管道</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超压爆裂。调节阀控制的物料输送管道缺少旁通管道、或旁通管道长期不使</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用而堵塞时，DCS控制系统出现故障或断电，容易造成生产系统无法正常运行，甚至生产系统瘫痪。生产中使用的仪表失灵、安装位置不当，均有可能造成显示虚假现象，引发各种安全事故。生产中的物料输送泵如果安装、使用不当，或材质、型号选择错误，如泵出口压力超过泵壳压力，就有可能导致输送过程中物料的泄漏，进而引起火灾、爆炸、中毒窒息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使用的压力容器、压力管道如未经有资质的机构专业设计、制造、安装、</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检验，可能存在隐患，发生压力容器爆炸事故，造成重大伤害和损失。如压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力容器破裂、易燃、有毒物料泄漏，将会导致火灾、爆炸、中毒窒息的二次事故发生。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起重吊装设备、电梯未由专业厂家制造、安装、检验，起重过程中易发生夹挤、脱钩、倾翻等伤害事故。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3.设备检修过程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因该项目属于危险化学品生产企业的特殊性，生产设备要受到各种生产介质的腐蚀，还要经受到高压、高温，因此设备易受到损坏，所以设备要定期进行检修，每隔一定时期还要进行大修，遇到设备发生故障或人为操作不当造成设备损坏，还要进行抢修。然而，在设备检修过程中，因时间紧，检修任务繁重，再加上作业人员的安全意识不强或技术不熟练或因作业环境不良等多种原因的影响，故作业人员在设备检修过程中极易发生人身伤亡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再者，设备检修过程中大都作业还需要使用动火作业，如没有严格的动火作业安全制度，还会因动火作引发火灾或爆炸事故的发生。在设备管道检修时，如没有按规定对设备进行置换，当检修人员拆卸设备检修时，有毒物料喷出就有可能造成人员中毒事故。进入设备内进行清洗检查作业时，如设备内有毒有害气体置换不彻底,未进行敞开处理并通足够的空气，未进行氧气浓度分析或分析不合格，设备外无人监护，进入设备内作业的人员极易发生中毒、窒息事故。此外，设备检修过程中还需用到各种大型起重机具以及工器具等，这些大型起重机具或工器具可因本身存在缺陷，或在使用过程中没有正确使用，均会发生人身伤亡事故。</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4.其它危险有害因素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装置在开停工过程中和检修时要用氮气对设备进行置换和吹扫，如氮气漏入人员操作容器中或人员误入氮气含量高的容器，会发生窒息死亡事故。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装置的塔、罐、换热设备及大部分管线均属于高架结构或离地面较高，</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作业人员在作业时，有可能发生高处坠落事故，造成人员伤亡。</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装置检修、现场交叉作业多，起吊设备频繁，而在正常生产时大量机泵、</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空冷风机等运转设备都存在发生机械伤害的危险。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该项目基础、框架及设备基础、支撑、设备本体，易发生坍塌事故。该</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项目在生产、检修过程中可能存在因环境不良、注意力不集中等原因造成的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滑跌、绊倒、碰撞等，造成人员伤害。</w:t>
      </w:r>
    </w:p>
    <w:p>
      <w:pPr>
        <w:pStyle w:val="5"/>
        <w:rPr>
          <w:rFonts w:hint="eastAsia"/>
          <w:color w:val="auto"/>
          <w:lang w:val="en-US" w:eastAsia="zh-CN"/>
        </w:rPr>
      </w:pPr>
      <w:r>
        <w:rPr>
          <w:rFonts w:hint="eastAsia"/>
          <w:color w:val="auto"/>
          <w:lang w:val="en-US" w:eastAsia="zh-CN"/>
        </w:rPr>
        <w:t>B.2.3.5 人的因素和管理因素危险有害因素辨识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1.人的因素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在人们的日常生活、生产实践等各个领域，只要有人生活、活动的地方，</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都会存在人为失误。由于人为失误的存在，便必然会对人们的正常生产造成</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诸如改变人们的生活节律，人身、财产、心理受到伤害等各种各样的影响。</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在此，我们所指的人的不安全行为是在人—机—环境系统中，人为地使系统发生故障或发生机能不良的事件，它有可能发生在设计、生产、操作、维修等系统的各个环节。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人可能是“危险因素”的携带者，也可能是危险因素或违章作业的制止</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者。人的因素对安全的影响主要包括人的思想觉悟、知识水平、工作作风、</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心理素质、个人经历、生理状态等几个方面。</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人在生产过程中是动态，“活”的因素，多种因素都会对人的安全行为产生影响：</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1）情绪对人的安全行为的影响：喜、怒、忧、畏、悲、恐、惊都会对人的情绪产生影响，这些情绪会浸入到人的生产活动中，所以有时会产生不安全行为。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2）气质对人的安全行为的影响：根据人的心理活动表现特点，如感受</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性、耐受性、灵敏性、情绪的兴奋及内储性、外倾性等方面的不同程度的组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合，会产生多血质、胆汁质、粘液质、抑郁制四种类型的人，这几种类型都</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会对人的不安全行为产生影响。</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2.管理因素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由于该项目涉及危险化学品具有易燃易爆、毒害性等，品种较多。易燃气体或易燃液体的蒸气与空气可形成爆炸性混合物，遇明火、高热能引起燃烧爆炸；有毒物质能引起中毒和窒息。压缩气体和液化气体能引起爆炸和冻伤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从本报告事故案例分析可以看出，发生事故的主要原因一般情况下不是</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出于生产装置存在缺陷，而是人的不安全行为、违章作业是构成事故的直接</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原因，人的不安全行为来自于企业的安全管理缺陷和职工队伍整体素质。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（1）企业管理者安全意识薄弱</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企业单纯追求产量和效益，重生产轻安全，超能力生产；安全设施存在</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缺陷或拆除未投入运行，对物（作业环境）监测和不符合处置方面的缺陷，</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可造成事故的发生。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（2）从业人员素质低</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如经营管理者未经系统的专业学习，缺乏必要的专业安全知识，往往违</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背生产规律，安全隐患不能及时排除；对现行的有关安全的法律、法规、规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程、规范了解不够，因而对职工的安全教育、培训、考核缺乏力度等。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忽视安全教育和培训，职工的安全意识和实际操作技能水平得不到提高，</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易发生忽视自身防护、违章操作等不安全行为。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安全生产与岗位操作工人的安全生产意识和技术操作水平有着直接关</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系。企业从业人员安全生产意识淡薄，如未经教育、培训就上岗操作、不熟</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悉操作规程，有章不循、违章操作、自救、互救能力差等，凡此种种，都有</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可能导致安全事故。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（3）企业各级安全责任制不健全、安全管理制度不完善</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安全责任制不健全或流于形式，会形成管理责任“真空”。可造成安全事故、扩大事故后果。企业安全管理制度不完善，必然造成无章可循、安全事故频发的混乱局面。</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（4）安全操作规程不健全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工艺、技术错误或不当，无作业程序或作业程序有错误，岗位操作规程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不健全会造成作业人员违背安全生产客观规律盲目作业，造成安全事故。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（5）违反安全人机工程原理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使用的机器不适合人的生理或心理特点，作业环境温度、湿度、照明、</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噪声不适合人的生理特点，易造成事故。</w:t>
      </w:r>
    </w:p>
    <w:p>
      <w:pPr>
        <w:pStyle w:val="4"/>
        <w:rPr>
          <w:rFonts w:hint="eastAsia"/>
          <w:color w:val="auto"/>
          <w:lang w:val="en-US" w:eastAsia="zh-CN"/>
        </w:rPr>
      </w:pPr>
      <w:bookmarkStart w:id="888" w:name="_Toc38"/>
      <w:bookmarkStart w:id="889" w:name="_Toc4028"/>
      <w:bookmarkStart w:id="890" w:name="_Toc1506"/>
      <w:bookmarkStart w:id="891" w:name="_Toc1463"/>
      <w:bookmarkStart w:id="892" w:name="_Toc25944"/>
      <w:bookmarkStart w:id="893" w:name="_Toc21302"/>
      <w:r>
        <w:rPr>
          <w:rFonts w:hint="eastAsia"/>
          <w:color w:val="auto"/>
          <w:lang w:val="en-US" w:eastAsia="zh-CN"/>
        </w:rPr>
        <w:t>B.2.4 生产系统和辅助系统中有害因素的辨识及分析</w:t>
      </w:r>
      <w:bookmarkEnd w:id="888"/>
      <w:bookmarkEnd w:id="889"/>
      <w:bookmarkEnd w:id="890"/>
      <w:bookmarkEnd w:id="891"/>
      <w:bookmarkEnd w:id="892"/>
      <w:bookmarkEnd w:id="893"/>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参照《职业卫生名词术语》（GBZ/T 224-2010）、《职业病危害因素分类目录》及《工作场所有害因素接触限值 第 1 部分 第 2 部分》，综合考虑职业危害的诱导性原因、致害物、伤害方式等。</w:t>
      </w:r>
    </w:p>
    <w:p>
      <w:pPr>
        <w:pStyle w:val="5"/>
        <w:rPr>
          <w:rFonts w:hint="eastAsia"/>
          <w:color w:val="auto"/>
          <w:lang w:val="en-US" w:eastAsia="zh-CN"/>
        </w:rPr>
      </w:pPr>
      <w:r>
        <w:rPr>
          <w:rFonts w:hint="eastAsia"/>
          <w:color w:val="auto"/>
          <w:lang w:val="en-US" w:eastAsia="zh-CN"/>
        </w:rPr>
        <w:t>B.2.4.1 噪声和振动辨识与分析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生产过程中使用的真空机组、各种泵类等产生的噪音和振动可能超标；</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压缩系统事故排放气体噪声。噪声与振动严重时可能给操作人员带来伤害，</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使受害人员丧失听力形成永久性致残。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噪声对人的危害是多方面的。噪声可以使人耳聋，还可能引起高血压、心脏病、神经官能症等疾病。噪声还污染环境，影响人们的正常生活和生产</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活动。振动能损坏建筑物与影响仪器设备等的正常运行，长时间的剧烈振动</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会造成附近的精密仪器设备的失灵，降低使用寿命。</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噪声对人的危害，主要有以下几个方面：</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1）听力和听觉器官的损伤。</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2）引起心血管系统的病症和神经衰弱，如头痛、头晕、失眠、多梦、乏力、记忆力衰退、心悸、恶心等。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3）对消化系统的影响将引起胃功能紊乱、食欲不振、消化不良。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4）对视觉功能的影响是由于神经系统互相作用的结果，能引起视网膜</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轴体细胞光受性降低，视力清晰稳定性缩小。</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5）易使人烦躁不安与疲乏，注意力分散，导致工作效率降低，遮蔽音响警报信号，易造成事故。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6）160分贝以上的高声强噪声可引起建筑物的玻璃震碎、墙壁震裂、屋瓦震落、烟囱倒塌等。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如果作业人员未采取安全防护措施，长期在有噪声超标的环境中作业，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存在噪声引发职业危害的可能。</w:t>
      </w:r>
    </w:p>
    <w:p>
      <w:pPr>
        <w:pStyle w:val="5"/>
        <w:rPr>
          <w:rFonts w:hint="eastAsia"/>
          <w:color w:val="auto"/>
          <w:lang w:val="en-US" w:eastAsia="zh-CN"/>
        </w:rPr>
      </w:pPr>
      <w:r>
        <w:rPr>
          <w:rFonts w:hint="eastAsia"/>
          <w:color w:val="auto"/>
          <w:lang w:val="en-US" w:eastAsia="zh-CN"/>
        </w:rPr>
        <w:t>B.2.4.2 毒物辨识与分析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涉及的甲基丙烯酸甲酯、对苯二酚、甲醇、甲基丙烯酸、丙烯酸甲酯等均具有一定毒性。如果作业人员未采取安全防护措施或防护设施失效，人体接触有毒物质或在有毒物质超标的环境中作业，存在急性中毒或职业病可能。</w:t>
      </w:r>
    </w:p>
    <w:p>
      <w:pPr>
        <w:pStyle w:val="5"/>
        <w:rPr>
          <w:rFonts w:hint="eastAsia"/>
          <w:color w:val="auto"/>
          <w:lang w:val="en-US" w:eastAsia="zh-CN"/>
        </w:rPr>
      </w:pPr>
      <w:r>
        <w:rPr>
          <w:rFonts w:hint="eastAsia"/>
          <w:color w:val="auto"/>
          <w:lang w:val="en-US" w:eastAsia="zh-CN"/>
        </w:rPr>
        <w:t>B.2.4.3 高温辨识与分析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该项目生产过程中涉及精馏蒸馏浓缩；系统中涉及使用高温蒸汽进行升</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温，该项目设备及其管道内存在有高温物料，高温蒸汽及其管道，使用高温蒸汽的换热设备，高温物料和高温导热油、蒸汽管道附近的作业场所都存在</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高温热源，向外强烈的辐射热量，若操作或检修作业人员在存在高温物料装</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置场所周围长时间作业，受热辐射的影响，亦会受到高温中暑的危害。如果</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室内没有良好的通风措施，会造成室内较高的环境温度，作业人员在室内长</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时间工作，会造成高温中暑的危害。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该地区年最高气温出现在7月份，夏季极端高温为极端最高温度40℃。</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岗位作业人员夏季需进行例行巡检或相关操作，如果防范措施不当，会受到</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高温危害。高气温可能导致生产、贮存设备内的液体介质气化挥发速度加快，</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可引起火灾、爆炸、中毒等事故。</w:t>
      </w:r>
    </w:p>
    <w:p>
      <w:pPr>
        <w:pStyle w:val="5"/>
        <w:rPr>
          <w:rFonts w:hint="eastAsia"/>
          <w:color w:val="auto"/>
          <w:lang w:val="en-US" w:eastAsia="zh-CN"/>
        </w:rPr>
      </w:pPr>
      <w:r>
        <w:rPr>
          <w:rFonts w:hint="eastAsia"/>
          <w:color w:val="auto"/>
          <w:lang w:val="en-US" w:eastAsia="zh-CN"/>
        </w:rPr>
        <w:t>B.2.4.5 低温辨识与分析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该地区年最低气温出现在1月份，极端最低温度-7.8℃。岗位作业人员</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冬季需进行例行巡检或相关操作，如果防范措施不当，会受到低温危害。</w:t>
      </w:r>
    </w:p>
    <w:p>
      <w:pPr>
        <w:pStyle w:val="4"/>
        <w:rPr>
          <w:rFonts w:hint="eastAsia"/>
          <w:color w:val="auto"/>
          <w:lang w:val="en-US" w:eastAsia="zh-CN"/>
        </w:rPr>
      </w:pPr>
      <w:bookmarkStart w:id="894" w:name="_Toc25607"/>
      <w:bookmarkStart w:id="895" w:name="_Toc22914"/>
      <w:bookmarkStart w:id="896" w:name="_Toc12359"/>
      <w:bookmarkStart w:id="897" w:name="_Toc25915"/>
      <w:bookmarkStart w:id="898" w:name="_Toc8423"/>
      <w:bookmarkStart w:id="899" w:name="_Toc14690"/>
      <w:r>
        <w:rPr>
          <w:rFonts w:hint="eastAsia"/>
          <w:color w:val="auto"/>
          <w:lang w:val="en-US" w:eastAsia="zh-CN"/>
        </w:rPr>
        <w:t>B.2.5 按导致事故直接原因进行危险、有害因素辨识与分析</w:t>
      </w:r>
      <w:bookmarkEnd w:id="894"/>
      <w:bookmarkEnd w:id="895"/>
      <w:bookmarkEnd w:id="896"/>
      <w:bookmarkEnd w:id="897"/>
      <w:bookmarkEnd w:id="898"/>
      <w:bookmarkEnd w:id="899"/>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按导致事故的直接原因进行分析，根据《生产过程危险和有害因素分类</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与代码》（GB/T13861-2022），该项目存在以下四类危险、有害因素。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1.人的因素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人的行为性危险、有害因素主要表现为指挥错误（如违章指挥，对故障</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或危险因素判断指挥错误等）、操作错误（如误操作、违章操作）或监护错误（如监护时未采取有效的监护手段及措施，监护时分心或脱离岗位等）。</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该项目中职工人员存在年龄、体质、受教育程度、操作熟练程度、心理承受能力、对事物的反应速度、休息好坏等差异。在生产过程中，存在过度疲劳、健康异常、心理异常（如情绪异常、过度紧张等）或有职业禁忌症，反应迟钝等，从而不能及时判断处理故障发生事故或引发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2.物的因素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1）物理性危险、有害因素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（1）设备、设施缺陷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该项目中存在釜、罐、槽、泵等设备、设施，存在压力容器等，如因设</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备基础、本体腐蚀、强度不够、安装质量低、密封不良、运动件外露等可能</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引发各类事故。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（2）电危害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该项目设置配电设施、电气设备、设施，可能发生带电部位裸露、漏电、</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雷电、静电、电火花等电危害。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（3）噪声和振动危害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该项目中机、泵等运行或排空时产生的机械性和气动性噪声和振动等。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（4）运动物危害</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该项目中存在机械运动设备，在工作时可能发生机械伤人，另外，高处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未固定好的物体或检修工具、器落下、飞出等。运输车辆可能因各种原因发</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生撞击设备或人员等。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（5）明火</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包括检修动火，违章吸烟及汽车排气管尾气带火等。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（6）作业环境不良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该项目作业环境不良、主要包括爆炸危险区域、有毒有害物质及自然灾害、高温高湿环境、气压过高过低、采光照明不良、作业平台缺陷等。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（7）信号缺陷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该项目信号缺陷主要是设备开停和运行时信号不清或缺失。</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（8）标志缺陷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该项目标志缺陷主要可能在于未设置警示标志或标志不规范，管道标色</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不符合规定等。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2）化学性危险、有害因素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（1）易燃易爆性物质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该项目涉及的甲基丙烯酸甲酯属于易燃物质，遇热源、明火、氧化剂有燃烧爆炸的危险。该项目涉及的柴油、对苯二酚等具有可燃性，遇热源、明</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火、氧化剂有燃烧的危险。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（2）有毒物质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涉及的甲基丙烯酸甲酯、对苯二酚等均具有一定毒性。如果作业人员未采取安全防护措施或防护设施失效，人体接触有毒物质或在有毒物质超标的环境中作业，存在急性中毒或职业病可能；氮气泄漏及污水处理过程产生的二氧化碳可致窒息。</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3.环境因素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该项目中环境不良，包括场所杂乱、狭窄、地面不平整、打滑；安全通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道、出口缺陷、采光照明不良，空气不良，建筑物和其他结构缺陷，其他公</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用辅助设施的保证等。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4.管理因素</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（1）职业安全卫生组织机构不健全；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（2）建设项目“三同时”制度未落实；</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（3）职业安全卫生管理制度未完善；</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（4）操作规程不规范、事故应急救援预案缺陷、培训不完善等其他职业安全卫生管理规章未完善；</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（5）职业安全卫生投入不足等。</w:t>
      </w:r>
    </w:p>
    <w:p>
      <w:pPr>
        <w:pStyle w:val="3"/>
        <w:rPr>
          <w:rFonts w:hint="eastAsia"/>
          <w:color w:val="auto"/>
          <w:lang w:val="en-US" w:eastAsia="zh-CN"/>
        </w:rPr>
      </w:pPr>
      <w:bookmarkStart w:id="900" w:name="_Toc2575"/>
      <w:bookmarkStart w:id="901" w:name="_Toc32712"/>
      <w:bookmarkStart w:id="902" w:name="_Toc21757"/>
      <w:bookmarkStart w:id="903" w:name="_Toc6822"/>
      <w:bookmarkStart w:id="904" w:name="_Toc26812"/>
      <w:bookmarkStart w:id="905" w:name="_Toc5087"/>
      <w:r>
        <w:rPr>
          <w:rFonts w:hint="eastAsia"/>
          <w:color w:val="auto"/>
          <w:lang w:val="en-US" w:eastAsia="zh-CN"/>
        </w:rPr>
        <w:t>B.3 重大危险源辨识</w:t>
      </w:r>
      <w:bookmarkEnd w:id="900"/>
      <w:bookmarkEnd w:id="901"/>
      <w:bookmarkEnd w:id="902"/>
      <w:bookmarkEnd w:id="903"/>
      <w:bookmarkEnd w:id="904"/>
      <w:bookmarkEnd w:id="905"/>
    </w:p>
    <w:p>
      <w:pPr>
        <w:pStyle w:val="4"/>
        <w:rPr>
          <w:rFonts w:hint="eastAsia"/>
          <w:color w:val="auto"/>
          <w:lang w:val="en-US" w:eastAsia="zh-CN"/>
        </w:rPr>
      </w:pPr>
      <w:bookmarkStart w:id="906" w:name="_Toc6629"/>
      <w:bookmarkStart w:id="907" w:name="_Toc6363"/>
      <w:bookmarkStart w:id="908" w:name="_Toc5646"/>
      <w:bookmarkStart w:id="909" w:name="_Toc23623"/>
      <w:bookmarkStart w:id="910" w:name="_Toc31009"/>
      <w:bookmarkStart w:id="911" w:name="_Toc15380"/>
      <w:r>
        <w:rPr>
          <w:rFonts w:hint="eastAsia"/>
          <w:color w:val="auto"/>
          <w:lang w:val="en-US" w:eastAsia="zh-CN"/>
        </w:rPr>
        <w:t>B.3.1 重大危险源辨识相关资料介绍</w:t>
      </w:r>
      <w:bookmarkEnd w:id="906"/>
      <w:bookmarkEnd w:id="907"/>
      <w:bookmarkEnd w:id="908"/>
      <w:bookmarkEnd w:id="909"/>
      <w:bookmarkEnd w:id="910"/>
      <w:bookmarkEnd w:id="911"/>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本报告遵循的重大危险源辨识标准有 5 个：</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一．《危险化学品重大危险源辨识》（GB18218-2018）；</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二．《危险货物品名表》（GB12268-2012）</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三．《危险化学品重大危险源监督管理暂行规定》（国家安全生产监督管理总局令第 40 号，第 79 号修改）</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四．《危险化学品目录》（2022 调整版）（应急管理部等十部门公告 2022</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年第 8 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五．《危险化学品目录（2015 版）实施指南（试行）》（安监总厅管三〔2015〕80 号）</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1.危险化学品重大危险源辨识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根据《危险化学品重大危险源辨识》(GB18218-2018)的定义，危险化学</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品重大危险源是指长期地或临时地生产、储存、使用或经营危险化学品，且</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危险化学品的数量等于或超过临界量的单元。这里的单元是涉及危险化学品</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的生产、储存装置、设施或场所，分为生产单元和储存单元；生产单元是指</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危险化学品的生产、加工及使用等装置及设施，当装置及设施之间有切断阀</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时，以切断阀作为分隔界限划分独立的单元；储存单元：用于储存危险化学</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品的储槽或仓库组成的相对独立的区域，储槽区以罐区防火堤为界限划分为</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独立的单元，仓库以独立库房(独立建筑物)为界限划分为独立的单元。临界</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量：某种或某类危险化学品构成重大危险源所规定的最小数量。</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危险化学品重大危险源的辨识依据是物质的危险特性及其数量。单元内</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存在的危险化学品的数量根据处理危险化学品种类的多少分为以下两种情</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况：</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1）单元内存在的危险化学品为单一品种，则该危险化学品的数量即为</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单元内危险化学品的总量，若等于或超过其对应的临界量，则定为重大危险</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2）单元内存在的危险化学品为多品种时，则按式（1）计算，若满足式</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（1），则定为重大危险源：</w:t>
      </w:r>
    </w:p>
    <w:p>
      <w:pPr>
        <w:numPr>
          <w:ilvl w:val="-1"/>
          <w:numId w:val="0"/>
        </w:numPr>
        <w:ind w:firstLine="0" w:firstLineChars="0"/>
        <w:rPr>
          <w:rFonts w:hint="eastAsia"/>
          <w:color w:val="auto"/>
          <w:highlight w:val="none"/>
          <w:lang w:val="en-US" w:eastAsia="zh-CN"/>
        </w:rPr>
      </w:pPr>
      <w:r>
        <w:rPr>
          <w:color w:val="auto"/>
        </w:rPr>
        <w:drawing>
          <wp:anchor distT="0" distB="0" distL="114300" distR="114300" simplePos="0" relativeHeight="251663360" behindDoc="0" locked="0" layoutInCell="1" allowOverlap="1">
            <wp:simplePos x="0" y="0"/>
            <wp:positionH relativeFrom="column">
              <wp:posOffset>68580</wp:posOffset>
            </wp:positionH>
            <wp:positionV relativeFrom="paragraph">
              <wp:posOffset>203200</wp:posOffset>
            </wp:positionV>
            <wp:extent cx="5438775" cy="771525"/>
            <wp:effectExtent l="0" t="0" r="9525" b="9525"/>
            <wp:wrapSquare wrapText="bothSides"/>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25"/>
                    <a:stretch>
                      <a:fillRect/>
                    </a:stretch>
                  </pic:blipFill>
                  <pic:spPr>
                    <a:xfrm>
                      <a:off x="0" y="0"/>
                      <a:ext cx="5438775" cy="771525"/>
                    </a:xfrm>
                    <a:prstGeom prst="rect">
                      <a:avLst/>
                    </a:prstGeom>
                    <a:noFill/>
                    <a:ln>
                      <a:noFill/>
                    </a:ln>
                  </pic:spPr>
                </pic:pic>
              </a:graphicData>
            </a:graphic>
          </wp:anchor>
        </w:drawing>
      </w:r>
      <w:r>
        <w:rPr>
          <w:rFonts w:hint="eastAsia"/>
          <w:color w:val="auto"/>
          <w:lang w:val="en-US" w:eastAsia="zh-CN"/>
        </w:rPr>
        <w:t xml:space="preserve">    </w:t>
      </w:r>
      <w:r>
        <w:rPr>
          <w:rFonts w:hint="eastAsia"/>
          <w:color w:val="auto"/>
          <w:highlight w:val="none"/>
          <w:lang w:val="en-US" w:eastAsia="zh-CN"/>
        </w:rPr>
        <w:t>式中：q1，q2……qn —每种危险化学品实际存在量，单位为吨（t）。</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Q1，Q2……Qn —与各危险化学品相对应的临界量，单位为吨（t）。</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2.危险化学品重大危险源分级</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一.分级指标</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采用单元内各种危险化学品实际存在量与其对应的临界量比值，经校正</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系数校正后的比值之和 R 作为分级指标。</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二.R 的计算方法</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R=α[β1(q1/Q1)+ β2(q2/Q2)+………+ βn(qn/Qn)]</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式中：</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q1，q2，…，qn —每种危险化学品实际存在（在线）量（单位：t）；</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Q1，Q2，…，Qn —与各危险化学品相对应的临界量（单位：t）；</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β1，β2…，βn— 与各危险化学品相对应的校正系数；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α— 该危险化学品重大危险源厂区外暴露人员的校正系数。</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三.校正系数 β 的取值</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根据单元内危险化学品的类别不同，设定校正系数β值，在 GB18218-</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2018 表1范围内的危险化学品，其β值按 GB18218-2018 表1确定；未在GB18218-2018 表1范围内的危险化学品，其β值按 GB18218-2018 表2 确定：</w:t>
      </w:r>
    </w:p>
    <w:p>
      <w:pPr>
        <w:pStyle w:val="53"/>
        <w:rPr>
          <w:rFonts w:hint="eastAsia"/>
          <w:color w:val="auto"/>
          <w:lang w:val="en-US" w:eastAsia="zh-CN"/>
        </w:rPr>
      </w:pPr>
      <w:r>
        <w:rPr>
          <w:rFonts w:hint="eastAsia"/>
          <w:color w:val="auto"/>
          <w:lang w:val="en-US" w:eastAsia="zh-CN"/>
        </w:rPr>
        <w:t>GB18218-2018 表 1 毒性气体校正系数β取值表</w:t>
      </w:r>
    </w:p>
    <w:tbl>
      <w:tblPr>
        <w:tblStyle w:val="42"/>
        <w:tblW w:w="93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22"/>
        <w:gridCol w:w="1393"/>
        <w:gridCol w:w="1714"/>
        <w:gridCol w:w="1372"/>
        <w:gridCol w:w="1757"/>
        <w:gridCol w:w="14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危险化学品类别</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校正系数β</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危险化学品类别</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校正系数β</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危险化学品类别</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校正系数β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一氧化碳</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二氧化硫</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氦</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环氧乙烷</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7</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氯化氢</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3</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澳甲烷</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氯</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4</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硫化氢</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5</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氟化氢</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二氧化氮</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10</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氰化氢</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10</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碳酰氯</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磷化氢</w:t>
            </w:r>
          </w:p>
        </w:tc>
        <w:tc>
          <w:tcPr>
            <w:tcW w:w="13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20</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异氰酸甲酯</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color w:val="auto"/>
              </w:rPr>
            </w:pPr>
            <w:r>
              <w:rPr>
                <w:rFonts w:hint="eastAsia"/>
                <w:color w:val="auto"/>
                <w:lang w:val="en-US" w:eastAsia="zh-CN"/>
              </w:rPr>
              <w:t>20</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color w:val="auto"/>
              </w:rPr>
            </w:pP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color w:val="auto"/>
              </w:rPr>
            </w:pPr>
          </w:p>
        </w:tc>
      </w:tr>
    </w:tbl>
    <w:p>
      <w:pPr>
        <w:pStyle w:val="53"/>
        <w:rPr>
          <w:rFonts w:hint="eastAsia"/>
          <w:color w:val="auto"/>
          <w:lang w:val="en-US" w:eastAsia="zh-CN"/>
        </w:rPr>
      </w:pPr>
      <w:r>
        <w:rPr>
          <w:rFonts w:hint="eastAsia"/>
          <w:color w:val="auto"/>
          <w:lang w:val="en-US" w:eastAsia="zh-CN"/>
        </w:rPr>
        <w:t>GB18218-2018 表2未在GB18218-2018表3中列举的危险化学品校正系数β值取值表</w:t>
      </w:r>
    </w:p>
    <w:tbl>
      <w:tblPr>
        <w:tblStyle w:val="42"/>
        <w:tblW w:w="94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1"/>
        <w:gridCol w:w="636"/>
        <w:gridCol w:w="1252"/>
        <w:gridCol w:w="1136"/>
        <w:gridCol w:w="643"/>
        <w:gridCol w:w="1286"/>
        <w:gridCol w:w="1114"/>
        <w:gridCol w:w="771"/>
        <w:gridCol w:w="14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类别</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符号</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β校正系数</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类别</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符号</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β校正系数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类别</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符号</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β校正系数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急性毒性</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JI</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4</w:t>
            </w:r>
          </w:p>
        </w:tc>
        <w:tc>
          <w:tcPr>
            <w:tcW w:w="11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爆炸物</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default"/>
                <w:color w:val="auto"/>
                <w:lang w:val="en-US"/>
              </w:rPr>
            </w:pPr>
            <w:r>
              <w:rPr>
                <w:rFonts w:hint="eastAsia"/>
                <w:color w:val="auto"/>
                <w:lang w:val="en-US" w:eastAsia="zh-CN"/>
              </w:rPr>
              <w:t>W1.1</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2</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氧化性气</w:t>
            </w:r>
            <w:r>
              <w:rPr>
                <w:rFonts w:hint="eastAsia"/>
                <w:color w:val="auto"/>
                <w:lang w:val="en-US" w:eastAsia="zh-CN"/>
              </w:rPr>
              <w:br w:type="textWrapping"/>
            </w:r>
            <w:r>
              <w:rPr>
                <w:rFonts w:hint="eastAsia"/>
                <w:color w:val="auto"/>
                <w:lang w:val="en-US" w:eastAsia="zh-CN"/>
              </w:rPr>
              <w:t>体</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W4</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J2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W1.2</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2</w:t>
            </w: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易燃液体</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W5.1</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J3</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2</w:t>
            </w:r>
          </w:p>
        </w:tc>
        <w:tc>
          <w:tcPr>
            <w:tcW w:w="1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W1.3</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2</w:t>
            </w: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W5.2</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J4</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2</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易燃气体</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W2</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1.5</w:t>
            </w: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W5.3</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j5</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气溶胶</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w3</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W5.4</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自反应物质</w:t>
            </w:r>
            <w:r>
              <w:rPr>
                <w:rFonts w:hint="eastAsia"/>
                <w:color w:val="auto"/>
                <w:lang w:val="en-US" w:eastAsia="zh-CN"/>
              </w:rPr>
              <w:br w:type="textWrapping"/>
            </w:r>
            <w:r>
              <w:rPr>
                <w:rFonts w:hint="eastAsia"/>
                <w:color w:val="auto"/>
                <w:lang w:val="en-US" w:eastAsia="zh-CN"/>
              </w:rPr>
              <w:t>和混合物</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W6.1</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1.5</w:t>
            </w:r>
          </w:p>
        </w:tc>
        <w:tc>
          <w:tcPr>
            <w:tcW w:w="11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有机氧</w:t>
            </w:r>
            <w:r>
              <w:rPr>
                <w:rFonts w:hint="eastAsia"/>
                <w:color w:val="auto"/>
                <w:lang w:val="en-US" w:eastAsia="zh-CN"/>
              </w:rPr>
              <w:br w:type="textWrapping"/>
            </w:r>
            <w:r>
              <w:rPr>
                <w:rFonts w:hint="eastAsia"/>
                <w:color w:val="auto"/>
                <w:lang w:val="en-US" w:eastAsia="zh-CN"/>
              </w:rPr>
              <w:t>化物</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W7.1</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1.5</w:t>
            </w:r>
          </w:p>
        </w:tc>
        <w:tc>
          <w:tcPr>
            <w:tcW w:w="11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氧化性固</w:t>
            </w:r>
            <w:r>
              <w:rPr>
                <w:rFonts w:hint="eastAsia"/>
                <w:color w:val="auto"/>
                <w:lang w:val="en-US" w:eastAsia="zh-CN"/>
              </w:rPr>
              <w:br w:type="textWrapping"/>
            </w:r>
            <w:r>
              <w:rPr>
                <w:rFonts w:hint="eastAsia"/>
                <w:color w:val="auto"/>
                <w:lang w:val="en-US" w:eastAsia="zh-CN"/>
              </w:rPr>
              <w:t>体和液体</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w9.1</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W6.2</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1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W7.2</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kinsoku/>
              <w:wordWrap/>
              <w:overflowPunct/>
              <w:topLinePunct w:val="0"/>
              <w:autoSpaceDE/>
              <w:autoSpaceDN/>
              <w:bidi w:val="0"/>
              <w:adjustRightInd/>
              <w:snapToGrid/>
              <w:spacing w:line="240" w:lineRule="auto"/>
              <w:ind w:left="-140" w:leftChars="-50" w:right="-140" w:rightChars="-50" w:firstLine="0" w:firstLineChars="0"/>
              <w:jc w:val="center"/>
              <w:rPr>
                <w:rFonts w:hint="eastAsia"/>
                <w:color w:val="auto"/>
              </w:rPr>
            </w:pP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W9.2</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自然液体和</w:t>
            </w:r>
            <w:r>
              <w:rPr>
                <w:rFonts w:hint="eastAsia"/>
                <w:color w:val="auto"/>
                <w:lang w:val="en-US" w:eastAsia="zh-CN"/>
              </w:rPr>
              <w:br w:type="textWrapping"/>
            </w:r>
            <w:r>
              <w:rPr>
                <w:rFonts w:hint="eastAsia"/>
                <w:color w:val="auto"/>
                <w:lang w:val="en-US" w:eastAsia="zh-CN"/>
              </w:rPr>
              <w:t>固体</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W8</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易燃固体</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W10</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遇水放出</w:t>
            </w:r>
            <w:r>
              <w:rPr>
                <w:rFonts w:hint="eastAsia"/>
                <w:color w:val="auto"/>
                <w:lang w:val="en-US" w:eastAsia="zh-CN"/>
              </w:rPr>
              <w:br w:type="textWrapping"/>
            </w:r>
            <w:r>
              <w:rPr>
                <w:rFonts w:hint="eastAsia"/>
                <w:color w:val="auto"/>
                <w:lang w:val="en-US" w:eastAsia="zh-CN"/>
              </w:rPr>
              <w:t>易燃气体</w:t>
            </w:r>
            <w:r>
              <w:rPr>
                <w:rFonts w:hint="eastAsia"/>
                <w:color w:val="auto"/>
                <w:lang w:val="en-US" w:eastAsia="zh-CN"/>
              </w:rPr>
              <w:br w:type="textWrapping"/>
            </w:r>
            <w:r>
              <w:rPr>
                <w:rFonts w:hint="eastAsia"/>
                <w:color w:val="auto"/>
                <w:lang w:val="en-US" w:eastAsia="zh-CN"/>
              </w:rPr>
              <w:t>的物质和</w:t>
            </w:r>
            <w:r>
              <w:rPr>
                <w:rFonts w:hint="eastAsia"/>
                <w:color w:val="auto"/>
                <w:lang w:val="en-US" w:eastAsia="zh-CN"/>
              </w:rPr>
              <w:br w:type="textWrapping"/>
            </w:r>
            <w:r>
              <w:rPr>
                <w:rFonts w:hint="eastAsia"/>
                <w:color w:val="auto"/>
                <w:lang w:val="en-US" w:eastAsia="zh-CN"/>
              </w:rPr>
              <w:t>混合物</w:t>
            </w:r>
          </w:p>
        </w:tc>
        <w:tc>
          <w:tcPr>
            <w:tcW w:w="77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default"/>
                <w:color w:val="auto"/>
                <w:lang w:val="en-US"/>
              </w:rPr>
            </w:pPr>
            <w:r>
              <w:rPr>
                <w:rFonts w:hint="eastAsia"/>
                <w:color w:val="auto"/>
                <w:lang w:val="en-US" w:eastAsia="zh-CN"/>
              </w:rPr>
              <w:t>W1.1</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pageBreakBefore w:val="0"/>
              <w:widowControl/>
              <w:suppressLineNumbers w:val="0"/>
              <w:kinsoku/>
              <w:wordWrap/>
              <w:overflowPunct/>
              <w:topLinePunct w:val="0"/>
              <w:autoSpaceDE/>
              <w:autoSpaceDN/>
              <w:bidi w:val="0"/>
              <w:adjustRightInd/>
              <w:snapToGrid/>
              <w:spacing w:line="240" w:lineRule="auto"/>
              <w:ind w:left="-140" w:leftChars="-50" w:right="-140" w:rightChars="-50" w:firstLine="0" w:firstLineChars="0"/>
              <w:jc w:val="center"/>
              <w:textAlignment w:val="center"/>
              <w:rPr>
                <w:rFonts w:hint="eastAsia"/>
                <w:color w:val="auto"/>
              </w:rPr>
            </w:pPr>
            <w:r>
              <w:rPr>
                <w:rFonts w:hint="eastAsia"/>
                <w:color w:val="auto"/>
                <w:lang w:val="en-US" w:eastAsia="zh-CN"/>
              </w:rPr>
              <w:t>1</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四.校正系数 α 的取值</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根据重大危险源的厂区边界向外扩展 500m 范围内常住人口数量，设定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厂外暴露人员校正系数α值，见表 3：</w:t>
      </w:r>
    </w:p>
    <w:p>
      <w:pPr>
        <w:pStyle w:val="53"/>
        <w:rPr>
          <w:rFonts w:hint="eastAsia"/>
          <w:color w:val="auto"/>
          <w:lang w:val="en-US" w:eastAsia="zh-CN"/>
        </w:rPr>
      </w:pPr>
      <w:r>
        <w:rPr>
          <w:rFonts w:hint="eastAsia"/>
          <w:color w:val="auto"/>
          <w:lang w:val="en-US" w:eastAsia="zh-CN"/>
        </w:rPr>
        <w:t>GB18218-2018 表 3 校正系数α取值表</w:t>
      </w:r>
    </w:p>
    <w:tbl>
      <w:tblPr>
        <w:tblStyle w:val="42"/>
        <w:tblW w:w="94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58"/>
        <w:gridCol w:w="5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厂外可能暴露人员数量</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100人以上</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50人～99人</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30人～49人</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1~29人</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35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0人</w:t>
            </w:r>
          </w:p>
        </w:tc>
        <w:tc>
          <w:tcPr>
            <w:tcW w:w="507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spacing w:line="240" w:lineRule="auto"/>
              <w:jc w:val="center"/>
              <w:textAlignment w:val="center"/>
              <w:rPr>
                <w:rFonts w:hint="eastAsia"/>
                <w:color w:val="auto"/>
              </w:rPr>
            </w:pPr>
            <w:r>
              <w:rPr>
                <w:rFonts w:hint="eastAsia"/>
                <w:color w:val="auto"/>
                <w:lang w:val="en-US" w:eastAsia="zh-CN"/>
              </w:rPr>
              <w:t>0.5</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五.分级标准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根据计算出来的R值，按表4确定危险化学品重大危险源的级别。</w:t>
      </w:r>
    </w:p>
    <w:p>
      <w:pPr>
        <w:pStyle w:val="53"/>
        <w:numPr>
          <w:ilvl w:val="-1"/>
          <w:numId w:val="0"/>
        </w:numPr>
        <w:ind w:firstLine="482" w:firstLineChars="200"/>
        <w:rPr>
          <w:rFonts w:hint="eastAsia"/>
          <w:color w:val="auto"/>
          <w:lang w:val="en-US" w:eastAsia="zh-CN"/>
        </w:rPr>
      </w:pPr>
      <w:r>
        <w:rPr>
          <w:rFonts w:hint="eastAsia"/>
          <w:color w:val="auto"/>
          <w:lang w:val="en-US" w:eastAsia="zh-CN"/>
        </w:rPr>
        <w:t>GB18218-2018 表4危险化学品重大危险源级别和 R 值的对应关系</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0"/>
        <w:gridCol w:w="4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危险化学品重大危险源级别</w:t>
            </w:r>
          </w:p>
        </w:tc>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R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0" w:type="dxa"/>
            <w:vAlign w:val="center"/>
          </w:tcPr>
          <w:p>
            <w:pPr>
              <w:pStyle w:val="59"/>
              <w:numPr>
                <w:ilvl w:val="-1"/>
                <w:numId w:val="0"/>
              </w:numPr>
              <w:spacing w:line="240" w:lineRule="auto"/>
              <w:jc w:val="center"/>
              <w:rPr>
                <w:rFonts w:hint="default"/>
                <w:color w:val="auto"/>
                <w:lang w:val="en-US" w:eastAsia="zh-CN"/>
              </w:rPr>
            </w:pPr>
            <w:r>
              <w:rPr>
                <w:rFonts w:hint="eastAsia"/>
                <w:color w:val="auto"/>
                <w:lang w:val="en-US" w:eastAsia="zh-CN"/>
              </w:rPr>
              <w:t>一级</w:t>
            </w:r>
          </w:p>
        </w:tc>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R≥100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0" w:type="dxa"/>
            <w:vAlign w:val="center"/>
          </w:tcPr>
          <w:p>
            <w:pPr>
              <w:pStyle w:val="59"/>
              <w:numPr>
                <w:ilvl w:val="-1"/>
                <w:numId w:val="0"/>
              </w:numPr>
              <w:spacing w:line="240" w:lineRule="auto"/>
              <w:jc w:val="center"/>
              <w:rPr>
                <w:rFonts w:hint="default"/>
                <w:color w:val="auto"/>
                <w:lang w:val="en-US" w:eastAsia="zh-CN"/>
              </w:rPr>
            </w:pPr>
            <w:r>
              <w:rPr>
                <w:rFonts w:hint="eastAsia"/>
                <w:color w:val="auto"/>
                <w:lang w:val="en-US" w:eastAsia="zh-CN"/>
              </w:rPr>
              <w:t>二级</w:t>
            </w:r>
          </w:p>
        </w:tc>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100&gt;R≥50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0" w:type="dxa"/>
            <w:vAlign w:val="center"/>
          </w:tcPr>
          <w:p>
            <w:pPr>
              <w:pStyle w:val="59"/>
              <w:numPr>
                <w:ilvl w:val="-1"/>
                <w:numId w:val="0"/>
              </w:numPr>
              <w:spacing w:line="240" w:lineRule="auto"/>
              <w:jc w:val="center"/>
              <w:rPr>
                <w:rFonts w:hint="default"/>
                <w:color w:val="auto"/>
                <w:lang w:val="en-US" w:eastAsia="zh-CN"/>
              </w:rPr>
            </w:pPr>
            <w:r>
              <w:rPr>
                <w:rFonts w:hint="eastAsia"/>
                <w:color w:val="auto"/>
                <w:lang w:val="en-US" w:eastAsia="zh-CN"/>
              </w:rPr>
              <w:t>三级</w:t>
            </w:r>
          </w:p>
        </w:tc>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50&gt;R≥10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0" w:type="dxa"/>
            <w:vAlign w:val="center"/>
          </w:tcPr>
          <w:p>
            <w:pPr>
              <w:pStyle w:val="59"/>
              <w:numPr>
                <w:ilvl w:val="-1"/>
                <w:numId w:val="0"/>
              </w:numPr>
              <w:spacing w:line="240" w:lineRule="auto"/>
              <w:jc w:val="center"/>
              <w:rPr>
                <w:rFonts w:hint="default"/>
                <w:color w:val="auto"/>
                <w:lang w:val="en-US" w:eastAsia="zh-CN"/>
              </w:rPr>
            </w:pPr>
            <w:r>
              <w:rPr>
                <w:rFonts w:hint="eastAsia"/>
                <w:color w:val="auto"/>
                <w:lang w:val="en-US" w:eastAsia="zh-CN"/>
              </w:rPr>
              <w:t>四级</w:t>
            </w:r>
          </w:p>
        </w:tc>
        <w:tc>
          <w:tcPr>
            <w:tcW w:w="4700" w:type="dxa"/>
            <w:vAlign w:val="center"/>
          </w:tcPr>
          <w:p>
            <w:pPr>
              <w:pStyle w:val="59"/>
              <w:numPr>
                <w:ilvl w:val="-1"/>
                <w:numId w:val="0"/>
              </w:numPr>
              <w:spacing w:line="240" w:lineRule="auto"/>
              <w:jc w:val="center"/>
              <w:rPr>
                <w:rFonts w:hint="eastAsia"/>
                <w:color w:val="auto"/>
                <w:lang w:val="en-US" w:eastAsia="zh-CN"/>
              </w:rPr>
            </w:pPr>
            <w:r>
              <w:rPr>
                <w:rFonts w:hint="eastAsia"/>
                <w:color w:val="auto"/>
                <w:lang w:val="en-US" w:eastAsia="zh-CN"/>
              </w:rPr>
              <w:t>R&lt;10</w:t>
            </w:r>
          </w:p>
        </w:tc>
      </w:tr>
    </w:tbl>
    <w:p>
      <w:pPr>
        <w:pStyle w:val="4"/>
        <w:rPr>
          <w:rFonts w:hint="eastAsia"/>
          <w:color w:val="auto"/>
          <w:lang w:val="en-US" w:eastAsia="zh-CN"/>
        </w:rPr>
      </w:pPr>
      <w:bookmarkStart w:id="912" w:name="_Toc1172"/>
      <w:bookmarkStart w:id="913" w:name="_Toc13297"/>
      <w:bookmarkStart w:id="914" w:name="_Toc23609"/>
      <w:bookmarkStart w:id="915" w:name="_Toc23666"/>
      <w:bookmarkStart w:id="916" w:name="_Toc18894"/>
      <w:bookmarkStart w:id="917" w:name="_Toc556"/>
      <w:r>
        <w:rPr>
          <w:rFonts w:hint="eastAsia"/>
          <w:color w:val="auto"/>
          <w:lang w:val="en-US" w:eastAsia="zh-CN"/>
        </w:rPr>
        <w:t>B.3.2 危险化学品重大危险源辨识过程</w:t>
      </w:r>
      <w:bookmarkEnd w:id="912"/>
      <w:bookmarkEnd w:id="913"/>
      <w:bookmarkEnd w:id="914"/>
      <w:bookmarkEnd w:id="915"/>
      <w:bookmarkEnd w:id="916"/>
      <w:bookmarkEnd w:id="917"/>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1.单元划分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根据基本规定，生产单元是指危险化学品的生产、加工及使用等装置及</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设施，当装置及设施之间有切断阀时，以切断阀作为分隔界限划分独立的单</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元；该公司生产单元按独立的生产装置或单元划分。独立的生产装置（包括</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联合装置）或单元划分为一个生产单元。独立的生产装置（包括联合装置）</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或单元是指生产装置或单元与其周边装置、设施之间防火间距满足标准规定。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单元划分为生产单元和储存单元。依据总平面图，本报告将 101裂解车间粗单体接收罐和101裂解车间划分为同一单元：101裂解车间单元；将102精馏车间、201甲类仓库、203罐区、306公用工程间分别划分为独立的单元。</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2.危险化学品重大危险源物质辨识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依据《危险化学品目录》、GB30000 系列，该项目涉及的危险化学品为：甲基丙烯酸甲酯、对苯二酚、甲醇、甲基丙烯酸、丙烯酸甲酯、柴油、液碱、氮气（压缩的），其中甲醇、甲基丙烯酸、丙烯酸甲酯为反应副产物，并由废气处理系统实时处理，其最大在线量不足0.001t，甲醇、甲基丙烯酸、丙烯酸甲酯的在线量远远小于临界值，因此，不涉及重大危险源。根据《危险化学品重大危险源辨识》（GB18218）和企业提供的资料及类似工程，该项目中甲基丙烯酸甲酯、柴油等属于危险化学品重大危险源辨识范畴内的物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其中柴油主要在公用工程间柴油发电间单独隔间内，拟存放量不大于 150kg。</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（1）生产单元</w:t>
      </w:r>
    </w:p>
    <w:p>
      <w:pPr>
        <w:pStyle w:val="53"/>
        <w:rPr>
          <w:rFonts w:hint="eastAsia"/>
          <w:color w:val="auto"/>
          <w:vertAlign w:val="baseline"/>
          <w:lang w:val="en-US" w:eastAsia="zh-CN"/>
        </w:rPr>
      </w:pPr>
      <w:r>
        <w:rPr>
          <w:rFonts w:hint="eastAsia"/>
          <w:color w:val="auto"/>
          <w:lang w:val="en-US" w:eastAsia="zh-CN"/>
        </w:rPr>
        <w:t>B.3-1 生产单元涉及重大危险源物质辨识一览表</w:t>
      </w:r>
    </w:p>
    <w:tbl>
      <w:tblPr>
        <w:tblStyle w:val="43"/>
        <w:tblW w:w="9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162"/>
        <w:gridCol w:w="1695"/>
        <w:gridCol w:w="1871"/>
        <w:gridCol w:w="2450"/>
        <w:gridCol w:w="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Align w:val="center"/>
          </w:tcPr>
          <w:p>
            <w:pPr>
              <w:pStyle w:val="59"/>
              <w:spacing w:before="0" w:after="0" w:line="240" w:lineRule="auto"/>
              <w:ind w:left="0" w:right="0"/>
              <w:jc w:val="center"/>
              <w:rPr>
                <w:color w:val="auto"/>
              </w:rPr>
            </w:pPr>
            <w:r>
              <w:rPr>
                <w:color w:val="auto"/>
              </w:rPr>
              <w:t>序</w:t>
            </w:r>
          </w:p>
          <w:p>
            <w:pPr>
              <w:pStyle w:val="59"/>
              <w:spacing w:before="0" w:after="0" w:line="240" w:lineRule="auto"/>
              <w:ind w:left="0" w:leftChars="0" w:right="0" w:rightChars="0"/>
              <w:jc w:val="center"/>
              <w:rPr>
                <w:rFonts w:hint="eastAsia"/>
                <w:color w:val="auto"/>
                <w:lang w:val="en-US" w:eastAsia="zh-CN"/>
              </w:rPr>
            </w:pPr>
            <w:r>
              <w:rPr>
                <w:color w:val="auto"/>
              </w:rPr>
              <w:t>号</w:t>
            </w:r>
          </w:p>
        </w:tc>
        <w:tc>
          <w:tcPr>
            <w:tcW w:w="2162"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单元名称</w:t>
            </w:r>
          </w:p>
        </w:tc>
        <w:tc>
          <w:tcPr>
            <w:tcW w:w="1695"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涉及工艺情况</w:t>
            </w:r>
          </w:p>
        </w:tc>
        <w:tc>
          <w:tcPr>
            <w:tcW w:w="1871"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涉及的重大危险源辨识</w:t>
            </w:r>
            <w:r>
              <w:rPr>
                <w:rFonts w:hint="eastAsia"/>
                <w:color w:val="auto"/>
                <w:lang w:val="en-US" w:eastAsia="zh-CN"/>
              </w:rPr>
              <w:t>范畴</w:t>
            </w:r>
            <w:r>
              <w:rPr>
                <w:color w:val="auto"/>
              </w:rPr>
              <w:t>物质</w:t>
            </w:r>
          </w:p>
        </w:tc>
        <w:tc>
          <w:tcPr>
            <w:tcW w:w="2450"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涉及的设备及操作条件</w:t>
            </w:r>
          </w:p>
        </w:tc>
        <w:tc>
          <w:tcPr>
            <w:tcW w:w="583"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1</w:t>
            </w:r>
          </w:p>
        </w:tc>
        <w:tc>
          <w:tcPr>
            <w:tcW w:w="2162"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101 </w:t>
            </w:r>
            <w:r>
              <w:rPr>
                <w:rFonts w:hint="eastAsia"/>
                <w:color w:val="auto"/>
                <w:lang w:val="en-US" w:eastAsia="zh-CN"/>
              </w:rPr>
              <w:t>裂解</w:t>
            </w:r>
            <w:r>
              <w:rPr>
                <w:color w:val="auto"/>
              </w:rPr>
              <w:t>车间单元</w:t>
            </w:r>
          </w:p>
        </w:tc>
        <w:tc>
          <w:tcPr>
            <w:tcW w:w="1695" w:type="dxa"/>
            <w:vAlign w:val="center"/>
          </w:tcPr>
          <w:p>
            <w:pPr>
              <w:pStyle w:val="59"/>
              <w:spacing w:before="0" w:after="0" w:line="240" w:lineRule="auto"/>
              <w:ind w:left="0" w:leftChars="0" w:right="0" w:rightChars="0"/>
              <w:jc w:val="center"/>
              <w:rPr>
                <w:rFonts w:hint="default"/>
                <w:color w:val="auto"/>
                <w:lang w:val="en-US" w:eastAsia="zh-CN"/>
              </w:rPr>
            </w:pPr>
            <w:r>
              <w:rPr>
                <w:rFonts w:hint="eastAsia"/>
                <w:color w:val="auto"/>
                <w:lang w:val="en-US" w:eastAsia="zh-CN"/>
              </w:rPr>
              <w:t>裂解工艺</w:t>
            </w:r>
          </w:p>
        </w:tc>
        <w:tc>
          <w:tcPr>
            <w:tcW w:w="1871" w:type="dxa"/>
            <w:vAlign w:val="center"/>
          </w:tcPr>
          <w:p>
            <w:pPr>
              <w:pStyle w:val="59"/>
              <w:spacing w:before="0" w:after="0" w:line="240" w:lineRule="auto"/>
              <w:ind w:left="0" w:leftChars="0" w:right="0" w:rightChars="0"/>
              <w:jc w:val="center"/>
              <w:rPr>
                <w:rFonts w:hint="eastAsia"/>
                <w:color w:val="auto"/>
                <w:lang w:val="en-US" w:eastAsia="zh-CN"/>
              </w:rPr>
            </w:pPr>
            <w:r>
              <w:rPr>
                <w:rFonts w:hint="eastAsia"/>
                <w:color w:val="auto"/>
                <w:lang w:val="en-US" w:eastAsia="zh-CN"/>
              </w:rPr>
              <w:t>甲基丙烯酸甲酯</w:t>
            </w:r>
          </w:p>
        </w:tc>
        <w:tc>
          <w:tcPr>
            <w:tcW w:w="2450" w:type="dxa"/>
            <w:vAlign w:val="center"/>
          </w:tcPr>
          <w:p>
            <w:pPr>
              <w:pStyle w:val="59"/>
              <w:spacing w:before="0" w:after="0" w:line="240" w:lineRule="auto"/>
              <w:ind w:left="0" w:right="0"/>
              <w:jc w:val="center"/>
              <w:rPr>
                <w:color w:val="auto"/>
              </w:rPr>
            </w:pPr>
            <w:r>
              <w:rPr>
                <w:color w:val="auto"/>
              </w:rPr>
              <w:t>设备及操作条件情况具</w:t>
            </w:r>
          </w:p>
          <w:p>
            <w:pPr>
              <w:pStyle w:val="59"/>
              <w:spacing w:before="0" w:after="0" w:line="240" w:lineRule="auto"/>
              <w:ind w:left="0" w:leftChars="0" w:right="0" w:rightChars="0"/>
              <w:jc w:val="center"/>
              <w:rPr>
                <w:rFonts w:hint="eastAsia"/>
                <w:color w:val="auto"/>
                <w:lang w:val="en-US" w:eastAsia="zh-CN"/>
              </w:rPr>
            </w:pPr>
            <w:r>
              <w:rPr>
                <w:color w:val="auto"/>
              </w:rPr>
              <w:t>体见 2.4 节</w:t>
            </w:r>
          </w:p>
        </w:tc>
        <w:tc>
          <w:tcPr>
            <w:tcW w:w="583" w:type="dxa"/>
            <w:vAlign w:val="center"/>
          </w:tcPr>
          <w:p>
            <w:pPr>
              <w:pStyle w:val="59"/>
              <w:spacing w:line="240" w:lineRule="auto"/>
              <w:jc w:val="both"/>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2</w:t>
            </w:r>
          </w:p>
        </w:tc>
        <w:tc>
          <w:tcPr>
            <w:tcW w:w="2162" w:type="dxa"/>
            <w:vAlign w:val="center"/>
          </w:tcPr>
          <w:p>
            <w:pPr>
              <w:pStyle w:val="59"/>
              <w:spacing w:before="0" w:after="0" w:line="240" w:lineRule="auto"/>
              <w:ind w:left="0" w:leftChars="0" w:right="0" w:rightChars="0"/>
              <w:jc w:val="center"/>
              <w:rPr>
                <w:rFonts w:hint="eastAsia"/>
                <w:color w:val="auto"/>
                <w:lang w:val="en-US" w:eastAsia="zh-CN"/>
              </w:rPr>
            </w:pPr>
            <w:r>
              <w:rPr>
                <w:rFonts w:hint="eastAsia"/>
                <w:color w:val="auto"/>
                <w:lang w:val="en-US" w:eastAsia="zh-CN"/>
              </w:rPr>
              <w:t>102精馏车间单元</w:t>
            </w:r>
          </w:p>
        </w:tc>
        <w:tc>
          <w:tcPr>
            <w:tcW w:w="1695" w:type="dxa"/>
            <w:vAlign w:val="center"/>
          </w:tcPr>
          <w:p>
            <w:pPr>
              <w:pStyle w:val="59"/>
              <w:spacing w:before="0" w:after="0" w:line="240" w:lineRule="auto"/>
              <w:ind w:left="0" w:leftChars="0" w:right="0" w:rightChars="0"/>
              <w:jc w:val="center"/>
              <w:rPr>
                <w:rFonts w:hint="default"/>
                <w:color w:val="auto"/>
                <w:lang w:val="en-US" w:eastAsia="zh-CN"/>
              </w:rPr>
            </w:pPr>
            <w:r>
              <w:rPr>
                <w:rFonts w:hint="eastAsia"/>
                <w:color w:val="auto"/>
                <w:lang w:val="en-US" w:eastAsia="zh-CN"/>
              </w:rPr>
              <w:t>精馏工艺</w:t>
            </w:r>
          </w:p>
        </w:tc>
        <w:tc>
          <w:tcPr>
            <w:tcW w:w="1871" w:type="dxa"/>
            <w:vAlign w:val="center"/>
          </w:tcPr>
          <w:p>
            <w:pPr>
              <w:pStyle w:val="59"/>
              <w:spacing w:before="0" w:after="0" w:line="240" w:lineRule="auto"/>
              <w:ind w:left="0" w:leftChars="0" w:right="0" w:rightChars="0"/>
              <w:jc w:val="center"/>
              <w:rPr>
                <w:rFonts w:hint="eastAsia"/>
                <w:color w:val="auto"/>
                <w:lang w:val="en-US" w:eastAsia="zh-CN"/>
              </w:rPr>
            </w:pPr>
            <w:r>
              <w:rPr>
                <w:rFonts w:hint="eastAsia"/>
                <w:color w:val="auto"/>
                <w:lang w:val="en-US" w:eastAsia="zh-CN"/>
              </w:rPr>
              <w:t>甲基丙烯酸甲酯</w:t>
            </w:r>
          </w:p>
        </w:tc>
        <w:tc>
          <w:tcPr>
            <w:tcW w:w="2450" w:type="dxa"/>
            <w:vAlign w:val="center"/>
          </w:tcPr>
          <w:p>
            <w:pPr>
              <w:pStyle w:val="59"/>
              <w:spacing w:before="0" w:after="0" w:line="240" w:lineRule="auto"/>
              <w:ind w:left="0" w:right="0"/>
              <w:jc w:val="center"/>
              <w:rPr>
                <w:color w:val="auto"/>
              </w:rPr>
            </w:pPr>
            <w:r>
              <w:rPr>
                <w:color w:val="auto"/>
              </w:rPr>
              <w:t>设备及操作条件情况具</w:t>
            </w:r>
          </w:p>
          <w:p>
            <w:pPr>
              <w:pStyle w:val="59"/>
              <w:spacing w:before="0" w:after="0" w:line="240" w:lineRule="auto"/>
              <w:ind w:left="0" w:leftChars="0" w:right="0" w:rightChars="0"/>
              <w:jc w:val="center"/>
              <w:rPr>
                <w:rFonts w:hint="eastAsia"/>
                <w:color w:val="auto"/>
                <w:lang w:val="en-US" w:eastAsia="zh-CN"/>
              </w:rPr>
            </w:pPr>
            <w:r>
              <w:rPr>
                <w:color w:val="auto"/>
              </w:rPr>
              <w:t>体见 2.4 节</w:t>
            </w:r>
          </w:p>
        </w:tc>
        <w:tc>
          <w:tcPr>
            <w:tcW w:w="583" w:type="dxa"/>
            <w:vAlign w:val="center"/>
          </w:tcPr>
          <w:p>
            <w:pPr>
              <w:pStyle w:val="59"/>
              <w:spacing w:line="240" w:lineRule="auto"/>
              <w:jc w:val="both"/>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596" w:type="dxa"/>
            <w:vAlign w:val="center"/>
          </w:tcPr>
          <w:p>
            <w:pPr>
              <w:pStyle w:val="59"/>
              <w:spacing w:before="0" w:after="0" w:line="240" w:lineRule="auto"/>
              <w:ind w:left="0" w:leftChars="0" w:right="0" w:rightChars="0"/>
              <w:jc w:val="center"/>
              <w:rPr>
                <w:rFonts w:hint="eastAsia"/>
                <w:color w:val="auto"/>
                <w:lang w:val="en-US" w:eastAsia="zh-CN"/>
              </w:rPr>
            </w:pPr>
            <w:r>
              <w:rPr>
                <w:rFonts w:hint="eastAsia"/>
                <w:color w:val="auto"/>
                <w:lang w:val="en-US" w:eastAsia="zh-CN"/>
              </w:rPr>
              <w:t>3</w:t>
            </w:r>
          </w:p>
        </w:tc>
        <w:tc>
          <w:tcPr>
            <w:tcW w:w="2162"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301 公用工程间单元</w:t>
            </w:r>
          </w:p>
        </w:tc>
        <w:tc>
          <w:tcPr>
            <w:tcW w:w="1695"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w:t>
            </w:r>
          </w:p>
        </w:tc>
        <w:tc>
          <w:tcPr>
            <w:tcW w:w="1871"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柴油</w:t>
            </w:r>
          </w:p>
        </w:tc>
        <w:tc>
          <w:tcPr>
            <w:tcW w:w="2450"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常温常压</w:t>
            </w:r>
          </w:p>
        </w:tc>
        <w:tc>
          <w:tcPr>
            <w:tcW w:w="583" w:type="dxa"/>
            <w:vAlign w:val="center"/>
          </w:tcPr>
          <w:p>
            <w:pPr>
              <w:pStyle w:val="59"/>
              <w:spacing w:line="240" w:lineRule="auto"/>
              <w:jc w:val="both"/>
              <w:rPr>
                <w:rFonts w:hint="eastAsia"/>
                <w:color w:val="auto"/>
                <w:lang w:val="en-US" w:eastAsia="zh-CN"/>
              </w:rPr>
            </w:pPr>
          </w:p>
        </w:tc>
      </w:tr>
    </w:tbl>
    <w:p>
      <w:pPr>
        <w:numPr>
          <w:ilvl w:val="0"/>
          <w:numId w:val="12"/>
        </w:numPr>
        <w:ind w:firstLine="560" w:firstLineChars="200"/>
        <w:rPr>
          <w:rFonts w:hint="eastAsia"/>
          <w:color w:val="auto"/>
          <w:lang w:val="en-US" w:eastAsia="zh-CN"/>
        </w:rPr>
      </w:pPr>
      <w:r>
        <w:rPr>
          <w:rFonts w:hint="eastAsia"/>
          <w:color w:val="auto"/>
          <w:lang w:val="en-US" w:eastAsia="zh-CN"/>
        </w:rPr>
        <w:t>存储单元</w:t>
      </w:r>
    </w:p>
    <w:p>
      <w:pPr>
        <w:numPr>
          <w:ilvl w:val="-1"/>
          <w:numId w:val="0"/>
        </w:numPr>
        <w:ind w:firstLine="0" w:firstLineChars="0"/>
        <w:rPr>
          <w:rFonts w:hint="default"/>
          <w:color w:val="auto"/>
          <w:lang w:val="en-US" w:eastAsia="zh-CN"/>
        </w:rPr>
      </w:pPr>
      <w:r>
        <w:rPr>
          <w:rFonts w:hint="eastAsia"/>
          <w:color w:val="auto"/>
          <w:lang w:val="en-US" w:eastAsia="zh-CN"/>
        </w:rPr>
        <w:t>表B.3-2储存单元涉及重大危险源物质辨识一览表</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2464"/>
        <w:gridCol w:w="4200"/>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序号</w:t>
            </w:r>
          </w:p>
        </w:tc>
        <w:tc>
          <w:tcPr>
            <w:tcW w:w="2464"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场所</w:t>
            </w:r>
          </w:p>
        </w:tc>
        <w:tc>
          <w:tcPr>
            <w:tcW w:w="4200"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涉及的重大危险源辨识</w:t>
            </w:r>
            <w:r>
              <w:rPr>
                <w:rFonts w:hint="eastAsia"/>
                <w:color w:val="auto"/>
                <w:lang w:val="en-US" w:eastAsia="zh-CN"/>
              </w:rPr>
              <w:t>范畴</w:t>
            </w:r>
            <w:r>
              <w:rPr>
                <w:color w:val="auto"/>
              </w:rPr>
              <w:t>物质基本情况</w:t>
            </w:r>
          </w:p>
        </w:tc>
        <w:tc>
          <w:tcPr>
            <w:tcW w:w="2121" w:type="dxa"/>
            <w:vAlign w:val="center"/>
          </w:tcPr>
          <w:p>
            <w:pPr>
              <w:pStyle w:val="59"/>
              <w:spacing w:before="0" w:after="0" w:line="240" w:lineRule="auto"/>
              <w:ind w:left="0" w:leftChars="0" w:right="0" w:rightChars="0"/>
              <w:jc w:val="center"/>
              <w:rPr>
                <w:rFonts w:hint="eastAsia"/>
                <w:color w:val="auto"/>
                <w:lang w:val="en-US" w:eastAsia="zh-CN"/>
              </w:rPr>
            </w:pPr>
            <w:r>
              <w:rPr>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pPr>
              <w:pStyle w:val="59"/>
              <w:spacing w:before="0" w:after="0" w:line="295" w:lineRule="exact"/>
              <w:ind w:left="0" w:leftChars="0" w:right="0" w:rightChars="0"/>
              <w:jc w:val="center"/>
              <w:rPr>
                <w:rFonts w:hint="eastAsia"/>
                <w:color w:val="auto"/>
                <w:lang w:val="en-US" w:eastAsia="zh-CN"/>
              </w:rPr>
            </w:pPr>
            <w:r>
              <w:rPr>
                <w:color w:val="auto"/>
              </w:rPr>
              <w:t>1</w:t>
            </w:r>
          </w:p>
        </w:tc>
        <w:tc>
          <w:tcPr>
            <w:tcW w:w="2464" w:type="dxa"/>
            <w:vAlign w:val="center"/>
          </w:tcPr>
          <w:p>
            <w:pPr>
              <w:pStyle w:val="59"/>
              <w:spacing w:before="0" w:after="0" w:line="295" w:lineRule="exact"/>
              <w:ind w:left="175" w:leftChars="0" w:right="-239" w:rightChars="0"/>
              <w:rPr>
                <w:rFonts w:hint="eastAsia"/>
                <w:color w:val="auto"/>
                <w:lang w:val="en-US" w:eastAsia="zh-CN"/>
              </w:rPr>
            </w:pPr>
            <w:r>
              <w:rPr>
                <w:color w:val="auto"/>
              </w:rPr>
              <w:t>201 </w:t>
            </w:r>
            <w:r>
              <w:rPr>
                <w:rFonts w:hint="eastAsia"/>
                <w:color w:val="auto"/>
                <w:lang w:val="en-US" w:eastAsia="zh-CN"/>
              </w:rPr>
              <w:t>甲类仓库</w:t>
            </w:r>
            <w:r>
              <w:rPr>
                <w:color w:val="auto"/>
              </w:rPr>
              <w:t>单元</w:t>
            </w:r>
          </w:p>
        </w:tc>
        <w:tc>
          <w:tcPr>
            <w:tcW w:w="4200" w:type="dxa"/>
            <w:vAlign w:val="center"/>
          </w:tcPr>
          <w:p>
            <w:pPr>
              <w:pStyle w:val="59"/>
              <w:spacing w:before="0" w:after="0" w:line="240" w:lineRule="auto"/>
              <w:ind w:left="0" w:leftChars="0" w:right="0" w:rightChars="0"/>
              <w:jc w:val="center"/>
              <w:rPr>
                <w:rFonts w:hint="eastAsia"/>
                <w:color w:val="auto"/>
                <w:lang w:val="en-US" w:eastAsia="zh-CN"/>
              </w:rPr>
            </w:pPr>
            <w:r>
              <w:rPr>
                <w:rFonts w:hint="eastAsia"/>
                <w:color w:val="auto"/>
                <w:lang w:val="en-US" w:eastAsia="zh-CN"/>
              </w:rPr>
              <w:t>甲基丙烯酸甲酯</w:t>
            </w:r>
          </w:p>
        </w:tc>
        <w:tc>
          <w:tcPr>
            <w:tcW w:w="2121" w:type="dxa"/>
            <w:vAlign w:val="center"/>
          </w:tcPr>
          <w:p>
            <w:pPr>
              <w:pStyle w:val="59"/>
              <w:spacing w:line="280" w:lineRule="exact"/>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pPr>
              <w:pStyle w:val="59"/>
              <w:spacing w:before="0" w:after="0" w:line="292" w:lineRule="exact"/>
              <w:ind w:left="0" w:leftChars="0" w:right="0" w:rightChars="0"/>
              <w:jc w:val="center"/>
              <w:rPr>
                <w:rFonts w:hint="eastAsia"/>
                <w:color w:val="auto"/>
                <w:lang w:val="en-US" w:eastAsia="zh-CN"/>
              </w:rPr>
            </w:pPr>
            <w:r>
              <w:rPr>
                <w:color w:val="auto"/>
              </w:rPr>
              <w:t>2</w:t>
            </w:r>
          </w:p>
        </w:tc>
        <w:tc>
          <w:tcPr>
            <w:tcW w:w="2464" w:type="dxa"/>
            <w:vAlign w:val="center"/>
          </w:tcPr>
          <w:p>
            <w:pPr>
              <w:pStyle w:val="59"/>
              <w:spacing w:before="0" w:after="0" w:line="292" w:lineRule="exact"/>
              <w:ind w:left="175" w:leftChars="0" w:right="-239" w:rightChars="0"/>
              <w:rPr>
                <w:rFonts w:hint="eastAsia"/>
                <w:color w:val="auto"/>
                <w:lang w:val="en-US" w:eastAsia="zh-CN"/>
              </w:rPr>
            </w:pPr>
            <w:r>
              <w:rPr>
                <w:color w:val="auto"/>
              </w:rPr>
              <w:t>20</w:t>
            </w:r>
            <w:r>
              <w:rPr>
                <w:rFonts w:hint="eastAsia"/>
                <w:color w:val="auto"/>
                <w:lang w:val="en-US" w:eastAsia="zh-CN"/>
              </w:rPr>
              <w:t>3</w:t>
            </w:r>
            <w:r>
              <w:rPr>
                <w:color w:val="auto"/>
              </w:rPr>
              <w:t>罐区单元</w:t>
            </w:r>
          </w:p>
        </w:tc>
        <w:tc>
          <w:tcPr>
            <w:tcW w:w="4200" w:type="dxa"/>
            <w:vAlign w:val="center"/>
          </w:tcPr>
          <w:p>
            <w:pPr>
              <w:pStyle w:val="59"/>
              <w:spacing w:before="0" w:after="0" w:line="240" w:lineRule="auto"/>
              <w:ind w:left="0" w:leftChars="0" w:right="0" w:rightChars="0" w:firstLine="0" w:firstLineChars="0"/>
              <w:jc w:val="center"/>
              <w:rPr>
                <w:rFonts w:hint="eastAsia"/>
                <w:color w:val="auto"/>
                <w:lang w:val="en-US" w:eastAsia="zh-CN"/>
              </w:rPr>
            </w:pPr>
            <w:r>
              <w:rPr>
                <w:rFonts w:hint="eastAsia"/>
                <w:color w:val="auto"/>
                <w:lang w:val="en-US" w:eastAsia="zh-CN"/>
              </w:rPr>
              <w:t>甲基丙烯酸甲酯</w:t>
            </w:r>
          </w:p>
        </w:tc>
        <w:tc>
          <w:tcPr>
            <w:tcW w:w="2121" w:type="dxa"/>
            <w:vAlign w:val="center"/>
          </w:tcPr>
          <w:p>
            <w:pPr>
              <w:pStyle w:val="59"/>
              <w:spacing w:line="240" w:lineRule="auto"/>
              <w:rPr>
                <w:rFonts w:hint="eastAsia"/>
                <w:color w:val="auto"/>
                <w:lang w:val="en-US" w:eastAsia="zh-CN"/>
              </w:rPr>
            </w:pPr>
          </w:p>
        </w:tc>
      </w:tr>
    </w:tbl>
    <w:p>
      <w:pPr>
        <w:numPr>
          <w:ilvl w:val="-1"/>
          <w:numId w:val="0"/>
        </w:numPr>
        <w:ind w:firstLine="562" w:firstLineChars="200"/>
        <w:rPr>
          <w:rFonts w:hint="default"/>
          <w:b/>
          <w:bCs/>
          <w:color w:val="auto"/>
          <w:highlight w:val="none"/>
          <w:lang w:val="en-US" w:eastAsia="zh-CN"/>
        </w:rPr>
      </w:pPr>
      <w:r>
        <w:rPr>
          <w:rFonts w:hint="eastAsia"/>
          <w:b/>
          <w:bCs/>
          <w:color w:val="auto"/>
          <w:highlight w:val="none"/>
          <w:lang w:val="en-US" w:eastAsia="zh-CN"/>
        </w:rPr>
        <w:t>3临界量</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依据企业提供的工艺及设备情况，该公司涉及重大危险源辨识的物质临</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界量如下表。</w:t>
      </w:r>
    </w:p>
    <w:p>
      <w:pPr>
        <w:pStyle w:val="53"/>
        <w:bidi w:val="0"/>
        <w:rPr>
          <w:color w:val="auto"/>
        </w:rPr>
      </w:pPr>
      <w:r>
        <w:rPr>
          <w:color w:val="auto"/>
        </w:rPr>
        <w:t>表</w:t>
      </w:r>
      <w:r>
        <w:rPr>
          <w:rFonts w:hint="eastAsia"/>
          <w:color w:val="auto"/>
          <w:highlight w:val="none"/>
          <w:lang w:val="en-US" w:eastAsia="zh-CN"/>
        </w:rPr>
        <w:t xml:space="preserve"> B.3-3</w:t>
      </w:r>
      <w:r>
        <w:rPr>
          <w:rFonts w:hint="eastAsia"/>
          <w:color w:val="auto"/>
        </w:rPr>
        <w:t xml:space="preserve"> </w:t>
      </w:r>
      <w:r>
        <w:rPr>
          <w:color w:val="auto"/>
        </w:rPr>
        <w:t>GB18218-2018</w:t>
      </w:r>
      <w:r>
        <w:rPr>
          <w:rFonts w:hint="eastAsia"/>
          <w:color w:val="auto"/>
        </w:rPr>
        <w:t>表2列出的物质</w:t>
      </w:r>
    </w:p>
    <w:tbl>
      <w:tblPr>
        <w:tblStyle w:val="42"/>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75"/>
        <w:gridCol w:w="1686"/>
        <w:gridCol w:w="1350"/>
        <w:gridCol w:w="2979"/>
        <w:gridCol w:w="900"/>
        <w:gridCol w:w="1135"/>
        <w:gridCol w:w="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75" w:type="dxa"/>
            <w:noWrap w:val="0"/>
            <w:vAlign w:val="center"/>
          </w:tcPr>
          <w:p>
            <w:pPr>
              <w:pStyle w:val="59"/>
              <w:jc w:val="center"/>
              <w:rPr>
                <w:color w:val="auto"/>
                <w:lang w:val="zh-CN"/>
              </w:rPr>
            </w:pPr>
            <w:r>
              <w:rPr>
                <w:color w:val="auto"/>
                <w:lang w:val="zh-CN"/>
              </w:rPr>
              <w:t>序号</w:t>
            </w:r>
          </w:p>
        </w:tc>
        <w:tc>
          <w:tcPr>
            <w:tcW w:w="1686" w:type="dxa"/>
            <w:noWrap w:val="0"/>
            <w:vAlign w:val="center"/>
          </w:tcPr>
          <w:p>
            <w:pPr>
              <w:pStyle w:val="59"/>
              <w:jc w:val="center"/>
              <w:rPr>
                <w:color w:val="auto"/>
                <w:lang w:val="zh-CN"/>
              </w:rPr>
            </w:pPr>
            <w:r>
              <w:rPr>
                <w:color w:val="auto"/>
                <w:lang w:val="zh-CN"/>
              </w:rPr>
              <w:t>名称</w:t>
            </w:r>
          </w:p>
        </w:tc>
        <w:tc>
          <w:tcPr>
            <w:tcW w:w="1350" w:type="dxa"/>
            <w:noWrap w:val="0"/>
            <w:vAlign w:val="center"/>
          </w:tcPr>
          <w:p>
            <w:pPr>
              <w:pStyle w:val="59"/>
              <w:jc w:val="center"/>
              <w:rPr>
                <w:color w:val="auto"/>
                <w:lang w:val="zh-CN"/>
              </w:rPr>
            </w:pPr>
            <w:r>
              <w:rPr>
                <w:rFonts w:hint="eastAsia"/>
                <w:color w:val="auto"/>
                <w:lang w:val="zh-CN"/>
              </w:rPr>
              <w:t>危险性</w:t>
            </w:r>
            <w:r>
              <w:rPr>
                <w:color w:val="auto"/>
                <w:lang w:val="zh-CN"/>
              </w:rPr>
              <w:t>分类</w:t>
            </w:r>
          </w:p>
        </w:tc>
        <w:tc>
          <w:tcPr>
            <w:tcW w:w="2979" w:type="dxa"/>
            <w:noWrap w:val="0"/>
            <w:vAlign w:val="center"/>
          </w:tcPr>
          <w:p>
            <w:pPr>
              <w:pStyle w:val="59"/>
              <w:jc w:val="center"/>
              <w:rPr>
                <w:rFonts w:ascii="Arial" w:hAnsi="Arial" w:eastAsia="宋体" w:cs="Times New Roman"/>
                <w:color w:val="auto"/>
                <w:kern w:val="2"/>
                <w:sz w:val="21"/>
                <w:szCs w:val="24"/>
                <w:lang w:val="zh-CN" w:eastAsia="zh-CN" w:bidi="ar-SA"/>
              </w:rPr>
            </w:pPr>
            <w:r>
              <w:rPr>
                <w:rFonts w:hint="eastAsia"/>
                <w:color w:val="auto"/>
                <w:lang w:val="zh-CN"/>
              </w:rPr>
              <w:t>说明</w:t>
            </w:r>
          </w:p>
        </w:tc>
        <w:tc>
          <w:tcPr>
            <w:tcW w:w="900" w:type="dxa"/>
            <w:noWrap w:val="0"/>
            <w:vAlign w:val="center"/>
          </w:tcPr>
          <w:p>
            <w:pPr>
              <w:pStyle w:val="59"/>
              <w:jc w:val="center"/>
              <w:rPr>
                <w:rFonts w:hint="eastAsia" w:eastAsia="宋体"/>
                <w:color w:val="auto"/>
                <w:lang w:val="en-US" w:eastAsia="zh-CN"/>
              </w:rPr>
            </w:pPr>
            <w:r>
              <w:rPr>
                <w:rFonts w:hint="eastAsia"/>
                <w:color w:val="auto"/>
                <w:lang w:val="en-US" w:eastAsia="zh-CN"/>
              </w:rPr>
              <w:t>分类</w:t>
            </w:r>
          </w:p>
        </w:tc>
        <w:tc>
          <w:tcPr>
            <w:tcW w:w="1135" w:type="dxa"/>
            <w:noWrap w:val="0"/>
            <w:vAlign w:val="center"/>
          </w:tcPr>
          <w:p>
            <w:pPr>
              <w:pStyle w:val="59"/>
              <w:jc w:val="center"/>
              <w:rPr>
                <w:color w:val="auto"/>
                <w:lang w:val="zh-CN"/>
              </w:rPr>
            </w:pPr>
            <w:r>
              <w:rPr>
                <w:color w:val="auto"/>
                <w:lang w:val="zh-CN"/>
              </w:rPr>
              <w:t>临界量（t）</w:t>
            </w:r>
          </w:p>
        </w:tc>
        <w:tc>
          <w:tcPr>
            <w:tcW w:w="766" w:type="dxa"/>
            <w:noWrap w:val="0"/>
            <w:vAlign w:val="center"/>
          </w:tcPr>
          <w:p>
            <w:pPr>
              <w:pStyle w:val="59"/>
              <w:jc w:val="center"/>
              <w:rPr>
                <w:color w:val="auto"/>
                <w:lang w:val="zh-CN"/>
              </w:rPr>
            </w:pPr>
            <w:r>
              <w:rPr>
                <w:rFonts w:hint="eastAsia"/>
                <w:color w:val="auto"/>
                <w:lang w:val="zh-CN"/>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75" w:type="dxa"/>
            <w:vMerge w:val="restart"/>
            <w:noWrap w:val="0"/>
            <w:vAlign w:val="center"/>
          </w:tcPr>
          <w:p>
            <w:pPr>
              <w:pStyle w:val="59"/>
              <w:jc w:val="center"/>
              <w:rPr>
                <w:color w:val="auto"/>
              </w:rPr>
            </w:pPr>
            <w:r>
              <w:rPr>
                <w:color w:val="auto"/>
              </w:rPr>
              <w:t>1</w:t>
            </w:r>
          </w:p>
        </w:tc>
        <w:tc>
          <w:tcPr>
            <w:tcW w:w="1686" w:type="dxa"/>
            <w:vMerge w:val="restart"/>
            <w:noWrap w:val="0"/>
            <w:vAlign w:val="center"/>
          </w:tcPr>
          <w:p>
            <w:pPr>
              <w:pStyle w:val="59"/>
              <w:rPr>
                <w:color w:val="auto"/>
              </w:rPr>
            </w:pPr>
            <w:r>
              <w:rPr>
                <w:color w:val="auto"/>
              </w:rPr>
              <w:t>甲基丙烯酸甲酯</w:t>
            </w:r>
          </w:p>
        </w:tc>
        <w:tc>
          <w:tcPr>
            <w:tcW w:w="1350" w:type="dxa"/>
            <w:vMerge w:val="restart"/>
            <w:noWrap w:val="0"/>
            <w:vAlign w:val="center"/>
          </w:tcPr>
          <w:p>
            <w:pPr>
              <w:pStyle w:val="59"/>
              <w:rPr>
                <w:color w:val="auto"/>
                <w:lang w:val="zh-CN"/>
              </w:rPr>
            </w:pPr>
            <w:r>
              <w:rPr>
                <w:color w:val="auto"/>
                <w:lang w:val="zh-CN"/>
              </w:rPr>
              <w:t>易燃液体，类别</w:t>
            </w:r>
            <w:r>
              <w:rPr>
                <w:rFonts w:hint="eastAsia"/>
                <w:color w:val="auto"/>
                <w:lang w:val="zh-CN"/>
              </w:rPr>
              <w:t>2</w:t>
            </w:r>
          </w:p>
        </w:tc>
        <w:tc>
          <w:tcPr>
            <w:tcW w:w="2979" w:type="dxa"/>
            <w:noWrap w:val="0"/>
            <w:vAlign w:val="center"/>
          </w:tcPr>
          <w:p>
            <w:pPr>
              <w:pStyle w:val="59"/>
              <w:rPr>
                <w:color w:val="auto"/>
                <w:lang w:val="zh-CN"/>
              </w:rPr>
            </w:pPr>
            <w:r>
              <w:rPr>
                <w:color w:val="auto"/>
                <w:lang w:val="zh-CN"/>
              </w:rPr>
              <w:t>工作温度高于沸点</w:t>
            </w:r>
          </w:p>
        </w:tc>
        <w:tc>
          <w:tcPr>
            <w:tcW w:w="900" w:type="dxa"/>
            <w:noWrap w:val="0"/>
            <w:vAlign w:val="center"/>
          </w:tcPr>
          <w:p>
            <w:pPr>
              <w:pStyle w:val="59"/>
              <w:jc w:val="center"/>
              <w:rPr>
                <w:rFonts w:hint="eastAsia"/>
                <w:color w:val="auto"/>
                <w:lang w:val="zh-CN"/>
              </w:rPr>
            </w:pPr>
            <w:r>
              <w:rPr>
                <w:rFonts w:hint="eastAsia"/>
                <w:color w:val="auto"/>
                <w:lang w:val="en-US" w:eastAsia="zh-CN"/>
              </w:rPr>
              <w:t>W5.1</w:t>
            </w:r>
          </w:p>
        </w:tc>
        <w:tc>
          <w:tcPr>
            <w:tcW w:w="1135" w:type="dxa"/>
            <w:noWrap w:val="0"/>
            <w:vAlign w:val="center"/>
          </w:tcPr>
          <w:p>
            <w:pPr>
              <w:pStyle w:val="59"/>
              <w:jc w:val="center"/>
              <w:rPr>
                <w:rFonts w:hint="eastAsia"/>
                <w:color w:val="auto"/>
                <w:lang w:val="zh-CN"/>
              </w:rPr>
            </w:pPr>
            <w:r>
              <w:rPr>
                <w:rFonts w:hint="eastAsia"/>
                <w:color w:val="auto"/>
                <w:lang w:val="zh-CN"/>
              </w:rPr>
              <w:t>10</w:t>
            </w:r>
          </w:p>
        </w:tc>
        <w:tc>
          <w:tcPr>
            <w:tcW w:w="766" w:type="dxa"/>
            <w:noWrap w:val="0"/>
            <w:vAlign w:val="center"/>
          </w:tcPr>
          <w:p>
            <w:pPr>
              <w:pStyle w:val="59"/>
              <w:rPr>
                <w:color w:val="auto"/>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75" w:type="dxa"/>
            <w:vMerge w:val="continue"/>
            <w:noWrap w:val="0"/>
            <w:vAlign w:val="center"/>
          </w:tcPr>
          <w:p>
            <w:pPr>
              <w:pStyle w:val="59"/>
              <w:jc w:val="center"/>
              <w:rPr>
                <w:color w:val="auto"/>
              </w:rPr>
            </w:pPr>
          </w:p>
        </w:tc>
        <w:tc>
          <w:tcPr>
            <w:tcW w:w="1686" w:type="dxa"/>
            <w:vMerge w:val="continue"/>
            <w:noWrap w:val="0"/>
            <w:vAlign w:val="center"/>
          </w:tcPr>
          <w:p>
            <w:pPr>
              <w:pStyle w:val="59"/>
              <w:rPr>
                <w:rFonts w:hint="eastAsia"/>
                <w:color w:val="auto"/>
              </w:rPr>
            </w:pPr>
          </w:p>
        </w:tc>
        <w:tc>
          <w:tcPr>
            <w:tcW w:w="1350" w:type="dxa"/>
            <w:vMerge w:val="continue"/>
            <w:noWrap w:val="0"/>
            <w:vAlign w:val="center"/>
          </w:tcPr>
          <w:p>
            <w:pPr>
              <w:pStyle w:val="59"/>
              <w:rPr>
                <w:rFonts w:hint="eastAsia"/>
                <w:color w:val="auto"/>
                <w:lang w:val="zh-CN"/>
              </w:rPr>
            </w:pPr>
          </w:p>
        </w:tc>
        <w:tc>
          <w:tcPr>
            <w:tcW w:w="2979" w:type="dxa"/>
            <w:noWrap w:val="0"/>
            <w:vAlign w:val="center"/>
          </w:tcPr>
          <w:p>
            <w:pPr>
              <w:pStyle w:val="59"/>
              <w:rPr>
                <w:color w:val="auto"/>
                <w:lang w:val="zh-CN"/>
              </w:rPr>
            </w:pPr>
            <w:r>
              <w:rPr>
                <w:color w:val="auto"/>
                <w:lang w:val="zh-CN"/>
              </w:rPr>
              <w:t>危险化工工艺、爆炸极限范围或附近操作的、操作压力大于1.6MPa等</w:t>
            </w:r>
          </w:p>
        </w:tc>
        <w:tc>
          <w:tcPr>
            <w:tcW w:w="900" w:type="dxa"/>
            <w:noWrap w:val="0"/>
            <w:vAlign w:val="center"/>
          </w:tcPr>
          <w:p>
            <w:pPr>
              <w:pStyle w:val="59"/>
              <w:jc w:val="center"/>
              <w:rPr>
                <w:rFonts w:hint="eastAsia"/>
                <w:color w:val="auto"/>
                <w:lang w:val="en-US" w:eastAsia="zh-CN"/>
              </w:rPr>
            </w:pPr>
            <w:r>
              <w:rPr>
                <w:rFonts w:hint="eastAsia"/>
                <w:color w:val="auto"/>
                <w:lang w:val="en-US" w:eastAsia="zh-CN"/>
              </w:rPr>
              <w:t>W5.2</w:t>
            </w:r>
          </w:p>
        </w:tc>
        <w:tc>
          <w:tcPr>
            <w:tcW w:w="1135" w:type="dxa"/>
            <w:noWrap w:val="0"/>
            <w:vAlign w:val="center"/>
          </w:tcPr>
          <w:p>
            <w:pPr>
              <w:pStyle w:val="59"/>
              <w:jc w:val="center"/>
              <w:rPr>
                <w:rFonts w:hint="default"/>
                <w:color w:val="auto"/>
                <w:lang w:val="en-US" w:eastAsia="zh-CN"/>
              </w:rPr>
            </w:pPr>
            <w:r>
              <w:rPr>
                <w:rFonts w:hint="eastAsia"/>
                <w:color w:val="auto"/>
                <w:lang w:val="en-US" w:eastAsia="zh-CN"/>
              </w:rPr>
              <w:t>50</w:t>
            </w:r>
          </w:p>
        </w:tc>
        <w:tc>
          <w:tcPr>
            <w:tcW w:w="766" w:type="dxa"/>
            <w:noWrap w:val="0"/>
            <w:vAlign w:val="center"/>
          </w:tcPr>
          <w:p>
            <w:pPr>
              <w:pStyle w:val="59"/>
              <w:rPr>
                <w:color w:val="auto"/>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75" w:type="dxa"/>
            <w:vMerge w:val="continue"/>
            <w:noWrap w:val="0"/>
            <w:vAlign w:val="center"/>
          </w:tcPr>
          <w:p>
            <w:pPr>
              <w:pStyle w:val="59"/>
              <w:jc w:val="center"/>
              <w:rPr>
                <w:rFonts w:hint="eastAsia"/>
                <w:color w:val="auto"/>
              </w:rPr>
            </w:pPr>
          </w:p>
        </w:tc>
        <w:tc>
          <w:tcPr>
            <w:tcW w:w="1686" w:type="dxa"/>
            <w:vMerge w:val="continue"/>
            <w:noWrap w:val="0"/>
            <w:vAlign w:val="center"/>
          </w:tcPr>
          <w:p>
            <w:pPr>
              <w:pStyle w:val="59"/>
              <w:rPr>
                <w:rFonts w:hint="eastAsia"/>
                <w:color w:val="auto"/>
              </w:rPr>
            </w:pPr>
          </w:p>
        </w:tc>
        <w:tc>
          <w:tcPr>
            <w:tcW w:w="1350" w:type="dxa"/>
            <w:vMerge w:val="continue"/>
            <w:noWrap w:val="0"/>
            <w:vAlign w:val="center"/>
          </w:tcPr>
          <w:p>
            <w:pPr>
              <w:pStyle w:val="59"/>
              <w:rPr>
                <w:rFonts w:hint="eastAsia"/>
                <w:color w:val="auto"/>
                <w:lang w:val="zh-CN"/>
              </w:rPr>
            </w:pPr>
          </w:p>
        </w:tc>
        <w:tc>
          <w:tcPr>
            <w:tcW w:w="2979" w:type="dxa"/>
            <w:noWrap w:val="0"/>
            <w:vAlign w:val="center"/>
          </w:tcPr>
          <w:p>
            <w:pPr>
              <w:pStyle w:val="59"/>
              <w:rPr>
                <w:rFonts w:hint="default" w:eastAsia="宋体"/>
                <w:color w:val="auto"/>
                <w:lang w:val="en-US" w:eastAsia="zh-CN"/>
              </w:rPr>
            </w:pPr>
            <w:r>
              <w:rPr>
                <w:rFonts w:hint="eastAsia"/>
                <w:color w:val="auto"/>
                <w:lang w:val="zh-CN"/>
              </w:rPr>
              <w:t>不属于</w:t>
            </w:r>
            <w:r>
              <w:rPr>
                <w:rFonts w:hint="eastAsia"/>
                <w:color w:val="auto"/>
                <w:lang w:val="en-US" w:eastAsia="zh-CN"/>
              </w:rPr>
              <w:t>W5.1或W5.2的其他类别2</w:t>
            </w:r>
          </w:p>
        </w:tc>
        <w:tc>
          <w:tcPr>
            <w:tcW w:w="900" w:type="dxa"/>
            <w:noWrap w:val="0"/>
            <w:vAlign w:val="center"/>
          </w:tcPr>
          <w:p>
            <w:pPr>
              <w:pStyle w:val="59"/>
              <w:jc w:val="center"/>
              <w:rPr>
                <w:rFonts w:hint="eastAsia"/>
                <w:color w:val="auto"/>
                <w:lang w:val="zh-CN"/>
              </w:rPr>
            </w:pPr>
            <w:r>
              <w:rPr>
                <w:rFonts w:hint="eastAsia"/>
                <w:color w:val="auto"/>
                <w:lang w:val="en-US" w:eastAsia="zh-CN"/>
              </w:rPr>
              <w:t>W5.3</w:t>
            </w:r>
          </w:p>
        </w:tc>
        <w:tc>
          <w:tcPr>
            <w:tcW w:w="1135" w:type="dxa"/>
            <w:noWrap w:val="0"/>
            <w:vAlign w:val="center"/>
          </w:tcPr>
          <w:p>
            <w:pPr>
              <w:pStyle w:val="59"/>
              <w:jc w:val="center"/>
              <w:rPr>
                <w:rFonts w:hint="eastAsia"/>
                <w:color w:val="auto"/>
                <w:lang w:val="zh-CN"/>
              </w:rPr>
            </w:pPr>
            <w:r>
              <w:rPr>
                <w:rFonts w:hint="eastAsia"/>
                <w:color w:val="auto"/>
                <w:lang w:val="zh-CN"/>
              </w:rPr>
              <w:t>1000</w:t>
            </w:r>
          </w:p>
        </w:tc>
        <w:tc>
          <w:tcPr>
            <w:tcW w:w="766" w:type="dxa"/>
            <w:noWrap w:val="0"/>
            <w:vAlign w:val="center"/>
          </w:tcPr>
          <w:p>
            <w:pPr>
              <w:pStyle w:val="59"/>
              <w:rPr>
                <w:color w:val="auto"/>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75" w:type="dxa"/>
            <w:noWrap w:val="0"/>
            <w:vAlign w:val="center"/>
          </w:tcPr>
          <w:p>
            <w:pPr>
              <w:pStyle w:val="59"/>
              <w:jc w:val="center"/>
              <w:rPr>
                <w:rFonts w:hint="eastAsia"/>
                <w:color w:val="auto"/>
                <w:lang w:val="en-US" w:eastAsia="zh-CN"/>
              </w:rPr>
            </w:pPr>
            <w:r>
              <w:rPr>
                <w:rFonts w:hint="eastAsia"/>
                <w:color w:val="auto"/>
                <w:lang w:val="en-US" w:eastAsia="zh-CN"/>
              </w:rPr>
              <w:t>2</w:t>
            </w:r>
          </w:p>
        </w:tc>
        <w:tc>
          <w:tcPr>
            <w:tcW w:w="1686" w:type="dxa"/>
            <w:noWrap w:val="0"/>
            <w:vAlign w:val="center"/>
          </w:tcPr>
          <w:p>
            <w:pPr>
              <w:pStyle w:val="59"/>
              <w:jc w:val="center"/>
              <w:rPr>
                <w:rFonts w:hint="eastAsia"/>
                <w:color w:val="auto"/>
              </w:rPr>
            </w:pPr>
            <w:r>
              <w:rPr>
                <w:rFonts w:hint="eastAsia"/>
                <w:color w:val="auto"/>
              </w:rPr>
              <w:t>柴油</w:t>
            </w:r>
          </w:p>
        </w:tc>
        <w:tc>
          <w:tcPr>
            <w:tcW w:w="1350" w:type="dxa"/>
            <w:noWrap w:val="0"/>
            <w:vAlign w:val="center"/>
          </w:tcPr>
          <w:p>
            <w:pPr>
              <w:pStyle w:val="59"/>
              <w:rPr>
                <w:rFonts w:hint="eastAsia"/>
                <w:color w:val="auto"/>
                <w:lang w:val="zh-CN"/>
              </w:rPr>
            </w:pPr>
            <w:r>
              <w:rPr>
                <w:rFonts w:hint="eastAsia"/>
                <w:color w:val="auto"/>
              </w:rPr>
              <w:t>易燃液体，类别 3</w:t>
            </w:r>
          </w:p>
        </w:tc>
        <w:tc>
          <w:tcPr>
            <w:tcW w:w="2979" w:type="dxa"/>
            <w:noWrap w:val="0"/>
            <w:vAlign w:val="center"/>
          </w:tcPr>
          <w:p>
            <w:pPr>
              <w:pStyle w:val="59"/>
              <w:rPr>
                <w:rFonts w:hint="eastAsia"/>
                <w:color w:val="auto"/>
                <w:lang w:val="zh-CN"/>
              </w:rPr>
            </w:pPr>
            <w:r>
              <w:rPr>
                <w:rFonts w:hint="eastAsia"/>
                <w:color w:val="auto"/>
                <w:lang w:val="zh-CN"/>
              </w:rPr>
              <w:t>不属于</w:t>
            </w:r>
            <w:r>
              <w:rPr>
                <w:rFonts w:hint="eastAsia"/>
                <w:color w:val="auto"/>
                <w:lang w:val="en-US" w:eastAsia="zh-CN"/>
              </w:rPr>
              <w:t>W5.1或W5.2的其他类别3</w:t>
            </w:r>
          </w:p>
        </w:tc>
        <w:tc>
          <w:tcPr>
            <w:tcW w:w="900" w:type="dxa"/>
            <w:noWrap w:val="0"/>
            <w:vAlign w:val="center"/>
          </w:tcPr>
          <w:p>
            <w:pPr>
              <w:pStyle w:val="59"/>
              <w:jc w:val="center"/>
              <w:rPr>
                <w:rFonts w:hint="eastAsia"/>
                <w:color w:val="auto"/>
              </w:rPr>
            </w:pPr>
            <w:r>
              <w:rPr>
                <w:rFonts w:hint="eastAsia"/>
                <w:color w:val="auto"/>
                <w:lang w:val="en-US" w:eastAsia="zh-CN"/>
              </w:rPr>
              <w:t>W5.4</w:t>
            </w:r>
          </w:p>
        </w:tc>
        <w:tc>
          <w:tcPr>
            <w:tcW w:w="1135" w:type="dxa"/>
            <w:noWrap w:val="0"/>
            <w:vAlign w:val="center"/>
          </w:tcPr>
          <w:p>
            <w:pPr>
              <w:pStyle w:val="59"/>
              <w:jc w:val="center"/>
              <w:rPr>
                <w:rFonts w:hint="eastAsia"/>
                <w:color w:val="auto"/>
                <w:lang w:val="zh-CN"/>
              </w:rPr>
            </w:pPr>
            <w:r>
              <w:rPr>
                <w:rFonts w:hint="eastAsia"/>
                <w:color w:val="auto"/>
              </w:rPr>
              <w:t>5000</w:t>
            </w:r>
          </w:p>
        </w:tc>
        <w:tc>
          <w:tcPr>
            <w:tcW w:w="766" w:type="dxa"/>
            <w:noWrap w:val="0"/>
            <w:vAlign w:val="center"/>
          </w:tcPr>
          <w:p>
            <w:pPr>
              <w:pStyle w:val="59"/>
              <w:rPr>
                <w:color w:val="auto"/>
                <w:lang w:val="zh-CN"/>
              </w:rPr>
            </w:pPr>
          </w:p>
        </w:tc>
      </w:tr>
    </w:tbl>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3.辨识过程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1）生产单元</w:t>
      </w:r>
    </w:p>
    <w:p>
      <w:pPr>
        <w:pStyle w:val="53"/>
        <w:rPr>
          <w:rFonts w:hint="eastAsia"/>
          <w:color w:val="auto"/>
          <w:lang w:val="en-US" w:eastAsia="zh-CN"/>
        </w:rPr>
      </w:pPr>
      <w:r>
        <w:rPr>
          <w:rFonts w:hint="eastAsia"/>
          <w:color w:val="auto"/>
          <w:lang w:val="en-US" w:eastAsia="zh-CN"/>
        </w:rPr>
        <w:t>表 B.3-5 生产单元危险化学品重大危险源辨识表</w:t>
      </w:r>
    </w:p>
    <w:tbl>
      <w:tblPr>
        <w:tblStyle w:val="42"/>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9"/>
        <w:gridCol w:w="1551"/>
        <w:gridCol w:w="1736"/>
        <w:gridCol w:w="727"/>
        <w:gridCol w:w="900"/>
        <w:gridCol w:w="785"/>
        <w:gridCol w:w="2246"/>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color w:val="auto"/>
                <w:lang w:val="zh-CN"/>
              </w:rPr>
            </w:pPr>
            <w:r>
              <w:rPr>
                <w:color w:val="auto"/>
                <w:lang w:val="zh-CN"/>
              </w:rPr>
              <w:t>序号</w:t>
            </w:r>
          </w:p>
        </w:tc>
        <w:tc>
          <w:tcPr>
            <w:tcW w:w="824" w:type="pct"/>
            <w:noWrap w:val="0"/>
            <w:vAlign w:val="center"/>
          </w:tcPr>
          <w:p>
            <w:pPr>
              <w:pStyle w:val="59"/>
              <w:jc w:val="center"/>
              <w:rPr>
                <w:rFonts w:hint="default"/>
                <w:color w:val="auto"/>
                <w:lang w:val="en-US" w:eastAsia="zh-CN"/>
              </w:rPr>
            </w:pPr>
            <w:r>
              <w:rPr>
                <w:rFonts w:hint="eastAsia"/>
                <w:color w:val="auto"/>
                <w:lang w:val="en-US" w:eastAsia="zh-CN"/>
              </w:rPr>
              <w:t>单元名称</w:t>
            </w:r>
          </w:p>
        </w:tc>
        <w:tc>
          <w:tcPr>
            <w:tcW w:w="922" w:type="pct"/>
            <w:noWrap w:val="0"/>
            <w:vAlign w:val="center"/>
          </w:tcPr>
          <w:p>
            <w:pPr>
              <w:pStyle w:val="59"/>
              <w:jc w:val="center"/>
              <w:rPr>
                <w:rFonts w:hint="default"/>
                <w:color w:val="auto"/>
                <w:lang w:val="en-US" w:eastAsia="zh-CN"/>
              </w:rPr>
            </w:pPr>
            <w:r>
              <w:rPr>
                <w:rFonts w:hint="eastAsia"/>
                <w:color w:val="auto"/>
                <w:lang w:val="en-US" w:eastAsia="zh-CN"/>
              </w:rPr>
              <w:t>辨识物质名称</w:t>
            </w:r>
          </w:p>
        </w:tc>
        <w:tc>
          <w:tcPr>
            <w:tcW w:w="386" w:type="pct"/>
            <w:noWrap w:val="0"/>
            <w:vAlign w:val="center"/>
          </w:tcPr>
          <w:p>
            <w:pPr>
              <w:pStyle w:val="59"/>
              <w:jc w:val="center"/>
              <w:rPr>
                <w:rFonts w:hint="eastAsia"/>
                <w:color w:val="auto"/>
                <w:lang w:val="zh-CN" w:eastAsia="zh-CN"/>
              </w:rPr>
            </w:pPr>
            <w:r>
              <w:rPr>
                <w:rFonts w:hint="eastAsia"/>
                <w:color w:val="auto"/>
                <w:lang w:val="en-US" w:eastAsia="zh-CN"/>
              </w:rPr>
              <w:t>分类</w:t>
            </w:r>
          </w:p>
        </w:tc>
        <w:tc>
          <w:tcPr>
            <w:tcW w:w="478" w:type="pct"/>
            <w:noWrap w:val="0"/>
            <w:vAlign w:val="center"/>
          </w:tcPr>
          <w:p>
            <w:pPr>
              <w:pStyle w:val="59"/>
              <w:jc w:val="center"/>
              <w:rPr>
                <w:color w:val="auto"/>
                <w:lang w:val="zh-CN"/>
              </w:rPr>
            </w:pPr>
            <w:r>
              <w:rPr>
                <w:rFonts w:hint="eastAsia"/>
                <w:color w:val="auto"/>
                <w:lang w:val="en-US" w:eastAsia="zh-CN"/>
              </w:rPr>
              <w:t>最大在线量</w:t>
            </w:r>
            <w:r>
              <w:rPr>
                <w:rFonts w:hint="eastAsia"/>
                <w:color w:val="auto"/>
                <w:lang w:val="zh-CN"/>
              </w:rPr>
              <w:t>（</w:t>
            </w:r>
            <w:r>
              <w:rPr>
                <w:rFonts w:hint="eastAsia"/>
                <w:color w:val="auto"/>
                <w:lang w:val="en-US" w:eastAsia="zh-CN"/>
              </w:rPr>
              <w:t>t</w:t>
            </w:r>
            <w:r>
              <w:rPr>
                <w:rFonts w:hint="eastAsia"/>
                <w:color w:val="auto"/>
                <w:lang w:val="zh-CN"/>
              </w:rPr>
              <w:t>）</w:t>
            </w:r>
          </w:p>
        </w:tc>
        <w:tc>
          <w:tcPr>
            <w:tcW w:w="417" w:type="pct"/>
            <w:noWrap w:val="0"/>
            <w:vAlign w:val="center"/>
          </w:tcPr>
          <w:p>
            <w:pPr>
              <w:pStyle w:val="59"/>
              <w:jc w:val="center"/>
              <w:rPr>
                <w:rFonts w:hint="eastAsia"/>
                <w:color w:val="auto"/>
                <w:lang w:val="zh-CN" w:eastAsia="zh-CN"/>
              </w:rPr>
            </w:pPr>
            <w:r>
              <w:rPr>
                <w:rFonts w:hint="eastAsia"/>
                <w:color w:val="auto"/>
                <w:lang w:val="en-US" w:eastAsia="zh-CN"/>
              </w:rPr>
              <w:t>临界量（t）</w:t>
            </w:r>
          </w:p>
        </w:tc>
        <w:tc>
          <w:tcPr>
            <w:tcW w:w="1193" w:type="pct"/>
            <w:noWrap w:val="0"/>
            <w:vAlign w:val="center"/>
          </w:tcPr>
          <w:p>
            <w:pPr>
              <w:pStyle w:val="59"/>
              <w:jc w:val="center"/>
              <w:rPr>
                <w:rFonts w:hint="default"/>
                <w:color w:val="auto"/>
                <w:lang w:val="en-US" w:eastAsia="zh-CN"/>
              </w:rPr>
            </w:pPr>
            <w:r>
              <w:rPr>
                <w:rFonts w:hint="eastAsia"/>
                <w:color w:val="auto"/>
                <w:lang w:val="en-US" w:eastAsia="zh-CN"/>
              </w:rPr>
              <w:t>是否构成重大危险源</w:t>
            </w:r>
          </w:p>
        </w:tc>
        <w:tc>
          <w:tcPr>
            <w:tcW w:w="464" w:type="pct"/>
            <w:noWrap w:val="0"/>
            <w:vAlign w:val="center"/>
          </w:tcPr>
          <w:p>
            <w:pPr>
              <w:pStyle w:val="59"/>
              <w:jc w:val="center"/>
              <w:rPr>
                <w:rFonts w:hint="eastAsia"/>
                <w:color w:val="auto"/>
                <w:lang w:val="en-US" w:eastAsia="zh-CN"/>
              </w:rPr>
            </w:pPr>
            <w:r>
              <w:rPr>
                <w:rFonts w:hint="eastAsia"/>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color w:val="auto"/>
                <w:lang w:val="zh-CN"/>
              </w:rPr>
            </w:pPr>
            <w:r>
              <w:rPr>
                <w:color w:val="auto"/>
                <w:lang w:val="zh-CN"/>
              </w:rPr>
              <w:t>1</w:t>
            </w:r>
          </w:p>
        </w:tc>
        <w:tc>
          <w:tcPr>
            <w:tcW w:w="824" w:type="pct"/>
            <w:noWrap w:val="0"/>
            <w:vAlign w:val="center"/>
          </w:tcPr>
          <w:p>
            <w:pPr>
              <w:pStyle w:val="59"/>
              <w:rPr>
                <w:rFonts w:hint="default"/>
                <w:color w:val="auto"/>
                <w:lang w:val="en-US" w:eastAsia="zh-CN"/>
              </w:rPr>
            </w:pPr>
            <w:r>
              <w:rPr>
                <w:rFonts w:hint="eastAsia"/>
                <w:color w:val="auto"/>
                <w:lang w:val="en-US" w:eastAsia="zh-CN"/>
              </w:rPr>
              <w:t>101裂解车间</w:t>
            </w:r>
          </w:p>
        </w:tc>
        <w:tc>
          <w:tcPr>
            <w:tcW w:w="922" w:type="pct"/>
            <w:vMerge w:val="restart"/>
            <w:noWrap w:val="0"/>
            <w:vAlign w:val="center"/>
          </w:tcPr>
          <w:p>
            <w:pPr>
              <w:pStyle w:val="59"/>
              <w:jc w:val="center"/>
              <w:rPr>
                <w:color w:val="auto"/>
              </w:rPr>
            </w:pPr>
            <w:r>
              <w:rPr>
                <w:color w:val="auto"/>
              </w:rPr>
              <w:t>甲基丙烯酸甲酯</w:t>
            </w:r>
          </w:p>
        </w:tc>
        <w:tc>
          <w:tcPr>
            <w:tcW w:w="386" w:type="pct"/>
            <w:noWrap w:val="0"/>
            <w:vAlign w:val="center"/>
          </w:tcPr>
          <w:p>
            <w:pPr>
              <w:pStyle w:val="59"/>
              <w:jc w:val="center"/>
              <w:rPr>
                <w:rFonts w:hint="default"/>
                <w:color w:val="auto"/>
                <w:lang w:val="en-US" w:eastAsia="zh-CN"/>
              </w:rPr>
            </w:pPr>
            <w:r>
              <w:rPr>
                <w:rFonts w:hint="eastAsia"/>
                <w:color w:val="auto"/>
                <w:lang w:val="en-US" w:eastAsia="zh-CN"/>
              </w:rPr>
              <w:t>W5.2</w:t>
            </w:r>
          </w:p>
        </w:tc>
        <w:tc>
          <w:tcPr>
            <w:tcW w:w="478" w:type="pct"/>
            <w:noWrap w:val="0"/>
            <w:vAlign w:val="center"/>
          </w:tcPr>
          <w:p>
            <w:pPr>
              <w:pStyle w:val="59"/>
              <w:jc w:val="center"/>
              <w:rPr>
                <w:rFonts w:hint="default"/>
                <w:color w:val="auto"/>
                <w:lang w:val="en-US" w:eastAsia="zh-CN"/>
              </w:rPr>
            </w:pPr>
            <w:r>
              <w:rPr>
                <w:rFonts w:hint="eastAsia"/>
                <w:color w:val="auto"/>
                <w:lang w:val="en-US" w:eastAsia="zh-CN"/>
              </w:rPr>
              <w:t>36.1</w:t>
            </w:r>
          </w:p>
        </w:tc>
        <w:tc>
          <w:tcPr>
            <w:tcW w:w="417" w:type="pct"/>
            <w:noWrap w:val="0"/>
            <w:vAlign w:val="center"/>
          </w:tcPr>
          <w:p>
            <w:pPr>
              <w:pStyle w:val="59"/>
              <w:jc w:val="center"/>
              <w:rPr>
                <w:rFonts w:hint="default"/>
                <w:color w:val="auto"/>
                <w:lang w:val="en-US" w:eastAsia="zh-CN"/>
              </w:rPr>
            </w:pPr>
            <w:r>
              <w:rPr>
                <w:rFonts w:hint="eastAsia"/>
                <w:color w:val="auto"/>
                <w:lang w:val="en-US" w:eastAsia="zh-CN"/>
              </w:rPr>
              <w:t>50</w:t>
            </w:r>
          </w:p>
        </w:tc>
        <w:tc>
          <w:tcPr>
            <w:tcW w:w="1193" w:type="pct"/>
            <w:noWrap w:val="0"/>
            <w:vAlign w:val="center"/>
          </w:tcPr>
          <w:p>
            <w:pPr>
              <w:pStyle w:val="59"/>
              <w:rPr>
                <w:rFonts w:hint="default"/>
                <w:color w:val="auto"/>
                <w:lang w:val="en-US" w:eastAsia="zh-CN"/>
              </w:rPr>
            </w:pPr>
            <w:r>
              <w:rPr>
                <w:color w:val="auto"/>
                <w:sz w:val="21"/>
                <w:szCs w:val="21"/>
                <w:lang w:val="zh-CN"/>
              </w:rPr>
              <w:t>∑q/Q＝</w:t>
            </w:r>
            <w:r>
              <w:rPr>
                <w:rFonts w:hint="eastAsia"/>
                <w:color w:val="auto"/>
                <w:sz w:val="21"/>
                <w:szCs w:val="21"/>
                <w:lang w:val="en-US" w:eastAsia="zh-CN"/>
              </w:rPr>
              <w:t>0.122＜</w:t>
            </w:r>
            <w:r>
              <w:rPr>
                <w:color w:val="auto"/>
                <w:sz w:val="21"/>
                <w:szCs w:val="21"/>
                <w:lang w:val="zh-CN"/>
              </w:rPr>
              <w:t>1，</w:t>
            </w:r>
            <w:r>
              <w:rPr>
                <w:rFonts w:hint="eastAsia"/>
                <w:color w:val="auto"/>
                <w:sz w:val="21"/>
                <w:szCs w:val="21"/>
                <w:lang w:val="en-US" w:eastAsia="zh-CN"/>
              </w:rPr>
              <w:t>不</w:t>
            </w:r>
            <w:r>
              <w:rPr>
                <w:rFonts w:hint="eastAsia"/>
                <w:color w:val="auto"/>
                <w:sz w:val="21"/>
                <w:szCs w:val="21"/>
                <w:lang w:val="zh-CN"/>
              </w:rPr>
              <w:t>构成重大危险源</w:t>
            </w:r>
          </w:p>
        </w:tc>
        <w:tc>
          <w:tcPr>
            <w:tcW w:w="464" w:type="pct"/>
            <w:noWrap w:val="0"/>
            <w:vAlign w:val="center"/>
          </w:tcPr>
          <w:p>
            <w:pPr>
              <w:pStyle w:val="59"/>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rFonts w:hint="eastAsia"/>
                <w:color w:val="auto"/>
                <w:lang w:val="zh-CN" w:eastAsia="zh-CN"/>
              </w:rPr>
            </w:pPr>
            <w:r>
              <w:rPr>
                <w:rFonts w:hint="eastAsia"/>
                <w:color w:val="auto"/>
                <w:lang w:val="en-US" w:eastAsia="zh-CN"/>
              </w:rPr>
              <w:t>2</w:t>
            </w:r>
          </w:p>
        </w:tc>
        <w:tc>
          <w:tcPr>
            <w:tcW w:w="824" w:type="pct"/>
            <w:noWrap w:val="0"/>
            <w:vAlign w:val="center"/>
          </w:tcPr>
          <w:p>
            <w:pPr>
              <w:pStyle w:val="59"/>
              <w:rPr>
                <w:rFonts w:hint="default"/>
                <w:color w:val="auto"/>
                <w:lang w:val="en-US" w:eastAsia="zh-CN"/>
              </w:rPr>
            </w:pPr>
            <w:r>
              <w:rPr>
                <w:rFonts w:hint="eastAsia"/>
                <w:color w:val="auto"/>
                <w:lang w:val="en-US" w:eastAsia="zh-CN"/>
              </w:rPr>
              <w:t>102精馏车间</w:t>
            </w:r>
          </w:p>
        </w:tc>
        <w:tc>
          <w:tcPr>
            <w:tcW w:w="922" w:type="pct"/>
            <w:vMerge w:val="continue"/>
            <w:noWrap w:val="0"/>
            <w:vAlign w:val="center"/>
          </w:tcPr>
          <w:p>
            <w:pPr>
              <w:pStyle w:val="59"/>
              <w:jc w:val="center"/>
              <w:rPr>
                <w:color w:val="auto"/>
                <w:lang w:val="zh-CN"/>
              </w:rPr>
            </w:pPr>
          </w:p>
        </w:tc>
        <w:tc>
          <w:tcPr>
            <w:tcW w:w="386" w:type="pct"/>
            <w:noWrap w:val="0"/>
            <w:vAlign w:val="center"/>
          </w:tcPr>
          <w:p>
            <w:pPr>
              <w:pStyle w:val="59"/>
              <w:jc w:val="center"/>
              <w:rPr>
                <w:rFonts w:hint="default"/>
                <w:color w:val="auto"/>
                <w:lang w:val="en-US" w:eastAsia="zh-CN"/>
              </w:rPr>
            </w:pPr>
            <w:r>
              <w:rPr>
                <w:rFonts w:hint="eastAsia"/>
                <w:color w:val="auto"/>
                <w:lang w:val="en-US" w:eastAsia="zh-CN"/>
              </w:rPr>
              <w:t>W5.3</w:t>
            </w:r>
          </w:p>
        </w:tc>
        <w:tc>
          <w:tcPr>
            <w:tcW w:w="478" w:type="pct"/>
            <w:noWrap w:val="0"/>
            <w:vAlign w:val="center"/>
          </w:tcPr>
          <w:p>
            <w:pPr>
              <w:pStyle w:val="59"/>
              <w:jc w:val="center"/>
              <w:rPr>
                <w:rFonts w:hint="default"/>
                <w:color w:val="auto"/>
                <w:lang w:val="en-US" w:eastAsia="zh-CN"/>
              </w:rPr>
            </w:pPr>
            <w:r>
              <w:rPr>
                <w:rFonts w:hint="eastAsia"/>
                <w:color w:val="auto"/>
                <w:lang w:val="en-US" w:eastAsia="zh-CN"/>
              </w:rPr>
              <w:t>60</w:t>
            </w:r>
          </w:p>
        </w:tc>
        <w:tc>
          <w:tcPr>
            <w:tcW w:w="417" w:type="pct"/>
            <w:noWrap w:val="0"/>
            <w:vAlign w:val="center"/>
          </w:tcPr>
          <w:p>
            <w:pPr>
              <w:pStyle w:val="59"/>
              <w:jc w:val="center"/>
              <w:rPr>
                <w:rFonts w:hint="default"/>
                <w:color w:val="auto"/>
                <w:lang w:val="en-US" w:eastAsia="zh-CN"/>
              </w:rPr>
            </w:pPr>
            <w:r>
              <w:rPr>
                <w:rFonts w:hint="eastAsia"/>
                <w:color w:val="auto"/>
                <w:lang w:val="en-US" w:eastAsia="zh-CN"/>
              </w:rPr>
              <w:t>1000</w:t>
            </w:r>
          </w:p>
        </w:tc>
        <w:tc>
          <w:tcPr>
            <w:tcW w:w="1193" w:type="pct"/>
            <w:noWrap w:val="0"/>
            <w:vAlign w:val="center"/>
          </w:tcPr>
          <w:p>
            <w:pPr>
              <w:pStyle w:val="59"/>
              <w:rPr>
                <w:rFonts w:hint="default"/>
                <w:color w:val="auto"/>
                <w:lang w:val="en-US" w:eastAsia="zh-CN"/>
              </w:rPr>
            </w:pPr>
            <w:r>
              <w:rPr>
                <w:color w:val="auto"/>
                <w:sz w:val="21"/>
                <w:szCs w:val="21"/>
                <w:lang w:val="zh-CN"/>
              </w:rPr>
              <w:t>∑q/Q＝</w:t>
            </w:r>
            <w:r>
              <w:rPr>
                <w:rFonts w:hint="eastAsia"/>
                <w:color w:val="auto"/>
                <w:sz w:val="21"/>
                <w:szCs w:val="21"/>
                <w:lang w:val="en-US" w:eastAsia="zh-CN"/>
              </w:rPr>
              <w:t>0.06＜</w:t>
            </w:r>
            <w:r>
              <w:rPr>
                <w:color w:val="auto"/>
                <w:sz w:val="21"/>
                <w:szCs w:val="21"/>
                <w:lang w:val="zh-CN"/>
              </w:rPr>
              <w:t>1，</w:t>
            </w:r>
            <w:r>
              <w:rPr>
                <w:rFonts w:hint="eastAsia"/>
                <w:color w:val="auto"/>
                <w:sz w:val="21"/>
                <w:szCs w:val="21"/>
                <w:lang w:val="en-US" w:eastAsia="zh-CN"/>
              </w:rPr>
              <w:t>不</w:t>
            </w:r>
            <w:r>
              <w:rPr>
                <w:rFonts w:hint="eastAsia"/>
                <w:color w:val="auto"/>
                <w:sz w:val="21"/>
                <w:szCs w:val="21"/>
                <w:lang w:val="zh-CN"/>
              </w:rPr>
              <w:t>构成重大危险源</w:t>
            </w:r>
          </w:p>
        </w:tc>
        <w:tc>
          <w:tcPr>
            <w:tcW w:w="464" w:type="pct"/>
            <w:noWrap w:val="0"/>
            <w:vAlign w:val="center"/>
          </w:tcPr>
          <w:p>
            <w:pPr>
              <w:pStyle w:val="59"/>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rFonts w:hint="default"/>
                <w:color w:val="auto"/>
                <w:lang w:val="en-US" w:eastAsia="zh-CN"/>
              </w:rPr>
            </w:pPr>
            <w:r>
              <w:rPr>
                <w:rFonts w:hint="eastAsia"/>
                <w:color w:val="auto"/>
                <w:lang w:val="en-US" w:eastAsia="zh-CN"/>
              </w:rPr>
              <w:t>3</w:t>
            </w:r>
          </w:p>
        </w:tc>
        <w:tc>
          <w:tcPr>
            <w:tcW w:w="824" w:type="pct"/>
            <w:noWrap w:val="0"/>
            <w:vAlign w:val="center"/>
          </w:tcPr>
          <w:p>
            <w:pPr>
              <w:pStyle w:val="59"/>
              <w:rPr>
                <w:rFonts w:hint="eastAsia"/>
                <w:color w:val="auto"/>
                <w:lang w:val="zh-CN"/>
              </w:rPr>
            </w:pPr>
            <w:r>
              <w:rPr>
                <w:rFonts w:hint="eastAsia"/>
                <w:color w:val="auto"/>
                <w:lang w:val="zh-CN"/>
              </w:rPr>
              <w:t>301 单元公用</w:t>
            </w:r>
          </w:p>
          <w:p>
            <w:pPr>
              <w:pStyle w:val="59"/>
              <w:rPr>
                <w:color w:val="auto"/>
                <w:lang w:val="zh-CN"/>
              </w:rPr>
            </w:pPr>
            <w:r>
              <w:rPr>
                <w:rFonts w:hint="eastAsia"/>
                <w:color w:val="auto"/>
                <w:lang w:val="zh-CN"/>
              </w:rPr>
              <w:t xml:space="preserve">工程间单元 </w:t>
            </w:r>
          </w:p>
        </w:tc>
        <w:tc>
          <w:tcPr>
            <w:tcW w:w="922" w:type="pct"/>
            <w:noWrap w:val="0"/>
            <w:vAlign w:val="center"/>
          </w:tcPr>
          <w:p>
            <w:pPr>
              <w:pStyle w:val="59"/>
              <w:jc w:val="center"/>
              <w:rPr>
                <w:rFonts w:hint="eastAsia" w:eastAsia="宋体"/>
                <w:color w:val="auto"/>
                <w:lang w:val="en-US" w:eastAsia="zh-CN"/>
              </w:rPr>
            </w:pPr>
            <w:r>
              <w:rPr>
                <w:rFonts w:hint="eastAsia"/>
                <w:color w:val="auto"/>
                <w:lang w:val="en-US" w:eastAsia="zh-CN"/>
              </w:rPr>
              <w:t>柴油</w:t>
            </w:r>
          </w:p>
        </w:tc>
        <w:tc>
          <w:tcPr>
            <w:tcW w:w="386" w:type="pct"/>
            <w:noWrap w:val="0"/>
            <w:vAlign w:val="center"/>
          </w:tcPr>
          <w:p>
            <w:pPr>
              <w:pStyle w:val="59"/>
              <w:jc w:val="center"/>
              <w:rPr>
                <w:color w:val="auto"/>
                <w:lang w:val="zh-CN"/>
              </w:rPr>
            </w:pPr>
            <w:r>
              <w:rPr>
                <w:rFonts w:hint="eastAsia"/>
                <w:color w:val="auto"/>
                <w:lang w:val="en-US" w:eastAsia="zh-CN"/>
              </w:rPr>
              <w:t>W5.4</w:t>
            </w:r>
          </w:p>
        </w:tc>
        <w:tc>
          <w:tcPr>
            <w:tcW w:w="478" w:type="pct"/>
            <w:noWrap w:val="0"/>
            <w:vAlign w:val="center"/>
          </w:tcPr>
          <w:p>
            <w:pPr>
              <w:pStyle w:val="59"/>
              <w:jc w:val="center"/>
              <w:rPr>
                <w:rFonts w:hint="default" w:eastAsia="宋体"/>
                <w:color w:val="auto"/>
                <w:lang w:val="en-US" w:eastAsia="zh-CN"/>
              </w:rPr>
            </w:pPr>
            <w:r>
              <w:rPr>
                <w:rFonts w:hint="eastAsia"/>
                <w:color w:val="auto"/>
                <w:lang w:val="en-US" w:eastAsia="zh-CN"/>
              </w:rPr>
              <w:t>0.15</w:t>
            </w:r>
          </w:p>
        </w:tc>
        <w:tc>
          <w:tcPr>
            <w:tcW w:w="417" w:type="pct"/>
            <w:noWrap w:val="0"/>
            <w:vAlign w:val="center"/>
          </w:tcPr>
          <w:p>
            <w:pPr>
              <w:pStyle w:val="59"/>
              <w:jc w:val="center"/>
              <w:rPr>
                <w:rFonts w:hint="default" w:eastAsia="宋体"/>
                <w:color w:val="auto"/>
                <w:lang w:val="en-US" w:eastAsia="zh-CN"/>
              </w:rPr>
            </w:pPr>
            <w:r>
              <w:rPr>
                <w:rFonts w:hint="eastAsia"/>
                <w:color w:val="auto"/>
                <w:lang w:val="en-US" w:eastAsia="zh-CN"/>
              </w:rPr>
              <w:t>5000</w:t>
            </w:r>
          </w:p>
        </w:tc>
        <w:tc>
          <w:tcPr>
            <w:tcW w:w="1193" w:type="pct"/>
            <w:noWrap w:val="0"/>
            <w:vAlign w:val="center"/>
          </w:tcPr>
          <w:p>
            <w:pPr>
              <w:pStyle w:val="59"/>
              <w:rPr>
                <w:rFonts w:hint="default"/>
                <w:color w:val="auto"/>
                <w:lang w:val="en-US" w:eastAsia="zh-CN"/>
              </w:rPr>
            </w:pPr>
            <w:r>
              <w:rPr>
                <w:color w:val="auto"/>
                <w:sz w:val="21"/>
                <w:szCs w:val="21"/>
                <w:lang w:val="zh-CN"/>
              </w:rPr>
              <w:t>∑q/Q＝</w:t>
            </w:r>
            <w:r>
              <w:rPr>
                <w:rFonts w:hint="eastAsia"/>
                <w:color w:val="auto"/>
                <w:sz w:val="21"/>
                <w:szCs w:val="21"/>
                <w:lang w:val="en-US" w:eastAsia="zh-CN"/>
              </w:rPr>
              <w:t>0.00003＜</w:t>
            </w:r>
            <w:r>
              <w:rPr>
                <w:color w:val="auto"/>
                <w:sz w:val="21"/>
                <w:szCs w:val="21"/>
                <w:lang w:val="zh-CN"/>
              </w:rPr>
              <w:t>1，</w:t>
            </w:r>
            <w:r>
              <w:rPr>
                <w:rFonts w:hint="eastAsia"/>
                <w:color w:val="auto"/>
                <w:sz w:val="21"/>
                <w:szCs w:val="21"/>
                <w:lang w:val="en-US" w:eastAsia="zh-CN"/>
              </w:rPr>
              <w:t>不</w:t>
            </w:r>
            <w:r>
              <w:rPr>
                <w:rFonts w:hint="eastAsia"/>
                <w:color w:val="auto"/>
                <w:sz w:val="21"/>
                <w:szCs w:val="21"/>
                <w:lang w:val="zh-CN"/>
              </w:rPr>
              <w:t>构成重大危险源</w:t>
            </w:r>
          </w:p>
        </w:tc>
        <w:tc>
          <w:tcPr>
            <w:tcW w:w="464" w:type="pct"/>
            <w:noWrap w:val="0"/>
            <w:vAlign w:val="center"/>
          </w:tcPr>
          <w:p>
            <w:pPr>
              <w:pStyle w:val="59"/>
              <w:rPr>
                <w:rFonts w:hint="default"/>
                <w:color w:val="auto"/>
                <w:lang w:val="en-US" w:eastAsia="zh-CN"/>
              </w:rPr>
            </w:pP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从上述重大危险源辨识过程得知：该项目生产单元不构成危险化学品重大危险源。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2）存储单元</w:t>
      </w:r>
    </w:p>
    <w:p>
      <w:pPr>
        <w:pStyle w:val="53"/>
        <w:rPr>
          <w:rFonts w:hint="eastAsia"/>
          <w:color w:val="auto"/>
          <w:lang w:val="en-US" w:eastAsia="zh-CN"/>
        </w:rPr>
      </w:pPr>
      <w:r>
        <w:rPr>
          <w:rFonts w:hint="eastAsia"/>
          <w:color w:val="auto"/>
          <w:lang w:val="en-US" w:eastAsia="zh-CN"/>
        </w:rPr>
        <w:t>表 B.3-6 存储单元危险化学品重大危险源辨识表</w:t>
      </w:r>
    </w:p>
    <w:tbl>
      <w:tblPr>
        <w:tblStyle w:val="42"/>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9"/>
        <w:gridCol w:w="1550"/>
        <w:gridCol w:w="1736"/>
        <w:gridCol w:w="727"/>
        <w:gridCol w:w="900"/>
        <w:gridCol w:w="785"/>
        <w:gridCol w:w="2247"/>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color w:val="auto"/>
                <w:lang w:val="zh-CN"/>
              </w:rPr>
            </w:pPr>
            <w:r>
              <w:rPr>
                <w:color w:val="auto"/>
                <w:lang w:val="zh-CN"/>
              </w:rPr>
              <w:t>序号</w:t>
            </w:r>
          </w:p>
        </w:tc>
        <w:tc>
          <w:tcPr>
            <w:tcW w:w="823" w:type="pct"/>
            <w:noWrap w:val="0"/>
            <w:vAlign w:val="center"/>
          </w:tcPr>
          <w:p>
            <w:pPr>
              <w:pStyle w:val="59"/>
              <w:jc w:val="center"/>
              <w:rPr>
                <w:rFonts w:hint="default"/>
                <w:color w:val="auto"/>
                <w:lang w:val="en-US" w:eastAsia="zh-CN"/>
              </w:rPr>
            </w:pPr>
            <w:r>
              <w:rPr>
                <w:rFonts w:hint="eastAsia"/>
                <w:color w:val="auto"/>
                <w:lang w:val="en-US" w:eastAsia="zh-CN"/>
              </w:rPr>
              <w:t>单元名称</w:t>
            </w:r>
          </w:p>
        </w:tc>
        <w:tc>
          <w:tcPr>
            <w:tcW w:w="922" w:type="pct"/>
            <w:noWrap w:val="0"/>
            <w:vAlign w:val="center"/>
          </w:tcPr>
          <w:p>
            <w:pPr>
              <w:pStyle w:val="59"/>
              <w:jc w:val="center"/>
              <w:rPr>
                <w:rFonts w:hint="default"/>
                <w:color w:val="auto"/>
                <w:lang w:val="en-US" w:eastAsia="zh-CN"/>
              </w:rPr>
            </w:pPr>
            <w:r>
              <w:rPr>
                <w:rFonts w:hint="eastAsia"/>
                <w:color w:val="auto"/>
                <w:lang w:val="en-US" w:eastAsia="zh-CN"/>
              </w:rPr>
              <w:t>辨识物质名称</w:t>
            </w:r>
          </w:p>
        </w:tc>
        <w:tc>
          <w:tcPr>
            <w:tcW w:w="386" w:type="pct"/>
            <w:noWrap w:val="0"/>
            <w:vAlign w:val="center"/>
          </w:tcPr>
          <w:p>
            <w:pPr>
              <w:pStyle w:val="59"/>
              <w:jc w:val="center"/>
              <w:rPr>
                <w:rFonts w:hint="eastAsia"/>
                <w:color w:val="auto"/>
                <w:lang w:val="zh-CN" w:eastAsia="zh-CN"/>
              </w:rPr>
            </w:pPr>
            <w:r>
              <w:rPr>
                <w:rFonts w:hint="eastAsia"/>
                <w:color w:val="auto"/>
                <w:lang w:val="en-US" w:eastAsia="zh-CN"/>
              </w:rPr>
              <w:t>分类</w:t>
            </w:r>
          </w:p>
        </w:tc>
        <w:tc>
          <w:tcPr>
            <w:tcW w:w="478" w:type="pct"/>
            <w:noWrap w:val="0"/>
            <w:vAlign w:val="center"/>
          </w:tcPr>
          <w:p>
            <w:pPr>
              <w:pStyle w:val="59"/>
              <w:jc w:val="center"/>
              <w:rPr>
                <w:color w:val="auto"/>
                <w:lang w:val="zh-CN"/>
              </w:rPr>
            </w:pPr>
            <w:r>
              <w:rPr>
                <w:rFonts w:hint="eastAsia"/>
                <w:color w:val="auto"/>
                <w:lang w:val="en-US" w:eastAsia="zh-CN"/>
              </w:rPr>
              <w:t>最大在线量</w:t>
            </w:r>
            <w:r>
              <w:rPr>
                <w:rFonts w:hint="eastAsia"/>
                <w:color w:val="auto"/>
                <w:lang w:val="zh-CN"/>
              </w:rPr>
              <w:t>（</w:t>
            </w:r>
            <w:r>
              <w:rPr>
                <w:rFonts w:hint="eastAsia"/>
                <w:color w:val="auto"/>
                <w:lang w:val="en-US" w:eastAsia="zh-CN"/>
              </w:rPr>
              <w:t>t</w:t>
            </w:r>
            <w:r>
              <w:rPr>
                <w:rFonts w:hint="eastAsia"/>
                <w:color w:val="auto"/>
                <w:lang w:val="zh-CN"/>
              </w:rPr>
              <w:t>）</w:t>
            </w:r>
          </w:p>
        </w:tc>
        <w:tc>
          <w:tcPr>
            <w:tcW w:w="417" w:type="pct"/>
            <w:noWrap w:val="0"/>
            <w:vAlign w:val="center"/>
          </w:tcPr>
          <w:p>
            <w:pPr>
              <w:pStyle w:val="59"/>
              <w:jc w:val="center"/>
              <w:rPr>
                <w:rFonts w:hint="eastAsia"/>
                <w:color w:val="auto"/>
                <w:lang w:val="zh-CN" w:eastAsia="zh-CN"/>
              </w:rPr>
            </w:pPr>
            <w:r>
              <w:rPr>
                <w:rFonts w:hint="eastAsia"/>
                <w:color w:val="auto"/>
                <w:lang w:val="en-US" w:eastAsia="zh-CN"/>
              </w:rPr>
              <w:t>临界量（t）</w:t>
            </w:r>
          </w:p>
        </w:tc>
        <w:tc>
          <w:tcPr>
            <w:tcW w:w="1193" w:type="pct"/>
            <w:noWrap w:val="0"/>
            <w:vAlign w:val="center"/>
          </w:tcPr>
          <w:p>
            <w:pPr>
              <w:pStyle w:val="59"/>
              <w:jc w:val="center"/>
              <w:rPr>
                <w:rFonts w:hint="default"/>
                <w:color w:val="auto"/>
                <w:lang w:val="en-US" w:eastAsia="zh-CN"/>
              </w:rPr>
            </w:pPr>
            <w:r>
              <w:rPr>
                <w:rFonts w:hint="eastAsia"/>
                <w:color w:val="auto"/>
                <w:lang w:val="en-US" w:eastAsia="zh-CN"/>
              </w:rPr>
              <w:t>是否构成重大危险源</w:t>
            </w:r>
          </w:p>
        </w:tc>
        <w:tc>
          <w:tcPr>
            <w:tcW w:w="464" w:type="pct"/>
            <w:noWrap w:val="0"/>
            <w:vAlign w:val="center"/>
          </w:tcPr>
          <w:p>
            <w:pPr>
              <w:pStyle w:val="59"/>
              <w:jc w:val="center"/>
              <w:rPr>
                <w:rFonts w:hint="eastAsia"/>
                <w:color w:val="auto"/>
                <w:lang w:val="en-US" w:eastAsia="zh-CN"/>
              </w:rPr>
            </w:pPr>
            <w:r>
              <w:rPr>
                <w:rFonts w:hint="eastAsia"/>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color w:val="auto"/>
                <w:lang w:val="zh-CN"/>
              </w:rPr>
            </w:pPr>
            <w:r>
              <w:rPr>
                <w:color w:val="auto"/>
                <w:lang w:val="zh-CN"/>
              </w:rPr>
              <w:t>1</w:t>
            </w:r>
          </w:p>
        </w:tc>
        <w:tc>
          <w:tcPr>
            <w:tcW w:w="823" w:type="pct"/>
            <w:noWrap w:val="0"/>
            <w:vAlign w:val="center"/>
          </w:tcPr>
          <w:p>
            <w:pPr>
              <w:pStyle w:val="59"/>
              <w:rPr>
                <w:rFonts w:hint="default"/>
                <w:color w:val="auto"/>
                <w:lang w:val="en-US" w:eastAsia="zh-CN"/>
              </w:rPr>
            </w:pPr>
            <w:r>
              <w:rPr>
                <w:rFonts w:hint="eastAsia"/>
                <w:color w:val="auto"/>
                <w:lang w:val="en-US" w:eastAsia="zh-CN"/>
              </w:rPr>
              <w:t>201甲类仓库</w:t>
            </w:r>
          </w:p>
        </w:tc>
        <w:tc>
          <w:tcPr>
            <w:tcW w:w="922" w:type="pct"/>
            <w:vMerge w:val="restart"/>
            <w:noWrap w:val="0"/>
            <w:vAlign w:val="center"/>
          </w:tcPr>
          <w:p>
            <w:pPr>
              <w:pStyle w:val="59"/>
              <w:rPr>
                <w:color w:val="auto"/>
              </w:rPr>
            </w:pPr>
            <w:r>
              <w:rPr>
                <w:color w:val="auto"/>
              </w:rPr>
              <w:t>甲基丙烯酸甲酯</w:t>
            </w:r>
          </w:p>
        </w:tc>
        <w:tc>
          <w:tcPr>
            <w:tcW w:w="386" w:type="pct"/>
            <w:noWrap w:val="0"/>
            <w:vAlign w:val="center"/>
          </w:tcPr>
          <w:p>
            <w:pPr>
              <w:pStyle w:val="59"/>
              <w:jc w:val="center"/>
              <w:rPr>
                <w:rFonts w:hint="default"/>
                <w:color w:val="auto"/>
                <w:lang w:val="en-US" w:eastAsia="zh-CN"/>
              </w:rPr>
            </w:pPr>
            <w:r>
              <w:rPr>
                <w:rFonts w:hint="eastAsia"/>
                <w:color w:val="auto"/>
                <w:lang w:val="en-US" w:eastAsia="zh-CN"/>
              </w:rPr>
              <w:t>W5.3</w:t>
            </w:r>
          </w:p>
        </w:tc>
        <w:tc>
          <w:tcPr>
            <w:tcW w:w="478" w:type="pct"/>
            <w:noWrap w:val="0"/>
            <w:vAlign w:val="center"/>
          </w:tcPr>
          <w:p>
            <w:pPr>
              <w:pStyle w:val="59"/>
              <w:jc w:val="center"/>
              <w:rPr>
                <w:rFonts w:hint="default"/>
                <w:color w:val="auto"/>
                <w:lang w:val="en-US" w:eastAsia="zh-CN"/>
              </w:rPr>
            </w:pPr>
            <w:r>
              <w:rPr>
                <w:rFonts w:hint="eastAsia"/>
                <w:color w:val="auto"/>
                <w:lang w:val="en-US" w:eastAsia="zh-CN"/>
              </w:rPr>
              <w:t>20</w:t>
            </w:r>
          </w:p>
        </w:tc>
        <w:tc>
          <w:tcPr>
            <w:tcW w:w="417" w:type="pct"/>
            <w:noWrap w:val="0"/>
            <w:vAlign w:val="center"/>
          </w:tcPr>
          <w:p>
            <w:pPr>
              <w:pStyle w:val="59"/>
              <w:jc w:val="center"/>
              <w:rPr>
                <w:rFonts w:hint="default"/>
                <w:color w:val="auto"/>
                <w:lang w:val="en-US" w:eastAsia="zh-CN"/>
              </w:rPr>
            </w:pPr>
            <w:r>
              <w:rPr>
                <w:rFonts w:hint="eastAsia"/>
                <w:color w:val="auto"/>
                <w:lang w:val="en-US" w:eastAsia="zh-CN"/>
              </w:rPr>
              <w:t>1000</w:t>
            </w:r>
          </w:p>
        </w:tc>
        <w:tc>
          <w:tcPr>
            <w:tcW w:w="1193" w:type="pct"/>
            <w:noWrap w:val="0"/>
            <w:vAlign w:val="center"/>
          </w:tcPr>
          <w:p>
            <w:pPr>
              <w:pStyle w:val="59"/>
              <w:rPr>
                <w:rFonts w:hint="default"/>
                <w:color w:val="auto"/>
                <w:lang w:val="en-US" w:eastAsia="zh-CN"/>
              </w:rPr>
            </w:pPr>
            <w:r>
              <w:rPr>
                <w:color w:val="auto"/>
                <w:sz w:val="21"/>
                <w:szCs w:val="21"/>
                <w:lang w:val="zh-CN"/>
              </w:rPr>
              <w:t>∑q/Q＝</w:t>
            </w:r>
            <w:r>
              <w:rPr>
                <w:rFonts w:hint="eastAsia"/>
                <w:color w:val="auto"/>
                <w:sz w:val="21"/>
                <w:szCs w:val="21"/>
                <w:lang w:val="en-US" w:eastAsia="zh-CN"/>
              </w:rPr>
              <w:t>0.02＜</w:t>
            </w:r>
            <w:r>
              <w:rPr>
                <w:color w:val="auto"/>
                <w:sz w:val="21"/>
                <w:szCs w:val="21"/>
                <w:lang w:val="zh-CN"/>
              </w:rPr>
              <w:t>1，</w:t>
            </w:r>
            <w:r>
              <w:rPr>
                <w:rFonts w:hint="eastAsia"/>
                <w:color w:val="auto"/>
                <w:sz w:val="21"/>
                <w:szCs w:val="21"/>
                <w:lang w:val="en-US" w:eastAsia="zh-CN"/>
              </w:rPr>
              <w:t>不</w:t>
            </w:r>
            <w:r>
              <w:rPr>
                <w:rFonts w:hint="eastAsia"/>
                <w:color w:val="auto"/>
                <w:sz w:val="21"/>
                <w:szCs w:val="21"/>
                <w:lang w:val="zh-CN"/>
              </w:rPr>
              <w:t>构成重大危险源</w:t>
            </w:r>
          </w:p>
        </w:tc>
        <w:tc>
          <w:tcPr>
            <w:tcW w:w="464" w:type="pct"/>
            <w:noWrap w:val="0"/>
            <w:vAlign w:val="center"/>
          </w:tcPr>
          <w:p>
            <w:pPr>
              <w:pStyle w:val="59"/>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3" w:type="pct"/>
            <w:noWrap w:val="0"/>
            <w:vAlign w:val="center"/>
          </w:tcPr>
          <w:p>
            <w:pPr>
              <w:pStyle w:val="59"/>
              <w:jc w:val="center"/>
              <w:rPr>
                <w:rFonts w:hint="eastAsia"/>
                <w:color w:val="auto"/>
                <w:lang w:val="zh-CN" w:eastAsia="zh-CN"/>
              </w:rPr>
            </w:pPr>
            <w:r>
              <w:rPr>
                <w:rFonts w:hint="eastAsia"/>
                <w:color w:val="auto"/>
                <w:lang w:val="en-US" w:eastAsia="zh-CN"/>
              </w:rPr>
              <w:t>2</w:t>
            </w:r>
          </w:p>
        </w:tc>
        <w:tc>
          <w:tcPr>
            <w:tcW w:w="823" w:type="pct"/>
            <w:noWrap w:val="0"/>
            <w:vAlign w:val="center"/>
          </w:tcPr>
          <w:p>
            <w:pPr>
              <w:pStyle w:val="59"/>
              <w:rPr>
                <w:rFonts w:hint="default"/>
                <w:color w:val="auto"/>
                <w:lang w:val="en-US" w:eastAsia="zh-CN"/>
              </w:rPr>
            </w:pPr>
            <w:r>
              <w:rPr>
                <w:rFonts w:hint="eastAsia"/>
                <w:color w:val="auto"/>
                <w:lang w:val="en-US" w:eastAsia="zh-CN"/>
              </w:rPr>
              <w:t>203罐区</w:t>
            </w:r>
          </w:p>
        </w:tc>
        <w:tc>
          <w:tcPr>
            <w:tcW w:w="922" w:type="pct"/>
            <w:vMerge w:val="continue"/>
            <w:noWrap w:val="0"/>
            <w:vAlign w:val="center"/>
          </w:tcPr>
          <w:p>
            <w:pPr>
              <w:pStyle w:val="59"/>
              <w:rPr>
                <w:color w:val="auto"/>
                <w:lang w:val="zh-CN"/>
              </w:rPr>
            </w:pPr>
          </w:p>
        </w:tc>
        <w:tc>
          <w:tcPr>
            <w:tcW w:w="386" w:type="pct"/>
            <w:noWrap w:val="0"/>
            <w:vAlign w:val="center"/>
          </w:tcPr>
          <w:p>
            <w:pPr>
              <w:pStyle w:val="59"/>
              <w:jc w:val="center"/>
              <w:rPr>
                <w:rFonts w:hint="default"/>
                <w:color w:val="auto"/>
                <w:lang w:val="en-US" w:eastAsia="zh-CN"/>
              </w:rPr>
            </w:pPr>
            <w:r>
              <w:rPr>
                <w:rFonts w:hint="eastAsia"/>
                <w:color w:val="auto"/>
                <w:lang w:val="en-US" w:eastAsia="zh-CN"/>
              </w:rPr>
              <w:t>W5.3</w:t>
            </w:r>
          </w:p>
        </w:tc>
        <w:tc>
          <w:tcPr>
            <w:tcW w:w="478" w:type="pct"/>
            <w:noWrap w:val="0"/>
            <w:vAlign w:val="center"/>
          </w:tcPr>
          <w:p>
            <w:pPr>
              <w:pStyle w:val="59"/>
              <w:jc w:val="center"/>
              <w:rPr>
                <w:rFonts w:hint="default"/>
                <w:color w:val="auto"/>
                <w:lang w:val="en-US" w:eastAsia="zh-CN"/>
              </w:rPr>
            </w:pPr>
            <w:r>
              <w:rPr>
                <w:rFonts w:hint="eastAsia"/>
                <w:color w:val="auto"/>
                <w:lang w:val="en-US" w:eastAsia="zh-CN"/>
              </w:rPr>
              <w:t>376</w:t>
            </w:r>
          </w:p>
        </w:tc>
        <w:tc>
          <w:tcPr>
            <w:tcW w:w="417" w:type="pct"/>
            <w:noWrap w:val="0"/>
            <w:vAlign w:val="center"/>
          </w:tcPr>
          <w:p>
            <w:pPr>
              <w:pStyle w:val="59"/>
              <w:jc w:val="center"/>
              <w:rPr>
                <w:rFonts w:hint="default"/>
                <w:color w:val="auto"/>
                <w:lang w:val="en-US" w:eastAsia="zh-CN"/>
              </w:rPr>
            </w:pPr>
            <w:r>
              <w:rPr>
                <w:rFonts w:hint="eastAsia"/>
                <w:color w:val="auto"/>
                <w:lang w:val="en-US" w:eastAsia="zh-CN"/>
              </w:rPr>
              <w:t>1000</w:t>
            </w:r>
          </w:p>
        </w:tc>
        <w:tc>
          <w:tcPr>
            <w:tcW w:w="1193" w:type="pct"/>
            <w:noWrap w:val="0"/>
            <w:vAlign w:val="center"/>
          </w:tcPr>
          <w:p>
            <w:pPr>
              <w:pStyle w:val="59"/>
              <w:rPr>
                <w:rFonts w:hint="default"/>
                <w:color w:val="auto"/>
                <w:lang w:val="en-US" w:eastAsia="zh-CN"/>
              </w:rPr>
            </w:pPr>
            <w:r>
              <w:rPr>
                <w:color w:val="auto"/>
                <w:sz w:val="21"/>
                <w:szCs w:val="21"/>
                <w:lang w:val="zh-CN"/>
              </w:rPr>
              <w:t>∑q/Q＝</w:t>
            </w:r>
            <w:r>
              <w:rPr>
                <w:rFonts w:hint="eastAsia"/>
                <w:color w:val="auto"/>
                <w:sz w:val="21"/>
                <w:szCs w:val="21"/>
                <w:lang w:val="en-US" w:eastAsia="zh-CN"/>
              </w:rPr>
              <w:t>0.4088＜</w:t>
            </w:r>
            <w:r>
              <w:rPr>
                <w:color w:val="auto"/>
                <w:sz w:val="21"/>
                <w:szCs w:val="21"/>
                <w:lang w:val="zh-CN"/>
              </w:rPr>
              <w:t>1，</w:t>
            </w:r>
            <w:r>
              <w:rPr>
                <w:rFonts w:hint="eastAsia"/>
                <w:color w:val="auto"/>
                <w:sz w:val="21"/>
                <w:szCs w:val="21"/>
                <w:lang w:val="en-US" w:eastAsia="zh-CN"/>
              </w:rPr>
              <w:t>不</w:t>
            </w:r>
            <w:r>
              <w:rPr>
                <w:rFonts w:hint="eastAsia"/>
                <w:color w:val="auto"/>
                <w:sz w:val="21"/>
                <w:szCs w:val="21"/>
                <w:lang w:val="zh-CN"/>
              </w:rPr>
              <w:t>构成重大危险源</w:t>
            </w:r>
          </w:p>
        </w:tc>
        <w:tc>
          <w:tcPr>
            <w:tcW w:w="464" w:type="pct"/>
            <w:noWrap w:val="0"/>
            <w:vAlign w:val="center"/>
          </w:tcPr>
          <w:p>
            <w:pPr>
              <w:pStyle w:val="59"/>
              <w:rPr>
                <w:rFonts w:hint="default"/>
                <w:color w:val="auto"/>
                <w:lang w:val="en-US" w:eastAsia="zh-CN"/>
              </w:rPr>
            </w:pP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从上述重大危险源辨识过程得知：该项目储存单元不构成重大危险源。</w:t>
      </w:r>
    </w:p>
    <w:p>
      <w:pPr>
        <w:pStyle w:val="4"/>
        <w:rPr>
          <w:rFonts w:hint="eastAsia"/>
          <w:color w:val="auto"/>
          <w:lang w:val="en-US" w:eastAsia="zh-CN"/>
        </w:rPr>
      </w:pPr>
      <w:bookmarkStart w:id="918" w:name="_Toc24434"/>
      <w:bookmarkStart w:id="919" w:name="_Toc16169"/>
      <w:bookmarkStart w:id="920" w:name="_Toc23597"/>
      <w:bookmarkStart w:id="921" w:name="_Toc668"/>
      <w:bookmarkStart w:id="922" w:name="_Toc21047"/>
      <w:bookmarkStart w:id="923" w:name="_Toc13773"/>
      <w:r>
        <w:rPr>
          <w:rFonts w:hint="eastAsia"/>
          <w:color w:val="auto"/>
          <w:lang w:val="en-US" w:eastAsia="zh-CN"/>
        </w:rPr>
        <w:t>B.3.3 重大危险源辨识结果</w:t>
      </w:r>
      <w:bookmarkEnd w:id="918"/>
      <w:bookmarkEnd w:id="919"/>
      <w:bookmarkEnd w:id="920"/>
      <w:bookmarkEnd w:id="921"/>
      <w:bookmarkEnd w:id="922"/>
      <w:bookmarkEnd w:id="923"/>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通过上述重大危险源辨识过程，根据《危险化学品重大危险源辨识》（GB18218-2018）的定义得出结论如下：该项目涉及的生产单元和储存单元均不构成重大危险源。</w:t>
      </w:r>
    </w:p>
    <w:p>
      <w:pPr>
        <w:pStyle w:val="3"/>
        <w:pageBreakBefore w:val="0"/>
        <w:widowControl w:val="0"/>
        <w:kinsoku/>
        <w:wordWrap/>
        <w:overflowPunct/>
        <w:topLinePunct w:val="0"/>
        <w:autoSpaceDE/>
        <w:autoSpaceDN/>
        <w:bidi w:val="0"/>
        <w:adjustRightInd/>
        <w:snapToGrid/>
        <w:spacing w:line="620" w:lineRule="exact"/>
        <w:textAlignment w:val="auto"/>
        <w:rPr>
          <w:rFonts w:hint="eastAsia"/>
          <w:color w:val="auto"/>
          <w:lang w:val="en-US" w:eastAsia="zh-CN"/>
        </w:rPr>
      </w:pPr>
      <w:bookmarkStart w:id="924" w:name="_Toc19186"/>
      <w:bookmarkStart w:id="925" w:name="_Toc16860"/>
      <w:bookmarkStart w:id="926" w:name="_Toc25471"/>
      <w:bookmarkStart w:id="927" w:name="_Toc21814"/>
      <w:bookmarkStart w:id="928" w:name="_Toc32273"/>
      <w:bookmarkStart w:id="929" w:name="_Toc14426"/>
      <w:r>
        <w:rPr>
          <w:rFonts w:hint="eastAsia"/>
          <w:color w:val="auto"/>
          <w:lang w:val="en-US" w:eastAsia="zh-CN"/>
        </w:rPr>
        <w:t>B.4 个人风险和社会风险值</w:t>
      </w:r>
      <w:bookmarkEnd w:id="924"/>
      <w:bookmarkEnd w:id="925"/>
      <w:bookmarkEnd w:id="926"/>
      <w:bookmarkEnd w:id="927"/>
      <w:bookmarkEnd w:id="928"/>
      <w:bookmarkEnd w:id="929"/>
    </w:p>
    <w:p>
      <w:pPr>
        <w:pStyle w:val="4"/>
        <w:pageBreakBefore w:val="0"/>
        <w:widowControl w:val="0"/>
        <w:kinsoku/>
        <w:wordWrap/>
        <w:overflowPunct/>
        <w:topLinePunct w:val="0"/>
        <w:autoSpaceDE/>
        <w:autoSpaceDN/>
        <w:bidi w:val="0"/>
        <w:adjustRightInd/>
        <w:snapToGrid/>
        <w:spacing w:line="620" w:lineRule="exact"/>
        <w:textAlignment w:val="auto"/>
        <w:rPr>
          <w:rFonts w:hint="eastAsia"/>
          <w:color w:val="auto"/>
          <w:lang w:val="en-US" w:eastAsia="zh-CN"/>
        </w:rPr>
      </w:pPr>
      <w:bookmarkStart w:id="930" w:name="_Toc28318"/>
      <w:bookmarkStart w:id="931" w:name="_Toc3356"/>
      <w:bookmarkStart w:id="932" w:name="_Toc12220"/>
      <w:bookmarkStart w:id="933" w:name="_Toc23427"/>
      <w:bookmarkStart w:id="934" w:name="_Toc30351"/>
      <w:bookmarkStart w:id="935" w:name="_Toc18283"/>
      <w:r>
        <w:rPr>
          <w:rFonts w:hint="eastAsia"/>
          <w:color w:val="auto"/>
          <w:lang w:val="en-US" w:eastAsia="zh-CN"/>
        </w:rPr>
        <w:t>B.4.1 个人风险和社会风险值标准</w:t>
      </w:r>
      <w:bookmarkEnd w:id="930"/>
      <w:bookmarkEnd w:id="931"/>
      <w:bookmarkEnd w:id="932"/>
      <w:bookmarkEnd w:id="933"/>
      <w:bookmarkEnd w:id="934"/>
      <w:bookmarkEnd w:id="935"/>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1.个人和社会可接受风险辨识的标准</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1）《危险化学品生产装置和储存设施风险基准》（GB36894-2018）</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2）《危险化学品重大危险源监督管理暂行规定》（国家安全监管总局令第 40 号，第 79 号修改）</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2.个人风险是指假设人员长期处于某一场所且无保护，由于发生危险化学品事故而导致的死亡频率，单位为次每年。</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3.社会风险是指群体（包括周边企业员工和公众）在危险区域承受某种程度伤害的频发程度，通常表示为大于或等于 N 人死亡的事故累计频率（F），以累计频率和死亡人数之间关系的曲线图（F-N 曲线）来表示。</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4.防护目标：受危险化学品生产和储存设施事故影响，场外可能发生人员伤亡的设施或场所；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5.防护目标分类：</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1）高敏感防护目标包括下列设施或场所：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a 文化设施。包括：综合文化活动中心、文化馆、青少年宫、儿童活动中心、老年活动中心等设施。</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b 教育设施。包括：高等院校、中等专业学校、体育训练基地、中学、小学、幼儿园、业余学校、民营培训机构及其附属设施，包括为学校配建的独立地段的学生生活场所；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c 医疗卫生场所。包括：医疗、保健、卫生、翻译、康复和急救场所；不包括：居住小区及小区级以下的卫生服务设施；</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d 社会福利设施。包括：福利院、养老院、孤儿院等为社会提供福利和慈善服务的设施及其附属设施</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e 其他在事故场景下自我保护能力相对较低群体聚集的场所。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2）重要防护目标包括下列设施或场所：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a 公共图书展览设施。包括：公共图书馆、博物馆、科技馆、纪念馆、美术馆、展览馆、会展中心等设施。</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b 文物保护单位。</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c 宗教场所。包括：专门用于宗教活动的庙宇、寺院、道馆、教堂等场所。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d 城市轨道交通设施。包括独立地段的城市轨道交通地面以上部分的线</w:t>
      </w:r>
    </w:p>
    <w:p>
      <w:pPr>
        <w:pageBreakBefore w:val="0"/>
        <w:widowControl w:val="0"/>
        <w:numPr>
          <w:ilvl w:val="-1"/>
          <w:numId w:val="0"/>
        </w:numPr>
        <w:kinsoku/>
        <w:wordWrap/>
        <w:overflowPunct/>
        <w:topLinePunct w:val="0"/>
        <w:autoSpaceDE/>
        <w:autoSpaceDN/>
        <w:bidi w:val="0"/>
        <w:adjustRightInd/>
        <w:snapToGrid/>
        <w:spacing w:line="620" w:lineRule="exact"/>
        <w:ind w:firstLine="0" w:firstLineChars="0"/>
        <w:textAlignment w:val="auto"/>
        <w:rPr>
          <w:rFonts w:hint="eastAsia"/>
          <w:color w:val="auto"/>
          <w:highlight w:val="none"/>
          <w:lang w:val="en-US" w:eastAsia="zh-CN"/>
        </w:rPr>
      </w:pPr>
      <w:r>
        <w:rPr>
          <w:rFonts w:hint="eastAsia"/>
          <w:color w:val="auto"/>
          <w:highlight w:val="none"/>
          <w:lang w:val="en-US" w:eastAsia="zh-CN"/>
        </w:rPr>
        <w:t>路、站点。</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e 军事、安保设施。包括：专门用于军事目的的设施，监狱、拘留所设</w:t>
      </w:r>
    </w:p>
    <w:p>
      <w:pPr>
        <w:pageBreakBefore w:val="0"/>
        <w:widowControl w:val="0"/>
        <w:numPr>
          <w:ilvl w:val="-1"/>
          <w:numId w:val="0"/>
        </w:numPr>
        <w:kinsoku/>
        <w:wordWrap/>
        <w:overflowPunct/>
        <w:topLinePunct w:val="0"/>
        <w:autoSpaceDE/>
        <w:autoSpaceDN/>
        <w:bidi w:val="0"/>
        <w:adjustRightInd/>
        <w:snapToGrid/>
        <w:spacing w:line="620" w:lineRule="exact"/>
        <w:ind w:firstLine="0" w:firstLineChars="0"/>
        <w:textAlignment w:val="auto"/>
        <w:rPr>
          <w:rFonts w:hint="eastAsia"/>
          <w:color w:val="auto"/>
          <w:highlight w:val="none"/>
          <w:lang w:val="en-US" w:eastAsia="zh-CN"/>
        </w:rPr>
      </w:pPr>
      <w:r>
        <w:rPr>
          <w:rFonts w:hint="eastAsia"/>
          <w:color w:val="auto"/>
          <w:highlight w:val="none"/>
          <w:lang w:val="en-US" w:eastAsia="zh-CN"/>
        </w:rPr>
        <w:t>施。</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f 外事场所。包括：外国政府及国际组织驻华使领馆、办事处等。</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g 其他具有保护价值的或事故情景下不便撤离的场所。</w:t>
      </w:r>
    </w:p>
    <w:p>
      <w:pPr>
        <w:pageBreakBefore w:val="0"/>
        <w:widowControl w:val="0"/>
        <w:numPr>
          <w:ilvl w:val="-1"/>
          <w:numId w:val="0"/>
        </w:numPr>
        <w:kinsoku/>
        <w:wordWrap/>
        <w:overflowPunct/>
        <w:topLinePunct w:val="0"/>
        <w:autoSpaceDE/>
        <w:autoSpaceDN/>
        <w:bidi w:val="0"/>
        <w:adjustRightInd/>
        <w:snapToGrid/>
        <w:spacing w:line="620" w:lineRule="exact"/>
        <w:ind w:firstLine="560" w:firstLineChars="200"/>
        <w:textAlignment w:val="auto"/>
        <w:rPr>
          <w:rFonts w:hint="eastAsia"/>
          <w:color w:val="auto"/>
          <w:highlight w:val="none"/>
          <w:lang w:val="en-US" w:eastAsia="zh-CN"/>
        </w:rPr>
      </w:pPr>
      <w:r>
        <w:rPr>
          <w:rFonts w:hint="eastAsia"/>
          <w:color w:val="auto"/>
          <w:highlight w:val="none"/>
          <w:lang w:val="en-US" w:eastAsia="zh-CN"/>
        </w:rPr>
        <w:t>3）一般防护目标根据其规模分为一类防护目标、二类防护目标和三类</w:t>
      </w:r>
    </w:p>
    <w:p>
      <w:pPr>
        <w:pageBreakBefore w:val="0"/>
        <w:widowControl w:val="0"/>
        <w:numPr>
          <w:ilvl w:val="-1"/>
          <w:numId w:val="0"/>
        </w:numPr>
        <w:kinsoku/>
        <w:wordWrap/>
        <w:overflowPunct/>
        <w:topLinePunct w:val="0"/>
        <w:autoSpaceDE/>
        <w:autoSpaceDN/>
        <w:bidi w:val="0"/>
        <w:adjustRightInd/>
        <w:snapToGrid/>
        <w:spacing w:line="620" w:lineRule="exact"/>
        <w:ind w:firstLine="0" w:firstLineChars="0"/>
        <w:textAlignment w:val="auto"/>
        <w:rPr>
          <w:rFonts w:hint="eastAsia"/>
          <w:color w:val="auto"/>
          <w:highlight w:val="none"/>
          <w:lang w:val="en-US" w:eastAsia="zh-CN"/>
        </w:rPr>
      </w:pPr>
      <w:r>
        <w:rPr>
          <w:rFonts w:hint="eastAsia"/>
          <w:color w:val="auto"/>
          <w:highlight w:val="none"/>
          <w:lang w:val="en-US" w:eastAsia="zh-CN"/>
        </w:rPr>
        <w:t>防护目标。一般防护目标的分类规定参见表B.4-1。</w:t>
      </w:r>
    </w:p>
    <w:p>
      <w:pPr>
        <w:pStyle w:val="53"/>
        <w:rPr>
          <w:rFonts w:hint="eastAsia"/>
          <w:color w:val="auto"/>
          <w:lang w:val="en-US" w:eastAsia="zh-CN"/>
        </w:rPr>
      </w:pPr>
    </w:p>
    <w:p>
      <w:pPr>
        <w:pStyle w:val="53"/>
        <w:rPr>
          <w:rFonts w:hint="eastAsia"/>
          <w:color w:val="auto"/>
          <w:lang w:val="en-US" w:eastAsia="zh-CN"/>
        </w:rPr>
      </w:pPr>
    </w:p>
    <w:p>
      <w:pPr>
        <w:pStyle w:val="53"/>
        <w:rPr>
          <w:rFonts w:hint="eastAsia"/>
          <w:color w:val="auto"/>
          <w:lang w:val="en-US" w:eastAsia="zh-CN"/>
        </w:rPr>
      </w:pPr>
      <w:r>
        <w:rPr>
          <w:rFonts w:hint="eastAsia"/>
          <w:color w:val="auto"/>
          <w:lang w:val="en-US" w:eastAsia="zh-CN"/>
        </w:rPr>
        <w:t>表 B.4-1 一般防护目标的分类</w:t>
      </w:r>
    </w:p>
    <w:tbl>
      <w:tblPr>
        <w:tblStyle w:val="42"/>
        <w:tblW w:w="93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028"/>
        <w:gridCol w:w="1937"/>
        <w:gridCol w:w="1838"/>
        <w:gridCol w:w="1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center"/>
              <w:textAlignment w:val="auto"/>
              <w:rPr>
                <w:rFonts w:hint="eastAsia"/>
                <w:color w:val="auto"/>
              </w:rPr>
            </w:pPr>
            <w:r>
              <w:rPr>
                <w:rFonts w:hint="eastAsia"/>
                <w:color w:val="auto"/>
                <w:lang w:val="en-US" w:eastAsia="zh-CN"/>
              </w:rPr>
              <w:t>防护目标类型</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center"/>
              <w:textAlignment w:val="auto"/>
              <w:rPr>
                <w:rFonts w:hint="eastAsia"/>
                <w:color w:val="auto"/>
              </w:rPr>
            </w:pPr>
            <w:r>
              <w:rPr>
                <w:rFonts w:hint="eastAsia"/>
                <w:color w:val="auto"/>
                <w:lang w:val="en-US" w:eastAsia="zh-CN"/>
              </w:rPr>
              <w:t>一类防护目标</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center"/>
              <w:textAlignment w:val="auto"/>
              <w:rPr>
                <w:rFonts w:hint="eastAsia"/>
                <w:color w:val="auto"/>
              </w:rPr>
            </w:pPr>
            <w:r>
              <w:rPr>
                <w:rFonts w:hint="eastAsia"/>
                <w:color w:val="auto"/>
                <w:lang w:val="en-US" w:eastAsia="zh-CN"/>
              </w:rPr>
              <w:t>二类防护目标</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center"/>
              <w:textAlignment w:val="auto"/>
              <w:rPr>
                <w:rFonts w:hint="eastAsia"/>
                <w:color w:val="auto"/>
              </w:rPr>
            </w:pPr>
            <w:r>
              <w:rPr>
                <w:rFonts w:hint="eastAsia"/>
                <w:color w:val="auto"/>
                <w:lang w:val="en-US" w:eastAsia="zh-CN"/>
              </w:rPr>
              <w:t>三类防护目标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住宅及相应服务设施</w:t>
            </w:r>
            <w:r>
              <w:rPr>
                <w:rFonts w:hint="eastAsia"/>
                <w:color w:val="auto"/>
                <w:lang w:val="en-US" w:eastAsia="zh-CN"/>
              </w:rPr>
              <w:br w:type="textWrapping"/>
            </w:r>
            <w:r>
              <w:rPr>
                <w:rFonts w:hint="eastAsia"/>
                <w:color w:val="auto"/>
                <w:lang w:val="en-US" w:eastAsia="zh-CN"/>
              </w:rPr>
              <w:t>住宅包括：农村居民点、底层住区、中层</w:t>
            </w:r>
            <w:r>
              <w:rPr>
                <w:rFonts w:hint="eastAsia"/>
                <w:color w:val="auto"/>
                <w:lang w:val="en-US" w:eastAsia="zh-CN"/>
              </w:rPr>
              <w:br w:type="textWrapping"/>
            </w:r>
            <w:r>
              <w:rPr>
                <w:rFonts w:hint="eastAsia"/>
                <w:color w:val="auto"/>
                <w:lang w:val="en-US" w:eastAsia="zh-CN"/>
              </w:rPr>
              <w:t>和高层住宅建筑等：</w:t>
            </w:r>
            <w:r>
              <w:rPr>
                <w:rFonts w:hint="eastAsia"/>
                <w:color w:val="auto"/>
                <w:lang w:val="en-US" w:eastAsia="zh-CN"/>
              </w:rPr>
              <w:br w:type="textWrapping"/>
            </w:r>
            <w:r>
              <w:rPr>
                <w:rFonts w:hint="eastAsia"/>
                <w:color w:val="auto"/>
                <w:lang w:val="en-US" w:eastAsia="zh-CN"/>
              </w:rPr>
              <w:t>相应服务设施包括：居住小区及小区级以</w:t>
            </w:r>
            <w:r>
              <w:rPr>
                <w:rFonts w:hint="eastAsia"/>
                <w:color w:val="auto"/>
                <w:lang w:val="en-US" w:eastAsia="zh-CN"/>
              </w:rPr>
              <w:br w:type="textWrapping"/>
            </w:r>
            <w:r>
              <w:rPr>
                <w:rFonts w:hint="eastAsia"/>
                <w:color w:val="auto"/>
                <w:lang w:val="en-US" w:eastAsia="zh-CN"/>
              </w:rPr>
              <w:t>下的文化、体育、商业、卫生服务、养老助残设施，不包括中小学</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居住户数30户以上</w:t>
            </w:r>
            <w:r>
              <w:rPr>
                <w:rFonts w:hint="eastAsia"/>
                <w:color w:val="auto"/>
                <w:lang w:val="en-US" w:eastAsia="zh-CN"/>
              </w:rPr>
              <w:br w:type="textWrapping"/>
            </w:r>
            <w:r>
              <w:rPr>
                <w:rFonts w:hint="eastAsia"/>
                <w:color w:val="auto"/>
                <w:lang w:val="en-US" w:eastAsia="zh-CN"/>
              </w:rPr>
              <w:t>或者居住人数100</w:t>
            </w:r>
            <w:r>
              <w:rPr>
                <w:rFonts w:hint="eastAsia"/>
                <w:color w:val="auto"/>
                <w:lang w:val="en-US" w:eastAsia="zh-CN"/>
              </w:rPr>
              <w:br w:type="textWrapping"/>
            </w:r>
            <w:r>
              <w:rPr>
                <w:rFonts w:hint="eastAsia"/>
                <w:color w:val="auto"/>
                <w:lang w:val="en-US" w:eastAsia="zh-CN"/>
              </w:rPr>
              <w:t>人以上</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居住户数10户以上30户以下或者居住人数30人以上100人以下</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居住户数10户以下或者居住人数30人以下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行政办公设施</w:t>
            </w:r>
            <w:r>
              <w:rPr>
                <w:rFonts w:hint="eastAsia"/>
                <w:color w:val="auto"/>
                <w:lang w:val="en-US" w:eastAsia="zh-CN"/>
              </w:rPr>
              <w:br w:type="textWrapping"/>
            </w:r>
            <w:r>
              <w:rPr>
                <w:rFonts w:hint="eastAsia"/>
                <w:color w:val="auto"/>
                <w:lang w:val="en-US" w:eastAsia="zh-CN"/>
              </w:rPr>
              <w:t>包括：党政机关、社会团体、科研、事业</w:t>
            </w:r>
            <w:r>
              <w:rPr>
                <w:rFonts w:hint="eastAsia"/>
                <w:color w:val="auto"/>
                <w:lang w:val="en-US" w:eastAsia="zh-CN"/>
              </w:rPr>
              <w:br w:type="textWrapping"/>
            </w:r>
            <w:r>
              <w:rPr>
                <w:rFonts w:hint="eastAsia"/>
                <w:color w:val="auto"/>
                <w:lang w:val="en-US" w:eastAsia="zh-CN"/>
              </w:rPr>
              <w:t>单位等办公楼及其相关设施</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县级以上党政机关以及其他办公人数100 人以上的行政办公建筑</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办公人数100人</w:t>
            </w:r>
            <w:r>
              <w:rPr>
                <w:rFonts w:hint="eastAsia"/>
                <w:color w:val="auto"/>
                <w:lang w:val="en-US" w:eastAsia="zh-CN"/>
              </w:rPr>
              <w:br w:type="textWrapping"/>
            </w:r>
            <w:r>
              <w:rPr>
                <w:rFonts w:hint="eastAsia"/>
                <w:color w:val="auto"/>
                <w:lang w:val="en-US" w:eastAsia="zh-CN"/>
              </w:rPr>
              <w:t>以下的行政办公</w:t>
            </w:r>
            <w:r>
              <w:rPr>
                <w:rFonts w:hint="eastAsia"/>
                <w:color w:val="auto"/>
                <w:lang w:val="en-US" w:eastAsia="zh-CN"/>
              </w:rPr>
              <w:br w:type="textWrapping"/>
            </w:r>
            <w:r>
              <w:rPr>
                <w:rFonts w:hint="eastAsia"/>
                <w:color w:val="auto"/>
                <w:lang w:val="en-US" w:eastAsia="zh-CN"/>
              </w:rPr>
              <w:t>建筑</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体育场馆</w:t>
            </w:r>
            <w:r>
              <w:rPr>
                <w:rFonts w:hint="eastAsia"/>
                <w:color w:val="auto"/>
                <w:lang w:val="en-US" w:eastAsia="zh-CN"/>
              </w:rPr>
              <w:br w:type="textWrapping"/>
            </w:r>
            <w:r>
              <w:rPr>
                <w:rFonts w:hint="eastAsia"/>
                <w:color w:val="auto"/>
                <w:lang w:val="en-US" w:eastAsia="zh-CN"/>
              </w:rPr>
              <w:t>不包括：学校等机构专用的体育设施</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 5000m</w:t>
            </w:r>
            <w:r>
              <w:rPr>
                <w:rFonts w:hint="eastAsia"/>
                <w:color w:val="auto"/>
                <w:vertAlign w:val="superscript"/>
                <w:lang w:val="en-US" w:eastAsia="zh-CN"/>
              </w:rPr>
              <w:t>2</w:t>
            </w:r>
            <w:r>
              <w:rPr>
                <w:rFonts w:hint="eastAsia"/>
                <w:color w:val="auto"/>
                <w:lang w:val="en-US" w:eastAsia="zh-CN"/>
              </w:rPr>
              <w:t>以上的</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 筑面积</w:t>
            </w:r>
            <w:r>
              <w:rPr>
                <w:rFonts w:hint="eastAsia"/>
                <w:color w:val="auto"/>
                <w:lang w:val="en-US" w:eastAsia="zh-CN"/>
              </w:rPr>
              <w:br w:type="textWrapping"/>
            </w:r>
            <w:r>
              <w:rPr>
                <w:rFonts w:hint="eastAsia"/>
                <w:color w:val="auto"/>
                <w:lang w:val="en-US" w:eastAsia="zh-CN"/>
              </w:rPr>
              <w:t>5000m</w:t>
            </w:r>
            <w:r>
              <w:rPr>
                <w:rFonts w:hint="eastAsia"/>
                <w:color w:val="auto"/>
                <w:vertAlign w:val="superscript"/>
                <w:lang w:val="en-US" w:eastAsia="zh-CN"/>
              </w:rPr>
              <w:t>2</w:t>
            </w:r>
            <w:r>
              <w:rPr>
                <w:rFonts w:hint="eastAsia"/>
                <w:color w:val="auto"/>
                <w:lang w:val="en-US" w:eastAsia="zh-CN"/>
              </w:rPr>
              <w:t>以下的</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商业、餐饮等综合性商业服务建筑</w:t>
            </w:r>
            <w:r>
              <w:rPr>
                <w:rFonts w:hint="eastAsia"/>
                <w:color w:val="auto"/>
                <w:lang w:val="en-US" w:eastAsia="zh-CN"/>
              </w:rPr>
              <w:br w:type="textWrapping"/>
            </w:r>
            <w:r>
              <w:rPr>
                <w:rFonts w:hint="eastAsia"/>
                <w:color w:val="auto"/>
                <w:lang w:val="en-US" w:eastAsia="zh-CN"/>
              </w:rPr>
              <w:t>包括：以零售功能为主的商铺、商场、超</w:t>
            </w:r>
            <w:r>
              <w:rPr>
                <w:rFonts w:hint="eastAsia"/>
                <w:color w:val="auto"/>
                <w:lang w:val="en-US" w:eastAsia="zh-CN"/>
              </w:rPr>
              <w:br w:type="textWrapping"/>
            </w:r>
            <w:r>
              <w:rPr>
                <w:rFonts w:hint="eastAsia"/>
                <w:color w:val="auto"/>
                <w:lang w:val="en-US" w:eastAsia="zh-CN"/>
              </w:rPr>
              <w:t>市、市场类商业建筑或场所：以批发功能</w:t>
            </w:r>
            <w:r>
              <w:rPr>
                <w:rFonts w:hint="eastAsia"/>
                <w:color w:val="auto"/>
                <w:lang w:val="en-US" w:eastAsia="zh-CN"/>
              </w:rPr>
              <w:br w:type="textWrapping"/>
            </w:r>
            <w:r>
              <w:rPr>
                <w:rFonts w:hint="eastAsia"/>
                <w:color w:val="auto"/>
                <w:lang w:val="en-US" w:eastAsia="zh-CN"/>
              </w:rPr>
              <w:t>为主的农贸市场：饭店、餐馆、酒吧等餐</w:t>
            </w:r>
            <w:r>
              <w:rPr>
                <w:rFonts w:hint="eastAsia"/>
                <w:color w:val="auto"/>
                <w:lang w:val="en-US" w:eastAsia="zh-CN"/>
              </w:rPr>
              <w:br w:type="textWrapping"/>
            </w:r>
            <w:r>
              <w:rPr>
                <w:rFonts w:hint="eastAsia"/>
                <w:color w:val="auto"/>
                <w:lang w:val="en-US" w:eastAsia="zh-CN"/>
              </w:rPr>
              <w:t>饮业场所或建筑</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 5000m</w:t>
            </w:r>
            <w:r>
              <w:rPr>
                <w:rFonts w:hint="eastAsia"/>
                <w:color w:val="auto"/>
                <w:vertAlign w:val="superscript"/>
                <w:lang w:val="en-US" w:eastAsia="zh-CN"/>
              </w:rPr>
              <w:t>2</w:t>
            </w:r>
            <w:r>
              <w:rPr>
                <w:rFonts w:hint="eastAsia"/>
                <w:color w:val="auto"/>
                <w:lang w:val="en-US" w:eastAsia="zh-CN"/>
              </w:rPr>
              <w:t>以上的，或高峰时300 人以上的露天场所</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 筑 面 积1500m</w:t>
            </w:r>
            <w:r>
              <w:rPr>
                <w:rFonts w:hint="eastAsia"/>
                <w:color w:val="auto"/>
                <w:vertAlign w:val="superscript"/>
                <w:lang w:val="en-US" w:eastAsia="zh-CN"/>
              </w:rPr>
              <w:t xml:space="preserve">2 </w:t>
            </w:r>
            <w:r>
              <w:rPr>
                <w:rFonts w:hint="eastAsia"/>
                <w:color w:val="auto"/>
                <w:lang w:val="en-US" w:eastAsia="zh-CN"/>
              </w:rPr>
              <w:t>以上的5000m</w:t>
            </w:r>
            <w:r>
              <w:rPr>
                <w:rFonts w:hint="eastAsia"/>
                <w:color w:val="auto"/>
                <w:vertAlign w:val="superscript"/>
                <w:lang w:val="en-US" w:eastAsia="zh-CN"/>
              </w:rPr>
              <w:t>2</w:t>
            </w:r>
            <w:r>
              <w:rPr>
                <w:rFonts w:hint="eastAsia"/>
                <w:color w:val="auto"/>
                <w:lang w:val="en-US" w:eastAsia="zh-CN"/>
              </w:rPr>
              <w:t>以下的建筑，或高峰时100人以上 300人以下的露天场所</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 积</w:t>
            </w:r>
            <w:r>
              <w:rPr>
                <w:rFonts w:hint="eastAsia"/>
                <w:color w:val="auto"/>
                <w:lang w:val="en-US" w:eastAsia="zh-CN"/>
              </w:rPr>
              <w:br w:type="textWrapping"/>
            </w:r>
            <w:r>
              <w:rPr>
                <w:rFonts w:hint="eastAsia"/>
                <w:color w:val="auto"/>
                <w:lang w:val="en-US" w:eastAsia="zh-CN"/>
              </w:rPr>
              <w:t>1500m</w:t>
            </w:r>
            <w:r>
              <w:rPr>
                <w:rFonts w:hint="eastAsia"/>
                <w:color w:val="auto"/>
                <w:vertAlign w:val="superscript"/>
                <w:lang w:val="en-US" w:eastAsia="zh-CN"/>
              </w:rPr>
              <w:t xml:space="preserve">2 </w:t>
            </w:r>
            <w:r>
              <w:rPr>
                <w:rFonts w:hint="eastAsia"/>
                <w:color w:val="auto"/>
                <w:lang w:val="en-US" w:eastAsia="zh-CN"/>
              </w:rPr>
              <w:t>以下的建筑，或高峰时100 以下的露天场所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旅馆住宿业建筑</w:t>
            </w:r>
            <w:r>
              <w:rPr>
                <w:rFonts w:hint="eastAsia"/>
                <w:color w:val="auto"/>
                <w:lang w:val="en-US" w:eastAsia="zh-CN"/>
              </w:rPr>
              <w:br w:type="textWrapping"/>
            </w:r>
            <w:r>
              <w:rPr>
                <w:rFonts w:hint="eastAsia"/>
                <w:color w:val="auto"/>
                <w:lang w:val="en-US" w:eastAsia="zh-CN"/>
              </w:rPr>
              <w:t>包括：宾馆、旅馆、招待所、防务新公寓、</w:t>
            </w:r>
            <w:r>
              <w:rPr>
                <w:rFonts w:hint="eastAsia"/>
                <w:color w:val="auto"/>
                <w:lang w:val="en-US" w:eastAsia="zh-CN"/>
              </w:rPr>
              <w:br w:type="textWrapping"/>
            </w:r>
            <w:r>
              <w:rPr>
                <w:rFonts w:hint="eastAsia"/>
                <w:color w:val="auto"/>
                <w:lang w:val="en-US" w:eastAsia="zh-CN"/>
              </w:rPr>
              <w:t>度假村等建筑</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床位数100张以上</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床位数100张以下</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金融保险、艺术传媒、技术服务等综合性商务办公建筑</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 5000m</w:t>
            </w:r>
            <w:r>
              <w:rPr>
                <w:rFonts w:hint="eastAsia"/>
                <w:color w:val="auto"/>
                <w:vertAlign w:val="superscript"/>
                <w:lang w:val="en-US" w:eastAsia="zh-CN"/>
              </w:rPr>
              <w:t>2</w:t>
            </w:r>
            <w:r>
              <w:rPr>
                <w:rFonts w:hint="eastAsia"/>
                <w:color w:val="auto"/>
                <w:lang w:val="en-US" w:eastAsia="zh-CN"/>
              </w:rPr>
              <w:t>以上的</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总建筑面积1500m</w:t>
            </w:r>
            <w:r>
              <w:rPr>
                <w:rFonts w:hint="eastAsia"/>
                <w:color w:val="auto"/>
                <w:vertAlign w:val="superscript"/>
                <w:lang w:val="en-US" w:eastAsia="zh-CN"/>
              </w:rPr>
              <w:t>2</w:t>
            </w:r>
            <w:r>
              <w:rPr>
                <w:rFonts w:hint="eastAsia"/>
                <w:color w:val="auto"/>
                <w:lang w:val="en-US" w:eastAsia="zh-CN"/>
              </w:rPr>
              <w:t>以上5000㎡</w:t>
            </w:r>
            <w:r>
              <w:rPr>
                <w:rFonts w:hint="eastAsia"/>
                <w:color w:val="auto"/>
                <w:vertAlign w:val="superscript"/>
                <w:lang w:val="en-US" w:eastAsia="zh-CN"/>
              </w:rPr>
              <w:t>2</w:t>
            </w:r>
            <w:r>
              <w:rPr>
                <w:rFonts w:hint="eastAsia"/>
                <w:color w:val="auto"/>
                <w:lang w:val="en-US" w:eastAsia="zh-CN"/>
              </w:rPr>
              <w:t>以下的</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w:t>
            </w:r>
            <w:r>
              <w:rPr>
                <w:rFonts w:hint="eastAsia"/>
                <w:color w:val="auto"/>
                <w:lang w:val="en-US" w:eastAsia="zh-CN"/>
              </w:rPr>
              <w:br w:type="textWrapping"/>
            </w:r>
            <w:r>
              <w:rPr>
                <w:rFonts w:hint="eastAsia"/>
                <w:color w:val="auto"/>
                <w:lang w:val="en-US" w:eastAsia="zh-CN"/>
              </w:rPr>
              <w:t>1500m</w:t>
            </w:r>
            <w:r>
              <w:rPr>
                <w:rFonts w:hint="eastAsia"/>
                <w:color w:val="auto"/>
                <w:vertAlign w:val="superscript"/>
                <w:lang w:val="en-US" w:eastAsia="zh-CN"/>
              </w:rPr>
              <w:t>2</w:t>
            </w:r>
            <w:r>
              <w:rPr>
                <w:rFonts w:hint="eastAsia"/>
                <w:color w:val="auto"/>
                <w:lang w:val="en-US" w:eastAsia="zh-CN"/>
              </w:rPr>
              <w:t>以下的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娱乐、康体类建筑或场所</w:t>
            </w:r>
            <w:r>
              <w:rPr>
                <w:rFonts w:hint="eastAsia"/>
                <w:color w:val="auto"/>
                <w:lang w:val="en-US" w:eastAsia="zh-CN"/>
              </w:rPr>
              <w:br w:type="textWrapping"/>
            </w:r>
            <w:r>
              <w:rPr>
                <w:rFonts w:hint="eastAsia"/>
                <w:color w:val="auto"/>
                <w:lang w:val="en-US" w:eastAsia="zh-CN"/>
              </w:rPr>
              <w:t>包括：剧院、音乐厅、歌舞厅、网吧以及大型游乐等娱乐场所建筑：</w:t>
            </w:r>
            <w:r>
              <w:rPr>
                <w:rFonts w:hint="eastAsia"/>
                <w:color w:val="auto"/>
                <w:lang w:val="en-US" w:eastAsia="zh-CN"/>
              </w:rPr>
              <w:br w:type="textWrapping"/>
            </w:r>
            <w:r>
              <w:rPr>
                <w:rFonts w:hint="eastAsia"/>
                <w:color w:val="auto"/>
                <w:lang w:val="en-US" w:eastAsia="zh-CN"/>
              </w:rPr>
              <w:t>赛与场、高尔夫、溜冰场、跳伞场、摩托车场、射击场等康体场所</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总建筑面积 3000m</w:t>
            </w:r>
            <w:r>
              <w:rPr>
                <w:rFonts w:hint="eastAsia"/>
                <w:color w:val="auto"/>
                <w:vertAlign w:val="superscript"/>
                <w:lang w:val="en-US" w:eastAsia="zh-CN"/>
              </w:rPr>
              <w:t>2</w:t>
            </w:r>
            <w:r>
              <w:rPr>
                <w:rFonts w:hint="eastAsia"/>
                <w:color w:val="auto"/>
                <w:lang w:val="en-US" w:eastAsia="zh-CN"/>
              </w:rPr>
              <w:t>以上的，或高峰时100人以上的露天场所</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总 建 筑面积</w:t>
            </w:r>
            <w:r>
              <w:rPr>
                <w:rFonts w:hint="eastAsia"/>
                <w:color w:val="auto"/>
                <w:lang w:val="en-US" w:eastAsia="zh-CN"/>
              </w:rPr>
              <w:br w:type="textWrapping"/>
            </w:r>
            <w:r>
              <w:rPr>
                <w:rFonts w:hint="eastAsia"/>
                <w:color w:val="auto"/>
                <w:lang w:val="en-US" w:eastAsia="zh-CN"/>
              </w:rPr>
              <w:t>3000m</w:t>
            </w:r>
            <w:r>
              <w:rPr>
                <w:rFonts w:hint="eastAsia"/>
                <w:color w:val="auto"/>
                <w:vertAlign w:val="superscript"/>
                <w:lang w:val="en-US" w:eastAsia="zh-CN"/>
              </w:rPr>
              <w:t xml:space="preserve">2 </w:t>
            </w:r>
            <w:r>
              <w:rPr>
                <w:rFonts w:hint="eastAsia"/>
                <w:color w:val="auto"/>
                <w:lang w:val="en-US" w:eastAsia="zh-CN"/>
              </w:rPr>
              <w:t>以下的建筑，或高峰时 100人以下的露天场所</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公共设施营业网点</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其他公用设施营</w:t>
            </w:r>
            <w:r>
              <w:rPr>
                <w:rFonts w:hint="eastAsia"/>
                <w:color w:val="auto"/>
                <w:lang w:val="en-US" w:eastAsia="zh-CN"/>
              </w:rPr>
              <w:br w:type="textWrapping"/>
            </w:r>
            <w:r>
              <w:rPr>
                <w:rFonts w:hint="eastAsia"/>
                <w:color w:val="auto"/>
                <w:lang w:val="en-US" w:eastAsia="zh-CN"/>
              </w:rPr>
              <w:t>业网点。包括电</w:t>
            </w:r>
            <w:r>
              <w:rPr>
                <w:rFonts w:hint="eastAsia"/>
                <w:color w:val="auto"/>
                <w:lang w:val="en-US" w:eastAsia="zh-CN"/>
              </w:rPr>
              <w:br w:type="textWrapping"/>
            </w:r>
            <w:r>
              <w:rPr>
                <w:rFonts w:hint="eastAsia"/>
                <w:color w:val="auto"/>
                <w:lang w:val="en-US" w:eastAsia="zh-CN"/>
              </w:rPr>
              <w:t>信、邮政、供水、</w:t>
            </w:r>
            <w:r>
              <w:rPr>
                <w:rFonts w:hint="eastAsia"/>
                <w:color w:val="auto"/>
                <w:lang w:val="en-US" w:eastAsia="zh-CN"/>
              </w:rPr>
              <w:br w:type="textWrapping"/>
            </w:r>
            <w:r>
              <w:rPr>
                <w:rFonts w:hint="eastAsia"/>
                <w:color w:val="auto"/>
                <w:lang w:val="en-US" w:eastAsia="zh-CN"/>
              </w:rPr>
              <w:t>燃气、供电、供热等其他公用设施营业网点</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加油加气站营业网点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9" w:hRule="atLeast"/>
        </w:trPr>
        <w:tc>
          <w:tcPr>
            <w:tcW w:w="4028" w:type="dxa"/>
            <w:tcBorders>
              <w:top w:val="single" w:color="000000" w:sz="4" w:space="0"/>
              <w:left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其他非危险化学品工业企业</w:t>
            </w:r>
          </w:p>
        </w:tc>
        <w:tc>
          <w:tcPr>
            <w:tcW w:w="1937"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p>
        </w:tc>
        <w:tc>
          <w:tcPr>
            <w:tcW w:w="1838" w:type="dxa"/>
            <w:tcBorders>
              <w:top w:val="single" w:color="000000" w:sz="4" w:space="0"/>
              <w:left w:val="single" w:color="000000" w:sz="4" w:space="0"/>
              <w:right w:val="single" w:color="000000" w:sz="4" w:space="0"/>
            </w:tcBorders>
            <w:shd w:val="clear" w:color="auto" w:fill="auto"/>
            <w:vAlign w:val="center"/>
          </w:tcPr>
          <w:p>
            <w:pPr>
              <w:pStyle w:val="59"/>
              <w:widowControl w:val="0"/>
              <w:jc w:val="both"/>
              <w:textAlignment w:val="auto"/>
              <w:rPr>
                <w:rFonts w:hint="eastAsia"/>
                <w:color w:val="auto"/>
              </w:rPr>
            </w:pPr>
            <w:r>
              <w:rPr>
                <w:rFonts w:hint="eastAsia"/>
                <w:color w:val="auto"/>
                <w:lang w:val="en-US" w:eastAsia="zh-CN"/>
              </w:rPr>
              <w:t>企业当班人数100人以上的建</w:t>
            </w:r>
            <w:r>
              <w:rPr>
                <w:rFonts w:hint="eastAsia"/>
                <w:color w:val="auto"/>
                <w:lang w:val="en-US" w:eastAsia="zh-CN"/>
              </w:rPr>
              <w:br w:type="textWrapping"/>
            </w:r>
            <w:r>
              <w:rPr>
                <w:rFonts w:hint="eastAsia"/>
                <w:color w:val="auto"/>
                <w:lang w:val="en-US" w:eastAsia="zh-CN"/>
              </w:rPr>
              <w:t>筑</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eastAsia"/>
                <w:color w:val="auto"/>
                <w:lang w:val="en-US" w:eastAsia="zh-CN"/>
              </w:rPr>
            </w:pPr>
            <w:r>
              <w:rPr>
                <w:rFonts w:hint="eastAsia"/>
                <w:color w:val="auto"/>
                <w:lang w:val="en-US" w:eastAsia="zh-CN"/>
              </w:rPr>
              <w:t>企业当班人数</w:t>
            </w:r>
          </w:p>
          <w:p>
            <w:pPr>
              <w:pStyle w:val="59"/>
              <w:keepNext w:val="0"/>
              <w:keepLines w:val="0"/>
              <w:widowControl/>
              <w:suppressLineNumbers w:val="0"/>
              <w:jc w:val="both"/>
              <w:textAlignment w:val="center"/>
              <w:rPr>
                <w:rFonts w:hint="eastAsia"/>
                <w:color w:val="auto"/>
              </w:rPr>
            </w:pPr>
            <w:r>
              <w:rPr>
                <w:rFonts w:hint="eastAsia"/>
                <w:color w:val="auto"/>
                <w:lang w:val="en-US" w:eastAsia="zh-CN"/>
              </w:rPr>
              <w:t>100人以下的建筑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交通枢纽设施</w:t>
            </w:r>
            <w:r>
              <w:rPr>
                <w:rFonts w:hint="eastAsia"/>
                <w:color w:val="auto"/>
                <w:lang w:val="en-US" w:eastAsia="zh-CN"/>
              </w:rPr>
              <w:br w:type="textWrapping"/>
            </w:r>
            <w:r>
              <w:rPr>
                <w:rFonts w:hint="eastAsia"/>
                <w:color w:val="auto"/>
                <w:lang w:val="en-US" w:eastAsia="zh-CN"/>
              </w:rPr>
              <w:t>包括：铁路客运站、公路长途客运站、港</w:t>
            </w:r>
            <w:r>
              <w:rPr>
                <w:rFonts w:hint="eastAsia"/>
                <w:color w:val="auto"/>
                <w:lang w:val="en-US" w:eastAsia="zh-CN"/>
              </w:rPr>
              <w:br w:type="textWrapping"/>
            </w:r>
            <w:r>
              <w:rPr>
                <w:rFonts w:hint="eastAsia"/>
                <w:color w:val="auto"/>
                <w:lang w:val="en-US" w:eastAsia="zh-CN"/>
              </w:rPr>
              <w:t>口客运码头、机场、交通服务设施（不包</w:t>
            </w:r>
            <w:r>
              <w:rPr>
                <w:rFonts w:hint="eastAsia"/>
                <w:color w:val="auto"/>
                <w:lang w:val="en-US" w:eastAsia="zh-CN"/>
              </w:rPr>
              <w:br w:type="textWrapping"/>
            </w:r>
            <w:r>
              <w:rPr>
                <w:rFonts w:hint="eastAsia"/>
                <w:color w:val="auto"/>
                <w:lang w:val="en-US" w:eastAsia="zh-CN"/>
              </w:rPr>
              <w:t>括交通指挥中心、交通队）等</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旅客最高聚集人数</w:t>
            </w:r>
            <w:r>
              <w:rPr>
                <w:rFonts w:hint="eastAsia"/>
                <w:color w:val="auto"/>
                <w:lang w:val="en-US" w:eastAsia="zh-CN"/>
              </w:rPr>
              <w:br w:type="textWrapping"/>
            </w:r>
            <w:r>
              <w:rPr>
                <w:rFonts w:hint="eastAsia"/>
                <w:color w:val="auto"/>
                <w:lang w:val="en-US" w:eastAsia="zh-CN"/>
              </w:rPr>
              <w:t>100人以上</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旅客最高聚集人</w:t>
            </w:r>
            <w:r>
              <w:rPr>
                <w:rFonts w:hint="eastAsia"/>
                <w:color w:val="auto"/>
                <w:lang w:val="en-US" w:eastAsia="zh-CN"/>
              </w:rPr>
              <w:br w:type="textWrapping"/>
            </w:r>
            <w:r>
              <w:rPr>
                <w:rFonts w:hint="eastAsia"/>
                <w:color w:val="auto"/>
                <w:lang w:val="en-US" w:eastAsia="zh-CN"/>
              </w:rPr>
              <w:t>数100人以下</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0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城镇公园广场</w:t>
            </w:r>
          </w:p>
        </w:tc>
        <w:tc>
          <w:tcPr>
            <w:tcW w:w="193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总占地面积 5000m</w:t>
            </w:r>
            <w:r>
              <w:rPr>
                <w:rFonts w:hint="eastAsia"/>
                <w:color w:val="auto"/>
                <w:vertAlign w:val="superscript"/>
                <w:lang w:val="en-US" w:eastAsia="zh-CN"/>
              </w:rPr>
              <w:t>2</w:t>
            </w:r>
            <w:r>
              <w:rPr>
                <w:rFonts w:hint="eastAsia"/>
                <w:color w:val="auto"/>
                <w:lang w:val="en-US" w:eastAsia="zh-CN"/>
              </w:rPr>
              <w:t>以上</w:t>
            </w:r>
          </w:p>
        </w:tc>
        <w:tc>
          <w:tcPr>
            <w:tcW w:w="18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 占 地 面 积</w:t>
            </w:r>
            <w:r>
              <w:rPr>
                <w:rFonts w:hint="eastAsia"/>
                <w:color w:val="auto"/>
                <w:lang w:val="en-US" w:eastAsia="zh-CN"/>
              </w:rPr>
              <w:br w:type="textWrapping"/>
            </w:r>
            <w:r>
              <w:rPr>
                <w:rFonts w:hint="eastAsia"/>
                <w:color w:val="auto"/>
                <w:lang w:val="en-US" w:eastAsia="zh-CN"/>
              </w:rPr>
              <w:t>1500m</w:t>
            </w:r>
            <w:r>
              <w:rPr>
                <w:rFonts w:hint="eastAsia"/>
                <w:color w:val="auto"/>
                <w:vertAlign w:val="superscript"/>
                <w:lang w:val="en-US" w:eastAsia="zh-CN"/>
              </w:rPr>
              <w:t>2</w:t>
            </w:r>
            <w:r>
              <w:rPr>
                <w:rFonts w:hint="eastAsia"/>
                <w:color w:val="auto"/>
                <w:lang w:val="en-US" w:eastAsia="zh-CN"/>
              </w:rPr>
              <w:t xml:space="preserve"> 以 上</w:t>
            </w:r>
            <w:r>
              <w:rPr>
                <w:rFonts w:hint="eastAsia"/>
                <w:color w:val="auto"/>
                <w:lang w:val="en-US" w:eastAsia="zh-CN"/>
              </w:rPr>
              <w:br w:type="textWrapping"/>
            </w:r>
            <w:r>
              <w:rPr>
                <w:rFonts w:hint="eastAsia"/>
                <w:color w:val="auto"/>
                <w:lang w:val="en-US" w:eastAsia="zh-CN"/>
              </w:rPr>
              <w:t>5000m</w:t>
            </w:r>
            <w:r>
              <w:rPr>
                <w:rFonts w:hint="eastAsia"/>
                <w:color w:val="auto"/>
                <w:vertAlign w:val="superscript"/>
                <w:lang w:val="en-US" w:eastAsia="zh-CN"/>
              </w:rPr>
              <w:t>2</w:t>
            </w:r>
            <w:r>
              <w:rPr>
                <w:rFonts w:hint="eastAsia"/>
                <w:color w:val="auto"/>
                <w:lang w:val="en-US" w:eastAsia="zh-CN"/>
              </w:rPr>
              <w:t>以下的</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总占地面积</w:t>
            </w:r>
            <w:r>
              <w:rPr>
                <w:rFonts w:hint="eastAsia"/>
                <w:color w:val="auto"/>
                <w:lang w:val="en-US" w:eastAsia="zh-CN"/>
              </w:rPr>
              <w:br w:type="textWrapping"/>
            </w:r>
            <w:r>
              <w:rPr>
                <w:rFonts w:hint="eastAsia"/>
                <w:color w:val="auto"/>
                <w:lang w:val="en-US" w:eastAsia="zh-CN"/>
              </w:rPr>
              <w:t>1500m</w:t>
            </w:r>
            <w:r>
              <w:rPr>
                <w:rFonts w:hint="eastAsia"/>
                <w:color w:val="auto"/>
                <w:vertAlign w:val="superscript"/>
                <w:lang w:val="en-US" w:eastAsia="zh-CN"/>
              </w:rPr>
              <w:t>2</w:t>
            </w:r>
            <w:r>
              <w:rPr>
                <w:rFonts w:hint="eastAsia"/>
                <w:color w:val="auto"/>
                <w:lang w:val="en-US" w:eastAsia="zh-CN"/>
              </w:rPr>
              <w:t>以下的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93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注1：底层建筑（一层至三层住宅）为主的农村居民点、低层住区以整体为单元进行规模核算，中层</w:t>
            </w:r>
            <w:r>
              <w:rPr>
                <w:rFonts w:hint="eastAsia"/>
                <w:color w:val="auto"/>
                <w:lang w:val="en-US" w:eastAsia="zh-CN"/>
              </w:rPr>
              <w:br w:type="textWrapping"/>
            </w:r>
            <w:r>
              <w:rPr>
                <w:rFonts w:hint="eastAsia"/>
                <w:color w:val="auto"/>
                <w:lang w:val="en-US" w:eastAsia="zh-CN"/>
              </w:rPr>
              <w:t>（四层至六层住宅）及以上建筑以单栋建筑为单元进行规模核算。其他防护目标未单独说明的，以独</w:t>
            </w:r>
            <w:r>
              <w:rPr>
                <w:rFonts w:hint="eastAsia"/>
                <w:color w:val="auto"/>
                <w:lang w:val="en-US" w:eastAsia="zh-CN"/>
              </w:rPr>
              <w:br w:type="textWrapping"/>
            </w:r>
            <w:r>
              <w:rPr>
                <w:rFonts w:hint="eastAsia"/>
                <w:color w:val="auto"/>
                <w:lang w:val="en-US" w:eastAsia="zh-CN"/>
              </w:rPr>
              <w:t>立建筑为目标进行分类：</w:t>
            </w:r>
            <w:r>
              <w:rPr>
                <w:rFonts w:hint="eastAsia"/>
                <w:color w:val="auto"/>
                <w:lang w:val="en-US" w:eastAsia="zh-CN"/>
              </w:rPr>
              <w:br w:type="textWrapping"/>
            </w:r>
            <w:r>
              <w:rPr>
                <w:rFonts w:hint="eastAsia"/>
                <w:color w:val="auto"/>
                <w:lang w:val="en-US" w:eastAsia="zh-CN"/>
              </w:rPr>
              <w:t>注2：人员核算时，居住户和居住人数按常住人口核算，企业人员数量按最大当班人数核算。</w:t>
            </w:r>
            <w:r>
              <w:rPr>
                <w:rFonts w:hint="eastAsia"/>
                <w:color w:val="auto"/>
                <w:lang w:val="en-US" w:eastAsia="zh-CN"/>
              </w:rPr>
              <w:br w:type="textWrapping"/>
            </w:r>
            <w:r>
              <w:rPr>
                <w:rFonts w:hint="eastAsia"/>
                <w:color w:val="auto"/>
                <w:lang w:val="en-US" w:eastAsia="zh-CN"/>
              </w:rPr>
              <w:t>注3：具有兼容性的综合建筑按主要类型进行分类，若办公楼使用的主要性质难以确定是，按低层使</w:t>
            </w:r>
            <w:r>
              <w:rPr>
                <w:rFonts w:hint="eastAsia"/>
                <w:color w:val="auto"/>
                <w:lang w:val="en-US" w:eastAsia="zh-CN"/>
              </w:rPr>
              <w:br w:type="textWrapping"/>
            </w:r>
            <w:r>
              <w:rPr>
                <w:rFonts w:hint="eastAsia"/>
                <w:color w:val="auto"/>
                <w:lang w:val="en-US" w:eastAsia="zh-CN"/>
              </w:rPr>
              <w:t>用的主要性质进行归类。</w:t>
            </w:r>
            <w:r>
              <w:rPr>
                <w:rFonts w:hint="eastAsia"/>
                <w:color w:val="auto"/>
                <w:lang w:val="en-US" w:eastAsia="zh-CN"/>
              </w:rPr>
              <w:br w:type="textWrapping"/>
            </w:r>
            <w:r>
              <w:rPr>
                <w:rFonts w:hint="eastAsia"/>
                <w:color w:val="auto"/>
                <w:lang w:val="en-US" w:eastAsia="zh-CN"/>
              </w:rPr>
              <w:t>注4：表中"以上"包括本数，"以下"不包括本数。</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6.防护目标个人风险基准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危险化学品生产装置和储存设施周边防护目标所承受的个人风险应不</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超过表 3.9-2 中个人风险基准的要求</w:t>
      </w:r>
    </w:p>
    <w:p>
      <w:pPr>
        <w:pStyle w:val="53"/>
        <w:rPr>
          <w:rFonts w:hint="eastAsia"/>
          <w:color w:val="auto"/>
          <w:lang w:val="en-US" w:eastAsia="zh-CN"/>
        </w:rPr>
      </w:pPr>
      <w:r>
        <w:rPr>
          <w:rFonts w:hint="eastAsia"/>
          <w:color w:val="auto"/>
          <w:lang w:val="en-US" w:eastAsia="zh-CN"/>
        </w:rPr>
        <w:t>表 B.4-2 个人风险基准</w:t>
      </w:r>
    </w:p>
    <w:tbl>
      <w:tblPr>
        <w:tblStyle w:val="42"/>
        <w:tblW w:w="935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9"/>
        <w:gridCol w:w="3220"/>
        <w:gridCol w:w="29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防护目标</w:t>
            </w:r>
          </w:p>
        </w:tc>
        <w:tc>
          <w:tcPr>
            <w:tcW w:w="61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个人风险基准（次／年）≤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p>
        </w:tc>
        <w:tc>
          <w:tcPr>
            <w:tcW w:w="322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危险化学品新建．改建、扩建生</w:t>
            </w:r>
            <w:r>
              <w:rPr>
                <w:rFonts w:hint="eastAsia"/>
                <w:color w:val="auto"/>
                <w:lang w:val="en-US" w:eastAsia="zh-CN"/>
              </w:rPr>
              <w:br w:type="textWrapping"/>
            </w:r>
            <w:r>
              <w:rPr>
                <w:rFonts w:hint="eastAsia"/>
                <w:color w:val="auto"/>
                <w:lang w:val="en-US" w:eastAsia="zh-CN"/>
              </w:rPr>
              <w:t>产装置和储存设施</w:t>
            </w:r>
          </w:p>
        </w:tc>
        <w:tc>
          <w:tcPr>
            <w:tcW w:w="29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危险化学品在役生产装置和储存设施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32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高敏感防护目标</w:t>
            </w:r>
            <w:r>
              <w:rPr>
                <w:rFonts w:hint="eastAsia"/>
                <w:color w:val="auto"/>
                <w:lang w:val="en-US" w:eastAsia="zh-CN"/>
              </w:rPr>
              <w:br w:type="textWrapping"/>
            </w:r>
            <w:r>
              <w:rPr>
                <w:rFonts w:hint="eastAsia"/>
                <w:color w:val="auto"/>
                <w:lang w:val="en-US" w:eastAsia="zh-CN"/>
              </w:rPr>
              <w:t>重要防护目标</w:t>
            </w:r>
            <w:r>
              <w:rPr>
                <w:rFonts w:hint="eastAsia"/>
                <w:color w:val="auto"/>
                <w:lang w:val="en-US" w:eastAsia="zh-CN"/>
              </w:rPr>
              <w:br w:type="textWrapping"/>
            </w:r>
            <w:r>
              <w:rPr>
                <w:rFonts w:hint="eastAsia"/>
                <w:color w:val="auto"/>
                <w:lang w:val="en-US" w:eastAsia="zh-CN"/>
              </w:rPr>
              <w:t>一般防护目标中的一类防护目标</w:t>
            </w:r>
          </w:p>
        </w:tc>
        <w:tc>
          <w:tcPr>
            <w:tcW w:w="322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3x10</w:t>
            </w:r>
            <w:r>
              <w:rPr>
                <w:rFonts w:hint="eastAsia"/>
                <w:color w:val="auto"/>
                <w:vertAlign w:val="superscript"/>
                <w:lang w:val="en-US" w:eastAsia="zh-CN"/>
              </w:rPr>
              <w:t>-7</w:t>
            </w:r>
          </w:p>
        </w:tc>
        <w:tc>
          <w:tcPr>
            <w:tcW w:w="29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3x10</w:t>
            </w:r>
            <w:r>
              <w:rPr>
                <w:rFonts w:hint="eastAsia"/>
                <w:color w:val="auto"/>
                <w:vertAlign w:val="superscript"/>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2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一般防护目标中的二类防护目标</w:t>
            </w:r>
          </w:p>
        </w:tc>
        <w:tc>
          <w:tcPr>
            <w:tcW w:w="322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3x10</w:t>
            </w:r>
            <w:r>
              <w:rPr>
                <w:rFonts w:hint="eastAsia"/>
                <w:color w:val="auto"/>
                <w:vertAlign w:val="superscript"/>
                <w:lang w:val="en-US" w:eastAsia="zh-CN"/>
              </w:rPr>
              <w:t>-6</w:t>
            </w:r>
          </w:p>
        </w:tc>
        <w:tc>
          <w:tcPr>
            <w:tcW w:w="29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1x10</w:t>
            </w:r>
            <w:r>
              <w:rPr>
                <w:rFonts w:hint="eastAsia"/>
                <w:color w:val="auto"/>
                <w:vertAlign w:val="superscript"/>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2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一般防护目标中的三类防护目标</w:t>
            </w:r>
          </w:p>
        </w:tc>
        <w:tc>
          <w:tcPr>
            <w:tcW w:w="322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1x10</w:t>
            </w:r>
            <w:r>
              <w:rPr>
                <w:rFonts w:hint="eastAsia"/>
                <w:color w:val="auto"/>
                <w:vertAlign w:val="superscript"/>
                <w:lang w:val="en-US" w:eastAsia="zh-CN"/>
              </w:rPr>
              <w:t>-5</w:t>
            </w:r>
          </w:p>
        </w:tc>
        <w:tc>
          <w:tcPr>
            <w:tcW w:w="29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3x10</w:t>
            </w:r>
            <w:r>
              <w:rPr>
                <w:rFonts w:hint="eastAsia"/>
                <w:color w:val="auto"/>
                <w:vertAlign w:val="superscript"/>
                <w:lang w:val="en-US" w:eastAsia="zh-CN"/>
              </w:rPr>
              <w:t>-5</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7.社会风险基准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同归两条风险分界线将社会风险划分为3个区域，即：不可容许区、尽可能降低区和可容许区。具体分界线位置如图B.4-1所示。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1）若社会风险曲线进入不可接受区，则应立即采取安全改进措施降低</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社会风险；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2）若社会风险曲线进入尽可能降低区，则应在可实现的范围内，尽可能采取安全改进措施降低社会风险；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3）若社会风险曲线全部落在可接受区，则该风险可接受；</w:t>
      </w:r>
    </w:p>
    <w:p>
      <w:pPr>
        <w:pStyle w:val="15"/>
        <w:rPr>
          <w:rFonts w:hint="eastAsia"/>
          <w:color w:val="auto"/>
          <w:lang w:val="en-US" w:eastAsia="zh-CN"/>
        </w:rPr>
      </w:pPr>
      <w:r>
        <w:rPr>
          <w:rFonts w:ascii="宋体" w:hAnsi="宋体" w:cs="宋体"/>
          <w:color w:val="auto"/>
          <w:kern w:val="0"/>
          <w:sz w:val="24"/>
        </w:rPr>
        <w:drawing>
          <wp:anchor distT="0" distB="0" distL="114300" distR="114300" simplePos="0" relativeHeight="251664384" behindDoc="0" locked="0" layoutInCell="1" allowOverlap="1">
            <wp:simplePos x="0" y="0"/>
            <wp:positionH relativeFrom="column">
              <wp:posOffset>282575</wp:posOffset>
            </wp:positionH>
            <wp:positionV relativeFrom="paragraph">
              <wp:posOffset>201295</wp:posOffset>
            </wp:positionV>
            <wp:extent cx="5469890" cy="2560955"/>
            <wp:effectExtent l="0" t="0" r="0" b="0"/>
            <wp:wrapSquare wrapText="bothSides"/>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26" r:link="rId27"/>
                    <a:srcRect b="14118"/>
                    <a:stretch>
                      <a:fillRect/>
                    </a:stretch>
                  </pic:blipFill>
                  <pic:spPr>
                    <a:xfrm>
                      <a:off x="0" y="0"/>
                      <a:ext cx="5469890" cy="2560955"/>
                    </a:xfrm>
                    <a:prstGeom prst="rect">
                      <a:avLst/>
                    </a:prstGeom>
                    <a:noFill/>
                    <a:ln>
                      <a:noFill/>
                    </a:ln>
                  </pic:spPr>
                </pic:pic>
              </a:graphicData>
            </a:graphic>
          </wp:anchor>
        </w:drawing>
      </w:r>
      <w:r>
        <w:rPr>
          <w:rFonts w:hint="eastAsia"/>
          <w:color w:val="auto"/>
          <w:lang w:val="en-US" w:eastAsia="zh-CN"/>
        </w:rPr>
        <w:t>图 B.4-1 社会风险基准</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8.定量风险评价法</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是对危险化学品生产、储存装置发生事故频率和后果进行定量分析和计</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算，以可接受风险标准确定外部安全防护距离的方法。</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9.计算步骤。</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定量风险评价法确定外部安全防护距离的计算步骤如下：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1）定量风险评价。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个人风险计算中的危害辨识和评价单元选择、失效场景分析、失效后果</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分析、个人风险计算和社会风险计算可参照《化工企业定量风险评价导则》</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（AQ/T 3046-2013）中有关规定执行。其中设备设施的失效场景频率及修正</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可参照《基于风险检验的基础方法》（SY/T 6714-2008）中有关规定执行。</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2）确定外部安全防护距离。</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根据本公告公布的可接受风险标准，通过定量风险评价法得到生产、储</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存装置的个人可接受风险等值线及社会可接受风险图，以此确定该装置与防</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护目标的外部安全防护距离。</w:t>
      </w:r>
    </w:p>
    <w:p>
      <w:pPr>
        <w:numPr>
          <w:ilvl w:val="-1"/>
          <w:numId w:val="0"/>
        </w:numPr>
        <w:ind w:firstLine="562" w:firstLineChars="200"/>
        <w:rPr>
          <w:rFonts w:hint="eastAsia"/>
          <w:color w:val="auto"/>
          <w:highlight w:val="none"/>
          <w:lang w:val="en-US" w:eastAsia="zh-CN"/>
        </w:rPr>
      </w:pPr>
      <w:r>
        <w:rPr>
          <w:rFonts w:hint="eastAsia"/>
          <w:b/>
          <w:bCs/>
          <w:color w:val="auto"/>
          <w:highlight w:val="none"/>
          <w:lang w:val="en-US" w:eastAsia="zh-CN"/>
        </w:rPr>
        <w:t>个人风险和社会风险值计算结果</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本报告依据《危险化学品生产装置和储存设施风险基准》的要求，对该</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项目采用定量风险分析评价法，确定该项目外部安全防护距离；采用中国安</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全生产科学研究院开发的重大危险源区域定量风险评价软件进行该项目个</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人风险和社会风险值计算，个人可接受标准和社会可接受风险标准如下。</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1.个人风险</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基于危险源信息，利用中国安全生产科学院出版的《CASSTQRA 重大</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危险源区域定量风险评价与管理》软件计算，得出危险化学品泄漏个人风险</w:t>
      </w:r>
    </w:p>
    <w:p>
      <w:pPr>
        <w:numPr>
          <w:ilvl w:val="-1"/>
          <w:numId w:val="0"/>
        </w:numPr>
        <w:ind w:firstLine="0" w:firstLineChars="0"/>
        <w:rPr>
          <w:rFonts w:hint="eastAsia"/>
          <w:color w:val="auto"/>
          <w:highlight w:val="none"/>
          <w:lang w:val="en-US" w:eastAsia="zh-CN"/>
        </w:rPr>
      </w:pPr>
      <w:r>
        <w:rPr>
          <w:rFonts w:hint="eastAsia"/>
          <w:color w:val="auto"/>
          <w:lang w:val="en-US" w:eastAsia="zh-CN"/>
        </w:rPr>
        <w:drawing>
          <wp:anchor distT="0" distB="0" distL="114300" distR="114300" simplePos="0" relativeHeight="251670528" behindDoc="0" locked="0" layoutInCell="1" allowOverlap="1">
            <wp:simplePos x="0" y="0"/>
            <wp:positionH relativeFrom="column">
              <wp:posOffset>-142875</wp:posOffset>
            </wp:positionH>
            <wp:positionV relativeFrom="paragraph">
              <wp:posOffset>441325</wp:posOffset>
            </wp:positionV>
            <wp:extent cx="5958205" cy="2942590"/>
            <wp:effectExtent l="0" t="0" r="4445" b="10160"/>
            <wp:wrapSquare wrapText="bothSides"/>
            <wp:docPr id="27" name="图片 27" descr="E9E7YBW35~I$39XNX_OYV8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E9E7YBW35~I$39XNX_OYV8P"/>
                    <pic:cNvPicPr>
                      <a:picLocks noChangeAspect="1"/>
                    </pic:cNvPicPr>
                  </pic:nvPicPr>
                  <pic:blipFill>
                    <a:blip r:embed="rId22"/>
                    <a:srcRect r="29111" b="34141"/>
                    <a:stretch>
                      <a:fillRect/>
                    </a:stretch>
                  </pic:blipFill>
                  <pic:spPr>
                    <a:xfrm>
                      <a:off x="0" y="0"/>
                      <a:ext cx="5958205" cy="2942590"/>
                    </a:xfrm>
                    <a:prstGeom prst="rect">
                      <a:avLst/>
                    </a:prstGeom>
                  </pic:spPr>
                </pic:pic>
              </a:graphicData>
            </a:graphic>
          </wp:anchor>
        </w:drawing>
      </w:r>
      <w:r>
        <w:rPr>
          <w:rFonts w:hint="eastAsia"/>
          <w:color w:val="auto"/>
          <w:highlight w:val="none"/>
          <w:lang w:val="en-US" w:eastAsia="zh-CN"/>
        </w:rPr>
        <w:t>等值线图（见图 B.4-2）及厂内外社会风险分布图（见图 B.4-3）。</w:t>
      </w:r>
    </w:p>
    <w:p>
      <w:pPr>
        <w:numPr>
          <w:ilvl w:val="-1"/>
          <w:numId w:val="0"/>
        </w:numPr>
        <w:spacing w:line="240" w:lineRule="auto"/>
        <w:ind w:firstLine="0" w:firstLineChars="0"/>
        <w:rPr>
          <w:rFonts w:hint="eastAsia"/>
          <w:color w:val="auto"/>
          <w:highlight w:val="none"/>
          <w:lang w:val="en-US" w:eastAsia="zh-CN"/>
        </w:rPr>
      </w:pPr>
      <w:r>
        <w:rPr>
          <w:rFonts w:hint="eastAsia"/>
          <w:color w:val="auto"/>
          <w:highlight w:val="none"/>
          <w:lang w:val="en-US" w:eastAsia="zh-CN"/>
        </w:rPr>
        <w:drawing>
          <wp:inline distT="0" distB="0" distL="114300" distR="114300">
            <wp:extent cx="5984875" cy="2971165"/>
            <wp:effectExtent l="0" t="0" r="15875" b="635"/>
            <wp:docPr id="5" name="图片 5" descr="个人风险等值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个人风险等值线图"/>
                    <pic:cNvPicPr>
                      <a:picLocks noChangeAspect="1"/>
                    </pic:cNvPicPr>
                  </pic:nvPicPr>
                  <pic:blipFill>
                    <a:blip r:embed="rId21"/>
                    <a:srcRect r="28820" b="34544"/>
                    <a:stretch>
                      <a:fillRect/>
                    </a:stretch>
                  </pic:blipFill>
                  <pic:spPr>
                    <a:xfrm>
                      <a:off x="0" y="0"/>
                      <a:ext cx="5984875" cy="2971165"/>
                    </a:xfrm>
                    <a:prstGeom prst="rect">
                      <a:avLst/>
                    </a:prstGeom>
                  </pic:spPr>
                </pic:pic>
              </a:graphicData>
            </a:graphic>
          </wp:inline>
        </w:drawing>
      </w:r>
    </w:p>
    <w:p>
      <w:pPr>
        <w:pStyle w:val="56"/>
        <w:spacing w:line="240" w:lineRule="auto"/>
        <w:rPr>
          <w:rFonts w:hint="eastAsia"/>
          <w:color w:val="auto"/>
          <w:lang w:val="en-US" w:eastAsia="zh-CN"/>
        </w:rPr>
      </w:pPr>
      <w:r>
        <w:rPr>
          <w:rFonts w:hint="eastAsia"/>
          <w:color w:val="auto"/>
          <w:lang w:val="en-US" w:eastAsia="zh-CN"/>
        </w:rPr>
        <w:t>图 B.4-2 该项目个人风险等值线图</w:t>
      </w:r>
    </w:p>
    <w:p>
      <w:pPr>
        <w:numPr>
          <w:ilvl w:val="-1"/>
          <w:numId w:val="0"/>
        </w:numPr>
        <w:spacing w:line="240" w:lineRule="auto"/>
        <w:ind w:firstLine="562" w:firstLineChars="200"/>
        <w:rPr>
          <w:rFonts w:hint="eastAsia"/>
          <w:b/>
          <w:bCs/>
          <w:color w:val="auto"/>
          <w:highlight w:val="none"/>
          <w:lang w:val="en-US" w:eastAsia="zh-CN"/>
        </w:rPr>
      </w:pPr>
      <w:r>
        <w:rPr>
          <w:rFonts w:hint="eastAsia"/>
          <w:b/>
          <w:bCs/>
          <w:color w:val="auto"/>
          <w:highlight w:val="none"/>
          <w:lang w:val="en-US" w:eastAsia="zh-CN"/>
        </w:rPr>
        <w:t>（1）个人风险等值线图：</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说明：</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红色线为可容许个人风险 1×10-5等值线</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粉色线为可容许个人风险 3×10-6等值线</w:t>
      </w:r>
    </w:p>
    <w:p>
      <w:pPr>
        <w:numPr>
          <w:ilvl w:val="-1"/>
          <w:numId w:val="0"/>
        </w:numPr>
        <w:ind w:firstLine="562" w:firstLineChars="200"/>
        <w:rPr>
          <w:rFonts w:hint="eastAsia"/>
          <w:color w:val="auto"/>
          <w:highlight w:val="none"/>
          <w:lang w:val="en-US" w:eastAsia="zh-CN"/>
        </w:rPr>
      </w:pPr>
      <w:r>
        <w:rPr>
          <w:rFonts w:hint="eastAsia"/>
          <w:b/>
          <w:bCs/>
          <w:color w:val="auto"/>
          <w:highlight w:val="none"/>
          <w:lang w:val="en-US" w:eastAsia="zh-CN"/>
        </w:rPr>
        <w:t>橙色线为可容许个人风险 3×10-7等值线</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从图中可以看出，该项目个人风险等值线包括区域内无高敏感防护目标、</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重要防护目标、一般防护目标。</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（2）社会风险曲线（F-N 曲线）</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根据计算结果，社会风险曲线（F-N 曲线）见下图</w:t>
      </w:r>
    </w:p>
    <w:p>
      <w:pPr>
        <w:numPr>
          <w:ilvl w:val="-1"/>
          <w:numId w:val="0"/>
        </w:numPr>
        <w:spacing w:line="240" w:lineRule="auto"/>
        <w:ind w:firstLine="0" w:firstLineChars="0"/>
        <w:rPr>
          <w:rFonts w:hint="eastAsia"/>
          <w:color w:val="auto"/>
          <w:highlight w:val="none"/>
          <w:lang w:val="en-US" w:eastAsia="zh-CN"/>
        </w:rPr>
      </w:pPr>
      <w:r>
        <w:rPr>
          <w:rFonts w:hint="eastAsia"/>
          <w:color w:val="auto"/>
          <w:highlight w:val="none"/>
          <w:lang w:val="en-US" w:eastAsia="zh-CN"/>
        </w:rPr>
        <w:drawing>
          <wp:inline distT="0" distB="0" distL="114300" distR="114300">
            <wp:extent cx="5615305" cy="3054985"/>
            <wp:effectExtent l="0" t="0" r="4445" b="12065"/>
            <wp:docPr id="40" name="图片 40" descr="社会风险曲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社会风险曲线图"/>
                    <pic:cNvPicPr>
                      <a:picLocks noChangeAspect="1"/>
                    </pic:cNvPicPr>
                  </pic:nvPicPr>
                  <pic:blipFill>
                    <a:blip r:embed="rId23"/>
                    <a:srcRect b="3998"/>
                    <a:stretch>
                      <a:fillRect/>
                    </a:stretch>
                  </pic:blipFill>
                  <pic:spPr>
                    <a:xfrm>
                      <a:off x="0" y="0"/>
                      <a:ext cx="5615305" cy="3054985"/>
                    </a:xfrm>
                    <a:prstGeom prst="rect">
                      <a:avLst/>
                    </a:prstGeom>
                  </pic:spPr>
                </pic:pic>
              </a:graphicData>
            </a:graphic>
          </wp:inline>
        </w:drawing>
      </w:r>
    </w:p>
    <w:p>
      <w:pPr>
        <w:pStyle w:val="56"/>
        <w:numPr>
          <w:ilvl w:val="-1"/>
          <w:numId w:val="0"/>
        </w:numPr>
        <w:ind w:firstLine="480" w:firstLineChars="200"/>
        <w:rPr>
          <w:rFonts w:hint="eastAsia"/>
          <w:color w:val="auto"/>
          <w:highlight w:val="none"/>
          <w:lang w:val="en-US" w:eastAsia="zh-CN"/>
        </w:rPr>
      </w:pPr>
      <w:r>
        <w:rPr>
          <w:rFonts w:hint="eastAsia"/>
          <w:color w:val="auto"/>
          <w:highlight w:val="none"/>
          <w:lang w:val="en-US" w:eastAsia="zh-CN"/>
        </w:rPr>
        <w:t>图B.4-3该项目厂内外社会风险分布图</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从图中可以看出，该项目没有社会风险。</w:t>
      </w:r>
    </w:p>
    <w:p>
      <w:pPr>
        <w:pStyle w:val="4"/>
        <w:rPr>
          <w:rFonts w:hint="eastAsia"/>
          <w:color w:val="auto"/>
          <w:lang w:val="en-US" w:eastAsia="zh-CN"/>
        </w:rPr>
      </w:pPr>
      <w:bookmarkStart w:id="936" w:name="_Toc6784"/>
      <w:bookmarkStart w:id="937" w:name="_Toc3404"/>
      <w:bookmarkStart w:id="938" w:name="_Toc23201"/>
      <w:bookmarkStart w:id="939" w:name="_Toc2234"/>
      <w:bookmarkStart w:id="940" w:name="_Toc26865"/>
      <w:bookmarkStart w:id="941" w:name="_Toc8425"/>
      <w:r>
        <w:rPr>
          <w:rFonts w:hint="eastAsia"/>
          <w:color w:val="auto"/>
          <w:lang w:val="en-US" w:eastAsia="zh-CN"/>
        </w:rPr>
        <w:t>B.4.2 外部安全防护距离</w:t>
      </w:r>
      <w:bookmarkEnd w:id="936"/>
      <w:bookmarkEnd w:id="937"/>
      <w:bookmarkEnd w:id="938"/>
      <w:bookmarkEnd w:id="939"/>
      <w:bookmarkEnd w:id="940"/>
      <w:bookmarkEnd w:id="941"/>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根据《危险化学品生产装置和储存设施外部安全防护距离确定方法》</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（GB/T37243-2018）的要求，危险化学品生产、储存装置的需确定外部安全</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防护距离。根据《危险化学品生产装置和储存设施外部安全防护距离确定方</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法》《危险化学品生产装置和储存设施风险基准》的要求，经计算该项目个人风险，该项目外部安全防护距离见下表。</w:t>
      </w:r>
    </w:p>
    <w:p>
      <w:pPr>
        <w:pStyle w:val="53"/>
        <w:rPr>
          <w:rFonts w:hint="eastAsia"/>
          <w:color w:val="auto"/>
        </w:rPr>
      </w:pPr>
      <w:r>
        <w:rPr>
          <w:rFonts w:hint="eastAsia"/>
          <w:color w:val="auto"/>
        </w:rPr>
        <w:t>表</w:t>
      </w:r>
      <w:r>
        <w:rPr>
          <w:rFonts w:hint="eastAsia"/>
          <w:color w:val="auto"/>
          <w:lang w:val="en-US" w:eastAsia="zh-CN"/>
        </w:rPr>
        <w:t>B.4</w:t>
      </w:r>
      <w:r>
        <w:rPr>
          <w:color w:val="auto"/>
        </w:rPr>
        <w:t>-</w:t>
      </w:r>
      <w:r>
        <w:rPr>
          <w:rFonts w:hint="eastAsia"/>
          <w:color w:val="auto"/>
          <w:lang w:val="en-US" w:eastAsia="zh-CN"/>
        </w:rPr>
        <w:t>3</w:t>
      </w:r>
      <w:r>
        <w:rPr>
          <w:rFonts w:hint="eastAsia"/>
          <w:color w:val="auto"/>
        </w:rPr>
        <w:t>外部安全防护距离一览表</w:t>
      </w:r>
    </w:p>
    <w:tbl>
      <w:tblPr>
        <w:tblStyle w:val="42"/>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2"/>
        <w:gridCol w:w="1842"/>
        <w:gridCol w:w="1008"/>
        <w:gridCol w:w="1050"/>
        <w:gridCol w:w="1007"/>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rFonts w:hint="eastAsia"/>
                <w:color w:val="auto"/>
              </w:rPr>
              <w:t>防护目标</w:t>
            </w:r>
          </w:p>
        </w:tc>
        <w:tc>
          <w:tcPr>
            <w:tcW w:w="1842" w:type="dxa"/>
            <w:tcBorders>
              <w:top w:val="single" w:color="auto" w:sz="4" w:space="0"/>
              <w:left w:val="single" w:color="auto" w:sz="4" w:space="0"/>
              <w:right w:val="single" w:color="auto" w:sz="4" w:space="0"/>
            </w:tcBorders>
            <w:vAlign w:val="center"/>
          </w:tcPr>
          <w:p>
            <w:pPr>
              <w:pStyle w:val="59"/>
              <w:jc w:val="center"/>
              <w:rPr>
                <w:color w:val="auto"/>
              </w:rPr>
            </w:pPr>
            <w:r>
              <w:rPr>
                <w:rFonts w:hint="eastAsia"/>
                <w:color w:val="auto"/>
              </w:rPr>
              <w:t>个人风险基准（次</w:t>
            </w:r>
            <w:r>
              <w:rPr>
                <w:color w:val="auto"/>
              </w:rPr>
              <w:t>/</w:t>
            </w:r>
            <w:r>
              <w:rPr>
                <w:rFonts w:hint="eastAsia"/>
                <w:color w:val="auto"/>
              </w:rPr>
              <w:t>年）≤</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东</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南</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西</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高敏感防护目标</w:t>
            </w:r>
          </w:p>
          <w:p>
            <w:pPr>
              <w:pStyle w:val="59"/>
              <w:rPr>
                <w:color w:val="auto"/>
              </w:rPr>
            </w:pPr>
            <w:r>
              <w:rPr>
                <w:rFonts w:hint="eastAsia"/>
                <w:color w:val="auto"/>
              </w:rPr>
              <w:t>重要防护目标</w:t>
            </w:r>
          </w:p>
          <w:p>
            <w:pPr>
              <w:pStyle w:val="59"/>
              <w:rPr>
                <w:color w:val="auto"/>
              </w:rPr>
            </w:pPr>
            <w:r>
              <w:rPr>
                <w:rFonts w:hint="eastAsia"/>
                <w:color w:val="auto"/>
              </w:rPr>
              <w:t>一般防护目标中的一类防护目标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3</w:t>
            </w:r>
            <w:r>
              <w:rPr>
                <w:rFonts w:hint="eastAsia"/>
                <w:color w:val="auto"/>
              </w:rPr>
              <w:t>×</w:t>
            </w:r>
            <w:r>
              <w:rPr>
                <w:color w:val="auto"/>
              </w:rPr>
              <w:t>10-7</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val="en-US" w:eastAsia="zh-CN"/>
              </w:rPr>
            </w:pPr>
            <w:r>
              <w:rPr>
                <w:rFonts w:hint="eastAsia"/>
                <w:color w:val="auto"/>
                <w:lang w:val="en-US" w:eastAsia="zh-CN"/>
              </w:rPr>
              <w:t>/</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eastAsia="宋体"/>
                <w:color w:val="auto"/>
                <w:lang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一般防护目标中的二类防护目标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3</w:t>
            </w:r>
            <w:r>
              <w:rPr>
                <w:rFonts w:hint="eastAsia"/>
                <w:color w:val="auto"/>
              </w:rPr>
              <w:t>×</w:t>
            </w:r>
            <w:r>
              <w:rPr>
                <w:color w:val="auto"/>
              </w:rPr>
              <w:t>10-6</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25m</w:t>
            </w:r>
          </w:p>
          <w:p>
            <w:pPr>
              <w:pStyle w:val="59"/>
              <w:jc w:val="center"/>
              <w:rPr>
                <w:color w:val="auto"/>
              </w:rPr>
            </w:pPr>
            <w:r>
              <w:rPr>
                <w:rFonts w:hint="eastAsia"/>
                <w:color w:val="auto"/>
                <w:lang w:val="en-US" w:eastAsia="zh-CN"/>
              </w:rPr>
              <w:t>厂区内</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20m</w:t>
            </w:r>
          </w:p>
          <w:p>
            <w:pPr>
              <w:pStyle w:val="59"/>
              <w:jc w:val="center"/>
              <w:rPr>
                <w:rFonts w:hint="default" w:eastAsia="宋体"/>
                <w:color w:val="auto"/>
                <w:lang w:val="en-US" w:eastAsia="zh-CN"/>
              </w:rPr>
            </w:pPr>
            <w:r>
              <w:rPr>
                <w:rFonts w:hint="eastAsia"/>
                <w:color w:val="auto"/>
                <w:lang w:val="en-US" w:eastAsia="zh-CN"/>
              </w:rPr>
              <w:t>厂区内</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25m</w:t>
            </w:r>
          </w:p>
          <w:p>
            <w:pPr>
              <w:pStyle w:val="59"/>
              <w:jc w:val="center"/>
              <w:rPr>
                <w:color w:val="auto"/>
              </w:rPr>
            </w:pPr>
            <w:r>
              <w:rPr>
                <w:rFonts w:hint="eastAsia"/>
                <w:color w:val="auto"/>
              </w:rPr>
              <w:t>厂区内</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20m</w:t>
            </w:r>
          </w:p>
          <w:p>
            <w:pPr>
              <w:pStyle w:val="59"/>
              <w:jc w:val="center"/>
              <w:rPr>
                <w:color w:val="auto"/>
              </w:rPr>
            </w:pPr>
            <w:r>
              <w:rPr>
                <w:rFonts w:hint="eastAsia"/>
                <w:color w:val="auto"/>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2" w:type="dxa"/>
            <w:tcBorders>
              <w:top w:val="single" w:color="auto" w:sz="4" w:space="0"/>
              <w:left w:val="single" w:color="auto" w:sz="4" w:space="0"/>
              <w:bottom w:val="single" w:color="auto" w:sz="4" w:space="0"/>
              <w:right w:val="single" w:color="auto" w:sz="4" w:space="0"/>
            </w:tcBorders>
            <w:vAlign w:val="center"/>
          </w:tcPr>
          <w:p>
            <w:pPr>
              <w:pStyle w:val="59"/>
              <w:rPr>
                <w:color w:val="auto"/>
              </w:rPr>
            </w:pPr>
            <w:r>
              <w:rPr>
                <w:rFonts w:hint="eastAsia"/>
                <w:color w:val="auto"/>
              </w:rPr>
              <w:t>一般防护目标中的三类防护目标</w:t>
            </w:r>
          </w:p>
        </w:tc>
        <w:tc>
          <w:tcPr>
            <w:tcW w:w="1842" w:type="dxa"/>
            <w:tcBorders>
              <w:top w:val="single" w:color="auto" w:sz="4" w:space="0"/>
              <w:left w:val="single" w:color="auto" w:sz="4" w:space="0"/>
              <w:bottom w:val="single" w:color="auto" w:sz="4" w:space="0"/>
              <w:right w:val="single" w:color="auto" w:sz="4" w:space="0"/>
            </w:tcBorders>
            <w:vAlign w:val="center"/>
          </w:tcPr>
          <w:p>
            <w:pPr>
              <w:pStyle w:val="59"/>
              <w:jc w:val="center"/>
              <w:rPr>
                <w:color w:val="auto"/>
              </w:rPr>
            </w:pPr>
            <w:r>
              <w:rPr>
                <w:color w:val="auto"/>
              </w:rPr>
              <w:t>1</w:t>
            </w:r>
            <w:r>
              <w:rPr>
                <w:rFonts w:hint="eastAsia"/>
                <w:color w:val="auto"/>
              </w:rPr>
              <w:t>×</w:t>
            </w:r>
            <w:r>
              <w:rPr>
                <w:color w:val="auto"/>
              </w:rPr>
              <w:t>10-5</w:t>
            </w:r>
          </w:p>
        </w:tc>
        <w:tc>
          <w:tcPr>
            <w:tcW w:w="100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15m</w:t>
            </w:r>
          </w:p>
          <w:p>
            <w:pPr>
              <w:pStyle w:val="59"/>
              <w:jc w:val="center"/>
              <w:rPr>
                <w:rFonts w:hint="default" w:eastAsia="宋体"/>
                <w:color w:val="auto"/>
                <w:lang w:val="en-US" w:eastAsia="zh-CN"/>
              </w:rPr>
            </w:pPr>
            <w:r>
              <w:rPr>
                <w:rFonts w:hint="eastAsia"/>
                <w:color w:val="auto"/>
                <w:lang w:val="en-US" w:eastAsia="zh-CN"/>
              </w:rPr>
              <w:t>厂区内</w:t>
            </w:r>
          </w:p>
        </w:tc>
        <w:tc>
          <w:tcPr>
            <w:tcW w:w="1050"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12m</w:t>
            </w:r>
          </w:p>
          <w:p>
            <w:pPr>
              <w:pStyle w:val="59"/>
              <w:jc w:val="center"/>
              <w:rPr>
                <w:rFonts w:hint="default"/>
                <w:color w:val="auto"/>
                <w:lang w:val="en-US" w:eastAsia="zh-CN"/>
              </w:rPr>
            </w:pPr>
            <w:r>
              <w:rPr>
                <w:rFonts w:hint="eastAsia"/>
                <w:color w:val="auto"/>
                <w:lang w:val="en-US" w:eastAsia="zh-CN"/>
              </w:rPr>
              <w:t>厂区内</w:t>
            </w:r>
          </w:p>
        </w:tc>
        <w:tc>
          <w:tcPr>
            <w:tcW w:w="1007" w:type="dxa"/>
            <w:tcBorders>
              <w:top w:val="single" w:color="auto" w:sz="4" w:space="0"/>
              <w:left w:val="single" w:color="auto" w:sz="4" w:space="0"/>
              <w:bottom w:val="single" w:color="auto" w:sz="4" w:space="0"/>
              <w:right w:val="single" w:color="auto" w:sz="4" w:space="0"/>
            </w:tcBorders>
            <w:vAlign w:val="center"/>
          </w:tcPr>
          <w:p>
            <w:pPr>
              <w:pStyle w:val="59"/>
              <w:jc w:val="center"/>
              <w:rPr>
                <w:rFonts w:hint="eastAsia"/>
                <w:color w:val="auto"/>
                <w:lang w:val="en-US" w:eastAsia="zh-CN"/>
              </w:rPr>
            </w:pPr>
            <w:r>
              <w:rPr>
                <w:rFonts w:hint="eastAsia"/>
                <w:color w:val="auto"/>
                <w:lang w:val="en-US" w:eastAsia="zh-CN"/>
              </w:rPr>
              <w:t>15m</w:t>
            </w:r>
          </w:p>
          <w:p>
            <w:pPr>
              <w:pStyle w:val="59"/>
              <w:jc w:val="center"/>
              <w:rPr>
                <w:color w:val="auto"/>
              </w:rPr>
            </w:pPr>
            <w:r>
              <w:rPr>
                <w:rFonts w:hint="eastAsia"/>
                <w:color w:val="auto"/>
              </w:rPr>
              <w:t>厂区内</w:t>
            </w:r>
          </w:p>
        </w:tc>
        <w:tc>
          <w:tcPr>
            <w:tcW w:w="988" w:type="dxa"/>
            <w:tcBorders>
              <w:top w:val="single" w:color="auto" w:sz="4" w:space="0"/>
              <w:left w:val="single" w:color="auto" w:sz="4" w:space="0"/>
              <w:bottom w:val="single" w:color="auto" w:sz="4" w:space="0"/>
              <w:right w:val="single" w:color="auto" w:sz="4" w:space="0"/>
            </w:tcBorders>
            <w:vAlign w:val="center"/>
          </w:tcPr>
          <w:p>
            <w:pPr>
              <w:pStyle w:val="59"/>
              <w:jc w:val="center"/>
              <w:rPr>
                <w:rFonts w:hint="default"/>
                <w:color w:val="auto"/>
                <w:lang w:val="en-US" w:eastAsia="zh-CN"/>
              </w:rPr>
            </w:pPr>
            <w:r>
              <w:rPr>
                <w:rFonts w:hint="eastAsia"/>
                <w:color w:val="auto"/>
                <w:lang w:val="en-US" w:eastAsia="zh-CN"/>
              </w:rPr>
              <w:t>15m</w:t>
            </w:r>
          </w:p>
          <w:p>
            <w:pPr>
              <w:pStyle w:val="59"/>
              <w:jc w:val="center"/>
              <w:rPr>
                <w:color w:val="auto"/>
              </w:rPr>
            </w:pPr>
            <w:r>
              <w:rPr>
                <w:rFonts w:hint="eastAsia"/>
                <w:color w:val="auto"/>
              </w:rPr>
              <w:t>厂区内</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结合该公司总平面和周边情况可以看出，该项目外部安全防护距离内无</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高敏感防护目标、重要防护目标及一般防护目标。</w:t>
      </w:r>
    </w:p>
    <w:p>
      <w:pPr>
        <w:pStyle w:val="2"/>
        <w:rPr>
          <w:rFonts w:hint="eastAsia"/>
          <w:color w:val="auto"/>
          <w:lang w:val="en-US" w:eastAsia="zh-CN"/>
        </w:rPr>
      </w:pPr>
      <w:bookmarkStart w:id="942" w:name="_Toc10604"/>
      <w:bookmarkStart w:id="943" w:name="_Toc24005"/>
      <w:bookmarkStart w:id="944" w:name="_Toc26857"/>
      <w:bookmarkStart w:id="945" w:name="_Toc7674"/>
      <w:bookmarkStart w:id="946" w:name="_Toc18239"/>
      <w:bookmarkStart w:id="947" w:name="_Toc15249"/>
      <w:r>
        <w:rPr>
          <w:rFonts w:hint="eastAsia"/>
          <w:color w:val="auto"/>
          <w:lang w:val="en-US" w:eastAsia="zh-CN"/>
        </w:rPr>
        <w:t>附录 C 定性、定量分析危险、有害因素</w:t>
      </w:r>
      <w:bookmarkEnd w:id="942"/>
      <w:bookmarkEnd w:id="943"/>
      <w:bookmarkEnd w:id="944"/>
      <w:bookmarkEnd w:id="945"/>
      <w:bookmarkEnd w:id="946"/>
      <w:bookmarkEnd w:id="947"/>
    </w:p>
    <w:p>
      <w:pPr>
        <w:pStyle w:val="3"/>
        <w:rPr>
          <w:rFonts w:hint="eastAsia"/>
          <w:color w:val="auto"/>
          <w:lang w:val="en-US" w:eastAsia="zh-CN"/>
        </w:rPr>
      </w:pPr>
      <w:bookmarkStart w:id="948" w:name="_Toc975"/>
      <w:bookmarkStart w:id="949" w:name="_Toc30296"/>
      <w:bookmarkStart w:id="950" w:name="_Toc4957"/>
      <w:bookmarkStart w:id="951" w:name="_Toc32732"/>
      <w:bookmarkStart w:id="952" w:name="_Toc9382"/>
      <w:bookmarkStart w:id="953" w:name="_Toc25492"/>
      <w:r>
        <w:rPr>
          <w:rFonts w:hint="eastAsia"/>
          <w:color w:val="auto"/>
          <w:lang w:val="en-US" w:eastAsia="zh-CN"/>
        </w:rPr>
        <w:t>C.1 项目选址与周边环境单元</w:t>
      </w:r>
      <w:bookmarkEnd w:id="948"/>
      <w:bookmarkEnd w:id="949"/>
      <w:bookmarkEnd w:id="950"/>
      <w:bookmarkEnd w:id="951"/>
      <w:bookmarkEnd w:id="952"/>
      <w:bookmarkEnd w:id="953"/>
    </w:p>
    <w:p>
      <w:pPr>
        <w:numPr>
          <w:ilvl w:val="-1"/>
          <w:numId w:val="0"/>
        </w:numPr>
        <w:ind w:firstLine="560" w:firstLineChars="200"/>
        <w:rPr>
          <w:rFonts w:hint="eastAsia"/>
          <w:color w:val="auto"/>
          <w:highlight w:val="none"/>
          <w:lang w:val="en-US" w:eastAsia="zh-CN"/>
        </w:rPr>
      </w:pPr>
      <w:r>
        <w:rPr>
          <w:rFonts w:hint="eastAsia"/>
          <w:color w:val="auto"/>
        </w:rPr>
        <w:t>江西</w:t>
      </w:r>
      <w:r>
        <w:rPr>
          <w:rFonts w:hint="eastAsia"/>
          <w:color w:val="auto"/>
          <w:lang w:val="en-US" w:eastAsia="zh-CN"/>
        </w:rPr>
        <w:t>旺达</w:t>
      </w:r>
      <w:r>
        <w:rPr>
          <w:rFonts w:hint="eastAsia"/>
          <w:color w:val="auto"/>
        </w:rPr>
        <w:t>新材料有限公司建设项目拟建设于江西省</w:t>
      </w:r>
      <w:r>
        <w:rPr>
          <w:rFonts w:hint="eastAsia"/>
          <w:color w:val="auto"/>
          <w:lang w:val="en-US" w:eastAsia="zh-CN"/>
        </w:rPr>
        <w:t>宜春</w:t>
      </w:r>
      <w:r>
        <w:rPr>
          <w:rFonts w:hint="eastAsia"/>
          <w:color w:val="auto"/>
        </w:rPr>
        <w:t>市</w:t>
      </w:r>
      <w:r>
        <w:rPr>
          <w:rFonts w:hint="eastAsia"/>
          <w:color w:val="auto"/>
          <w:lang w:val="en-US" w:eastAsia="zh-CN"/>
        </w:rPr>
        <w:t>袁州区医药工业园化工集中区</w:t>
      </w:r>
      <w:r>
        <w:rPr>
          <w:rFonts w:hint="eastAsia"/>
          <w:color w:val="auto"/>
        </w:rPr>
        <w:t>内；厂址东面为</w:t>
      </w:r>
      <w:r>
        <w:rPr>
          <w:rFonts w:hint="eastAsia"/>
          <w:color w:val="auto"/>
          <w:lang w:val="en-US" w:eastAsia="zh-CN"/>
        </w:rPr>
        <w:t>银岭</w:t>
      </w:r>
      <w:r>
        <w:rPr>
          <w:rFonts w:hint="eastAsia"/>
          <w:color w:val="auto"/>
        </w:rPr>
        <w:t>路，</w:t>
      </w:r>
      <w:r>
        <w:rPr>
          <w:rFonts w:hint="eastAsia"/>
          <w:color w:val="auto"/>
          <w:lang w:val="en-US" w:eastAsia="zh-CN"/>
        </w:rPr>
        <w:t>路西侧有一条架空电力线（10KV，H=12m），隔银岭路</w:t>
      </w:r>
      <w:r>
        <w:rPr>
          <w:rFonts w:hint="eastAsia"/>
          <w:color w:val="auto"/>
        </w:rPr>
        <w:t>为</w:t>
      </w:r>
      <w:r>
        <w:rPr>
          <w:rFonts w:hint="eastAsia"/>
          <w:color w:val="auto"/>
          <w:sz w:val="28"/>
          <w:szCs w:val="28"/>
          <w:lang w:val="en-US" w:eastAsia="zh-CN"/>
        </w:rPr>
        <w:t>宜春市袁州区悦峰新材料有限公司</w:t>
      </w:r>
      <w:r>
        <w:rPr>
          <w:rFonts w:hint="eastAsia"/>
          <w:color w:val="auto"/>
        </w:rPr>
        <w:t>；西面为</w:t>
      </w:r>
      <w:r>
        <w:rPr>
          <w:rFonts w:hint="eastAsia"/>
          <w:color w:val="auto"/>
          <w:lang w:val="en-US" w:eastAsia="zh-CN"/>
        </w:rPr>
        <w:t>空地、</w:t>
      </w:r>
      <w:r>
        <w:rPr>
          <w:rFonts w:hint="eastAsia"/>
          <w:color w:val="auto"/>
        </w:rPr>
        <w:t>山坡；</w:t>
      </w:r>
      <w:r>
        <w:rPr>
          <w:rFonts w:hint="eastAsia"/>
          <w:color w:val="auto"/>
          <w:lang w:val="en-US" w:eastAsia="zh-CN"/>
        </w:rPr>
        <w:t>南面为湖西路、隔湖西路为山林；北面为山体、隔山体为江西丰日电源有限公司。</w:t>
      </w:r>
      <w:r>
        <w:rPr>
          <w:rFonts w:hint="eastAsia"/>
          <w:color w:val="auto"/>
          <w:highlight w:val="none"/>
          <w:lang w:val="en-US" w:eastAsia="zh-CN"/>
        </w:rPr>
        <w:t>厂址周边1000m 范围内无商业中心、公园等人员密集场所及重要公共设施。项目周边1000m 范围内无基本农田保护区、基本草原、畜禽遗传资源保护区、畜禽规模化养殖场（养殖小区）、渔业水域以及种子、种畜禽、水产苗种生产基地；周边1000m 范围内无风景名胜区和自然保护区。项目周边1000m 无军事禁区、军事管理区；项目周边1000m 无法律、行政法规规定予以保护的其他区域。</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依据B.4节个人风险和社会风险计算，该项目个人风险等值线超出该公司厂界；外部安全防护距离无高敏感防护目标、重要防护及一般防护目标。</w:t>
      </w:r>
    </w:p>
    <w:p>
      <w:pPr>
        <w:pStyle w:val="53"/>
        <w:rPr>
          <w:rFonts w:hint="eastAsia"/>
          <w:color w:val="auto"/>
          <w:lang w:val="en-US" w:eastAsia="zh-CN"/>
        </w:rPr>
      </w:pPr>
      <w:r>
        <w:rPr>
          <w:rFonts w:hint="eastAsia"/>
          <w:color w:val="auto"/>
          <w:lang w:val="en-US" w:eastAsia="zh-CN"/>
        </w:rPr>
        <w:t>表 C.1-1 该项目周边环境符合性情况一览表</w:t>
      </w:r>
    </w:p>
    <w:tbl>
      <w:tblPr>
        <w:tblStyle w:val="42"/>
        <w:tblW w:w="92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1"/>
        <w:gridCol w:w="521"/>
        <w:gridCol w:w="1979"/>
        <w:gridCol w:w="742"/>
        <w:gridCol w:w="739"/>
        <w:gridCol w:w="2433"/>
        <w:gridCol w:w="728"/>
        <w:gridCol w:w="16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序</w:t>
            </w:r>
            <w:r>
              <w:rPr>
                <w:rFonts w:hint="eastAsia"/>
                <w:color w:val="auto"/>
                <w:lang w:val="en-US" w:eastAsia="zh-CN"/>
              </w:rPr>
              <w:br w:type="textWrapping"/>
            </w:r>
            <w:r>
              <w:rPr>
                <w:rFonts w:hint="eastAsia"/>
                <w:color w:val="auto"/>
                <w:lang w:val="en-US" w:eastAsia="zh-CN"/>
              </w:rPr>
              <w:t>号</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方</w:t>
            </w:r>
            <w:r>
              <w:rPr>
                <w:rFonts w:hint="eastAsia"/>
                <w:color w:val="auto"/>
                <w:lang w:val="en-US" w:eastAsia="zh-CN"/>
              </w:rPr>
              <w:br w:type="textWrapping"/>
            </w:r>
            <w:r>
              <w:rPr>
                <w:rFonts w:hint="eastAsia"/>
                <w:color w:val="auto"/>
                <w:lang w:val="en-US" w:eastAsia="zh-CN"/>
              </w:rPr>
              <w:t>位</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与周边设施名称</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拟设</w:t>
            </w:r>
            <w:r>
              <w:rPr>
                <w:rFonts w:hint="eastAsia"/>
                <w:color w:val="auto"/>
                <w:lang w:val="en-US" w:eastAsia="zh-CN"/>
              </w:rPr>
              <w:br w:type="textWrapping"/>
            </w:r>
            <w:r>
              <w:rPr>
                <w:rFonts w:hint="eastAsia"/>
                <w:color w:val="auto"/>
                <w:lang w:val="en-US" w:eastAsia="zh-CN"/>
              </w:rPr>
              <w:t>距离</w:t>
            </w:r>
            <w:r>
              <w:rPr>
                <w:rFonts w:hint="eastAsia"/>
                <w:color w:val="auto"/>
                <w:lang w:val="en-US" w:eastAsia="zh-CN"/>
              </w:rPr>
              <w:br w:type="textWrapping"/>
            </w:r>
            <w:r>
              <w:rPr>
                <w:rFonts w:hint="eastAsia"/>
                <w:color w:val="auto"/>
                <w:lang w:val="en-US" w:eastAsia="zh-CN"/>
              </w:rPr>
              <w:t>/m</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规范</w:t>
            </w:r>
            <w:r>
              <w:rPr>
                <w:rFonts w:hint="eastAsia"/>
                <w:color w:val="auto"/>
                <w:lang w:val="en-US" w:eastAsia="zh-CN"/>
              </w:rPr>
              <w:br w:type="textWrapping"/>
            </w:r>
            <w:r>
              <w:rPr>
                <w:rFonts w:hint="eastAsia"/>
                <w:color w:val="auto"/>
                <w:lang w:val="en-US" w:eastAsia="zh-CN"/>
              </w:rPr>
              <w:t>距离</w:t>
            </w:r>
            <w:r>
              <w:rPr>
                <w:rFonts w:hint="eastAsia"/>
                <w:color w:val="auto"/>
                <w:lang w:val="en-US" w:eastAsia="zh-CN"/>
              </w:rPr>
              <w:br w:type="textWrapping"/>
            </w:r>
            <w:r>
              <w:rPr>
                <w:rFonts w:hint="eastAsia"/>
                <w:color w:val="auto"/>
                <w:lang w:val="en-US" w:eastAsia="zh-CN"/>
              </w:rPr>
              <w:t>/m</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检查依据</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w:t>
            </w:r>
            <w:r>
              <w:rPr>
                <w:rFonts w:hint="eastAsia"/>
                <w:color w:val="auto"/>
                <w:lang w:val="en-US" w:eastAsia="zh-CN"/>
              </w:rPr>
              <w:br w:type="textWrapping"/>
            </w:r>
            <w:r>
              <w:rPr>
                <w:rFonts w:hint="eastAsia"/>
                <w:color w:val="auto"/>
                <w:lang w:val="en-US" w:eastAsia="zh-CN"/>
              </w:rPr>
              <w:t>结果</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w:t>
            </w: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东</w:t>
            </w:r>
            <w:r>
              <w:rPr>
                <w:rFonts w:hint="eastAsia"/>
                <w:color w:val="auto"/>
                <w:lang w:val="en-US" w:eastAsia="zh-CN"/>
              </w:rPr>
              <w:br w:type="textWrapping"/>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架空电力线（10kV,</w:t>
            </w:r>
            <w:r>
              <w:rPr>
                <w:rFonts w:hint="eastAsia"/>
                <w:color w:val="auto"/>
                <w:lang w:val="en-US" w:eastAsia="zh-CN"/>
              </w:rPr>
              <w:br w:type="textWrapping"/>
            </w:r>
            <w:r>
              <w:rPr>
                <w:rFonts w:hint="eastAsia"/>
                <w:color w:val="auto"/>
                <w:lang w:val="en-US" w:eastAsia="zh-CN"/>
              </w:rPr>
              <w:t>杆高12m)</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160.9</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18</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《精细化工企业工程设计防火标准》4.1.5</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203罐区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w:t>
            </w: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银铃路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37.3</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15</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《精细化工企业工程设计防火标准》4.1.5</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203罐区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w:t>
            </w: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default"/>
                <w:color w:val="auto"/>
                <w:lang w:val="en-US"/>
              </w:rPr>
            </w:pPr>
            <w:r>
              <w:rPr>
                <w:rFonts w:hint="eastAsia"/>
                <w:color w:val="auto"/>
                <w:lang w:val="en-US" w:eastAsia="zh-CN"/>
              </w:rPr>
              <w:t>宜春市袁州区悦峰新材料有限公司用地红线</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153.7</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30</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《精细化工企业工程设计防火标准》4.1.5</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符合</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203罐区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4</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南</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湖西路</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64</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15</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《精细化工企业工程设计防火标准》4.1.5</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203 罐区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北</w:t>
            </w:r>
          </w:p>
        </w:tc>
        <w:tc>
          <w:tcPr>
            <w:tcW w:w="19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default" w:eastAsia="宋体"/>
                <w:color w:val="auto"/>
                <w:lang w:val="en-US" w:eastAsia="zh-CN"/>
              </w:rPr>
            </w:pPr>
            <w:r>
              <w:rPr>
                <w:rFonts w:hint="eastAsia"/>
                <w:color w:val="auto"/>
                <w:lang w:val="en-US" w:eastAsia="zh-CN"/>
              </w:rPr>
              <w:t>江西丰日电源有限公司用地红线</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163.2</w:t>
            </w:r>
          </w:p>
        </w:tc>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30</w:t>
            </w:r>
          </w:p>
        </w:tc>
        <w:tc>
          <w:tcPr>
            <w:tcW w:w="244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《精细化工企业工程设计防火标准》4.1.5</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符合</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203罐区</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综上所述，该项目选址及与周边企业、高敏感防护目标、重要防护及一</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般防护目标等场所、设施间距符合要求。</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1.安全检查表法分析评价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该安全检查表依据《化工企业总图运输设计规范》《工业企业总平面设</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计规范》《精细化工企业工程设计防火标准》《电力设施保护条例》《关于加强长江经济带工业绿色发展的指导意见》《工业企业设计卫生标准》《公路安全保护条例》《危险化学品生产企业安全生产许可证实施办法》及《危险化学品安全管理条例》对该项目的选址是否符合当地政府的行政规划，其周边环境等情况是否符合规程规范的要求；检查内容见表 C.1-2。</w:t>
      </w:r>
    </w:p>
    <w:p>
      <w:pPr>
        <w:pStyle w:val="53"/>
        <w:rPr>
          <w:rFonts w:hint="eastAsia"/>
          <w:color w:val="auto"/>
          <w:lang w:val="en-US" w:eastAsia="zh-CN"/>
        </w:rPr>
      </w:pPr>
      <w:r>
        <w:rPr>
          <w:rFonts w:hint="eastAsia"/>
          <w:color w:val="auto"/>
          <w:lang w:val="en-US" w:eastAsia="zh-CN"/>
        </w:rPr>
        <w:t>表 C.1-2 项目厂址及周边环境单元安全检查表</w:t>
      </w:r>
    </w:p>
    <w:tbl>
      <w:tblPr>
        <w:tblStyle w:val="42"/>
        <w:tblW w:w="94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7"/>
        <w:gridCol w:w="4095"/>
        <w:gridCol w:w="722"/>
        <w:gridCol w:w="1553"/>
        <w:gridCol w:w="25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序</w:t>
            </w:r>
            <w:r>
              <w:rPr>
                <w:rFonts w:hint="eastAsia"/>
                <w:color w:val="auto"/>
                <w:lang w:val="en-US" w:eastAsia="zh-CN"/>
              </w:rPr>
              <w:br w:type="textWrapping"/>
            </w:r>
            <w:r>
              <w:rPr>
                <w:rFonts w:hint="eastAsia"/>
                <w:color w:val="auto"/>
                <w:lang w:val="en-US" w:eastAsia="zh-CN"/>
              </w:rPr>
              <w:t>号</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检查项目和内容</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w:t>
            </w:r>
            <w:r>
              <w:rPr>
                <w:rFonts w:hint="eastAsia"/>
                <w:color w:val="auto"/>
                <w:lang w:val="en-US" w:eastAsia="zh-CN"/>
              </w:rPr>
              <w:br w:type="textWrapping"/>
            </w:r>
            <w:r>
              <w:rPr>
                <w:rFonts w:hint="eastAsia"/>
                <w:color w:val="auto"/>
                <w:lang w:val="en-US" w:eastAsia="zh-CN"/>
              </w:rPr>
              <w:t>结果</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检查依据</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从2011年3月起，对没有划定危险化</w:t>
            </w:r>
            <w:r>
              <w:rPr>
                <w:rFonts w:hint="eastAsia"/>
                <w:color w:val="auto"/>
                <w:lang w:val="en-US" w:eastAsia="zh-CN"/>
              </w:rPr>
              <w:br w:type="textWrapping"/>
            </w:r>
            <w:r>
              <w:rPr>
                <w:rFonts w:hint="eastAsia"/>
                <w:color w:val="auto"/>
                <w:lang w:val="en-US" w:eastAsia="zh-CN"/>
              </w:rPr>
              <w:t>学品生产、储存专门区域的地区，城乡规划部门原则上不再受理危险化学品生产、储存建设项目"一书两证"（规划址意见书、建设用地规划许可证、建设工程规划许可证）的申请许可，安全监管部门原则上不再受理危险化学品生产、储存建设项目的安全审查申请，投资主管部门原则上不再受理危险化学品生产、储存建设项目的立项申请，拟建化工项目原则上必须进入产业集中区或化工园区。</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江西省人民政府办公厅赣府厅发[2010]3号</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项目位于宜春市袁州区医药工业园化工集中区内，该工业园为江西省首批认定的化工园区。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厂址选择应符合国家的工业布局、城镇（乡）总体规划及土地利用总体规划的要求。</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《工业企业总平面设计规范》3.0.1条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符合国家工业布局、城镇（乡）总体规划及土地利用总体规划的要求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6"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3</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厂址应有便利和经济的交通运输条件，与厂外铁路、公路的连接，应便捷、工程量小。临近江、河、湖、海的厂址，通航条件满足企业运输要求时，应尽量利用水运，且厂址宜靠近适合建设码头的地段。</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《工业企业总平面设计规范》3.0.5条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有便利和经济的交通运输条件，与厂外公路的连接，便捷。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4</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厂址应具有满足生产、生活及发展所必需的水源和电源。水源和电源与厂址之间的管线连接应尽量短捷，且用水、用电量（特别）大的工业企业宜靠近水源及电源地。</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《工业企业总平面设计规范》3.0.6条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具有满足生产、生活及发展所必需的水源和电源。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5</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厂址应具有满足建设工程需要的工程地质条件和水文地质条件。</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《工业企业总平面设计规范》3.0.8条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地质条件和水文地质条件满足项目需求。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6</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厂址应位于不受洪水、潮水或内涝威胁的地带，并应符合下列规定：</w:t>
            </w:r>
            <w:r>
              <w:rPr>
                <w:rFonts w:hint="eastAsia"/>
                <w:color w:val="auto"/>
                <w:lang w:val="en-US" w:eastAsia="zh-CN"/>
              </w:rPr>
              <w:br w:type="textWrapping"/>
            </w:r>
            <w:r>
              <w:rPr>
                <w:rFonts w:hint="eastAsia"/>
                <w:color w:val="auto"/>
                <w:lang w:val="en-US" w:eastAsia="zh-CN"/>
              </w:rPr>
              <w:t>1 当厂址不可避免不受洪水、潮水、或内涝威胁的地带时，必须采取防洪、排涝措施；</w:t>
            </w:r>
            <w:r>
              <w:rPr>
                <w:rFonts w:hint="eastAsia"/>
                <w:color w:val="auto"/>
                <w:lang w:val="en-US" w:eastAsia="zh-CN"/>
              </w:rPr>
              <w:br w:type="textWrapping"/>
            </w:r>
            <w:r>
              <w:rPr>
                <w:rFonts w:hint="eastAsia"/>
                <w:color w:val="auto"/>
                <w:lang w:val="en-US" w:eastAsia="zh-CN"/>
              </w:rPr>
              <w:t>2 凡受江、河、潮、海洪水、潮水或山洪威胁的工业企业，防洪标准应符合现行国家标准《防洪标准》GB 50201 的有关规定</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《工业企业总平面设计规范》3.0.12条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厂址位于不受洪水、潮水或内涝威胁的地带。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36" w:hRule="atLeast"/>
        </w:trPr>
        <w:tc>
          <w:tcPr>
            <w:tcW w:w="547"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7</w:t>
            </w:r>
          </w:p>
        </w:tc>
        <w:tc>
          <w:tcPr>
            <w:tcW w:w="4095"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lang w:val="en-US" w:eastAsia="zh-CN"/>
              </w:rPr>
            </w:pPr>
            <w:r>
              <w:rPr>
                <w:rFonts w:hint="eastAsia"/>
                <w:color w:val="auto"/>
                <w:lang w:val="en-US" w:eastAsia="zh-CN"/>
              </w:rPr>
              <w:t>下列地段和地区不得选为厂址：</w:t>
            </w:r>
          </w:p>
          <w:p>
            <w:pPr>
              <w:pStyle w:val="59"/>
              <w:keepNext w:val="0"/>
              <w:keepLines w:val="0"/>
              <w:widowControl/>
              <w:suppressLineNumbers w:val="0"/>
              <w:jc w:val="both"/>
              <w:textAlignment w:val="center"/>
              <w:rPr>
                <w:rFonts w:hint="eastAsia"/>
                <w:color w:val="auto"/>
              </w:rPr>
            </w:pPr>
            <w:r>
              <w:rPr>
                <w:rFonts w:hint="eastAsia"/>
                <w:color w:val="auto"/>
                <w:lang w:val="en-US" w:eastAsia="zh-CN"/>
              </w:rPr>
              <w:t>一、发震断层和设防烈度高于九度的地震区；</w:t>
            </w:r>
            <w:r>
              <w:rPr>
                <w:rFonts w:hint="eastAsia"/>
                <w:color w:val="auto"/>
                <w:lang w:val="en-US" w:eastAsia="zh-CN"/>
              </w:rPr>
              <w:br w:type="textWrapping"/>
            </w:r>
            <w:r>
              <w:rPr>
                <w:rFonts w:hint="eastAsia"/>
                <w:color w:val="auto"/>
                <w:lang w:val="en-US" w:eastAsia="zh-CN"/>
              </w:rPr>
              <w:t>二、有泥石流、滑坡、流沙、溶洞等直接危害的地段；</w:t>
            </w:r>
            <w:r>
              <w:rPr>
                <w:rFonts w:hint="eastAsia"/>
                <w:color w:val="auto"/>
                <w:lang w:val="en-US" w:eastAsia="zh-CN"/>
              </w:rPr>
              <w:br w:type="textWrapping"/>
            </w:r>
            <w:r>
              <w:rPr>
                <w:rFonts w:hint="eastAsia"/>
                <w:color w:val="auto"/>
                <w:lang w:val="en-US" w:eastAsia="zh-CN"/>
              </w:rPr>
              <w:t>三、采矿陷落（错动）区界限内；</w:t>
            </w:r>
            <w:r>
              <w:rPr>
                <w:rFonts w:hint="eastAsia"/>
                <w:color w:val="auto"/>
                <w:lang w:val="en-US" w:eastAsia="zh-CN"/>
              </w:rPr>
              <w:br w:type="textWrapping"/>
            </w:r>
            <w:r>
              <w:rPr>
                <w:rFonts w:hint="eastAsia"/>
                <w:color w:val="auto"/>
                <w:lang w:val="en-US" w:eastAsia="zh-CN"/>
              </w:rPr>
              <w:t>四、爆破危险范围内；</w:t>
            </w:r>
            <w:r>
              <w:rPr>
                <w:rFonts w:hint="eastAsia"/>
                <w:color w:val="auto"/>
                <w:lang w:val="en-US" w:eastAsia="zh-CN"/>
              </w:rPr>
              <w:br w:type="textWrapping"/>
            </w:r>
            <w:r>
              <w:rPr>
                <w:rFonts w:hint="eastAsia"/>
                <w:color w:val="auto"/>
                <w:lang w:val="en-US" w:eastAsia="zh-CN"/>
              </w:rPr>
              <w:t>五、坝或堤决溃后可能淹没的地区；</w:t>
            </w:r>
            <w:r>
              <w:rPr>
                <w:rFonts w:hint="eastAsia"/>
                <w:color w:val="auto"/>
                <w:lang w:val="en-US" w:eastAsia="zh-CN"/>
              </w:rPr>
              <w:br w:type="textWrapping"/>
            </w:r>
            <w:r>
              <w:rPr>
                <w:rFonts w:hint="eastAsia"/>
                <w:color w:val="auto"/>
                <w:lang w:val="en-US" w:eastAsia="zh-CN"/>
              </w:rPr>
              <w:t>六、重要的供水水源卫生保护区：</w:t>
            </w:r>
            <w:r>
              <w:rPr>
                <w:rFonts w:hint="eastAsia"/>
                <w:color w:val="auto"/>
                <w:lang w:val="en-US" w:eastAsia="zh-CN"/>
              </w:rPr>
              <w:br w:type="textWrapping"/>
            </w:r>
            <w:r>
              <w:rPr>
                <w:rFonts w:hint="eastAsia"/>
                <w:color w:val="auto"/>
                <w:lang w:val="en-US" w:eastAsia="zh-CN"/>
              </w:rPr>
              <w:t>七、国家规定的风景区及森林和自然保护区；</w:t>
            </w:r>
            <w:r>
              <w:rPr>
                <w:rFonts w:hint="eastAsia"/>
                <w:color w:val="auto"/>
                <w:lang w:val="en-US" w:eastAsia="zh-CN"/>
              </w:rPr>
              <w:br w:type="textWrapping"/>
            </w:r>
            <w:r>
              <w:rPr>
                <w:rFonts w:hint="eastAsia"/>
                <w:color w:val="auto"/>
                <w:lang w:val="en-US" w:eastAsia="zh-CN"/>
              </w:rPr>
              <w:t>八、历史文物古迹保护区；</w:t>
            </w:r>
            <w:r>
              <w:rPr>
                <w:rFonts w:hint="eastAsia"/>
                <w:color w:val="auto"/>
                <w:lang w:val="en-US" w:eastAsia="zh-CN"/>
              </w:rPr>
              <w:br w:type="textWrapping"/>
            </w:r>
            <w:r>
              <w:rPr>
                <w:rFonts w:hint="eastAsia"/>
                <w:color w:val="auto"/>
                <w:lang w:val="en-US" w:eastAsia="zh-CN"/>
              </w:rPr>
              <w:t>九、对飞机起落、电台通讯、电视转播、雷达导航和重要的天文、气象、地震观察以及军事设施等规定有影响的范围图；</w:t>
            </w:r>
            <w:r>
              <w:rPr>
                <w:rFonts w:hint="eastAsia"/>
                <w:color w:val="auto"/>
                <w:lang w:val="en-US" w:eastAsia="zh-CN"/>
              </w:rPr>
              <w:br w:type="textWrapping"/>
            </w:r>
            <w:r>
              <w:rPr>
                <w:rFonts w:hint="eastAsia"/>
                <w:color w:val="auto"/>
                <w:lang w:val="en-US" w:eastAsia="zh-CN"/>
              </w:rPr>
              <w:t>十、IV级自重湿陷性黄土、厚度大的新近堆积黄土、高压缩性的饱和黄土和III级膨胀土等工程地质恶劣地区；</w:t>
            </w:r>
            <w:r>
              <w:rPr>
                <w:rFonts w:hint="eastAsia"/>
                <w:color w:val="auto"/>
                <w:lang w:val="en-US" w:eastAsia="zh-CN"/>
              </w:rPr>
              <w:br w:type="textWrapping"/>
            </w:r>
            <w:r>
              <w:rPr>
                <w:rFonts w:hint="eastAsia"/>
                <w:color w:val="auto"/>
                <w:lang w:val="en-US" w:eastAsia="zh-CN"/>
              </w:rPr>
              <w:t>十一、具有开采价值的矿藏区。</w:t>
            </w:r>
          </w:p>
        </w:tc>
        <w:tc>
          <w:tcPr>
            <w:tcW w:w="722"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lang w:val="en-US" w:eastAsia="zh-CN"/>
              </w:rPr>
            </w:pPr>
            <w:r>
              <w:rPr>
                <w:rFonts w:hint="eastAsia"/>
                <w:color w:val="auto"/>
                <w:lang w:val="en-US" w:eastAsia="zh-CN"/>
              </w:rPr>
              <w:t>符合</w:t>
            </w:r>
          </w:p>
          <w:p>
            <w:pPr>
              <w:pStyle w:val="59"/>
              <w:keepNext w:val="0"/>
              <w:keepLines w:val="0"/>
              <w:widowControl/>
              <w:suppressLineNumbers w:val="0"/>
              <w:jc w:val="center"/>
              <w:textAlignment w:val="center"/>
              <w:rPr>
                <w:rFonts w:hint="eastAsia"/>
                <w:color w:val="auto"/>
              </w:rPr>
            </w:pPr>
            <w:r>
              <w:rPr>
                <w:rFonts w:hint="eastAsia"/>
                <w:color w:val="auto"/>
                <w:lang w:val="en-US" w:eastAsia="zh-CN"/>
              </w:rPr>
              <w:t>要求</w:t>
            </w:r>
          </w:p>
        </w:tc>
        <w:tc>
          <w:tcPr>
            <w:tcW w:w="1553" w:type="dxa"/>
            <w:tcBorders>
              <w:top w:val="single" w:color="000000" w:sz="4" w:space="0"/>
              <w:left w:val="single" w:color="000000" w:sz="4" w:space="0"/>
              <w:right w:val="single" w:color="000000" w:sz="4" w:space="0"/>
            </w:tcBorders>
            <w:shd w:val="clear" w:color="auto" w:fill="auto"/>
            <w:vAlign w:val="center"/>
          </w:tcPr>
          <w:p>
            <w:pPr>
              <w:pStyle w:val="59"/>
              <w:keepNext w:val="0"/>
              <w:keepLines w:val="0"/>
              <w:widowControl/>
              <w:suppressLineNumbers w:val="0"/>
              <w:jc w:val="both"/>
              <w:textAlignment w:val="auto"/>
              <w:rPr>
                <w:rFonts w:hint="eastAsia"/>
                <w:color w:val="auto"/>
              </w:rPr>
            </w:pPr>
            <w:r>
              <w:rPr>
                <w:rFonts w:hint="eastAsia"/>
                <w:color w:val="auto"/>
                <w:lang w:val="en-US" w:eastAsia="zh-CN"/>
              </w:rPr>
              <w:t>《工业企业总平面设计规范》3.0.14条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both"/>
              <w:textAlignment w:val="auto"/>
              <w:rPr>
                <w:rFonts w:hint="eastAsia"/>
                <w:color w:val="auto"/>
              </w:rPr>
            </w:pPr>
            <w:r>
              <w:rPr>
                <w:rFonts w:hint="eastAsia"/>
                <w:color w:val="auto"/>
                <w:lang w:val="en-US" w:eastAsia="zh-CN"/>
              </w:rPr>
              <w:t>该项目区域内地震基本烈度为6度，无不良地质地段。周边无重要的供水水源卫生保护区、国家规定的风景区及森林和自然保护区历史文物古迹保护区等：基地地下无具有开采价值的矿藏。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8</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工业企业厂外道路的规划，应符合城镇规划或当地交通运输规划。并应合理地利用现有的国家公路及城镇道路。厂外道路与国家公路或城镇道路连接时，应使路线短捷，项目量小。</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《工业企业总平面设计规范》4.3.5条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该项目拟建于江西省宜春市袁州区医药工业园化工集中区内，企业厂外道路的规划，符合城镇规划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9</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厂址选择应同时满足交通运输设施、能源和动力设施、防洪设施、环境保护工程及生活等配套建设用地的要求。</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《化工企业总图运输设计规范》3.1.4条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该项目拟建于于江西省宜春市袁州区医药工业园化工集中区内，厂址选择满足交通运输设施、能源和动力设施、防洪设施、环境保护工程及生活等配套建设用地的要求。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10</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厂址应具有方便和经济的交通运输条件。</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《化工企业总图运输设计规范》3.1.6条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该项目具有方便和经济的交通运输条件。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11</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厂址应有充足、可靠的水源和电源，且应满足企业发展需要。</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《化工企业总图运输设计规范》3.1.7条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该项目拟建于江西省宜春市袁州区医药工业园化工集中区内，有充足、可靠的水源和电源，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12</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选择厂址应充分考虑地震、软地基、湿陷性黄土、膨胀土等地质因素以及飓风、雷暴、沙暴等气象危害，采取可靠技术方案，避开断层、滑波、泥石流、地下溶剂等比较发育的地区。</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《化工企业安全卫生设计规定》3.1.2条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厂址选择考虑地震、软地基、湿陷性黄土、膨胀土等地质因素以及飓风、雷暴、沙暴等气象危害。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1" w:hRule="atLeast"/>
        </w:trPr>
        <w:tc>
          <w:tcPr>
            <w:tcW w:w="547"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13</w:t>
            </w:r>
          </w:p>
        </w:tc>
        <w:tc>
          <w:tcPr>
            <w:tcW w:w="4095"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厂址应避开新旧矿产采据区、水坝（或大堤）演决后可能淹没地区、地方病严重流行区、国家及省市级文物保护区，并与《危险化学品安全管理条例》规定的敏感目标保持安全距离。</w:t>
            </w:r>
          </w:p>
        </w:tc>
        <w:tc>
          <w:tcPr>
            <w:tcW w:w="722"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《化工企业安全卫生设计规定》3.1.4条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lang w:val="en-US" w:eastAsia="zh-CN"/>
              </w:rPr>
              <w:t>厂址周边无矿产采掘区、地方病严重流行区、国家及省市级文物保护区及、影剧院、体育场（馆）等公共设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14</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化工企业的厂址应符合当地规划，明确占用土地的类别及拆迁工程的情况。</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《化工企业安全卫生设计规定》3.1.6条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该厂址位于化工园区内，符合当地城乡规划要求。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15</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厂区应与当地现有和规划的交通线路、车站、港口进行顺健合理的联结。厂前区尽量临靠公路干道，铁路、索道和码头应在厂后、侧部位，避免不同方式的交通线路平面交叉。</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《化工企业安全卫生设计规定》3.1.7条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与当地现有和规划的交通线路、车站进行顺捷合理的联结：临靠公路。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16</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工厂的居住区、水源地等环境质量要求较高的设施与各种有害或危险场所应设置防护距离，并应位于不洁水体、废渣堆场的上游和全年最小频率风问的下风侧。</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《化工企业安全卫生设计规定》3.1.8条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工厂环境质量要求较高的设施与各种有害或危险场所已经过环境影响评价，依据报告符合要求。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17</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厂址选择应符合当地城乡总体规划要求。</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《精细化工企业工程设计防火标准》4.1.1 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厂址选择符合宜春市袁州区城乡总体规划要求。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18</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厂址应根据企业、相邻企业或议施的特点和火灾危险类别，结合风向与地形等自然条件合理确定。</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《精细化工企业工程设计防火标准》4.1.2条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厂址考虑上述因素合理确定。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19</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地区排洪沟不应通过工厂生产区．</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《精细化工企业工程设计防火标准》4.1.4条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地区排洪沟未通过工厂生产区．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20</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精细化工企业与相邻工厂或设施的防火间距不应小于表4.1.5的规定。</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《精细化工企业工程设计防火标准》4.1.5条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与相邻工厂或设施的防火间距符合要求，见表C.1-1.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相邻精细化工企业的防火间跑不应小于表4.1.6的规定。</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精细化工企业</w:t>
            </w:r>
            <w:r>
              <w:rPr>
                <w:rFonts w:hint="eastAsia"/>
                <w:color w:val="auto"/>
                <w:lang w:val="en-US" w:eastAsia="zh-CN"/>
              </w:rPr>
              <w:br w:type="textWrapping"/>
            </w:r>
            <w:r>
              <w:rPr>
                <w:rFonts w:hint="eastAsia"/>
                <w:color w:val="auto"/>
                <w:lang w:val="en-US" w:eastAsia="zh-CN"/>
              </w:rPr>
              <w:t>程设计防火标</w:t>
            </w:r>
            <w:r>
              <w:rPr>
                <w:rFonts w:hint="eastAsia"/>
                <w:color w:val="auto"/>
                <w:lang w:val="en-US" w:eastAsia="zh-CN"/>
              </w:rPr>
              <w:br w:type="textWrapping"/>
            </w:r>
            <w:r>
              <w:rPr>
                <w:rFonts w:hint="eastAsia"/>
                <w:color w:val="auto"/>
                <w:lang w:val="en-US" w:eastAsia="zh-CN"/>
              </w:rPr>
              <w:t>准》4.1.5条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与相邻企业无精细化工企业。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22</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电力线路保护区：</w:t>
            </w:r>
            <w:r>
              <w:rPr>
                <w:rFonts w:hint="eastAsia"/>
                <w:color w:val="auto"/>
                <w:lang w:val="en-US" w:eastAsia="zh-CN"/>
              </w:rPr>
              <w:br w:type="textWrapping"/>
            </w:r>
            <w:r>
              <w:rPr>
                <w:rFonts w:hint="eastAsia"/>
                <w:color w:val="auto"/>
                <w:lang w:val="en-US" w:eastAsia="zh-CN"/>
              </w:rPr>
              <w:t>（一）架空电力线路保护区：导线边线向</w:t>
            </w:r>
            <w:r>
              <w:rPr>
                <w:rFonts w:hint="eastAsia"/>
                <w:color w:val="auto"/>
                <w:lang w:val="en-US" w:eastAsia="zh-CN"/>
              </w:rPr>
              <w:br w:type="textWrapping"/>
            </w:r>
            <w:r>
              <w:rPr>
                <w:rFonts w:hint="eastAsia"/>
                <w:color w:val="auto"/>
                <w:lang w:val="en-US" w:eastAsia="zh-CN"/>
              </w:rPr>
              <w:t>外侧水平延伸并垂直于地面所形成的两平行面内的区域，在一般地区各级电压导线的边线延伸距离如下：</w:t>
            </w:r>
            <w:r>
              <w:rPr>
                <w:rFonts w:hint="eastAsia"/>
                <w:color w:val="auto"/>
                <w:lang w:val="en-US" w:eastAsia="zh-CN"/>
              </w:rPr>
              <w:br w:type="textWrapping"/>
            </w:r>
            <w:r>
              <w:rPr>
                <w:rFonts w:hint="eastAsia"/>
                <w:color w:val="auto"/>
                <w:lang w:val="en-US" w:eastAsia="zh-CN"/>
              </w:rPr>
              <w:t>1-10千伏 5米</w:t>
            </w:r>
            <w:r>
              <w:rPr>
                <w:rFonts w:hint="eastAsia"/>
                <w:color w:val="auto"/>
                <w:lang w:val="en-US" w:eastAsia="zh-CN"/>
              </w:rPr>
              <w:br w:type="textWrapping"/>
            </w:r>
            <w:r>
              <w:rPr>
                <w:rFonts w:hint="eastAsia"/>
                <w:color w:val="auto"/>
                <w:lang w:val="en-US" w:eastAsia="zh-CN"/>
              </w:rPr>
              <w:t>35-110千伏 10米</w:t>
            </w:r>
            <w:r>
              <w:rPr>
                <w:rFonts w:hint="eastAsia"/>
                <w:color w:val="auto"/>
                <w:lang w:val="en-US" w:eastAsia="zh-CN"/>
              </w:rPr>
              <w:br w:type="textWrapping"/>
            </w:r>
            <w:r>
              <w:rPr>
                <w:rFonts w:hint="eastAsia"/>
                <w:color w:val="auto"/>
                <w:lang w:val="en-US" w:eastAsia="zh-CN"/>
              </w:rPr>
              <w:t>154-330千伏 15米</w:t>
            </w:r>
            <w:r>
              <w:rPr>
                <w:rFonts w:hint="eastAsia"/>
                <w:color w:val="auto"/>
                <w:lang w:val="en-US" w:eastAsia="zh-CN"/>
              </w:rPr>
              <w:br w:type="textWrapping"/>
            </w:r>
            <w:r>
              <w:rPr>
                <w:rFonts w:hint="eastAsia"/>
                <w:color w:val="auto"/>
                <w:lang w:val="en-US" w:eastAsia="zh-CN"/>
              </w:rPr>
              <w:t>500千伏 20米</w:t>
            </w:r>
            <w:r>
              <w:rPr>
                <w:rFonts w:hint="eastAsia"/>
                <w:color w:val="auto"/>
                <w:lang w:val="en-US" w:eastAsia="zh-CN"/>
              </w:rPr>
              <w:br w:type="textWrapping"/>
            </w:r>
            <w:r>
              <w:rPr>
                <w:rFonts w:hint="eastAsia"/>
                <w:color w:val="auto"/>
                <w:lang w:val="en-US" w:eastAsia="zh-CN"/>
              </w:rPr>
              <w:t>在厂矿、城镇等人口密集地区，架空电力线路保护区的区域可略小于上述规定。但各级电压导线边线延伸的距离，不应小于导线边线在最大计算弧垂及最大计算风偏后的水平距离和风偏后距建筑物的安全距离之和。</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《电力设施保护条例》第十条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厂区主要建筑物与东侧10kV架空电力线距离均大于5m.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p>
          <w:p>
            <w:pPr>
              <w:pStyle w:val="59"/>
              <w:jc w:val="both"/>
              <w:rPr>
                <w:rFonts w:hint="default" w:eastAsia="宋体"/>
                <w:color w:val="auto"/>
                <w:lang w:val="en-US" w:eastAsia="zh-CN"/>
              </w:rPr>
            </w:pPr>
            <w:r>
              <w:rPr>
                <w:rFonts w:hint="eastAsia"/>
                <w:color w:val="auto"/>
                <w:lang w:val="en-US" w:eastAsia="zh-CN"/>
              </w:rPr>
              <w:t>23</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（一）严格落实国家“1 公里”限制政策。除在建项目外，长江江西段及赣江、信江、抚河、饶河、修河等岸线及鄱阳湖周边1 公里范围内禁止新建重化工项目；严控在沿岸地区新建石油化工和煤化工项目</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widowControl w:val="0"/>
              <w:jc w:val="both"/>
              <w:textAlignment w:val="auto"/>
              <w:rPr>
                <w:rFonts w:hint="default"/>
                <w:color w:val="auto"/>
                <w:lang w:val="en-US"/>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lang w:val="en-US" w:eastAsia="zh-CN"/>
              </w:rPr>
            </w:pPr>
            <w:r>
              <w:rPr>
                <w:rFonts w:hint="eastAsia"/>
                <w:color w:val="auto"/>
                <w:lang w:val="en-US" w:eastAsia="zh-CN"/>
              </w:rPr>
              <w:t>《关于加强长江经济带工业绿色发 展 的 指 导 意见》</w:t>
            </w:r>
          </w:p>
          <w:p>
            <w:pPr>
              <w:pStyle w:val="59"/>
              <w:jc w:val="both"/>
              <w:rPr>
                <w:rFonts w:hint="eastAsia"/>
                <w:color w:val="auto"/>
              </w:rPr>
            </w:pP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厂址距袁河大于1公里范围内。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24</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除按照国家有关规定设立的为车辆补充燃料的场所、设施外，禁止在下列范围内设立生产、储存、销售易燃、易爆、剧毒、放射性等危险物品的场所、设施；</w:t>
            </w:r>
            <w:r>
              <w:rPr>
                <w:rFonts w:hint="eastAsia"/>
                <w:color w:val="auto"/>
                <w:lang w:val="en-US" w:eastAsia="zh-CN"/>
              </w:rPr>
              <w:br w:type="textWrapping"/>
            </w:r>
            <w:r>
              <w:rPr>
                <w:rFonts w:hint="eastAsia"/>
                <w:color w:val="auto"/>
                <w:lang w:val="en-US" w:eastAsia="zh-CN"/>
              </w:rPr>
              <w:t>（一）公路用地外缘起向外100米；</w:t>
            </w:r>
            <w:r>
              <w:rPr>
                <w:rFonts w:hint="eastAsia"/>
                <w:color w:val="auto"/>
                <w:lang w:val="en-US" w:eastAsia="zh-CN"/>
              </w:rPr>
              <w:br w:type="textWrapping"/>
            </w:r>
            <w:r>
              <w:rPr>
                <w:rFonts w:hint="eastAsia"/>
                <w:color w:val="auto"/>
                <w:lang w:val="en-US" w:eastAsia="zh-CN"/>
              </w:rPr>
              <w:t>（二）公路渡口和中型以上公路桥梁周围200米；</w:t>
            </w:r>
            <w:r>
              <w:rPr>
                <w:rFonts w:hint="eastAsia"/>
                <w:color w:val="auto"/>
                <w:lang w:val="en-US" w:eastAsia="zh-CN"/>
              </w:rPr>
              <w:br w:type="textWrapping"/>
            </w:r>
            <w:r>
              <w:rPr>
                <w:rFonts w:hint="eastAsia"/>
                <w:color w:val="auto"/>
                <w:lang w:val="en-US" w:eastAsia="zh-CN"/>
              </w:rPr>
              <w:t>（三）公路隧道上方和洞口外100米</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《公路安全保护条例》第十八条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厂址周边为园区道路。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25</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在铁路线路两侧建造、设立生产、加工、储存或者销售易燃、易爆或者放射性物品等危险物品的场所、仓库，应当符合国家标准、行业标准规定的安全防护距离。</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《铁路安全管理条例》第三十三条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厂址周边内无铁路线。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26</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工业企业选址宜避开自然疫源地：对于因建设工程需要等原因不能避开的，应设计具体的疫情综合预防控制措施。</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《工业企业设计卫生标准》第5.1.2条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项目所在地不属于自然疫源地。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27</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《工业企业设计卫生标准》第5.1.3条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不属于被原工业企业污染的土地。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28</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在同一工业区内布置不同卫生特征的工业企业时，应避免不同有害因素产生交叉污染和联合作用。</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《工业企业设计卫生标准》第5.1.5条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不产生交叉污染和联合作用。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29</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企业选址布局、规划设计以及与重要场所、设施、区域的距离应当符合下列要求：</w:t>
            </w:r>
            <w:r>
              <w:rPr>
                <w:rFonts w:hint="eastAsia"/>
                <w:color w:val="auto"/>
                <w:lang w:val="en-US" w:eastAsia="zh-CN"/>
              </w:rPr>
              <w:br w:type="textWrapping"/>
            </w:r>
            <w:r>
              <w:rPr>
                <w:rFonts w:hint="eastAsia"/>
                <w:color w:val="auto"/>
                <w:lang w:val="en-US" w:eastAsia="zh-CN"/>
              </w:rPr>
              <w:t>（一）国家产业政策：当地县级以上（含县级）人民政府的规划和布局：新设立企业建在地方人民政府规划的专门用于危险化学品生产、储存的区域内；</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《危险化学品生产企业安全生产许可证实施办法》第八条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企业厂区位于宜春市袁州区医药工业园化工集中区内。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30</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危险化学品生产装置或者储存数量构成重大危险源的危险化学品储存设施（运输工具加油站、加气站除外），与下列场所、设施、区域的距离应当符合国家有关规定：</w:t>
            </w:r>
            <w:r>
              <w:rPr>
                <w:rFonts w:hint="eastAsia"/>
                <w:color w:val="auto"/>
                <w:lang w:val="en-US" w:eastAsia="zh-CN"/>
              </w:rPr>
              <w:br w:type="textWrapping"/>
            </w:r>
            <w:r>
              <w:rPr>
                <w:rFonts w:hint="eastAsia"/>
                <w:color w:val="auto"/>
                <w:lang w:val="en-US" w:eastAsia="zh-CN"/>
              </w:rPr>
              <w:t>（一）居住区以及商业中心、公园等人员密集场所；</w:t>
            </w:r>
            <w:r>
              <w:rPr>
                <w:rFonts w:hint="eastAsia"/>
                <w:color w:val="auto"/>
                <w:lang w:val="en-US" w:eastAsia="zh-CN"/>
              </w:rPr>
              <w:br w:type="textWrapping"/>
            </w:r>
            <w:r>
              <w:rPr>
                <w:rFonts w:hint="eastAsia"/>
                <w:color w:val="auto"/>
                <w:lang w:val="en-US" w:eastAsia="zh-CN"/>
              </w:rPr>
              <w:t>（二）学校、医院、影剧院、体育场（馆）等公共设施；</w:t>
            </w:r>
            <w:r>
              <w:rPr>
                <w:rFonts w:hint="eastAsia"/>
                <w:color w:val="auto"/>
                <w:lang w:val="en-US" w:eastAsia="zh-CN"/>
              </w:rPr>
              <w:br w:type="textWrapping"/>
            </w:r>
            <w:r>
              <w:rPr>
                <w:rFonts w:hint="eastAsia"/>
                <w:color w:val="auto"/>
                <w:lang w:val="en-US" w:eastAsia="zh-CN"/>
              </w:rPr>
              <w:t>（三）饮用水源、水厂以及水源保护区；</w:t>
            </w:r>
            <w:r>
              <w:rPr>
                <w:rFonts w:hint="eastAsia"/>
                <w:color w:val="auto"/>
                <w:lang w:val="en-US" w:eastAsia="zh-CN"/>
              </w:rPr>
              <w:br w:type="textWrapping"/>
            </w:r>
            <w:r>
              <w:rPr>
                <w:rFonts w:hint="eastAsia"/>
                <w:color w:val="auto"/>
                <w:lang w:val="en-US" w:eastAsia="zh-CN"/>
              </w:rPr>
              <w:t>（四）车站、码头（依法经许可从事危险化学品装卸作业的除外）、机场以及通信干线、通信枢纽、铁路线路、道路交通干</w:t>
            </w:r>
            <w:r>
              <w:rPr>
                <w:rFonts w:hint="eastAsia"/>
                <w:color w:val="auto"/>
                <w:lang w:val="en-US" w:eastAsia="zh-CN"/>
              </w:rPr>
              <w:br w:type="textWrapping"/>
            </w:r>
            <w:r>
              <w:rPr>
                <w:rFonts w:hint="eastAsia"/>
                <w:color w:val="auto"/>
                <w:lang w:val="en-US" w:eastAsia="zh-CN"/>
              </w:rPr>
              <w:t>线、水路交通干线、地铁风亭以及地铁站出入口；</w:t>
            </w:r>
            <w:r>
              <w:rPr>
                <w:rFonts w:hint="eastAsia"/>
                <w:color w:val="auto"/>
                <w:lang w:val="en-US" w:eastAsia="zh-CN"/>
              </w:rPr>
              <w:br w:type="textWrapping"/>
            </w:r>
            <w:r>
              <w:rPr>
                <w:rFonts w:hint="eastAsia"/>
                <w:color w:val="auto"/>
                <w:lang w:val="en-US" w:eastAsia="zh-CN"/>
              </w:rPr>
              <w:t>（五）基本农田保护区、基本草原、畜禽</w:t>
            </w:r>
            <w:r>
              <w:rPr>
                <w:rFonts w:hint="eastAsia"/>
                <w:color w:val="auto"/>
                <w:lang w:val="en-US" w:eastAsia="zh-CN"/>
              </w:rPr>
              <w:br w:type="textWrapping"/>
            </w:r>
            <w:r>
              <w:rPr>
                <w:rFonts w:hint="eastAsia"/>
                <w:color w:val="auto"/>
                <w:lang w:val="en-US" w:eastAsia="zh-CN"/>
              </w:rPr>
              <w:t>遗传资源保护区、畜禽规模化养殖场（养</w:t>
            </w:r>
            <w:r>
              <w:rPr>
                <w:rFonts w:hint="eastAsia"/>
                <w:color w:val="auto"/>
                <w:lang w:val="en-US" w:eastAsia="zh-CN"/>
              </w:rPr>
              <w:br w:type="textWrapping"/>
            </w:r>
            <w:r>
              <w:rPr>
                <w:rFonts w:hint="eastAsia"/>
                <w:color w:val="auto"/>
                <w:lang w:val="en-US" w:eastAsia="zh-CN"/>
              </w:rPr>
              <w:t>殖小区）、渔业水域以及种子、种畜禽、</w:t>
            </w:r>
            <w:r>
              <w:rPr>
                <w:rFonts w:hint="eastAsia"/>
                <w:color w:val="auto"/>
                <w:lang w:val="en-US" w:eastAsia="zh-CN"/>
              </w:rPr>
              <w:br w:type="textWrapping"/>
            </w:r>
            <w:r>
              <w:rPr>
                <w:rFonts w:hint="eastAsia"/>
                <w:color w:val="auto"/>
                <w:lang w:val="en-US" w:eastAsia="zh-CN"/>
              </w:rPr>
              <w:t>水产苗种生产基地；</w:t>
            </w:r>
            <w:r>
              <w:rPr>
                <w:rFonts w:hint="eastAsia"/>
                <w:color w:val="auto"/>
                <w:lang w:val="en-US" w:eastAsia="zh-CN"/>
              </w:rPr>
              <w:br w:type="textWrapping"/>
            </w:r>
            <w:r>
              <w:rPr>
                <w:rFonts w:hint="eastAsia"/>
                <w:color w:val="auto"/>
                <w:lang w:val="en-US" w:eastAsia="zh-CN"/>
              </w:rPr>
              <w:t>（六）河流、湖泊、风景名胜区、自然保护区；</w:t>
            </w:r>
            <w:r>
              <w:rPr>
                <w:rFonts w:hint="eastAsia"/>
                <w:color w:val="auto"/>
                <w:lang w:val="en-US" w:eastAsia="zh-CN"/>
              </w:rPr>
              <w:br w:type="textWrapping"/>
            </w:r>
            <w:r>
              <w:rPr>
                <w:rFonts w:hint="eastAsia"/>
                <w:color w:val="auto"/>
                <w:lang w:val="en-US" w:eastAsia="zh-CN"/>
              </w:rPr>
              <w:t>（七）军事禁区、军事管理区；</w:t>
            </w:r>
            <w:r>
              <w:rPr>
                <w:rFonts w:hint="eastAsia"/>
                <w:color w:val="auto"/>
                <w:lang w:val="en-US" w:eastAsia="zh-CN"/>
              </w:rPr>
              <w:br w:type="textWrapping"/>
            </w:r>
            <w:r>
              <w:rPr>
                <w:rFonts w:hint="eastAsia"/>
                <w:color w:val="auto"/>
                <w:lang w:val="en-US" w:eastAsia="zh-CN"/>
              </w:rPr>
              <w:t>（八）法律、行政法规规定的其他场所、</w:t>
            </w:r>
            <w:r>
              <w:rPr>
                <w:rFonts w:hint="eastAsia"/>
                <w:color w:val="auto"/>
                <w:lang w:val="en-US" w:eastAsia="zh-CN"/>
              </w:rPr>
              <w:br w:type="textWrapping"/>
            </w:r>
            <w:r>
              <w:rPr>
                <w:rFonts w:hint="eastAsia"/>
                <w:color w:val="auto"/>
                <w:lang w:val="en-US" w:eastAsia="zh-CN"/>
              </w:rPr>
              <w:t>设施、区域。</w:t>
            </w:r>
          </w:p>
        </w:tc>
        <w:tc>
          <w:tcPr>
            <w:tcW w:w="7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《危险化学品安全管理条例》第十九条</w:t>
            </w:r>
          </w:p>
        </w:tc>
        <w:tc>
          <w:tcPr>
            <w:tcW w:w="25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外部安全防护距离内无八类场所。</w:t>
            </w:r>
          </w:p>
        </w:tc>
      </w:tr>
    </w:tbl>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2.评价小结</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评价组根据江西旺达新材料有限公司所提供的资料和现场检查情况，对</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该项目的选址及周边环境情况评价小结如下：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1）该项目已通过宜春市袁州区发展和改革委员会项目备案。该项目位于江西省宜春市袁州区医药工业园化工集中区内，宜春市袁州区医药工业园属于 2021 年 4 月江西省首批认定的化工园区。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2）该项目建于位于江西省宜春市袁州区医药工业园化工集中区内，厂址选择满足交通运输设施、能源和动力设施、环境保护工程及生活等配套建设用地的要求。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3）位于江西省宜春市袁州区医药工业园化工集中区内，有充足、可靠的水源和电源。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4）该项目选址无不良地质情况，周边无重要的供水水源卫生保护区、国家规定的风景区及森林和自然保护区历史文物古迹保护区等；工业园地下无具有开采价值的矿藏。</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5）对该单元进行了30项检查分析，均符合要求。</w:t>
      </w:r>
    </w:p>
    <w:p>
      <w:pPr>
        <w:pStyle w:val="3"/>
        <w:rPr>
          <w:rFonts w:hint="eastAsia"/>
          <w:color w:val="auto"/>
          <w:lang w:val="en-US" w:eastAsia="zh-CN"/>
        </w:rPr>
      </w:pPr>
      <w:bookmarkStart w:id="954" w:name="_Toc21583"/>
      <w:bookmarkStart w:id="955" w:name="_Toc1931"/>
      <w:bookmarkStart w:id="956" w:name="_Toc31728"/>
      <w:bookmarkStart w:id="957" w:name="_Toc26095"/>
      <w:bookmarkStart w:id="958" w:name="_Toc2885"/>
      <w:bookmarkStart w:id="959" w:name="_Toc17422"/>
      <w:r>
        <w:rPr>
          <w:rFonts w:hint="eastAsia"/>
          <w:color w:val="auto"/>
          <w:lang w:val="en-US" w:eastAsia="zh-CN"/>
        </w:rPr>
        <w:t>C.2 平面布置及建构筑物单元</w:t>
      </w:r>
      <w:bookmarkEnd w:id="954"/>
      <w:bookmarkEnd w:id="955"/>
      <w:bookmarkEnd w:id="956"/>
      <w:bookmarkEnd w:id="957"/>
      <w:bookmarkEnd w:id="958"/>
      <w:bookmarkEnd w:id="959"/>
    </w:p>
    <w:p>
      <w:pPr>
        <w:ind w:firstLine="560" w:firstLineChars="200"/>
        <w:rPr>
          <w:rFonts w:hint="default" w:hAnsi="宋体"/>
          <w:bCs/>
          <w:color w:val="auto"/>
          <w:sz w:val="28"/>
          <w:szCs w:val="28"/>
          <w:lang w:val="en-US"/>
        </w:rPr>
      </w:pPr>
      <w:r>
        <w:rPr>
          <w:rFonts w:hint="eastAsia" w:hAnsi="宋体"/>
          <w:color w:val="auto"/>
          <w:sz w:val="28"/>
          <w:szCs w:val="28"/>
          <w:lang w:val="en-US" w:eastAsia="zh-CN"/>
        </w:rPr>
        <w:t>该</w:t>
      </w:r>
      <w:r>
        <w:rPr>
          <w:rFonts w:hint="eastAsia" w:hAnsi="宋体"/>
          <w:color w:val="auto"/>
          <w:sz w:val="28"/>
          <w:szCs w:val="28"/>
        </w:rPr>
        <w:t>项目</w:t>
      </w:r>
      <w:r>
        <w:rPr>
          <w:rFonts w:hint="eastAsia" w:hAnsi="宋体"/>
          <w:color w:val="auto"/>
          <w:sz w:val="28"/>
          <w:szCs w:val="28"/>
          <w:lang w:val="en-US" w:eastAsia="zh-CN"/>
        </w:rPr>
        <w:t>占地28.1亩，呈梯形。厂区可分为办公区，生产区。生产区内各主、次道路形成环形回路。</w:t>
      </w:r>
    </w:p>
    <w:p>
      <w:pPr>
        <w:ind w:firstLine="600"/>
        <w:rPr>
          <w:rFonts w:hint="eastAsia" w:hAnsi="宋体"/>
          <w:bCs/>
          <w:color w:val="auto"/>
          <w:sz w:val="28"/>
          <w:szCs w:val="28"/>
          <w:lang w:val="en-US" w:eastAsia="zh-CN"/>
        </w:rPr>
      </w:pPr>
      <w:r>
        <w:rPr>
          <w:rFonts w:hint="eastAsia" w:hAnsi="宋体"/>
          <w:bCs/>
          <w:color w:val="auto"/>
          <w:sz w:val="28"/>
          <w:szCs w:val="28"/>
          <w:lang w:val="en-US" w:eastAsia="zh-CN"/>
        </w:rPr>
        <w:t>生产区：按功能可分为，生产仓储区块（南侧）；公用辅助区块（北侧）。</w:t>
      </w:r>
    </w:p>
    <w:p>
      <w:pPr>
        <w:ind w:firstLine="600"/>
        <w:rPr>
          <w:rFonts w:hint="eastAsia" w:hAnsi="宋体"/>
          <w:bCs/>
          <w:color w:val="auto"/>
          <w:sz w:val="28"/>
          <w:szCs w:val="28"/>
          <w:lang w:val="en-US" w:eastAsia="zh-CN"/>
        </w:rPr>
      </w:pPr>
      <w:r>
        <w:rPr>
          <w:rFonts w:hint="eastAsia" w:hAnsi="宋体"/>
          <w:bCs/>
          <w:color w:val="auto"/>
          <w:sz w:val="28"/>
          <w:szCs w:val="28"/>
          <w:lang w:val="en-US" w:eastAsia="zh-CN"/>
        </w:rPr>
        <w:t>①生产仓储区块：物流出入口设置在厂区东侧中部，与银岭路相接，正对物流入口的次要道路通向最西侧裂解车间，沿该道路北</w:t>
      </w:r>
      <w:r>
        <w:rPr>
          <w:rFonts w:hint="eastAsia" w:hAnsi="宋体"/>
          <w:bCs/>
          <w:color w:val="auto"/>
          <w:sz w:val="28"/>
          <w:szCs w:val="28"/>
        </w:rPr>
        <w:t>侧</w:t>
      </w:r>
      <w:r>
        <w:rPr>
          <w:rFonts w:hint="eastAsia" w:hAnsi="宋体"/>
          <w:bCs/>
          <w:color w:val="auto"/>
          <w:sz w:val="28"/>
          <w:szCs w:val="28"/>
          <w:lang w:val="en-US" w:eastAsia="zh-CN"/>
        </w:rPr>
        <w:t>由东到西为：丙类仓库二</w:t>
      </w:r>
      <w:r>
        <w:rPr>
          <w:rFonts w:hint="eastAsia" w:hAnsi="宋体"/>
          <w:bCs/>
          <w:color w:val="auto"/>
          <w:sz w:val="28"/>
          <w:szCs w:val="28"/>
          <w:lang w:eastAsia="zh-CN"/>
        </w:rPr>
        <w:t>；</w:t>
      </w:r>
      <w:r>
        <w:rPr>
          <w:rFonts w:hint="eastAsia" w:hAnsi="宋体"/>
          <w:bCs/>
          <w:color w:val="auto"/>
          <w:sz w:val="28"/>
          <w:szCs w:val="28"/>
          <w:lang w:val="en-US" w:eastAsia="zh-CN"/>
        </w:rPr>
        <w:t>甲类仓库、丙类仓库一（由南至北）。沿该道路南侧由东到西为罐区</w:t>
      </w:r>
      <w:r>
        <w:rPr>
          <w:rFonts w:hint="eastAsia" w:hAnsi="宋体"/>
          <w:bCs/>
          <w:color w:val="auto"/>
          <w:sz w:val="28"/>
          <w:szCs w:val="28"/>
        </w:rPr>
        <w:t>、</w:t>
      </w:r>
      <w:r>
        <w:rPr>
          <w:rFonts w:hint="eastAsia" w:hAnsi="宋体"/>
          <w:bCs/>
          <w:color w:val="auto"/>
          <w:sz w:val="28"/>
          <w:szCs w:val="28"/>
          <w:lang w:val="en-US" w:eastAsia="zh-CN"/>
        </w:rPr>
        <w:t>精馏车间。</w:t>
      </w:r>
    </w:p>
    <w:p>
      <w:pPr>
        <w:ind w:firstLine="600"/>
        <w:rPr>
          <w:rFonts w:hint="default" w:hAnsi="宋体"/>
          <w:bCs/>
          <w:color w:val="auto"/>
          <w:sz w:val="28"/>
          <w:szCs w:val="28"/>
          <w:lang w:val="en-US" w:eastAsia="zh-CN"/>
        </w:rPr>
      </w:pPr>
      <w:r>
        <w:rPr>
          <w:rFonts w:hint="eastAsia" w:hAnsi="宋体"/>
          <w:bCs/>
          <w:color w:val="auto"/>
          <w:sz w:val="28"/>
          <w:szCs w:val="28"/>
          <w:lang w:val="en-US" w:eastAsia="zh-CN"/>
        </w:rPr>
        <w:t>②公用辅助区块：</w:t>
      </w:r>
      <w:r>
        <w:rPr>
          <w:rFonts w:hint="eastAsia" w:hAnsi="宋体"/>
          <w:bCs/>
          <w:color w:val="auto"/>
          <w:sz w:val="28"/>
          <w:szCs w:val="28"/>
          <w:highlight w:val="none"/>
          <w:lang w:val="en-US" w:eastAsia="zh-CN"/>
        </w:rPr>
        <w:t>由西向东依次为：事故应急池；（由南向北）初期雨水池、污水处理池；（由南向北）消防泵房、2个消防水罐、TO炉（明火地点）；循环水池；公用工程间。</w:t>
      </w:r>
    </w:p>
    <w:p>
      <w:pPr>
        <w:pStyle w:val="36"/>
        <w:ind w:firstLine="560"/>
        <w:rPr>
          <w:rFonts w:hint="eastAsia" w:hAnsi="宋体"/>
          <w:bCs/>
          <w:color w:val="auto"/>
          <w:sz w:val="28"/>
          <w:szCs w:val="28"/>
          <w:lang w:val="en-US" w:eastAsia="zh-CN"/>
        </w:rPr>
      </w:pPr>
      <w:r>
        <w:rPr>
          <w:rFonts w:hint="eastAsia" w:hAnsi="宋体"/>
          <w:bCs/>
          <w:color w:val="auto"/>
          <w:sz w:val="28"/>
          <w:szCs w:val="28"/>
          <w:lang w:val="en-US" w:eastAsia="zh-CN"/>
        </w:rPr>
        <w:t>办公区：设实体围墙与生产区隔开。办公区东侧围墙设人流出入口，办公区东南侧设置门卫室；东北侧设置中心控制室；综合楼设置在办公区西侧。</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该公司厂内道路采用城市郊区型，生产装置区道路成环形布置，并与厂外公路相连。厂区内通道宽度4~6m，厂区主要道路的转弯半径不小于9m。</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路面为砼路面，能满足消防车辆错车、转弯等要求。该项目主要建筑设施之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间的距离见下表。</w:t>
      </w:r>
    </w:p>
    <w:p>
      <w:pPr>
        <w:pStyle w:val="53"/>
        <w:bidi w:val="0"/>
        <w:rPr>
          <w:rFonts w:hint="eastAsia"/>
          <w:color w:val="auto"/>
        </w:rPr>
      </w:pPr>
      <w:r>
        <w:rPr>
          <w:rFonts w:hint="eastAsia"/>
          <w:color w:val="auto"/>
        </w:rPr>
        <w:t>表</w:t>
      </w:r>
      <w:r>
        <w:rPr>
          <w:rFonts w:hint="eastAsia"/>
          <w:color w:val="auto"/>
          <w:lang w:val="en-US" w:eastAsia="zh-CN"/>
        </w:rPr>
        <w:t>C.2</w:t>
      </w:r>
      <w:r>
        <w:rPr>
          <w:rFonts w:hint="eastAsia"/>
          <w:color w:val="auto"/>
        </w:rPr>
        <w:t>-</w:t>
      </w:r>
      <w:r>
        <w:rPr>
          <w:rFonts w:hint="eastAsia"/>
          <w:color w:val="auto"/>
          <w:lang w:val="en-US" w:eastAsia="zh-CN"/>
        </w:rPr>
        <w:t>1</w:t>
      </w:r>
      <w:r>
        <w:rPr>
          <w:rFonts w:hint="eastAsia"/>
          <w:color w:val="auto"/>
        </w:rPr>
        <w:t>建（构）物防火距离</w:t>
      </w:r>
      <w:r>
        <w:rPr>
          <w:color w:val="auto"/>
        </w:rPr>
        <w:t>一览表</w:t>
      </w:r>
    </w:p>
    <w:tbl>
      <w:tblPr>
        <w:tblStyle w:val="42"/>
        <w:tblW w:w="4865"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54"/>
        <w:gridCol w:w="1644"/>
        <w:gridCol w:w="679"/>
        <w:gridCol w:w="1893"/>
        <w:gridCol w:w="1037"/>
        <w:gridCol w:w="866"/>
        <w:gridCol w:w="1799"/>
        <w:gridCol w:w="67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color w:val="auto"/>
                <w:highlight w:val="none"/>
              </w:rPr>
            </w:pPr>
            <w:r>
              <w:rPr>
                <w:color w:val="auto"/>
                <w:highlight w:val="none"/>
              </w:rPr>
              <w:t>序号</w:t>
            </w:r>
          </w:p>
        </w:tc>
        <w:tc>
          <w:tcPr>
            <w:tcW w:w="898" w:type="pct"/>
            <w:noWrap w:val="0"/>
            <w:vAlign w:val="center"/>
          </w:tcPr>
          <w:p>
            <w:pPr>
              <w:pStyle w:val="59"/>
              <w:jc w:val="center"/>
              <w:rPr>
                <w:color w:val="auto"/>
                <w:highlight w:val="none"/>
              </w:rPr>
            </w:pPr>
            <w:r>
              <w:rPr>
                <w:color w:val="auto"/>
                <w:highlight w:val="none"/>
              </w:rPr>
              <w:t>设施名称</w:t>
            </w:r>
          </w:p>
        </w:tc>
        <w:tc>
          <w:tcPr>
            <w:tcW w:w="371" w:type="pct"/>
            <w:noWrap w:val="0"/>
            <w:vAlign w:val="center"/>
          </w:tcPr>
          <w:p>
            <w:pPr>
              <w:pStyle w:val="59"/>
              <w:jc w:val="center"/>
              <w:rPr>
                <w:color w:val="auto"/>
                <w:highlight w:val="none"/>
              </w:rPr>
            </w:pPr>
            <w:r>
              <w:rPr>
                <w:rFonts w:hint="eastAsia"/>
                <w:color w:val="auto"/>
                <w:highlight w:val="none"/>
              </w:rPr>
              <w:t>方位</w:t>
            </w:r>
          </w:p>
        </w:tc>
        <w:tc>
          <w:tcPr>
            <w:tcW w:w="1034" w:type="pct"/>
            <w:noWrap w:val="0"/>
            <w:vAlign w:val="center"/>
          </w:tcPr>
          <w:p>
            <w:pPr>
              <w:pStyle w:val="59"/>
              <w:jc w:val="center"/>
              <w:rPr>
                <w:rFonts w:hint="eastAsia"/>
                <w:color w:val="auto"/>
                <w:highlight w:val="none"/>
                <w:lang w:eastAsia="zh-CN"/>
              </w:rPr>
            </w:pPr>
            <w:r>
              <w:rPr>
                <w:color w:val="auto"/>
                <w:highlight w:val="none"/>
              </w:rPr>
              <w:t>相邻</w:t>
            </w:r>
            <w:r>
              <w:rPr>
                <w:rFonts w:hint="eastAsia"/>
                <w:color w:val="auto"/>
                <w:highlight w:val="none"/>
                <w:lang w:val="en-US" w:eastAsia="zh-CN"/>
              </w:rPr>
              <w:t>建筑</w:t>
            </w:r>
          </w:p>
        </w:tc>
        <w:tc>
          <w:tcPr>
            <w:tcW w:w="566" w:type="pct"/>
            <w:noWrap w:val="0"/>
            <w:vAlign w:val="center"/>
          </w:tcPr>
          <w:p>
            <w:pPr>
              <w:pStyle w:val="59"/>
              <w:jc w:val="center"/>
              <w:rPr>
                <w:color w:val="auto"/>
                <w:highlight w:val="none"/>
              </w:rPr>
            </w:pPr>
            <w:r>
              <w:rPr>
                <w:rFonts w:hint="eastAsia"/>
                <w:color w:val="auto"/>
                <w:highlight w:val="none"/>
                <w:lang w:val="en-US" w:eastAsia="zh-CN"/>
              </w:rPr>
              <w:t>规范要求</w:t>
            </w:r>
            <w:r>
              <w:rPr>
                <w:rFonts w:hint="eastAsia"/>
                <w:color w:val="auto"/>
                <w:highlight w:val="none"/>
              </w:rPr>
              <w:t>（</w:t>
            </w:r>
            <w:r>
              <w:rPr>
                <w:color w:val="auto"/>
                <w:highlight w:val="none"/>
              </w:rPr>
              <w:t>m）</w:t>
            </w:r>
          </w:p>
        </w:tc>
        <w:tc>
          <w:tcPr>
            <w:tcW w:w="473" w:type="pct"/>
            <w:noWrap w:val="0"/>
            <w:vAlign w:val="center"/>
          </w:tcPr>
          <w:p>
            <w:pPr>
              <w:pStyle w:val="59"/>
              <w:jc w:val="center"/>
              <w:rPr>
                <w:color w:val="auto"/>
                <w:highlight w:val="none"/>
              </w:rPr>
            </w:pPr>
            <w:r>
              <w:rPr>
                <w:rFonts w:hint="eastAsia"/>
                <w:color w:val="auto"/>
                <w:highlight w:val="none"/>
              </w:rPr>
              <w:t>拟建</w:t>
            </w:r>
            <w:r>
              <w:rPr>
                <w:color w:val="auto"/>
                <w:highlight w:val="none"/>
              </w:rPr>
              <w:t>距离（m）</w:t>
            </w:r>
          </w:p>
        </w:tc>
        <w:tc>
          <w:tcPr>
            <w:tcW w:w="983" w:type="pct"/>
            <w:noWrap w:val="0"/>
            <w:vAlign w:val="center"/>
          </w:tcPr>
          <w:p>
            <w:pPr>
              <w:pStyle w:val="59"/>
              <w:jc w:val="center"/>
              <w:rPr>
                <w:color w:val="auto"/>
                <w:highlight w:val="none"/>
              </w:rPr>
            </w:pPr>
            <w:r>
              <w:rPr>
                <w:rFonts w:hint="eastAsia"/>
                <w:color w:val="auto"/>
                <w:highlight w:val="none"/>
              </w:rPr>
              <w:t>检查依据</w:t>
            </w:r>
          </w:p>
        </w:tc>
        <w:tc>
          <w:tcPr>
            <w:tcW w:w="369" w:type="pct"/>
            <w:noWrap w:val="0"/>
            <w:vAlign w:val="center"/>
          </w:tcPr>
          <w:p>
            <w:pPr>
              <w:pStyle w:val="59"/>
              <w:jc w:val="center"/>
              <w:rPr>
                <w:color w:val="auto"/>
                <w:highlight w:val="none"/>
              </w:rPr>
            </w:pPr>
            <w:r>
              <w:rPr>
                <w:color w:val="auto"/>
                <w:highlight w:val="none"/>
              </w:rPr>
              <w:t>检查结论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rPr>
              <w:t>裂解车间（甲）</w:t>
            </w:r>
          </w:p>
        </w:tc>
        <w:tc>
          <w:tcPr>
            <w:tcW w:w="371" w:type="pct"/>
            <w:vMerge w:val="restart"/>
            <w:noWrap w:val="0"/>
            <w:vAlign w:val="center"/>
          </w:tcPr>
          <w:p>
            <w:pPr>
              <w:pStyle w:val="59"/>
              <w:jc w:val="center"/>
              <w:rPr>
                <w:rFonts w:hint="eastAsia"/>
                <w:color w:val="auto"/>
                <w:highlight w:val="none"/>
              </w:rPr>
            </w:pPr>
            <w:r>
              <w:rPr>
                <w:rFonts w:hint="eastAsia"/>
                <w:color w:val="auto"/>
                <w:highlight w:val="none"/>
              </w:rPr>
              <w:t>东</w:t>
            </w:r>
          </w:p>
        </w:tc>
        <w:tc>
          <w:tcPr>
            <w:tcW w:w="1034"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精馏车间（甲）</w:t>
            </w:r>
          </w:p>
        </w:tc>
        <w:tc>
          <w:tcPr>
            <w:tcW w:w="566" w:type="pct"/>
            <w:noWrap w:val="0"/>
            <w:vAlign w:val="center"/>
          </w:tcPr>
          <w:p>
            <w:pPr>
              <w:pStyle w:val="59"/>
              <w:jc w:val="center"/>
              <w:rPr>
                <w:rFonts w:hint="eastAsia" w:eastAsia="宋体"/>
                <w:color w:val="auto"/>
                <w:highlight w:val="none"/>
                <w:lang w:eastAsia="zh-CN"/>
              </w:rPr>
            </w:pPr>
            <w:r>
              <w:rPr>
                <w:rFonts w:hint="eastAsia"/>
                <w:color w:val="auto"/>
                <w:highlight w:val="none"/>
              </w:rPr>
              <w:t>1</w:t>
            </w: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2</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rPr>
            </w:pPr>
            <w:r>
              <w:rPr>
                <w:rFonts w:hint="eastAsia"/>
                <w:color w:val="auto"/>
                <w:highlight w:val="none"/>
                <w:lang w:val="en-US" w:eastAsia="zh-CN"/>
              </w:rPr>
              <w:t>甲类仓库</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566" w:type="pct"/>
            <w:noWrap w:val="0"/>
            <w:vAlign w:val="center"/>
          </w:tcPr>
          <w:p>
            <w:pPr>
              <w:pStyle w:val="59"/>
              <w:jc w:val="center"/>
              <w:rPr>
                <w:rFonts w:hint="eastAsia"/>
                <w:color w:val="auto"/>
                <w:highlight w:val="none"/>
                <w:lang w:eastAsia="zh-CN"/>
              </w:rPr>
            </w:pPr>
            <w:r>
              <w:rPr>
                <w:rFonts w:hint="eastAsia"/>
                <w:color w:val="auto"/>
                <w:highlight w:val="none"/>
              </w:rPr>
              <w:t>1</w:t>
            </w: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3</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丙类仓库</w:t>
            </w:r>
            <w:r>
              <w:rPr>
                <w:rFonts w:hint="eastAsia"/>
                <w:color w:val="auto"/>
                <w:highlight w:val="none"/>
                <w:lang w:val="en-US" w:eastAsia="zh-CN"/>
              </w:rPr>
              <w:t>一</w:t>
            </w:r>
            <w:r>
              <w:rPr>
                <w:rFonts w:hint="eastAsia"/>
                <w:color w:val="auto"/>
                <w:highlight w:val="none"/>
              </w:rPr>
              <w:t>（丙）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rPr>
              <w:t>1</w:t>
            </w:r>
            <w:r>
              <w:rPr>
                <w:rFonts w:hint="eastAsia"/>
                <w:color w:val="auto"/>
                <w:highlight w:val="none"/>
                <w:lang w:val="en-US" w:eastAsia="zh-CN"/>
              </w:rPr>
              <w:t>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GB50016-201</w:t>
            </w:r>
            <w:r>
              <w:rPr>
                <w:rFonts w:hint="eastAsia"/>
                <w:color w:val="auto"/>
                <w:highlight w:val="none"/>
                <w:lang w:val="en-US" w:eastAsia="zh-CN"/>
              </w:rPr>
              <w:t>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表3.4.1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eastAsia"/>
                <w:color w:val="auto"/>
                <w:highlight w:val="none"/>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2" w:hRule="atLeast"/>
          <w:tblHeader/>
          <w:jc w:val="center"/>
        </w:trPr>
        <w:tc>
          <w:tcPr>
            <w:tcW w:w="302" w:type="pct"/>
            <w:noWrap w:val="0"/>
            <w:vAlign w:val="center"/>
          </w:tcPr>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5</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lang w:eastAsia="zh-CN"/>
              </w:rPr>
            </w:pPr>
            <w:r>
              <w:rPr>
                <w:rFonts w:hint="eastAsia"/>
                <w:color w:val="auto"/>
                <w:highlight w:val="none"/>
              </w:rPr>
              <w:t>东</w:t>
            </w:r>
            <w:r>
              <w:rPr>
                <w:rFonts w:hint="eastAsia"/>
                <w:color w:val="auto"/>
                <w:highlight w:val="none"/>
                <w:lang w:eastAsia="zh-CN"/>
              </w:rPr>
              <w:t>北</w:t>
            </w:r>
          </w:p>
        </w:tc>
        <w:tc>
          <w:tcPr>
            <w:tcW w:w="1034" w:type="pct"/>
            <w:noWrap w:val="0"/>
            <w:vAlign w:val="center"/>
          </w:tcPr>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事故应急池</w:t>
            </w:r>
          </w:p>
        </w:tc>
        <w:tc>
          <w:tcPr>
            <w:tcW w:w="566"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15</w:t>
            </w:r>
          </w:p>
        </w:tc>
        <w:tc>
          <w:tcPr>
            <w:tcW w:w="473"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15.4</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表4.2.9</w:t>
            </w:r>
          </w:p>
        </w:tc>
        <w:tc>
          <w:tcPr>
            <w:tcW w:w="369" w:type="pct"/>
            <w:noWrap w:val="0"/>
            <w:vAlign w:val="center"/>
          </w:tcPr>
          <w:p>
            <w:pPr>
              <w:pStyle w:val="59"/>
              <w:rPr>
                <w:rFonts w:hint="default" w:ascii="Arial" w:hAnsi="Arial" w:eastAsia="宋体" w:cs="Times New Roman"/>
                <w:color w:val="auto"/>
                <w:kern w:val="2"/>
                <w:sz w:val="21"/>
                <w:szCs w:val="24"/>
                <w:highlight w:val="none"/>
                <w:lang w:val="en-US" w:eastAsia="zh-CN" w:bidi="ar-SA"/>
              </w:rPr>
            </w:pPr>
            <w:r>
              <w:rPr>
                <w:rFonts w:hint="eastAsia"/>
                <w:color w:val="auto"/>
                <w:highlight w:val="none"/>
                <w:lang w:val="en-US" w:eastAsia="zh-CN"/>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6</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7</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7.6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8</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9</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lang w:val="en-US" w:eastAsia="zh-CN"/>
              </w:rPr>
              <w:t>精馏车间</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371"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甲类仓库（甲）</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10</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丙类仓库一</w:t>
            </w:r>
            <w:r>
              <w:rPr>
                <w:rFonts w:hint="eastAsia"/>
                <w:color w:val="auto"/>
                <w:highlight w:val="none"/>
              </w:rPr>
              <w:t>（</w:t>
            </w:r>
            <w:r>
              <w:rPr>
                <w:rFonts w:hint="eastAsia"/>
                <w:color w:val="auto"/>
                <w:highlight w:val="none"/>
                <w:lang w:val="en-US" w:eastAsia="zh-CN"/>
              </w:rPr>
              <w:t>丙</w:t>
            </w:r>
            <w:r>
              <w:rPr>
                <w:rFonts w:hint="eastAsia"/>
                <w:color w:val="auto"/>
                <w:highlight w:val="none"/>
              </w:rPr>
              <w:t>）</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38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GB50016-201</w:t>
            </w:r>
            <w:r>
              <w:rPr>
                <w:rFonts w:hint="eastAsia"/>
                <w:color w:val="auto"/>
                <w:highlight w:val="none"/>
                <w:lang w:val="en-US" w:eastAsia="zh-CN"/>
              </w:rPr>
              <w:t>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表3.4.1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11</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69"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12</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12</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31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表3.5.1</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13</w:t>
            </w:r>
          </w:p>
        </w:tc>
        <w:tc>
          <w:tcPr>
            <w:tcW w:w="898" w:type="pct"/>
            <w:vMerge w:val="continue"/>
            <w:noWrap w:val="0"/>
            <w:vAlign w:val="center"/>
          </w:tcPr>
          <w:p>
            <w:pPr>
              <w:pStyle w:val="59"/>
              <w:jc w:val="center"/>
              <w:rPr>
                <w:rFonts w:hint="eastAsia"/>
                <w:color w:val="auto"/>
                <w:highlight w:val="none"/>
              </w:rPr>
            </w:pPr>
          </w:p>
        </w:tc>
        <w:tc>
          <w:tcPr>
            <w:tcW w:w="371"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eastAsia"/>
                <w:color w:val="auto"/>
                <w:highlight w:val="none"/>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41</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14</w:t>
            </w:r>
          </w:p>
        </w:tc>
        <w:tc>
          <w:tcPr>
            <w:tcW w:w="898" w:type="pct"/>
            <w:vMerge w:val="continue"/>
            <w:noWrap w:val="0"/>
            <w:vAlign w:val="center"/>
          </w:tcPr>
          <w:p>
            <w:pPr>
              <w:pStyle w:val="59"/>
              <w:jc w:val="center"/>
              <w:rPr>
                <w:rFonts w:hint="eastAsia"/>
                <w:color w:val="auto"/>
                <w:highlight w:val="none"/>
              </w:rPr>
            </w:pPr>
          </w:p>
        </w:tc>
        <w:tc>
          <w:tcPr>
            <w:tcW w:w="371" w:type="pct"/>
            <w:vMerge w:val="continue"/>
            <w:noWrap w:val="0"/>
            <w:vAlign w:val="center"/>
          </w:tcPr>
          <w:p>
            <w:pPr>
              <w:pStyle w:val="59"/>
              <w:jc w:val="center"/>
              <w:rPr>
                <w:rFonts w:hint="default"/>
                <w:color w:val="auto"/>
                <w:highlight w:val="none"/>
                <w:lang w:val="en-US" w:eastAsia="zh-CN"/>
              </w:rPr>
            </w:pP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主要道路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15</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8</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16</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17</w:t>
            </w:r>
          </w:p>
        </w:tc>
        <w:tc>
          <w:tcPr>
            <w:tcW w:w="898" w:type="pct"/>
            <w:vMerge w:val="restart"/>
            <w:noWrap w:val="0"/>
            <w:vAlign w:val="center"/>
          </w:tcPr>
          <w:p>
            <w:pPr>
              <w:pStyle w:val="59"/>
              <w:jc w:val="center"/>
              <w:rPr>
                <w:rFonts w:hint="eastAsia"/>
                <w:color w:val="auto"/>
                <w:highlight w:val="none"/>
              </w:rPr>
            </w:pPr>
            <w:r>
              <w:rPr>
                <w:rFonts w:hint="eastAsia"/>
                <w:color w:val="auto"/>
                <w:highlight w:val="none"/>
                <w:lang w:val="en-US" w:eastAsia="zh-CN"/>
              </w:rPr>
              <w:t>甲类仓库</w:t>
            </w:r>
            <w:r>
              <w:rPr>
                <w:rFonts w:hint="eastAsia"/>
                <w:color w:val="auto"/>
                <w:highlight w:val="none"/>
              </w:rPr>
              <w:t>（</w:t>
            </w:r>
            <w:r>
              <w:rPr>
                <w:rFonts w:hint="eastAsia"/>
                <w:color w:val="auto"/>
                <w:highlight w:val="none"/>
                <w:lang w:val="en-US" w:eastAsia="zh-CN"/>
              </w:rPr>
              <w:t>甲</w:t>
            </w:r>
            <w:r>
              <w:rPr>
                <w:rFonts w:hint="eastAsia"/>
                <w:color w:val="auto"/>
                <w:highlight w:val="none"/>
              </w:rPr>
              <w:t>）</w:t>
            </w:r>
          </w:p>
        </w:tc>
        <w:tc>
          <w:tcPr>
            <w:tcW w:w="371"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东南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default"/>
                <w:color w:val="auto"/>
                <w:highlight w:val="none"/>
                <w:lang w:val="en-US" w:eastAsia="zh-CN"/>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40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rPr>
            </w:pPr>
            <w:r>
              <w:rPr>
                <w:rFonts w:hint="eastAsia"/>
                <w:color w:val="auto"/>
                <w:highlight w:val="none"/>
                <w:lang w:val="en-US" w:eastAsia="zh-CN"/>
              </w:rPr>
              <w:t>表4.2.9</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18</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丙类仓库一（丙）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表3.5.1</w:t>
            </w:r>
          </w:p>
        </w:tc>
        <w:tc>
          <w:tcPr>
            <w:tcW w:w="369" w:type="pct"/>
            <w:noWrap w:val="0"/>
            <w:vAlign w:val="center"/>
          </w:tcPr>
          <w:p>
            <w:pPr>
              <w:pStyle w:val="59"/>
              <w:rPr>
                <w:rFonts w:hint="eastAsia"/>
                <w:color w:val="auto"/>
                <w:highlight w:val="none"/>
                <w:lang w:val="en-US" w:eastAsia="zh-CN"/>
              </w:rPr>
            </w:pPr>
            <w:r>
              <w:rPr>
                <w:rFonts w:hint="eastAsia"/>
                <w:color w:val="auto"/>
                <w:highlight w:val="none"/>
                <w:lang w:val="en-US" w:eastAsia="zh-CN"/>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19</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23</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r>
              <w:rPr>
                <w:rFonts w:hint="eastAsia"/>
                <w:color w:val="auto"/>
                <w:highlight w:val="none"/>
                <w:lang w:val="en-US" w:eastAsia="zh-CN"/>
              </w:rPr>
              <w:t>表3.4.1</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20</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21</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rPr>
            </w:pPr>
            <w:r>
              <w:rPr>
                <w:rFonts w:hint="eastAsia"/>
                <w:color w:val="auto"/>
                <w:highlight w:val="none"/>
              </w:rPr>
              <w:t>西</w:t>
            </w:r>
          </w:p>
        </w:tc>
        <w:tc>
          <w:tcPr>
            <w:tcW w:w="1034" w:type="pct"/>
            <w:noWrap w:val="0"/>
            <w:vAlign w:val="center"/>
          </w:tcPr>
          <w:p>
            <w:pPr>
              <w:pStyle w:val="59"/>
              <w:jc w:val="center"/>
              <w:rPr>
                <w:rFonts w:hint="eastAsia"/>
                <w:color w:val="auto"/>
                <w:highlight w:val="none"/>
              </w:rPr>
            </w:pPr>
            <w:r>
              <w:rPr>
                <w:rFonts w:hint="eastAsia"/>
                <w:color w:val="auto"/>
                <w:highlight w:val="none"/>
              </w:rPr>
              <w:t>厂区次要道路</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22</w:t>
            </w:r>
          </w:p>
        </w:tc>
        <w:tc>
          <w:tcPr>
            <w:tcW w:w="898" w:type="pct"/>
            <w:vMerge w:val="continue"/>
            <w:noWrap w:val="0"/>
            <w:vAlign w:val="center"/>
          </w:tcPr>
          <w:p>
            <w:pPr>
              <w:pStyle w:val="59"/>
              <w:jc w:val="center"/>
              <w:rPr>
                <w:rFonts w:hint="eastAsia"/>
                <w:color w:val="auto"/>
                <w:highlight w:val="none"/>
              </w:rPr>
            </w:pPr>
          </w:p>
        </w:tc>
        <w:tc>
          <w:tcPr>
            <w:tcW w:w="371" w:type="pct"/>
            <w:noWrap w:val="0"/>
            <w:vAlign w:val="center"/>
          </w:tcPr>
          <w:p>
            <w:pPr>
              <w:pStyle w:val="59"/>
              <w:jc w:val="center"/>
              <w:rPr>
                <w:rFonts w:hint="eastAsia"/>
                <w:color w:val="auto"/>
                <w:highlight w:val="none"/>
              </w:rPr>
            </w:pPr>
            <w:r>
              <w:rPr>
                <w:rFonts w:hint="eastAsia"/>
                <w:color w:val="auto"/>
                <w:highlight w:val="none"/>
              </w:rPr>
              <w:t>南</w:t>
            </w:r>
          </w:p>
        </w:tc>
        <w:tc>
          <w:tcPr>
            <w:tcW w:w="1034" w:type="pct"/>
            <w:noWrap w:val="0"/>
            <w:vAlign w:val="center"/>
          </w:tcPr>
          <w:p>
            <w:pPr>
              <w:pStyle w:val="59"/>
              <w:jc w:val="center"/>
              <w:rPr>
                <w:rFonts w:hint="eastAsia"/>
                <w:color w:val="auto"/>
                <w:highlight w:val="none"/>
              </w:rPr>
            </w:pPr>
            <w:r>
              <w:rPr>
                <w:rFonts w:hint="eastAsia"/>
                <w:color w:val="auto"/>
                <w:highlight w:val="none"/>
              </w:rPr>
              <w:t>厂区次要道路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5</w:t>
            </w:r>
          </w:p>
        </w:tc>
        <w:tc>
          <w:tcPr>
            <w:tcW w:w="473" w:type="pct"/>
            <w:noWrap w:val="0"/>
            <w:vAlign w:val="center"/>
          </w:tcPr>
          <w:p>
            <w:pPr>
              <w:pStyle w:val="59"/>
              <w:jc w:val="center"/>
              <w:rPr>
                <w:rFonts w:hint="eastAsia"/>
                <w:color w:val="auto"/>
                <w:highlight w:val="none"/>
              </w:rPr>
            </w:pPr>
            <w:r>
              <w:rPr>
                <w:rFonts w:hint="eastAsia"/>
                <w:color w:val="auto"/>
                <w:highlight w:val="none"/>
                <w:lang w:val="en-US" w:eastAsia="zh-CN"/>
              </w:rPr>
              <w:t>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表4.3.2</w:t>
            </w:r>
          </w:p>
        </w:tc>
        <w:tc>
          <w:tcPr>
            <w:tcW w:w="369" w:type="pct"/>
            <w:noWrap w:val="0"/>
            <w:vAlign w:val="center"/>
          </w:tcPr>
          <w:p>
            <w:pPr>
              <w:pStyle w:val="59"/>
              <w:rPr>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23</w:t>
            </w:r>
          </w:p>
        </w:tc>
        <w:tc>
          <w:tcPr>
            <w:tcW w:w="898"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罐区（甲）</w:t>
            </w:r>
          </w:p>
          <w:p>
            <w:pPr>
              <w:pStyle w:val="59"/>
              <w:jc w:val="center"/>
              <w:rPr>
                <w:rFonts w:hint="default"/>
                <w:color w:val="auto"/>
                <w:highlight w:val="none"/>
                <w:lang w:val="en-US" w:eastAsia="zh-CN"/>
              </w:rPr>
            </w:pPr>
            <w:r>
              <w:rPr>
                <w:rFonts w:hint="eastAsia"/>
                <w:color w:val="auto"/>
                <w:highlight w:val="none"/>
                <w:lang w:val="en-US" w:eastAsia="zh-CN"/>
              </w:rPr>
              <w:t>V</w:t>
            </w:r>
            <w:r>
              <w:rPr>
                <w:rFonts w:hint="eastAsia"/>
                <w:color w:val="auto"/>
                <w:highlight w:val="none"/>
                <w:vertAlign w:val="subscript"/>
                <w:lang w:val="en-US" w:eastAsia="zh-CN"/>
              </w:rPr>
              <w:t>单罐</w:t>
            </w:r>
            <w:r>
              <w:rPr>
                <w:rFonts w:hint="eastAsia"/>
                <w:color w:val="auto"/>
                <w:highlight w:val="none"/>
                <w:lang w:val="en-US" w:eastAsia="zh-CN"/>
              </w:rPr>
              <w:t>=80m</w:t>
            </w:r>
            <w:r>
              <w:rPr>
                <w:rFonts w:hint="eastAsia"/>
                <w:color w:val="auto"/>
                <w:highlight w:val="none"/>
                <w:vertAlign w:val="superscript"/>
                <w:lang w:val="en-US" w:eastAsia="zh-CN"/>
              </w:rPr>
              <w:t>3</w:t>
            </w:r>
          </w:p>
        </w:tc>
        <w:tc>
          <w:tcPr>
            <w:tcW w:w="371"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24</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25</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26</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主</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15.7</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27</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rPr>
              <w:t>厂区</w:t>
            </w:r>
            <w:r>
              <w:rPr>
                <w:rFonts w:hint="eastAsia"/>
                <w:color w:val="auto"/>
                <w:highlight w:val="none"/>
                <w:lang w:val="en-US" w:eastAsia="zh-CN"/>
              </w:rPr>
              <w:t>次</w:t>
            </w:r>
            <w:r>
              <w:rPr>
                <w:rFonts w:hint="eastAsia"/>
                <w:color w:val="auto"/>
                <w:highlight w:val="none"/>
              </w:rPr>
              <w:t>要道路</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rPr>
            </w:pPr>
            <w:r>
              <w:rPr>
                <w:rFonts w:hint="eastAsia"/>
                <w:color w:val="auto"/>
                <w:highlight w:val="none"/>
                <w:lang w:val="en-US" w:eastAsia="zh-CN"/>
              </w:rPr>
              <w:t>续表4.3.2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28</w:t>
            </w:r>
          </w:p>
        </w:tc>
        <w:tc>
          <w:tcPr>
            <w:tcW w:w="898"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TO炉</w:t>
            </w: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污水处理池</w:t>
            </w:r>
          </w:p>
          <w:p>
            <w:pPr>
              <w:pStyle w:val="59"/>
              <w:jc w:val="center"/>
              <w:rPr>
                <w:rFonts w:hint="default" w:eastAsia="宋体"/>
                <w:color w:val="auto"/>
                <w:highlight w:val="none"/>
                <w:lang w:val="en-US" w:eastAsia="zh-CN"/>
              </w:rPr>
            </w:pPr>
            <w:r>
              <w:rPr>
                <w:rFonts w:hint="eastAsia"/>
                <w:color w:val="auto"/>
                <w:highlight w:val="none"/>
                <w:lang w:val="en-US" w:eastAsia="zh-CN"/>
              </w:rPr>
              <w:t>（隔油池）</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24.2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eastAsia"/>
                <w:color w:val="auto"/>
                <w:highlight w:val="none"/>
                <w:lang w:val="en-US" w:eastAsia="zh-CN"/>
              </w:rPr>
            </w:pPr>
            <w:r>
              <w:rPr>
                <w:rFonts w:hint="eastAsia"/>
                <w:color w:val="auto"/>
                <w:highlight w:val="none"/>
                <w:lang w:val="en-US" w:eastAsia="zh-CN"/>
              </w:rPr>
              <w:t>表4.2.9</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29</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事故应急池</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25.2</w:t>
            </w:r>
          </w:p>
        </w:tc>
        <w:tc>
          <w:tcPr>
            <w:tcW w:w="983" w:type="pct"/>
            <w:noWrap w:val="0"/>
            <w:vAlign w:val="center"/>
          </w:tcPr>
          <w:p>
            <w:pPr>
              <w:pStyle w:val="59"/>
              <w:jc w:val="center"/>
              <w:rPr>
                <w:rFonts w:hint="eastAsia"/>
                <w:color w:val="auto"/>
                <w:highlight w:val="none"/>
                <w:lang w:val="en-US" w:eastAsia="zh-CN"/>
              </w:rPr>
            </w:pPr>
            <w:r>
              <w:rPr>
                <w:rFonts w:hint="eastAsia"/>
                <w:color w:val="auto"/>
                <w:highlight w:val="none"/>
              </w:rPr>
              <w:t>GB5</w:t>
            </w:r>
            <w:r>
              <w:rPr>
                <w:rFonts w:hint="eastAsia"/>
                <w:color w:val="auto"/>
                <w:highlight w:val="none"/>
                <w:lang w:val="en-US" w:eastAsia="zh-CN"/>
              </w:rPr>
              <w:t>1283</w:t>
            </w:r>
            <w:r>
              <w:rPr>
                <w:rFonts w:hint="eastAsia"/>
                <w:color w:val="auto"/>
                <w:highlight w:val="none"/>
              </w:rPr>
              <w:t>-20</w:t>
            </w:r>
            <w:r>
              <w:rPr>
                <w:rFonts w:hint="eastAsia"/>
                <w:color w:val="auto"/>
                <w:highlight w:val="none"/>
                <w:lang w:val="en-US" w:eastAsia="zh-CN"/>
              </w:rPr>
              <w:t>20</w:t>
            </w:r>
          </w:p>
          <w:p>
            <w:pPr>
              <w:pStyle w:val="59"/>
              <w:jc w:val="center"/>
              <w:rPr>
                <w:rFonts w:hint="default"/>
                <w:color w:val="auto"/>
                <w:highlight w:val="none"/>
                <w:lang w:val="en-US" w:eastAsia="zh-CN"/>
              </w:rPr>
            </w:pPr>
            <w:r>
              <w:rPr>
                <w:rFonts w:hint="eastAsia"/>
                <w:color w:val="auto"/>
                <w:highlight w:val="none"/>
                <w:lang w:val="en-US" w:eastAsia="zh-CN"/>
              </w:rPr>
              <w:t>第4.2.6条</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30</w:t>
            </w:r>
          </w:p>
        </w:tc>
        <w:tc>
          <w:tcPr>
            <w:tcW w:w="898" w:type="pct"/>
            <w:vMerge w:val="restar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丙类仓库一（丙）</w:t>
            </w: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消防泵房（丙）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15.1</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31</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公用工程间（丙）</w:t>
            </w:r>
          </w:p>
        </w:tc>
        <w:tc>
          <w:tcPr>
            <w:tcW w:w="566"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25.5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32</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丙类仓库二（丙）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lang w:val="en-US" w:eastAsia="zh-CN"/>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lang w:val="en-US" w:eastAsia="zh-CN"/>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33</w:t>
            </w:r>
          </w:p>
        </w:tc>
        <w:tc>
          <w:tcPr>
            <w:tcW w:w="898"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丙类仓库二（丙）</w:t>
            </w:r>
          </w:p>
        </w:tc>
        <w:tc>
          <w:tcPr>
            <w:tcW w:w="371" w:type="pct"/>
            <w:vMerge w:val="restar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综合楼（民建）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19.5</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34</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vMerge w:val="continue"/>
            <w:noWrap w:val="0"/>
            <w:vAlign w:val="center"/>
          </w:tcPr>
          <w:p>
            <w:pPr>
              <w:pStyle w:val="59"/>
              <w:jc w:val="center"/>
              <w:rPr>
                <w:rFonts w:hint="eastAsia"/>
                <w:color w:val="auto"/>
                <w:highlight w:val="none"/>
                <w:lang w:val="en-US" w:eastAsia="zh-CN"/>
              </w:rPr>
            </w:pP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公用工程间（丙）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16</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35</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消防泵房（丙）</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19.7</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ascii="Arial" w:hAnsi="Arial"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36</w:t>
            </w:r>
          </w:p>
        </w:tc>
        <w:tc>
          <w:tcPr>
            <w:tcW w:w="898" w:type="pct"/>
            <w:vMerge w:val="continue"/>
            <w:noWrap w:val="0"/>
            <w:vAlign w:val="center"/>
          </w:tcPr>
          <w:p>
            <w:pPr>
              <w:pStyle w:val="59"/>
              <w:jc w:val="center"/>
              <w:rPr>
                <w:rFonts w:hint="eastAsia"/>
                <w:color w:val="auto"/>
                <w:highlight w:val="none"/>
                <w:lang w:val="en-US" w:eastAsia="zh-CN"/>
              </w:rPr>
            </w:pP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东北</w:t>
            </w:r>
          </w:p>
        </w:tc>
        <w:tc>
          <w:tcPr>
            <w:tcW w:w="1034"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门卫室（民建）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14.8</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302"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37</w:t>
            </w:r>
          </w:p>
        </w:tc>
        <w:tc>
          <w:tcPr>
            <w:tcW w:w="898"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中心控制室（丁）</w:t>
            </w:r>
          </w:p>
        </w:tc>
        <w:tc>
          <w:tcPr>
            <w:tcW w:w="371"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西南</w:t>
            </w:r>
          </w:p>
        </w:tc>
        <w:tc>
          <w:tcPr>
            <w:tcW w:w="1034" w:type="pct"/>
            <w:noWrap w:val="0"/>
            <w:vAlign w:val="center"/>
          </w:tcPr>
          <w:p>
            <w:pPr>
              <w:pStyle w:val="59"/>
              <w:jc w:val="center"/>
              <w:rPr>
                <w:rFonts w:hint="eastAsia"/>
                <w:color w:val="auto"/>
                <w:highlight w:val="none"/>
                <w:lang w:val="en-US" w:eastAsia="zh-CN"/>
              </w:rPr>
            </w:pPr>
            <w:r>
              <w:rPr>
                <w:rFonts w:hint="eastAsia"/>
                <w:color w:val="auto"/>
                <w:highlight w:val="none"/>
                <w:lang w:val="en-US" w:eastAsia="zh-CN"/>
              </w:rPr>
              <w:t>综合楼（民建）</w:t>
            </w:r>
          </w:p>
        </w:tc>
        <w:tc>
          <w:tcPr>
            <w:tcW w:w="566"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w:t>
            </w:r>
          </w:p>
        </w:tc>
        <w:tc>
          <w:tcPr>
            <w:tcW w:w="473" w:type="pct"/>
            <w:noWrap w:val="0"/>
            <w:vAlign w:val="center"/>
          </w:tcPr>
          <w:p>
            <w:pPr>
              <w:pStyle w:val="59"/>
              <w:jc w:val="center"/>
              <w:rPr>
                <w:rFonts w:hint="default"/>
                <w:color w:val="auto"/>
                <w:highlight w:val="none"/>
                <w:lang w:val="en-US" w:eastAsia="zh-CN"/>
              </w:rPr>
            </w:pPr>
            <w:r>
              <w:rPr>
                <w:rFonts w:hint="eastAsia"/>
                <w:color w:val="auto"/>
                <w:highlight w:val="none"/>
                <w:lang w:val="en-US" w:eastAsia="zh-CN"/>
              </w:rPr>
              <w:t>10.4</w:t>
            </w:r>
          </w:p>
        </w:tc>
        <w:tc>
          <w:tcPr>
            <w:tcW w:w="983" w:type="pct"/>
            <w:noWrap w:val="0"/>
            <w:vAlign w:val="center"/>
          </w:tcPr>
          <w:p>
            <w:pPr>
              <w:pStyle w:val="59"/>
              <w:jc w:val="center"/>
              <w:rPr>
                <w:rFonts w:hint="eastAsia"/>
                <w:color w:val="auto"/>
                <w:highlight w:val="none"/>
              </w:rPr>
            </w:pPr>
            <w:r>
              <w:rPr>
                <w:rFonts w:hint="eastAsia"/>
                <w:color w:val="auto"/>
                <w:highlight w:val="none"/>
              </w:rPr>
              <w:t>GB50016-2014</w:t>
            </w:r>
          </w:p>
          <w:p>
            <w:pPr>
              <w:pStyle w:val="59"/>
              <w:jc w:val="center"/>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2018年版</w:t>
            </w:r>
            <w:r>
              <w:rPr>
                <w:rFonts w:hint="eastAsia"/>
                <w:color w:val="auto"/>
                <w:highlight w:val="none"/>
                <w:lang w:eastAsia="zh-CN"/>
              </w:rPr>
              <w:t>）</w:t>
            </w:r>
          </w:p>
          <w:p>
            <w:pPr>
              <w:pStyle w:val="59"/>
              <w:jc w:val="center"/>
              <w:rPr>
                <w:rFonts w:hint="eastAsia"/>
                <w:color w:val="auto"/>
                <w:highlight w:val="none"/>
              </w:rPr>
            </w:pPr>
            <w:r>
              <w:rPr>
                <w:rFonts w:hint="eastAsia"/>
                <w:color w:val="auto"/>
                <w:highlight w:val="none"/>
                <w:lang w:val="en-US" w:eastAsia="zh-CN"/>
              </w:rPr>
              <w:t>表3.5.2</w:t>
            </w:r>
          </w:p>
        </w:tc>
        <w:tc>
          <w:tcPr>
            <w:tcW w:w="369" w:type="pct"/>
            <w:noWrap w:val="0"/>
            <w:vAlign w:val="center"/>
          </w:tcPr>
          <w:p>
            <w:pPr>
              <w:pStyle w:val="59"/>
              <w:rPr>
                <w:rFonts w:hint="eastAsia"/>
                <w:color w:val="auto"/>
                <w:highlight w:val="none"/>
              </w:rPr>
            </w:pPr>
            <w:r>
              <w:rPr>
                <w:rFonts w:hint="eastAsia"/>
                <w:color w:val="auto"/>
                <w:highlight w:val="none"/>
              </w:rPr>
              <w:t>符合要求</w:t>
            </w:r>
          </w:p>
        </w:tc>
      </w:tr>
    </w:tbl>
    <w:p>
      <w:pPr>
        <w:pStyle w:val="17"/>
        <w:spacing w:line="240" w:lineRule="auto"/>
        <w:rPr>
          <w:rFonts w:hint="eastAsia"/>
          <w:color w:val="auto"/>
          <w:lang w:val="en-US" w:eastAsia="zh-CN"/>
        </w:rPr>
      </w:pPr>
      <w:r>
        <w:rPr>
          <w:rFonts w:hint="eastAsia"/>
          <w:color w:val="auto"/>
          <w:lang w:val="en-US" w:eastAsia="zh-CN"/>
        </w:rPr>
        <w:t>注：拟建307中心控制室采用抗爆控制室；车间与其他建构筑物之间的间距以车间室外设备布置区边缘计；</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综上表所述，该项目拟建建构筑物之间的间距符合《精细化工企业工程</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设计防火标准》GB51283-2020、《建筑设计防火规范（2018 年版）》GB50016-</w:t>
      </w:r>
    </w:p>
    <w:p>
      <w:pPr>
        <w:numPr>
          <w:ilvl w:val="-1"/>
          <w:numId w:val="0"/>
        </w:numPr>
        <w:ind w:firstLine="0" w:firstLineChars="0"/>
        <w:rPr>
          <w:rFonts w:hint="default"/>
          <w:color w:val="auto"/>
          <w:highlight w:val="none"/>
          <w:lang w:val="en-US" w:eastAsia="zh-CN"/>
        </w:rPr>
      </w:pPr>
      <w:r>
        <w:rPr>
          <w:rFonts w:hint="eastAsia"/>
          <w:color w:val="auto"/>
          <w:highlight w:val="none"/>
          <w:lang w:val="en-US" w:eastAsia="zh-CN"/>
        </w:rPr>
        <w:t>2014 的要求。防火间距同时也满足《石油化工企业设计防火标准（2018年版）》GB50160-2008、《化工企业总图运输设计规范》GB50489-2009的要求。</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1.安全检查表法分析评价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1）厂房、仓库</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该项目涉及厂房、仓库的耐火等级、层数和防火分区建筑面积的评价见</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表 C.2-2、C.2-3。</w:t>
      </w:r>
    </w:p>
    <w:p>
      <w:pPr>
        <w:pStyle w:val="53"/>
        <w:rPr>
          <w:rFonts w:hint="eastAsia"/>
          <w:color w:val="auto"/>
          <w:lang w:val="en-US" w:eastAsia="zh-CN"/>
        </w:rPr>
      </w:pPr>
      <w:r>
        <w:rPr>
          <w:rFonts w:hint="eastAsia"/>
          <w:color w:val="auto"/>
          <w:lang w:val="en-US" w:eastAsia="zh-CN"/>
        </w:rPr>
        <w:t>表 C.2-2 涉及厂房、民建的耐火等级、层数、面积检查表</w:t>
      </w:r>
    </w:p>
    <w:tbl>
      <w:tblPr>
        <w:tblStyle w:val="42"/>
        <w:tblW w:w="9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9"/>
        <w:gridCol w:w="450"/>
        <w:gridCol w:w="693"/>
        <w:gridCol w:w="600"/>
        <w:gridCol w:w="919"/>
        <w:gridCol w:w="694"/>
        <w:gridCol w:w="1931"/>
        <w:gridCol w:w="956"/>
        <w:gridCol w:w="1407"/>
        <w:gridCol w:w="7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建筑物</w:t>
            </w:r>
            <w:r>
              <w:rPr>
                <w:rFonts w:hint="eastAsia"/>
                <w:color w:val="auto"/>
                <w:lang w:val="en-US" w:eastAsia="zh-CN"/>
              </w:rPr>
              <w:br w:type="textWrapping"/>
            </w:r>
            <w:r>
              <w:rPr>
                <w:rFonts w:hint="eastAsia"/>
                <w:color w:val="auto"/>
                <w:lang w:val="en-US" w:eastAsia="zh-CN"/>
              </w:rPr>
              <w:t>名称</w:t>
            </w:r>
          </w:p>
        </w:tc>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火</w:t>
            </w:r>
            <w:r>
              <w:rPr>
                <w:rFonts w:hint="eastAsia"/>
                <w:color w:val="auto"/>
                <w:lang w:val="en-US" w:eastAsia="zh-CN"/>
              </w:rPr>
              <w:br w:type="textWrapping"/>
            </w:r>
            <w:r>
              <w:rPr>
                <w:rFonts w:hint="eastAsia"/>
                <w:color w:val="auto"/>
                <w:lang w:val="en-US" w:eastAsia="zh-CN"/>
              </w:rPr>
              <w:t>灾</w:t>
            </w:r>
            <w:r>
              <w:rPr>
                <w:rFonts w:hint="eastAsia"/>
                <w:color w:val="auto"/>
                <w:lang w:val="en-US" w:eastAsia="zh-CN"/>
              </w:rPr>
              <w:br w:type="textWrapping"/>
            </w:r>
            <w:r>
              <w:rPr>
                <w:rFonts w:hint="eastAsia"/>
                <w:color w:val="auto"/>
                <w:lang w:val="en-US" w:eastAsia="zh-CN"/>
              </w:rPr>
              <w:t>类</w:t>
            </w:r>
            <w:r>
              <w:rPr>
                <w:rFonts w:hint="eastAsia"/>
                <w:color w:val="auto"/>
                <w:lang w:val="en-US" w:eastAsia="zh-CN"/>
              </w:rPr>
              <w:br w:type="textWrapping"/>
            </w:r>
            <w:r>
              <w:rPr>
                <w:rFonts w:hint="eastAsia"/>
                <w:color w:val="auto"/>
                <w:lang w:val="en-US" w:eastAsia="zh-CN"/>
              </w:rPr>
              <w:t>别</w:t>
            </w:r>
          </w:p>
        </w:tc>
        <w:tc>
          <w:tcPr>
            <w:tcW w:w="290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拟设情况</w:t>
            </w:r>
          </w:p>
        </w:tc>
        <w:tc>
          <w:tcPr>
            <w:tcW w:w="42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规范要求</w:t>
            </w:r>
          </w:p>
        </w:tc>
        <w:tc>
          <w:tcPr>
            <w:tcW w:w="7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检查</w:t>
            </w:r>
            <w:r>
              <w:rPr>
                <w:rFonts w:hint="eastAsia"/>
                <w:color w:val="auto"/>
                <w:lang w:val="en-US" w:eastAsia="zh-CN"/>
              </w:rPr>
              <w:br w:type="textWrapping"/>
            </w:r>
            <w:r>
              <w:rPr>
                <w:rFonts w:hint="eastAsia"/>
                <w:color w:val="auto"/>
                <w:lang w:val="en-US" w:eastAsia="zh-CN"/>
              </w:rPr>
              <w:t>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p>
        </w:tc>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结构</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层</w:t>
            </w:r>
            <w:r>
              <w:rPr>
                <w:rFonts w:hint="eastAsia"/>
                <w:color w:val="auto"/>
                <w:lang w:val="en-US" w:eastAsia="zh-CN"/>
              </w:rPr>
              <w:br w:type="textWrapping"/>
            </w:r>
            <w:r>
              <w:rPr>
                <w:rFonts w:hint="eastAsia"/>
                <w:color w:val="auto"/>
                <w:lang w:val="en-US" w:eastAsia="zh-CN"/>
              </w:rPr>
              <w:t>数</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最大防火分</w:t>
            </w:r>
            <w:r>
              <w:rPr>
                <w:rFonts w:hint="eastAsia"/>
                <w:color w:val="auto"/>
                <w:lang w:val="en-US" w:eastAsia="zh-CN"/>
              </w:rPr>
              <w:br w:type="textWrapping"/>
            </w:r>
            <w:r>
              <w:rPr>
                <w:rFonts w:hint="eastAsia"/>
                <w:color w:val="auto"/>
                <w:lang w:val="en-US" w:eastAsia="zh-CN"/>
              </w:rPr>
              <w:t>区面积</w:t>
            </w:r>
            <w:r>
              <w:rPr>
                <w:rFonts w:hint="eastAsia"/>
                <w:color w:val="auto"/>
                <w:lang w:val="en-US" w:eastAsia="zh-CN"/>
              </w:rPr>
              <w:br w:type="textWrapping"/>
            </w:r>
            <w:r>
              <w:rPr>
                <w:rFonts w:hint="eastAsia"/>
                <w:color w:val="auto"/>
                <w:lang w:val="en-US" w:eastAsia="zh-CN"/>
              </w:rPr>
              <w:t>(m</w:t>
            </w:r>
            <w:r>
              <w:rPr>
                <w:rFonts w:hint="eastAsia"/>
                <w:color w:val="auto"/>
                <w:vertAlign w:val="superscript"/>
                <w:lang w:val="en-US" w:eastAsia="zh-CN"/>
              </w:rPr>
              <w:t>2</w:t>
            </w:r>
            <w:r>
              <w:rPr>
                <w:rFonts w:hint="eastAsia"/>
                <w:color w:val="auto"/>
                <w:lang w:val="en-US" w:eastAsia="zh-CN"/>
              </w:rPr>
              <w:t>)</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耐火</w:t>
            </w:r>
            <w:r>
              <w:rPr>
                <w:rFonts w:hint="eastAsia"/>
                <w:color w:val="auto"/>
                <w:lang w:val="en-US" w:eastAsia="zh-CN"/>
              </w:rPr>
              <w:br w:type="textWrapping"/>
            </w:r>
            <w:r>
              <w:rPr>
                <w:rFonts w:hint="eastAsia"/>
                <w:color w:val="auto"/>
                <w:lang w:val="en-US" w:eastAsia="zh-CN"/>
              </w:rPr>
              <w:t>等级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依据</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最多允</w:t>
            </w:r>
            <w:r>
              <w:rPr>
                <w:rFonts w:hint="eastAsia"/>
                <w:color w:val="auto"/>
                <w:lang w:val="en-US" w:eastAsia="zh-CN"/>
              </w:rPr>
              <w:br w:type="textWrapping"/>
            </w:r>
            <w:r>
              <w:rPr>
                <w:rFonts w:hint="eastAsia"/>
                <w:color w:val="auto"/>
                <w:lang w:val="en-US" w:eastAsia="zh-CN"/>
              </w:rPr>
              <w:t>许层数</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每分区最大允许建筑面积（m</w:t>
            </w:r>
            <w:r>
              <w:rPr>
                <w:rFonts w:hint="eastAsia"/>
                <w:color w:val="auto"/>
                <w:vertAlign w:val="superscript"/>
                <w:lang w:val="en-US" w:eastAsia="zh-CN"/>
              </w:rPr>
              <w:t>2</w:t>
            </w:r>
            <w:r>
              <w:rPr>
                <w:rFonts w:hint="eastAsia"/>
                <w:color w:val="auto"/>
                <w:lang w:val="en-US" w:eastAsia="zh-CN"/>
              </w:rPr>
              <w:t>)</w:t>
            </w:r>
          </w:p>
        </w:tc>
        <w:tc>
          <w:tcPr>
            <w:tcW w:w="7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101裂解车间</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甲</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1606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《建筑设计防火规范(2018年版）》第3.3.1条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宜单层</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3000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102精馏车间</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eastAsia="宋体"/>
                <w:color w:val="auto"/>
                <w:lang w:val="en-US" w:eastAsia="zh-CN"/>
              </w:rPr>
            </w:pPr>
            <w:r>
              <w:rPr>
                <w:rFonts w:hint="eastAsia"/>
                <w:color w:val="auto"/>
                <w:lang w:val="en-US" w:eastAsia="zh-CN"/>
              </w:rPr>
              <w:t>甲</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4</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272.4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《建筑设计防火规范(2018年版）》第3.3.1条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宜单层</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2000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201甲类仓库</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甲</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right"/>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《建筑设计防火规范(2018年版）》第3.3.2条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250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202丙类仓库一</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eastAsia="宋体"/>
                <w:color w:val="auto"/>
                <w:lang w:val="en-US" w:eastAsia="zh-CN"/>
              </w:rPr>
            </w:pPr>
            <w:r>
              <w:rPr>
                <w:rFonts w:hint="eastAsia"/>
                <w:color w:val="auto"/>
                <w:lang w:val="en-US" w:eastAsia="zh-CN"/>
              </w:rPr>
              <w:t>丙</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43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《建筑设计防火规范(2018年版）》第3.3.2条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eastAsia="宋体"/>
                <w:color w:val="auto"/>
                <w:lang w:val="en-US" w:eastAsia="zh-CN"/>
              </w:rPr>
            </w:pPr>
            <w:r>
              <w:rPr>
                <w:rFonts w:hint="eastAsia"/>
                <w:color w:val="auto"/>
                <w:lang w:val="en-US" w:eastAsia="zh-CN"/>
              </w:rPr>
              <w:t>不限</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eastAsia="宋体"/>
                <w:color w:val="auto"/>
                <w:lang w:val="en-US" w:eastAsia="zh-CN"/>
              </w:rPr>
            </w:pPr>
            <w:r>
              <w:rPr>
                <w:rFonts w:hint="eastAsia"/>
                <w:color w:val="auto"/>
                <w:lang w:val="en-US" w:eastAsia="zh-CN"/>
              </w:rPr>
              <w:t>1500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204丙类仓库二</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丙</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800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right"/>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《建筑设计防火规范(2018年版）》第3.3.2条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不限</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1500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301消</w:t>
            </w:r>
            <w:r>
              <w:rPr>
                <w:rFonts w:hint="eastAsia"/>
                <w:color w:val="auto"/>
                <w:lang w:val="en-US" w:eastAsia="zh-CN"/>
              </w:rPr>
              <w:br w:type="textWrapping"/>
            </w:r>
            <w:r>
              <w:rPr>
                <w:rFonts w:hint="eastAsia"/>
                <w:color w:val="auto"/>
                <w:lang w:val="en-US" w:eastAsia="zh-CN"/>
              </w:rPr>
              <w:t>防泵房</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丙</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40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right"/>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《建筑设计防火规范(2018年版）》第3.3.1条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不限</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不限</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307中</w:t>
            </w:r>
            <w:r>
              <w:rPr>
                <w:rFonts w:hint="eastAsia"/>
                <w:color w:val="auto"/>
                <w:lang w:val="en-US" w:eastAsia="zh-CN"/>
              </w:rPr>
              <w:br w:type="textWrapping"/>
            </w:r>
            <w:r>
              <w:rPr>
                <w:rFonts w:hint="eastAsia"/>
                <w:color w:val="auto"/>
                <w:lang w:val="en-US" w:eastAsia="zh-CN"/>
              </w:rPr>
              <w:t>心控制</w:t>
            </w:r>
            <w:r>
              <w:rPr>
                <w:rFonts w:hint="eastAsia"/>
                <w:color w:val="auto"/>
                <w:lang w:val="en-US" w:eastAsia="zh-CN"/>
              </w:rPr>
              <w:br w:type="textWrapping"/>
            </w:r>
            <w:r>
              <w:rPr>
                <w:rFonts w:hint="eastAsia"/>
                <w:color w:val="auto"/>
                <w:lang w:val="en-US" w:eastAsia="zh-CN"/>
              </w:rPr>
              <w:t>室</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丁</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81.84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一级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《建筑设计防火规范(2018年版）》第5.3.1条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不限</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4000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306公</w:t>
            </w:r>
            <w:r>
              <w:rPr>
                <w:rFonts w:hint="eastAsia"/>
                <w:color w:val="auto"/>
                <w:lang w:val="en-US" w:eastAsia="zh-CN"/>
              </w:rPr>
              <w:br w:type="textWrapping"/>
            </w:r>
            <w:r>
              <w:rPr>
                <w:rFonts w:hint="eastAsia"/>
                <w:color w:val="auto"/>
                <w:lang w:val="en-US" w:eastAsia="zh-CN"/>
              </w:rPr>
              <w:t>用工程</w:t>
            </w:r>
            <w:r>
              <w:rPr>
                <w:rFonts w:hint="eastAsia"/>
                <w:color w:val="auto"/>
                <w:lang w:val="en-US" w:eastAsia="zh-CN"/>
              </w:rPr>
              <w:br w:type="textWrapping"/>
            </w:r>
            <w:r>
              <w:rPr>
                <w:rFonts w:hint="eastAsia"/>
                <w:color w:val="auto"/>
                <w:lang w:val="en-US" w:eastAsia="zh-CN"/>
              </w:rPr>
              <w:t>间</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丙</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《建筑设计防火规范(2018年版）》第3.3.1条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不限</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4000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401综合楼</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民建</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2</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《建筑设计防火规范(2018年版）》第5.3.1条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&lt;24m</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2500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402门</w:t>
            </w:r>
            <w:r>
              <w:rPr>
                <w:rFonts w:hint="eastAsia"/>
                <w:color w:val="auto"/>
                <w:lang w:val="en-US" w:eastAsia="zh-CN"/>
              </w:rPr>
              <w:br w:type="textWrapping"/>
            </w:r>
            <w:r>
              <w:rPr>
                <w:rFonts w:hint="eastAsia"/>
                <w:color w:val="auto"/>
                <w:lang w:val="en-US" w:eastAsia="zh-CN"/>
              </w:rPr>
              <w:t>卫</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民</w:t>
            </w:r>
            <w:r>
              <w:rPr>
                <w:rFonts w:hint="eastAsia"/>
                <w:color w:val="auto"/>
                <w:lang w:val="en-US" w:eastAsia="zh-CN"/>
              </w:rPr>
              <w:br w:type="textWrapping"/>
            </w:r>
            <w:r>
              <w:rPr>
                <w:rFonts w:hint="eastAsia"/>
                <w:color w:val="auto"/>
                <w:lang w:val="en-US" w:eastAsia="zh-CN"/>
              </w:rPr>
              <w:t>建</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62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《建筑设计防火规范(2018年版）》第5.3.1条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&lt;24m</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2500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keepNext w:val="0"/>
              <w:keepLines w:val="0"/>
              <w:widowControl/>
              <w:suppressLineNumbers w:val="0"/>
              <w:jc w:val="center"/>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bl>
    <w:p>
      <w:pPr>
        <w:pStyle w:val="53"/>
        <w:rPr>
          <w:rFonts w:hint="eastAsia"/>
          <w:color w:val="auto"/>
          <w:lang w:val="en-US" w:eastAsia="zh-CN"/>
        </w:rPr>
      </w:pPr>
      <w:r>
        <w:rPr>
          <w:rFonts w:hint="eastAsia"/>
          <w:color w:val="auto"/>
          <w:lang w:val="en-US" w:eastAsia="zh-CN"/>
        </w:rPr>
        <w:t>表 C.2-3 涉及仓库的耐火等级、层数、面积检查表</w:t>
      </w:r>
    </w:p>
    <w:tbl>
      <w:tblPr>
        <w:tblStyle w:val="42"/>
        <w:tblW w:w="93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2"/>
        <w:gridCol w:w="504"/>
        <w:gridCol w:w="504"/>
        <w:gridCol w:w="504"/>
        <w:gridCol w:w="832"/>
        <w:gridCol w:w="713"/>
        <w:gridCol w:w="712"/>
        <w:gridCol w:w="1444"/>
        <w:gridCol w:w="712"/>
        <w:gridCol w:w="938"/>
        <w:gridCol w:w="1050"/>
        <w:gridCol w:w="6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建筑物</w:t>
            </w:r>
            <w:r>
              <w:rPr>
                <w:rFonts w:hint="eastAsia"/>
                <w:color w:val="auto"/>
                <w:lang w:val="en-US" w:eastAsia="zh-CN"/>
              </w:rPr>
              <w:br w:type="textWrapping"/>
            </w:r>
            <w:r>
              <w:rPr>
                <w:rFonts w:hint="eastAsia"/>
                <w:color w:val="auto"/>
                <w:lang w:val="en-US" w:eastAsia="zh-CN"/>
              </w:rPr>
              <w:t>名称</w:t>
            </w:r>
          </w:p>
        </w:tc>
        <w:tc>
          <w:tcPr>
            <w:tcW w:w="5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火</w:t>
            </w:r>
            <w:r>
              <w:rPr>
                <w:rFonts w:hint="eastAsia"/>
                <w:color w:val="auto"/>
                <w:lang w:val="en-US" w:eastAsia="zh-CN"/>
              </w:rPr>
              <w:br w:type="textWrapping"/>
            </w:r>
            <w:r>
              <w:rPr>
                <w:rFonts w:hint="eastAsia"/>
                <w:color w:val="auto"/>
                <w:lang w:val="en-US" w:eastAsia="zh-CN"/>
              </w:rPr>
              <w:t>险</w:t>
            </w:r>
            <w:r>
              <w:rPr>
                <w:rFonts w:hint="eastAsia"/>
                <w:color w:val="auto"/>
                <w:lang w:val="en-US" w:eastAsia="zh-CN"/>
              </w:rPr>
              <w:br w:type="textWrapping"/>
            </w:r>
            <w:r>
              <w:rPr>
                <w:rFonts w:hint="eastAsia"/>
                <w:color w:val="auto"/>
                <w:lang w:val="en-US" w:eastAsia="zh-CN"/>
              </w:rPr>
              <w:t>关</w:t>
            </w:r>
            <w:r>
              <w:rPr>
                <w:rFonts w:hint="eastAsia"/>
                <w:color w:val="auto"/>
                <w:lang w:val="en-US" w:eastAsia="zh-CN"/>
              </w:rPr>
              <w:br w:type="textWrapping"/>
            </w:r>
            <w:r>
              <w:rPr>
                <w:rFonts w:hint="eastAsia"/>
                <w:color w:val="auto"/>
                <w:lang w:val="en-US" w:eastAsia="zh-CN"/>
              </w:rPr>
              <w:t>别</w:t>
            </w:r>
          </w:p>
        </w:tc>
        <w:tc>
          <w:tcPr>
            <w:tcW w:w="32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拟设情况</w:t>
            </w:r>
          </w:p>
        </w:tc>
        <w:tc>
          <w:tcPr>
            <w:tcW w:w="414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规范要求</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w:t>
            </w:r>
            <w:r>
              <w:rPr>
                <w:rFonts w:hint="eastAsia"/>
                <w:color w:val="auto"/>
                <w:lang w:val="en-US" w:eastAsia="zh-CN"/>
              </w:rPr>
              <w:br w:type="textWrapping"/>
            </w:r>
            <w:r>
              <w:rPr>
                <w:rFonts w:hint="eastAsia"/>
                <w:color w:val="auto"/>
                <w:lang w:val="en-US" w:eastAsia="zh-CN"/>
              </w:rPr>
              <w:t>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7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p>
        </w:tc>
        <w:tc>
          <w:tcPr>
            <w:tcW w:w="5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结</w:t>
            </w:r>
            <w:r>
              <w:rPr>
                <w:rFonts w:hint="eastAsia"/>
                <w:color w:val="auto"/>
                <w:lang w:val="en-US" w:eastAsia="zh-CN"/>
              </w:rPr>
              <w:br w:type="textWrapping"/>
            </w:r>
            <w:r>
              <w:rPr>
                <w:rFonts w:hint="eastAsia"/>
                <w:color w:val="auto"/>
                <w:lang w:val="en-US" w:eastAsia="zh-CN"/>
              </w:rPr>
              <w:t>构</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层</w:t>
            </w:r>
            <w:r>
              <w:rPr>
                <w:rFonts w:hint="eastAsia"/>
                <w:color w:val="auto"/>
                <w:lang w:val="en-US" w:eastAsia="zh-CN"/>
              </w:rPr>
              <w:br w:type="textWrapping"/>
            </w:r>
            <w:r>
              <w:rPr>
                <w:rFonts w:hint="eastAsia"/>
                <w:color w:val="auto"/>
                <w:lang w:val="en-US" w:eastAsia="zh-CN"/>
              </w:rPr>
              <w:t>数</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最大防火</w:t>
            </w:r>
            <w:r>
              <w:rPr>
                <w:rFonts w:hint="eastAsia"/>
                <w:color w:val="auto"/>
                <w:lang w:val="en-US" w:eastAsia="zh-CN"/>
              </w:rPr>
              <w:br w:type="textWrapping"/>
            </w:r>
            <w:r>
              <w:rPr>
                <w:rFonts w:hint="eastAsia"/>
                <w:color w:val="auto"/>
                <w:lang w:val="en-US" w:eastAsia="zh-CN"/>
              </w:rPr>
              <w:t>分区</w:t>
            </w:r>
            <w:r>
              <w:rPr>
                <w:rFonts w:hint="eastAsia"/>
                <w:color w:val="auto"/>
                <w:lang w:val="en-US" w:eastAsia="zh-CN"/>
              </w:rPr>
              <w:br w:type="textWrapping"/>
            </w:r>
            <w:r>
              <w:rPr>
                <w:rFonts w:hint="eastAsia"/>
                <w:color w:val="auto"/>
                <w:lang w:val="en-US" w:eastAsia="zh-CN"/>
              </w:rPr>
              <w:t>面积</w:t>
            </w:r>
            <w:r>
              <w:rPr>
                <w:rFonts w:hint="eastAsia"/>
                <w:color w:val="auto"/>
                <w:lang w:val="en-US" w:eastAsia="zh-CN"/>
              </w:rPr>
              <w:br w:type="textWrapping"/>
            </w:r>
            <w:r>
              <w:rPr>
                <w:rFonts w:hint="eastAsia"/>
                <w:color w:val="auto"/>
                <w:lang w:val="en-US" w:eastAsia="zh-CN"/>
              </w:rPr>
              <w:t>(m</w:t>
            </w:r>
            <w:r>
              <w:rPr>
                <w:rFonts w:hint="eastAsia"/>
                <w:color w:val="auto"/>
                <w:vertAlign w:val="superscript"/>
                <w:lang w:val="en-US" w:eastAsia="zh-CN"/>
              </w:rPr>
              <w:t>2</w:t>
            </w:r>
            <w:r>
              <w:rPr>
                <w:rFonts w:hint="eastAsia"/>
                <w:color w:val="auto"/>
                <w:lang w:val="en-US" w:eastAsia="zh-CN"/>
              </w:rPr>
              <w:t>)</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占地</w:t>
            </w:r>
            <w:r>
              <w:rPr>
                <w:rFonts w:hint="eastAsia"/>
                <w:color w:val="auto"/>
                <w:lang w:val="en-US" w:eastAsia="zh-CN"/>
              </w:rPr>
              <w:br w:type="textWrapping"/>
            </w:r>
            <w:r>
              <w:rPr>
                <w:rFonts w:hint="eastAsia"/>
                <w:color w:val="auto"/>
                <w:lang w:val="en-US" w:eastAsia="zh-CN"/>
              </w:rPr>
              <w:t>面积</w:t>
            </w:r>
            <w:r>
              <w:rPr>
                <w:rFonts w:hint="eastAsia"/>
                <w:color w:val="auto"/>
                <w:lang w:val="en-US" w:eastAsia="zh-CN"/>
              </w:rPr>
              <w:br w:type="textWrapping"/>
            </w:r>
            <w:r>
              <w:rPr>
                <w:rFonts w:hint="eastAsia"/>
                <w:color w:val="auto"/>
                <w:lang w:val="en-US" w:eastAsia="zh-CN"/>
              </w:rPr>
              <w:t>(m</w:t>
            </w:r>
            <w:r>
              <w:rPr>
                <w:rFonts w:hint="eastAsia"/>
                <w:color w:val="auto"/>
                <w:vertAlign w:val="superscript"/>
                <w:lang w:val="en-US" w:eastAsia="zh-CN"/>
              </w:rPr>
              <w:t>2</w:t>
            </w:r>
            <w:r>
              <w:rPr>
                <w:rFonts w:hint="eastAsia"/>
                <w:color w:val="auto"/>
                <w:lang w:val="en-US" w:eastAsia="zh-CN"/>
              </w:rPr>
              <w:t>)</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耐火</w:t>
            </w:r>
            <w:r>
              <w:rPr>
                <w:rFonts w:hint="eastAsia"/>
                <w:color w:val="auto"/>
                <w:lang w:val="en-US" w:eastAsia="zh-CN"/>
              </w:rPr>
              <w:br w:type="textWrapping"/>
            </w:r>
            <w:r>
              <w:rPr>
                <w:rFonts w:hint="eastAsia"/>
                <w:color w:val="auto"/>
                <w:lang w:val="en-US" w:eastAsia="zh-CN"/>
              </w:rPr>
              <w:t>等级</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依据</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最多</w:t>
            </w:r>
            <w:r>
              <w:rPr>
                <w:rFonts w:hint="eastAsia"/>
                <w:color w:val="auto"/>
                <w:lang w:val="en-US" w:eastAsia="zh-CN"/>
              </w:rPr>
              <w:br w:type="textWrapping"/>
            </w:r>
            <w:r>
              <w:rPr>
                <w:rFonts w:hint="eastAsia"/>
                <w:color w:val="auto"/>
                <w:lang w:val="en-US" w:eastAsia="zh-CN"/>
              </w:rPr>
              <w:t>允许</w:t>
            </w:r>
            <w:r>
              <w:rPr>
                <w:rFonts w:hint="eastAsia"/>
                <w:color w:val="auto"/>
                <w:lang w:val="en-US" w:eastAsia="zh-CN"/>
              </w:rPr>
              <w:br w:type="textWrapping"/>
            </w:r>
            <w:r>
              <w:rPr>
                <w:rFonts w:hint="eastAsia"/>
                <w:color w:val="auto"/>
                <w:lang w:val="en-US" w:eastAsia="zh-CN"/>
              </w:rPr>
              <w:t>层数</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最大允许占地面积(m</w:t>
            </w:r>
            <w:r>
              <w:rPr>
                <w:rFonts w:hint="eastAsia"/>
                <w:color w:val="auto"/>
                <w:vertAlign w:val="superscript"/>
                <w:lang w:val="en-US" w:eastAsia="zh-CN"/>
              </w:rPr>
              <w:t>2</w:t>
            </w:r>
            <w:r>
              <w:rPr>
                <w:rFonts w:hint="eastAsia"/>
                <w:color w:val="auto"/>
                <w:lang w:val="en-US" w:eastAsia="zh-CN"/>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分区最大允许建筑面积（m</w:t>
            </w:r>
            <w:r>
              <w:rPr>
                <w:rFonts w:hint="eastAsia"/>
                <w:color w:val="auto"/>
                <w:vertAlign w:val="superscript"/>
                <w:lang w:val="en-US" w:eastAsia="zh-CN"/>
              </w:rPr>
              <w:t>2</w:t>
            </w:r>
            <w:r>
              <w:rPr>
                <w:rFonts w:hint="eastAsia"/>
                <w:color w:val="auto"/>
                <w:lang w:val="en-US" w:eastAsia="zh-CN"/>
              </w:rPr>
              <w:t>)</w:t>
            </w: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201甲类仓库</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甲</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42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ascii="Arial" w:hAnsi="Arial" w:eastAsia="宋体" w:cs="Times New Roman"/>
                <w:color w:val="auto"/>
                <w:kern w:val="2"/>
                <w:sz w:val="21"/>
                <w:szCs w:val="24"/>
                <w:lang w:val="en-US" w:eastAsia="zh-CN" w:bidi="ar-SA"/>
              </w:rPr>
            </w:pPr>
            <w:r>
              <w:rPr>
                <w:rFonts w:hint="eastAsia"/>
                <w:color w:val="auto"/>
                <w:lang w:val="en-US" w:eastAsia="zh-CN"/>
              </w:rPr>
              <w:t>84</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rPr>
            </w:pPr>
            <w:r>
              <w:rPr>
                <w:rFonts w:hint="eastAsia"/>
                <w:color w:val="auto"/>
                <w:lang w:val="en-US" w:eastAsia="zh-CN"/>
              </w:rPr>
              <w:t>《建筑设计防火规范（2018年版）》第3.3.2条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750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rPr>
            </w:pPr>
            <w:r>
              <w:rPr>
                <w:rFonts w:hint="eastAsia"/>
                <w:color w:val="auto"/>
                <w:lang w:val="en-US" w:eastAsia="zh-CN"/>
              </w:rPr>
              <w:t>250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202丙类仓库一</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丙</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框架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eastAsia="zh-CN"/>
              </w:rPr>
            </w:pPr>
            <w:r>
              <w:rPr>
                <w:rFonts w:hint="eastAsia"/>
                <w:color w:val="auto"/>
                <w:lang w:val="en-US" w:eastAsia="zh-CN"/>
              </w:rPr>
              <w:t>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133</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二级</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lang w:val="en-US" w:eastAsia="zh-CN"/>
              </w:rPr>
            </w:pPr>
            <w:r>
              <w:rPr>
                <w:rFonts w:hint="eastAsia"/>
                <w:color w:val="auto"/>
                <w:lang w:val="en-US" w:eastAsia="zh-CN"/>
              </w:rPr>
              <w:t>《建筑设计防火规范（2018年版）》第3.3.2条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不限</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eastAsia="zh-CN"/>
              </w:rPr>
            </w:pPr>
            <w:r>
              <w:rPr>
                <w:rFonts w:hint="eastAsia"/>
                <w:color w:val="auto"/>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1500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lang w:val="en-US" w:eastAsia="zh-CN"/>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204丙类仓库二</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丙</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框架</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lang w:val="en-US" w:eastAsia="zh-CN"/>
              </w:rPr>
            </w:pPr>
            <w:r>
              <w:rPr>
                <w:rFonts w:hint="eastAsia" w:eastAsia="宋体" w:cs="Times New Roman"/>
                <w:color w:val="auto"/>
                <w:kern w:val="2"/>
                <w:sz w:val="21"/>
                <w:szCs w:val="24"/>
                <w:lang w:val="en-US" w:eastAsia="zh-CN" w:bidi="ar-SA"/>
              </w:rPr>
              <w:t>800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1215</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二级</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rPr>
                <w:rFonts w:hint="eastAsia"/>
                <w:color w:val="auto"/>
                <w:lang w:val="en-US" w:eastAsia="zh-CN"/>
              </w:rPr>
            </w:pPr>
            <w:r>
              <w:rPr>
                <w:rFonts w:hint="eastAsia"/>
                <w:color w:val="auto"/>
                <w:lang w:val="en-US" w:eastAsia="zh-CN"/>
              </w:rPr>
              <w:t>《建筑设计防火规范（2018年版）》第3.3.2条</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不限</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default"/>
                <w:color w:val="auto"/>
                <w:lang w:val="en-US" w:eastAsia="zh-CN"/>
              </w:rPr>
            </w:pPr>
            <w:r>
              <w:rPr>
                <w:rFonts w:hint="eastAsia"/>
                <w:color w:val="auto"/>
                <w:lang w:val="en-US" w:eastAsia="zh-CN"/>
              </w:rPr>
              <w:t>6000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ascii="Arial" w:hAnsi="Arial" w:eastAsia="宋体" w:cs="Times New Roman"/>
                <w:color w:val="auto"/>
                <w:kern w:val="2"/>
                <w:sz w:val="21"/>
                <w:szCs w:val="24"/>
                <w:lang w:val="en-US" w:eastAsia="zh-CN" w:bidi="ar-SA"/>
              </w:rPr>
            </w:pPr>
            <w:r>
              <w:rPr>
                <w:rFonts w:hint="eastAsia" w:eastAsia="宋体" w:cs="Times New Roman"/>
                <w:color w:val="auto"/>
                <w:kern w:val="2"/>
                <w:sz w:val="21"/>
                <w:szCs w:val="24"/>
                <w:lang w:val="en-US" w:eastAsia="zh-CN" w:bidi="ar-SA"/>
              </w:rPr>
              <w:t>1500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lang w:val="en-US" w:eastAsia="zh-CN"/>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r>
    </w:tbl>
    <w:p>
      <w:pPr>
        <w:numPr>
          <w:ilvl w:val="-1"/>
          <w:numId w:val="0"/>
        </w:numPr>
        <w:ind w:firstLine="560" w:firstLineChars="200"/>
        <w:rPr>
          <w:rFonts w:hint="eastAsia"/>
          <w:b w:val="0"/>
          <w:bCs w:val="0"/>
          <w:color w:val="auto"/>
          <w:highlight w:val="none"/>
          <w:lang w:val="en-US" w:eastAsia="zh-CN"/>
        </w:rPr>
      </w:pPr>
      <w:r>
        <w:rPr>
          <w:rFonts w:hint="eastAsia"/>
          <w:b w:val="0"/>
          <w:bCs w:val="0"/>
          <w:color w:val="auto"/>
          <w:highlight w:val="none"/>
          <w:lang w:val="en-US" w:eastAsia="zh-CN"/>
        </w:rPr>
        <w:t>该项目拟建厂房、仓库的耐火等级、层数、占地面积、防火分区符合规</w:t>
      </w:r>
    </w:p>
    <w:p>
      <w:pPr>
        <w:numPr>
          <w:ilvl w:val="-1"/>
          <w:numId w:val="0"/>
        </w:numPr>
        <w:ind w:firstLine="0" w:firstLineChars="0"/>
        <w:rPr>
          <w:rFonts w:hint="eastAsia"/>
          <w:b w:val="0"/>
          <w:bCs w:val="0"/>
          <w:color w:val="auto"/>
          <w:highlight w:val="none"/>
          <w:lang w:val="en-US" w:eastAsia="zh-CN"/>
        </w:rPr>
      </w:pPr>
      <w:r>
        <w:rPr>
          <w:rFonts w:hint="eastAsia"/>
          <w:b w:val="0"/>
          <w:bCs w:val="0"/>
          <w:color w:val="auto"/>
          <w:highlight w:val="none"/>
          <w:lang w:val="en-US" w:eastAsia="zh-CN"/>
        </w:rPr>
        <w:t>范要求。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2）罐区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203罐区拟设6个体积为80m</w:t>
      </w:r>
      <w:r>
        <w:rPr>
          <w:rFonts w:hint="eastAsia"/>
          <w:color w:val="auto"/>
          <w:highlight w:val="none"/>
          <w:vertAlign w:val="superscript"/>
          <w:lang w:val="en-US" w:eastAsia="zh-CN"/>
        </w:rPr>
        <w:t>3</w:t>
      </w:r>
      <w:r>
        <w:rPr>
          <w:rFonts w:hint="eastAsia"/>
          <w:color w:val="auto"/>
          <w:highlight w:val="none"/>
          <w:vertAlign w:val="baseline"/>
          <w:lang w:val="en-US" w:eastAsia="zh-CN"/>
        </w:rPr>
        <w:t>的储罐</w:t>
      </w:r>
      <w:r>
        <w:rPr>
          <w:rFonts w:hint="eastAsia"/>
          <w:color w:val="auto"/>
          <w:highlight w:val="none"/>
          <w:lang w:val="en-US" w:eastAsia="zh-CN"/>
        </w:rPr>
        <w:t>，直径4.3m，高度6m，其中设3个甲基丙烯酸甲酯粗体罐、2个甲基丙烯酸甲酯精体罐、1个甲基丙烯酸甲酯残液罐；203罐区内储罐分两排布置，两排储罐之间间距3m，拟设置氮封固定顶，平面布置检查见下表：</w:t>
      </w:r>
    </w:p>
    <w:p>
      <w:pPr>
        <w:pStyle w:val="53"/>
        <w:bidi w:val="0"/>
        <w:rPr>
          <w:rFonts w:hint="default"/>
          <w:color w:val="auto"/>
          <w:lang w:val="en-US" w:eastAsia="zh-CN"/>
        </w:rPr>
      </w:pPr>
      <w:r>
        <w:rPr>
          <w:rFonts w:hint="eastAsia"/>
          <w:color w:val="auto"/>
          <w:lang w:val="en-US" w:eastAsia="zh-CN"/>
        </w:rPr>
        <w:t>表C.2-4罐区相邻设施的防火间距</w:t>
      </w:r>
    </w:p>
    <w:tbl>
      <w:tblPr>
        <w:tblStyle w:val="43"/>
        <w:tblW w:w="0" w:type="auto"/>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1335"/>
        <w:gridCol w:w="1200"/>
        <w:gridCol w:w="1575"/>
        <w:gridCol w:w="1140"/>
        <w:gridCol w:w="1020"/>
        <w:gridCol w:w="1635"/>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序号</w:t>
            </w:r>
          </w:p>
        </w:tc>
        <w:tc>
          <w:tcPr>
            <w:tcW w:w="13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color w:val="auto"/>
                <w:sz w:val="21"/>
                <w:szCs w:val="21"/>
                <w:vertAlign w:val="baseline"/>
                <w:lang w:val="en-US" w:eastAsia="zh-CN"/>
              </w:rPr>
            </w:pPr>
            <w:r>
              <w:rPr>
                <w:rFonts w:hint="eastAsia"/>
                <w:color w:val="auto"/>
                <w:sz w:val="21"/>
                <w:szCs w:val="21"/>
                <w:vertAlign w:val="baseline"/>
                <w:lang w:val="en-US" w:eastAsia="zh-CN"/>
              </w:rPr>
              <w:t>设施名称</w:t>
            </w:r>
          </w:p>
        </w:tc>
        <w:tc>
          <w:tcPr>
            <w:tcW w:w="120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相对位置</w:t>
            </w:r>
          </w:p>
        </w:tc>
        <w:tc>
          <w:tcPr>
            <w:tcW w:w="157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相邻设施名称</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标准间距（m）</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140" w:leftChars="-50" w:right="-140" w:rightChars="-5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拟建间距（m）</w:t>
            </w:r>
          </w:p>
        </w:tc>
        <w:tc>
          <w:tcPr>
            <w:tcW w:w="1635" w:type="dxa"/>
            <w:vAlign w:val="center"/>
          </w:tcPr>
          <w:p>
            <w:pPr>
              <w:bidi w:val="0"/>
              <w:spacing w:line="240" w:lineRule="auto"/>
              <w:jc w:val="center"/>
              <w:rPr>
                <w:rFonts w:hint="eastAsia"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检查依据</w:t>
            </w:r>
          </w:p>
        </w:tc>
        <w:tc>
          <w:tcPr>
            <w:tcW w:w="675" w:type="dxa"/>
            <w:vAlign w:val="center"/>
          </w:tcPr>
          <w:p>
            <w:pPr>
              <w:bidi w:val="0"/>
              <w:spacing w:line="240" w:lineRule="auto"/>
              <w:jc w:val="center"/>
              <w:rPr>
                <w:rFonts w:hint="eastAsia"/>
                <w:color w:val="auto"/>
                <w:sz w:val="21"/>
                <w:szCs w:val="21"/>
                <w:vertAlign w:val="baseline"/>
                <w:lang w:val="en-US" w:eastAsia="zh-CN"/>
              </w:rPr>
            </w:pPr>
            <w:r>
              <w:rPr>
                <w:rFonts w:hint="eastAsia"/>
                <w:color w:val="auto"/>
                <w:sz w:val="21"/>
                <w:szCs w:val="21"/>
                <w:vertAlign w:val="baseline"/>
                <w:lang w:val="en-US" w:eastAsia="zh-CN"/>
              </w:rPr>
              <w:t>检查结论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1</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20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北（南）</w:t>
            </w:r>
          </w:p>
        </w:tc>
        <w:tc>
          <w:tcPr>
            <w:tcW w:w="157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vertAlign w:val="baseline"/>
                <w:lang w:val="en-US" w:eastAsia="zh-CN"/>
              </w:rPr>
              <w:t>0.4D=1.72</w:t>
            </w:r>
          </w:p>
        </w:tc>
        <w:tc>
          <w:tcPr>
            <w:tcW w:w="1020"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3</w:t>
            </w:r>
          </w:p>
        </w:tc>
        <w:tc>
          <w:tcPr>
            <w:tcW w:w="163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olor w:val="auto"/>
                <w:sz w:val="21"/>
                <w:szCs w:val="21"/>
              </w:rPr>
              <w:t>《精细化工企业工程设计防火标准》第 6.2.6 条</w:t>
            </w:r>
          </w:p>
        </w:tc>
        <w:tc>
          <w:tcPr>
            <w:tcW w:w="675" w:type="dxa"/>
            <w:vAlign w:val="center"/>
          </w:tcPr>
          <w:p>
            <w:pPr>
              <w:bidi w:val="0"/>
              <w:spacing w:line="240" w:lineRule="auto"/>
              <w:jc w:val="center"/>
              <w:rPr>
                <w:rFonts w:hint="default" w:ascii="Times New Roman" w:hAnsi="Times New Roman" w:eastAsia="宋体" w:cs="Times New Roman"/>
                <w:color w:val="auto"/>
                <w:kern w:val="2"/>
                <w:sz w:val="21"/>
                <w:szCs w:val="21"/>
                <w:vertAlign w:val="baseline"/>
                <w:lang w:val="en-US" w:eastAsia="zh-CN" w:bidi="ar-SA"/>
              </w:rPr>
            </w:pPr>
            <w:r>
              <w:rPr>
                <w:rFonts w:hint="eastAsia" w:cs="Times New Roman"/>
                <w:color w:val="auto"/>
                <w:kern w:val="2"/>
                <w:sz w:val="21"/>
                <w:szCs w:val="21"/>
                <w:vertAlign w:val="baseline"/>
                <w:lang w:val="en-US" w:eastAsia="zh-CN" w:bidi="ar-SA"/>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7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20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东（西）</w:t>
            </w:r>
          </w:p>
        </w:tc>
        <w:tc>
          <w:tcPr>
            <w:tcW w:w="157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0.4D=1.72</w:t>
            </w:r>
          </w:p>
        </w:tc>
        <w:tc>
          <w:tcPr>
            <w:tcW w:w="102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2.5</w:t>
            </w:r>
          </w:p>
        </w:tc>
        <w:tc>
          <w:tcPr>
            <w:tcW w:w="16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rPr>
              <w:t>《精细化工企业工程设计防火标准》第 6.2.6 条</w:t>
            </w:r>
          </w:p>
        </w:tc>
        <w:tc>
          <w:tcPr>
            <w:tcW w:w="67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33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防火堤</w:t>
            </w:r>
          </w:p>
        </w:tc>
        <w:tc>
          <w:tcPr>
            <w:tcW w:w="120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四周</w:t>
            </w:r>
          </w:p>
        </w:tc>
        <w:tc>
          <w:tcPr>
            <w:tcW w:w="1575"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储罐</w:t>
            </w:r>
          </w:p>
        </w:tc>
        <w:tc>
          <w:tcPr>
            <w:tcW w:w="114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8"/>
                <w:szCs w:val="28"/>
                <w:vertAlign w:val="baseline"/>
                <w:lang w:val="en-US" w:eastAsia="zh-CN"/>
              </w:rPr>
              <w:t>½H</w:t>
            </w:r>
            <w:r>
              <w:rPr>
                <w:rFonts w:hint="eastAsia"/>
                <w:color w:val="auto"/>
                <w:sz w:val="21"/>
                <w:szCs w:val="21"/>
                <w:vertAlign w:val="subscript"/>
                <w:lang w:val="en-US" w:eastAsia="zh-CN"/>
              </w:rPr>
              <w:t>罐壁</w:t>
            </w:r>
            <w:r>
              <w:rPr>
                <w:rFonts w:hint="eastAsia"/>
                <w:color w:val="auto"/>
                <w:sz w:val="21"/>
                <w:szCs w:val="21"/>
                <w:vertAlign w:val="baseline"/>
                <w:lang w:val="en-US" w:eastAsia="zh-CN"/>
              </w:rPr>
              <w:t>=3</w:t>
            </w:r>
          </w:p>
        </w:tc>
        <w:tc>
          <w:tcPr>
            <w:tcW w:w="1020" w:type="dxa"/>
            <w:vAlign w:val="center"/>
          </w:tcPr>
          <w:p>
            <w:pPr>
              <w:bidi w:val="0"/>
              <w:spacing w:line="240" w:lineRule="auto"/>
              <w:jc w:val="center"/>
              <w:rPr>
                <w:rFonts w:hint="default"/>
                <w:color w:val="auto"/>
                <w:sz w:val="21"/>
                <w:szCs w:val="21"/>
                <w:vertAlign w:val="baseline"/>
                <w:lang w:val="en-US" w:eastAsia="zh-CN"/>
              </w:rPr>
            </w:pPr>
            <w:r>
              <w:rPr>
                <w:rFonts w:hint="eastAsia"/>
                <w:color w:val="auto"/>
                <w:sz w:val="21"/>
                <w:szCs w:val="21"/>
                <w:vertAlign w:val="baseline"/>
                <w:lang w:val="en-US" w:eastAsia="zh-CN"/>
              </w:rPr>
              <w:t>3.2</w:t>
            </w:r>
          </w:p>
        </w:tc>
        <w:tc>
          <w:tcPr>
            <w:tcW w:w="1635" w:type="dxa"/>
            <w:vAlign w:val="center"/>
          </w:tcPr>
          <w:p>
            <w:pPr>
              <w:bidi w:val="0"/>
              <w:spacing w:line="240" w:lineRule="auto"/>
              <w:jc w:val="center"/>
              <w:rPr>
                <w:rFonts w:hint="default"/>
                <w:color w:val="auto"/>
                <w:sz w:val="21"/>
                <w:szCs w:val="21"/>
                <w:lang w:val="en-US" w:eastAsia="zh-CN"/>
              </w:rPr>
            </w:pPr>
            <w:r>
              <w:rPr>
                <w:rFonts w:hint="eastAsia"/>
                <w:color w:val="auto"/>
                <w:sz w:val="21"/>
                <w:szCs w:val="21"/>
              </w:rPr>
              <w:t>《精细化工企业工程设计防火标准》</w:t>
            </w:r>
            <w:r>
              <w:rPr>
                <w:rFonts w:hint="eastAsia"/>
                <w:color w:val="auto"/>
                <w:sz w:val="21"/>
                <w:szCs w:val="21"/>
                <w:lang w:val="en-US" w:eastAsia="zh-CN"/>
              </w:rPr>
              <w:t>第6.2.12条</w:t>
            </w:r>
          </w:p>
        </w:tc>
        <w:tc>
          <w:tcPr>
            <w:tcW w:w="675" w:type="dxa"/>
            <w:vAlign w:val="center"/>
          </w:tcPr>
          <w:p>
            <w:pPr>
              <w:bidi w:val="0"/>
              <w:spacing w:line="240" w:lineRule="auto"/>
              <w:jc w:val="center"/>
              <w:rPr>
                <w:rFonts w:hint="eastAsia"/>
                <w:color w:val="auto"/>
                <w:sz w:val="21"/>
                <w:szCs w:val="21"/>
                <w:vertAlign w:val="baseline"/>
                <w:lang w:val="en-US" w:eastAsia="zh-CN"/>
              </w:rPr>
            </w:pPr>
            <w:r>
              <w:rPr>
                <w:rFonts w:hint="eastAsia"/>
                <w:color w:val="auto"/>
                <w:sz w:val="21"/>
                <w:szCs w:val="21"/>
                <w:vertAlign w:val="baseline"/>
                <w:lang w:val="en-US" w:eastAsia="zh-CN"/>
              </w:rPr>
              <w:t>符合要求</w:t>
            </w:r>
          </w:p>
        </w:tc>
      </w:tr>
    </w:tbl>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罐区内平面布置符合《精细化工企业工程设计防火标准》（GB51283-2020）</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的要求。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3）平面布置及建构筑物单元</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评价组根据《工业企业总平面设计规范》《化工企业安全卫生设计规定》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《精细化工企业工程设计防火标准》《建筑设计防火规范》《化工企业总图运输设计规范》等对该项目建构筑物的平面布置、管道敷设等是否符合规范、</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标准的要求进行检查，检查内容见表 C.2-5。</w:t>
      </w:r>
    </w:p>
    <w:p>
      <w:pPr>
        <w:pStyle w:val="53"/>
        <w:rPr>
          <w:rFonts w:hint="eastAsia"/>
          <w:color w:val="auto"/>
          <w:lang w:val="en-US" w:eastAsia="zh-CN"/>
        </w:rPr>
      </w:pPr>
      <w:r>
        <w:rPr>
          <w:rFonts w:hint="eastAsia"/>
          <w:color w:val="auto"/>
          <w:lang w:val="en-US" w:eastAsia="zh-CN"/>
        </w:rPr>
        <w:t>表 C.2-5 平面布置及建构筑物单元安全检查表</w:t>
      </w:r>
    </w:p>
    <w:tbl>
      <w:tblPr>
        <w:tblStyle w:val="42"/>
        <w:tblW w:w="95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4275"/>
        <w:gridCol w:w="806"/>
        <w:gridCol w:w="1561"/>
        <w:gridCol w:w="2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序</w:t>
            </w:r>
            <w:r>
              <w:rPr>
                <w:rFonts w:hint="eastAsia"/>
                <w:color w:val="auto"/>
                <w:lang w:val="en-US" w:eastAsia="zh-CN"/>
              </w:rPr>
              <w:br w:type="textWrapping"/>
            </w:r>
            <w:r>
              <w:rPr>
                <w:rFonts w:hint="eastAsia"/>
                <w:color w:val="auto"/>
                <w:lang w:val="en-US" w:eastAsia="zh-CN"/>
              </w:rPr>
              <w:t>号</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检查项目和内容</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w:t>
            </w:r>
            <w:r>
              <w:rPr>
                <w:rFonts w:hint="eastAsia"/>
                <w:color w:val="auto"/>
                <w:lang w:val="en-US" w:eastAsia="zh-CN"/>
              </w:rPr>
              <w:br w:type="textWrapping"/>
            </w:r>
            <w:r>
              <w:rPr>
                <w:rFonts w:hint="eastAsia"/>
                <w:color w:val="auto"/>
                <w:lang w:val="en-US" w:eastAsia="zh-CN"/>
              </w:rPr>
              <w:t>结果</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检查依据</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检查记录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5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总平面布置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总平面布置，应在总体规划的基础上，根</w:t>
            </w:r>
            <w:r>
              <w:rPr>
                <w:rFonts w:hint="eastAsia"/>
                <w:color w:val="auto"/>
                <w:lang w:val="en-US" w:eastAsia="zh-CN"/>
              </w:rPr>
              <w:br w:type="textWrapping"/>
            </w:r>
            <w:r>
              <w:rPr>
                <w:rFonts w:hint="eastAsia"/>
                <w:color w:val="auto"/>
                <w:lang w:val="en-US" w:eastAsia="zh-CN"/>
              </w:rPr>
              <w:t>据工业企业的性质、规模、生产流程、交</w:t>
            </w:r>
            <w:r>
              <w:rPr>
                <w:rFonts w:hint="eastAsia"/>
                <w:color w:val="auto"/>
                <w:lang w:val="en-US" w:eastAsia="zh-CN"/>
              </w:rPr>
              <w:br w:type="textWrapping"/>
            </w:r>
            <w:r>
              <w:rPr>
                <w:rFonts w:hint="eastAsia"/>
                <w:color w:val="auto"/>
                <w:lang w:val="en-US" w:eastAsia="zh-CN"/>
              </w:rPr>
              <w:t>通运输、环境保护，以及防火、安全、卫</w:t>
            </w:r>
            <w:r>
              <w:rPr>
                <w:rFonts w:hint="eastAsia"/>
                <w:color w:val="auto"/>
                <w:lang w:val="en-US" w:eastAsia="zh-CN"/>
              </w:rPr>
              <w:br w:type="textWrapping"/>
            </w:r>
            <w:r>
              <w:rPr>
                <w:rFonts w:hint="eastAsia"/>
                <w:color w:val="auto"/>
                <w:lang w:val="en-US" w:eastAsia="zh-CN"/>
              </w:rPr>
              <w:t>生、节能、施工、检修、厂区发展等要求，</w:t>
            </w:r>
            <w:r>
              <w:rPr>
                <w:rFonts w:hint="eastAsia"/>
                <w:color w:val="auto"/>
                <w:lang w:val="en-US" w:eastAsia="zh-CN"/>
              </w:rPr>
              <w:br w:type="textWrapping"/>
            </w:r>
            <w:r>
              <w:rPr>
                <w:rFonts w:hint="eastAsia"/>
                <w:color w:val="auto"/>
                <w:lang w:val="en-US" w:eastAsia="zh-CN"/>
              </w:rPr>
              <w:t>结合场地自然件，经技术经济比较后择优</w:t>
            </w:r>
            <w:r>
              <w:rPr>
                <w:rFonts w:hint="eastAsia"/>
                <w:color w:val="auto"/>
                <w:lang w:val="en-US" w:eastAsia="zh-CN"/>
              </w:rPr>
              <w:br w:type="textWrapping"/>
            </w:r>
            <w:r>
              <w:rPr>
                <w:rFonts w:hint="eastAsia"/>
                <w:color w:val="auto"/>
                <w:lang w:val="en-US" w:eastAsia="zh-CN"/>
              </w:rPr>
              <w:t>确定。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平面设计规范》第5.1.1条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根据生产流程、安全的</w:t>
            </w:r>
            <w:r>
              <w:rPr>
                <w:rFonts w:hint="eastAsia"/>
                <w:color w:val="auto"/>
                <w:lang w:val="en-US" w:eastAsia="zh-CN"/>
              </w:rPr>
              <w:br w:type="textWrapping"/>
            </w:r>
            <w:r>
              <w:rPr>
                <w:rFonts w:hint="eastAsia"/>
                <w:color w:val="auto"/>
                <w:lang w:val="en-US" w:eastAsia="zh-CN"/>
              </w:rPr>
              <w:t>要求，结合场地自然条</w:t>
            </w:r>
            <w:r>
              <w:rPr>
                <w:rFonts w:hint="eastAsia"/>
                <w:color w:val="auto"/>
                <w:lang w:val="en-US" w:eastAsia="zh-CN"/>
              </w:rPr>
              <w:br w:type="textWrapping"/>
            </w:r>
            <w:r>
              <w:rPr>
                <w:rFonts w:hint="eastAsia"/>
                <w:color w:val="auto"/>
                <w:lang w:val="en-US" w:eastAsia="zh-CN"/>
              </w:rPr>
              <w:t>件，经技术经济比较后</w:t>
            </w:r>
            <w:r>
              <w:rPr>
                <w:rFonts w:hint="eastAsia"/>
                <w:color w:val="auto"/>
                <w:lang w:val="en-US" w:eastAsia="zh-CN"/>
              </w:rPr>
              <w:br w:type="textWrapping"/>
            </w:r>
            <w:r>
              <w:rPr>
                <w:rFonts w:hint="eastAsia"/>
                <w:color w:val="auto"/>
                <w:lang w:val="en-US" w:eastAsia="zh-CN"/>
              </w:rPr>
              <w:t>择优确定。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总平面布置应节约集约用地，提高土地利</w:t>
            </w:r>
            <w:r>
              <w:rPr>
                <w:rFonts w:hint="eastAsia"/>
                <w:color w:val="auto"/>
                <w:lang w:val="en-US" w:eastAsia="zh-CN"/>
              </w:rPr>
              <w:br w:type="textWrapping"/>
            </w:r>
            <w:r>
              <w:rPr>
                <w:rFonts w:hint="eastAsia"/>
                <w:color w:val="auto"/>
                <w:lang w:val="en-US" w:eastAsia="zh-CN"/>
              </w:rPr>
              <w:t>用率。布置时并应符合下列要求：1 在符</w:t>
            </w:r>
            <w:r>
              <w:rPr>
                <w:rFonts w:hint="eastAsia"/>
                <w:color w:val="auto"/>
                <w:lang w:val="en-US" w:eastAsia="zh-CN"/>
              </w:rPr>
              <w:br w:type="textWrapping"/>
            </w:r>
            <w:r>
              <w:rPr>
                <w:rFonts w:hint="eastAsia"/>
                <w:color w:val="auto"/>
                <w:lang w:val="en-US" w:eastAsia="zh-CN"/>
              </w:rPr>
              <w:t>合生产流程、操作要求和使用功能的前提</w:t>
            </w:r>
            <w:r>
              <w:rPr>
                <w:rFonts w:hint="eastAsia"/>
                <w:color w:val="auto"/>
                <w:lang w:val="en-US" w:eastAsia="zh-CN"/>
              </w:rPr>
              <w:br w:type="textWrapping"/>
            </w:r>
            <w:r>
              <w:rPr>
                <w:rFonts w:hint="eastAsia"/>
                <w:color w:val="auto"/>
                <w:lang w:val="en-US" w:eastAsia="zh-CN"/>
              </w:rPr>
              <w:t>下，建筑物、构筑物等设施，应采用联合、</w:t>
            </w:r>
            <w:r>
              <w:rPr>
                <w:rFonts w:hint="eastAsia"/>
                <w:color w:val="auto"/>
                <w:lang w:val="en-US" w:eastAsia="zh-CN"/>
              </w:rPr>
              <w:br w:type="textWrapping"/>
            </w:r>
            <w:r>
              <w:rPr>
                <w:rFonts w:hint="eastAsia"/>
                <w:color w:val="auto"/>
                <w:lang w:val="en-US" w:eastAsia="zh-CN"/>
              </w:rPr>
              <w:t>集中、多层布置：2应按企业规模和功能</w:t>
            </w:r>
            <w:r>
              <w:rPr>
                <w:rFonts w:hint="eastAsia"/>
                <w:color w:val="auto"/>
                <w:lang w:val="en-US" w:eastAsia="zh-CN"/>
              </w:rPr>
              <w:br w:type="textWrapping"/>
            </w:r>
            <w:r>
              <w:rPr>
                <w:rFonts w:hint="eastAsia"/>
                <w:color w:val="auto"/>
                <w:lang w:val="en-US" w:eastAsia="zh-CN"/>
              </w:rPr>
              <w:t>分区，合理地确定通道宽度：3厂区功能</w:t>
            </w:r>
            <w:r>
              <w:rPr>
                <w:rFonts w:hint="eastAsia"/>
                <w:color w:val="auto"/>
                <w:lang w:val="en-US" w:eastAsia="zh-CN"/>
              </w:rPr>
              <w:br w:type="textWrapping"/>
            </w:r>
            <w:r>
              <w:rPr>
                <w:rFonts w:hint="eastAsia"/>
                <w:color w:val="auto"/>
                <w:lang w:val="en-US" w:eastAsia="zh-CN"/>
              </w:rPr>
              <w:t>分区及建筑物、构筑物的外形宜规整：4</w:t>
            </w:r>
            <w:r>
              <w:rPr>
                <w:rFonts w:hint="eastAsia"/>
                <w:color w:val="auto"/>
                <w:lang w:val="en-US" w:eastAsia="zh-CN"/>
              </w:rPr>
              <w:br w:type="textWrapping"/>
            </w:r>
            <w:r>
              <w:rPr>
                <w:rFonts w:hint="eastAsia"/>
                <w:color w:val="auto"/>
                <w:lang w:val="en-US" w:eastAsia="zh-CN"/>
              </w:rPr>
              <w:t>功能分区内各项设施的布置，应絮凑、合</w:t>
            </w:r>
            <w:r>
              <w:rPr>
                <w:rFonts w:hint="eastAsia"/>
                <w:color w:val="auto"/>
                <w:lang w:val="en-US" w:eastAsia="zh-CN"/>
              </w:rPr>
              <w:br w:type="textWrapping"/>
            </w:r>
            <w:r>
              <w:rPr>
                <w:rFonts w:hint="eastAsia"/>
                <w:color w:val="auto"/>
                <w:lang w:val="en-US" w:eastAsia="zh-CN"/>
              </w:rPr>
              <w:t>理。</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平面设计规范》第5.1.2条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建筑物、构筑物等设施，</w:t>
            </w:r>
            <w:r>
              <w:rPr>
                <w:rFonts w:hint="eastAsia"/>
                <w:color w:val="auto"/>
                <w:lang w:val="en-US" w:eastAsia="zh-CN"/>
              </w:rPr>
              <w:br w:type="textWrapping"/>
            </w:r>
            <w:r>
              <w:rPr>
                <w:rFonts w:hint="eastAsia"/>
                <w:color w:val="auto"/>
                <w:lang w:val="en-US" w:eastAsia="zh-CN"/>
              </w:rPr>
              <w:t>采用集中布置，进行功</w:t>
            </w:r>
            <w:r>
              <w:rPr>
                <w:rFonts w:hint="eastAsia"/>
                <w:color w:val="auto"/>
                <w:lang w:val="en-US" w:eastAsia="zh-CN"/>
              </w:rPr>
              <w:br w:type="textWrapping"/>
            </w:r>
            <w:r>
              <w:rPr>
                <w:rFonts w:hint="eastAsia"/>
                <w:color w:val="auto"/>
                <w:lang w:val="en-US" w:eastAsia="zh-CN"/>
              </w:rPr>
              <w:t>能分区，合理地确定通</w:t>
            </w:r>
            <w:r>
              <w:rPr>
                <w:rFonts w:hint="eastAsia"/>
                <w:color w:val="auto"/>
                <w:lang w:val="en-US" w:eastAsia="zh-CN"/>
              </w:rPr>
              <w:br w:type="textWrapping"/>
            </w:r>
            <w:r>
              <w:rPr>
                <w:rFonts w:hint="eastAsia"/>
                <w:color w:val="auto"/>
                <w:lang w:val="en-US" w:eastAsia="zh-CN"/>
              </w:rPr>
              <w:t>道宽度。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总平面布置应充分利用地形、地势、工程地质及水文地质条件，布置建筑物、构筑物和有关设施，应减少土（石）方工程量和基础工程费用，并应符合卜列规定：</w:t>
            </w:r>
            <w:r>
              <w:rPr>
                <w:rFonts w:hint="eastAsia"/>
                <w:color w:val="auto"/>
                <w:lang w:val="en-US" w:eastAsia="zh-CN"/>
              </w:rPr>
              <w:br w:type="textWrapping"/>
            </w:r>
            <w:r>
              <w:rPr>
                <w:rFonts w:hint="eastAsia"/>
                <w:color w:val="auto"/>
                <w:lang w:val="en-US" w:eastAsia="zh-CN"/>
              </w:rPr>
              <w:t>1．当厂区地形坡度较大时，建筑物、构筑物的长轴宜顺等高线布置。</w:t>
            </w:r>
            <w:r>
              <w:rPr>
                <w:rFonts w:hint="eastAsia"/>
                <w:color w:val="auto"/>
                <w:lang w:val="en-US" w:eastAsia="zh-CN"/>
              </w:rPr>
              <w:br w:type="textWrapping"/>
            </w:r>
            <w:r>
              <w:rPr>
                <w:rFonts w:hint="eastAsia"/>
                <w:color w:val="auto"/>
                <w:lang w:val="en-US" w:eastAsia="zh-CN"/>
              </w:rPr>
              <w:t>2．应结合地形及竖向设计，为物料采用自流管道及高站台、低货位等设施创造条件。</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平面设计规范》第5.1.6条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采用平坡式布置。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4</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总平面布置应防止高温、有害气体、烟、雾、粉尘、强烈振动和高噪声对周围环境和人身安全的危害，并应符合国家现行有关工业企业卫生设计标准的规定。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平面设计规范》第5.1.7条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拟按要求进行布置。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8" w:hRule="atLeast"/>
        </w:trPr>
        <w:tc>
          <w:tcPr>
            <w:tcW w:w="524"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5</w:t>
            </w:r>
          </w:p>
        </w:tc>
        <w:tc>
          <w:tcPr>
            <w:tcW w:w="4275"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lang w:val="en-US" w:eastAsia="zh-CN"/>
              </w:rPr>
            </w:pPr>
            <w:r>
              <w:rPr>
                <w:rFonts w:hint="eastAsia"/>
                <w:color w:val="auto"/>
                <w:lang w:val="en-US" w:eastAsia="zh-CN"/>
              </w:rPr>
              <w:t>总平面布置，应合理地组织货流和人流，</w:t>
            </w:r>
          </w:p>
          <w:p>
            <w:pPr>
              <w:pStyle w:val="59"/>
              <w:keepNext w:val="0"/>
              <w:keepLines w:val="0"/>
              <w:widowControl/>
              <w:suppressLineNumbers w:val="0"/>
              <w:jc w:val="both"/>
              <w:textAlignment w:val="center"/>
              <w:rPr>
                <w:rFonts w:hint="eastAsia"/>
                <w:color w:val="auto"/>
              </w:rPr>
            </w:pPr>
            <w:r>
              <w:rPr>
                <w:rFonts w:hint="eastAsia"/>
                <w:color w:val="auto"/>
                <w:lang w:val="en-US" w:eastAsia="zh-CN"/>
              </w:rPr>
              <w:t>并应符合下列要求：</w:t>
            </w:r>
            <w:r>
              <w:rPr>
                <w:rFonts w:hint="eastAsia"/>
                <w:color w:val="auto"/>
                <w:lang w:val="en-US" w:eastAsia="zh-CN"/>
              </w:rPr>
              <w:br w:type="textWrapping"/>
            </w:r>
            <w:r>
              <w:rPr>
                <w:rFonts w:hint="eastAsia"/>
                <w:color w:val="auto"/>
                <w:lang w:val="en-US" w:eastAsia="zh-CN"/>
              </w:rPr>
              <w:t>1 运输线路的布置，应保证物流顺畅、径路短捷、不折返；</w:t>
            </w:r>
            <w:r>
              <w:rPr>
                <w:rFonts w:hint="eastAsia"/>
                <w:color w:val="auto"/>
                <w:lang w:val="en-US" w:eastAsia="zh-CN"/>
              </w:rPr>
              <w:br w:type="textWrapping"/>
            </w:r>
            <w:r>
              <w:rPr>
                <w:rFonts w:hint="eastAsia"/>
                <w:color w:val="auto"/>
                <w:lang w:val="en-US" w:eastAsia="zh-CN"/>
              </w:rPr>
              <w:t>2应避免运输繁忙的铁路与道路平面交义：</w:t>
            </w:r>
            <w:r>
              <w:rPr>
                <w:rFonts w:hint="eastAsia"/>
                <w:color w:val="auto"/>
                <w:lang w:val="en-US" w:eastAsia="zh-CN"/>
              </w:rPr>
              <w:br w:type="textWrapping"/>
            </w:r>
            <w:r>
              <w:rPr>
                <w:rFonts w:hint="eastAsia"/>
                <w:color w:val="auto"/>
                <w:lang w:val="en-US" w:eastAsia="zh-CN"/>
              </w:rPr>
              <w:t>3 应使人、货分流，应避免运输繁忙的货流与人流交叉：</w:t>
            </w:r>
            <w:r>
              <w:rPr>
                <w:rFonts w:hint="eastAsia"/>
                <w:color w:val="auto"/>
                <w:lang w:val="en-US" w:eastAsia="zh-CN"/>
              </w:rPr>
              <w:br w:type="textWrapping"/>
            </w:r>
            <w:r>
              <w:rPr>
                <w:rFonts w:hint="eastAsia"/>
                <w:color w:val="auto"/>
                <w:lang w:val="en-US" w:eastAsia="zh-CN"/>
              </w:rPr>
              <w:t>4 应避免进出厂的主要货流与企业外部交通干线的平面交叉。</w:t>
            </w:r>
          </w:p>
        </w:tc>
        <w:tc>
          <w:tcPr>
            <w:tcW w:w="806"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lang w:val="en-US" w:eastAsia="zh-CN"/>
              </w:rPr>
            </w:pPr>
            <w:r>
              <w:rPr>
                <w:rFonts w:hint="eastAsia"/>
                <w:color w:val="auto"/>
                <w:lang w:val="en-US" w:eastAsia="zh-CN"/>
              </w:rPr>
              <w:t>符合</w:t>
            </w:r>
          </w:p>
          <w:p>
            <w:pPr>
              <w:pStyle w:val="59"/>
              <w:keepNext w:val="0"/>
              <w:keepLines w:val="0"/>
              <w:widowControl/>
              <w:suppressLineNumbers w:val="0"/>
              <w:jc w:val="center"/>
              <w:textAlignment w:val="center"/>
              <w:rPr>
                <w:rFonts w:hint="eastAsia"/>
                <w:color w:val="auto"/>
              </w:rPr>
            </w:pPr>
            <w:r>
              <w:rPr>
                <w:rFonts w:hint="eastAsia"/>
                <w:color w:val="auto"/>
                <w:lang w:val="en-US" w:eastAsia="zh-CN"/>
              </w:rPr>
              <w:t>要求</w:t>
            </w:r>
          </w:p>
        </w:tc>
        <w:tc>
          <w:tcPr>
            <w:tcW w:w="1561"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lang w:val="en-US" w:eastAsia="zh-CN"/>
              </w:rPr>
            </w:pPr>
            <w:r>
              <w:rPr>
                <w:rFonts w:hint="eastAsia"/>
                <w:color w:val="auto"/>
                <w:lang w:val="en-US" w:eastAsia="zh-CN"/>
              </w:rPr>
              <w:t>《工业企业总</w:t>
            </w:r>
          </w:p>
          <w:p>
            <w:pPr>
              <w:pStyle w:val="59"/>
              <w:keepNext w:val="0"/>
              <w:keepLines w:val="0"/>
              <w:widowControl/>
              <w:suppressLineNumbers w:val="0"/>
              <w:jc w:val="both"/>
              <w:textAlignment w:val="center"/>
              <w:rPr>
                <w:rFonts w:hint="eastAsia"/>
                <w:color w:val="auto"/>
              </w:rPr>
            </w:pPr>
            <w:r>
              <w:rPr>
                <w:rFonts w:hint="eastAsia"/>
                <w:color w:val="auto"/>
                <w:lang w:val="en-US" w:eastAsia="zh-CN"/>
              </w:rPr>
              <w:t>平面设计规范》第5.1.8条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人、货流分开，货流、人流不交叉，不与外部交通干线平面交叉，符合要求。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6</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总平面布置应使建筑群体的平面布置与空间景观相协调，并应结合城镇规划及厂区绿化，提高环境质量，创造良好的生产条件和整洁友好的工作环境。</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平面设计规范》第5.1.9条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进行绿化。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9"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7</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大型建筑物、构筑物，重型设备和生产装置等，应布置在土质均、地基承载力较大的地段：对较大、较深的地下建筑物质、构筑物，宜布置在地下水位较低的填方地段。</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平面设计规范》第5.2.1条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场地土质均匀、地基承</w:t>
            </w:r>
            <w:r>
              <w:rPr>
                <w:rFonts w:hint="eastAsia"/>
                <w:color w:val="auto"/>
                <w:lang w:val="en-US" w:eastAsia="zh-CN"/>
              </w:rPr>
              <w:br w:type="textWrapping"/>
            </w:r>
            <w:r>
              <w:rPr>
                <w:rFonts w:hint="eastAsia"/>
                <w:color w:val="auto"/>
                <w:lang w:val="en-US" w:eastAsia="zh-CN"/>
              </w:rPr>
              <w:t>载力较大，无较大、较深的地下建筑。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8</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易燃、易爆危险品生产设施的布置，应保证生产人员的安全操作及疏散方便，并应符合国家现行的有关标准的规定。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设计</w:t>
            </w:r>
            <w:r>
              <w:rPr>
                <w:rFonts w:hint="eastAsia"/>
                <w:color w:val="auto"/>
                <w:lang w:val="en-US" w:eastAsia="zh-CN"/>
              </w:rPr>
              <w:br w:type="textWrapping"/>
            </w:r>
            <w:r>
              <w:rPr>
                <w:rFonts w:hint="eastAsia"/>
                <w:color w:val="auto"/>
                <w:lang w:val="en-US" w:eastAsia="zh-CN"/>
              </w:rPr>
              <w:t>时应</w:t>
            </w:r>
            <w:r>
              <w:rPr>
                <w:rFonts w:hint="eastAsia"/>
                <w:color w:val="auto"/>
                <w:lang w:val="en-US" w:eastAsia="zh-CN"/>
              </w:rPr>
              <w:br w:type="textWrapping"/>
            </w:r>
            <w:r>
              <w:rPr>
                <w:rFonts w:hint="eastAsia"/>
                <w:color w:val="auto"/>
                <w:lang w:val="en-US" w:eastAsia="zh-CN"/>
              </w:rPr>
              <w:t>考虑</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平面设计规范》第5.2.7条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可未明确。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9</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动力及公用设施的布置，宜位于其负荷中心，或靠近主要用户。</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平面设计规范》第5.3.1条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靠近主要用户。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10</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仓库与堆场应根据贮存物料的性质、货流出入方向、供应对象、贮存面积、运输方式等因素，按不同类别相对集中布置，并应为运输、装卸、管理创造有利条件，且应符合国家现行有关防火、防爆、安全、卫生等标准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 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平面设计规范》第5.6.1条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仓库按存储物料性质集</w:t>
            </w:r>
            <w:r>
              <w:rPr>
                <w:rFonts w:hint="eastAsia"/>
                <w:color w:val="auto"/>
                <w:lang w:val="en-US" w:eastAsia="zh-CN"/>
              </w:rPr>
              <w:br w:type="textWrapping"/>
            </w:r>
            <w:r>
              <w:rPr>
                <w:rFonts w:hint="eastAsia"/>
                <w:color w:val="auto"/>
                <w:lang w:val="en-US" w:eastAsia="zh-CN"/>
              </w:rPr>
              <w:t>中布置。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11</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火灾危险性属于甲、乙、丙类液体罐区的</w:t>
            </w:r>
            <w:r>
              <w:rPr>
                <w:rFonts w:hint="eastAsia"/>
                <w:color w:val="auto"/>
                <w:lang w:val="en-US" w:eastAsia="zh-CN"/>
              </w:rPr>
              <w:br w:type="textWrapping"/>
            </w:r>
            <w:r>
              <w:rPr>
                <w:rFonts w:hint="eastAsia"/>
                <w:color w:val="auto"/>
                <w:lang w:val="en-US" w:eastAsia="zh-CN"/>
              </w:rPr>
              <w:t>布置，应符合下列规定：</w:t>
            </w:r>
            <w:r>
              <w:rPr>
                <w:rFonts w:hint="eastAsia"/>
                <w:color w:val="auto"/>
                <w:lang w:val="en-US" w:eastAsia="zh-CN"/>
              </w:rPr>
              <w:br w:type="textWrapping"/>
            </w:r>
            <w:r>
              <w:rPr>
                <w:rFonts w:hint="eastAsia"/>
                <w:color w:val="auto"/>
                <w:lang w:val="en-US" w:eastAsia="zh-CN"/>
              </w:rPr>
              <w:t>1．宜位于企业边缘的安全地带，且地势较低而不窝风的独立地段。</w:t>
            </w:r>
            <w:r>
              <w:rPr>
                <w:rFonts w:hint="eastAsia"/>
                <w:color w:val="auto"/>
                <w:lang w:val="en-US" w:eastAsia="zh-CN"/>
              </w:rPr>
              <w:br w:type="textWrapping"/>
            </w:r>
            <w:r>
              <w:rPr>
                <w:rFonts w:hint="eastAsia"/>
                <w:color w:val="auto"/>
                <w:lang w:val="en-US" w:eastAsia="zh-CN"/>
              </w:rPr>
              <w:t>2．应远离明火或散发火花的地点。</w:t>
            </w:r>
            <w:r>
              <w:rPr>
                <w:rFonts w:hint="eastAsia"/>
                <w:color w:val="auto"/>
                <w:lang w:val="en-US" w:eastAsia="zh-CN"/>
              </w:rPr>
              <w:br w:type="textWrapping"/>
            </w:r>
            <w:r>
              <w:rPr>
                <w:rFonts w:hint="eastAsia"/>
                <w:color w:val="auto"/>
                <w:lang w:val="en-US" w:eastAsia="zh-CN"/>
              </w:rPr>
              <w:t>3．架空供电线严禁跨越罐区。</w:t>
            </w:r>
            <w:r>
              <w:rPr>
                <w:rFonts w:hint="eastAsia"/>
                <w:color w:val="auto"/>
                <w:lang w:val="en-US" w:eastAsia="zh-CN"/>
              </w:rPr>
              <w:br w:type="textWrapping"/>
            </w:r>
            <w:r>
              <w:rPr>
                <w:rFonts w:hint="eastAsia"/>
                <w:color w:val="auto"/>
                <w:lang w:val="en-US" w:eastAsia="zh-CN"/>
              </w:rPr>
              <w:t>4．当靠近江、河、海岸边时，应布置在临江、</w:t>
            </w:r>
            <w:r>
              <w:rPr>
                <w:rFonts w:hint="eastAsia"/>
                <w:color w:val="auto"/>
                <w:lang w:val="en-US" w:eastAsia="zh-CN"/>
              </w:rPr>
              <w:br w:type="textWrapping"/>
            </w:r>
            <w:r>
              <w:rPr>
                <w:rFonts w:hint="eastAsia"/>
                <w:color w:val="auto"/>
                <w:lang w:val="en-US" w:eastAsia="zh-CN"/>
              </w:rPr>
              <w:t>河、海的城镇、企业、居住区、码头、桥梁的下游和有防泄漏堤的地段，并应采取防止液体流入江、河、海的措施。</w:t>
            </w:r>
            <w:r>
              <w:rPr>
                <w:rFonts w:hint="eastAsia"/>
                <w:color w:val="auto"/>
                <w:lang w:val="en-US" w:eastAsia="zh-CN"/>
              </w:rPr>
              <w:br w:type="textWrapping"/>
            </w:r>
            <w:r>
              <w:rPr>
                <w:rFonts w:hint="eastAsia"/>
                <w:color w:val="auto"/>
                <w:lang w:val="en-US" w:eastAsia="zh-CN"/>
              </w:rPr>
              <w:t>5．不应布置在高于相邻装置、车间、全厂性</w:t>
            </w:r>
            <w:r>
              <w:rPr>
                <w:rFonts w:hint="eastAsia"/>
                <w:color w:val="auto"/>
                <w:lang w:val="en-US" w:eastAsia="zh-CN"/>
              </w:rPr>
              <w:br w:type="textWrapping"/>
            </w:r>
            <w:r>
              <w:rPr>
                <w:rFonts w:hint="eastAsia"/>
                <w:color w:val="auto"/>
                <w:lang w:val="en-US" w:eastAsia="zh-CN"/>
              </w:rPr>
              <w:t>重要设施及人员集中场所的场地，无法避免时，应采取防止液体漫流的安全措施。</w:t>
            </w:r>
            <w:r>
              <w:rPr>
                <w:rFonts w:hint="eastAsia"/>
                <w:color w:val="auto"/>
                <w:lang w:val="en-US" w:eastAsia="zh-CN"/>
              </w:rPr>
              <w:br w:type="textWrapping"/>
            </w:r>
            <w:r>
              <w:rPr>
                <w:rFonts w:hint="eastAsia"/>
                <w:color w:val="auto"/>
                <w:lang w:val="en-US" w:eastAsia="zh-CN"/>
              </w:rPr>
              <w:t>6．液化烃罐组或可燃液体罐组不宜紧靠排洪沟布置。</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平面设计规范》第5.6.5条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罐区位于企业边缘，远离明火或散发火花的地点，架空供电线未跨越罐区。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12</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管线敷设方式，应根据管线内介质的性质、工艺和材质要求、生产安全、交通运输、施工检修和厂区条件等因索，结合工程的具体情况，经技术经济比较后综合确定，并应符合下列规定：</w:t>
            </w:r>
            <w:r>
              <w:rPr>
                <w:rFonts w:hint="eastAsia"/>
                <w:color w:val="auto"/>
                <w:lang w:val="en-US" w:eastAsia="zh-CN"/>
              </w:rPr>
              <w:br w:type="textWrapping"/>
            </w:r>
            <w:r>
              <w:rPr>
                <w:rFonts w:hint="eastAsia"/>
                <w:color w:val="auto"/>
                <w:lang w:val="en-US" w:eastAsia="zh-CN"/>
              </w:rPr>
              <w:t>1 有可燃性、爆炸危险性、毒性及腐蚀性介质的管道，应采用地上敷设：</w:t>
            </w:r>
            <w:r>
              <w:rPr>
                <w:rFonts w:hint="eastAsia"/>
                <w:color w:val="auto"/>
                <w:lang w:val="en-US" w:eastAsia="zh-CN"/>
              </w:rPr>
              <w:br w:type="textWrapping"/>
            </w:r>
            <w:r>
              <w:rPr>
                <w:rFonts w:hint="eastAsia"/>
                <w:color w:val="auto"/>
                <w:lang w:val="en-US" w:eastAsia="zh-CN"/>
              </w:rPr>
              <w:t>2 在散发比空气重的可燃、有毒性气体的场所，不应采用管沟敷设：必须采用管沟数设时，应采取防止可燃气体在管沟内积聚的措施。</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平面设计规范》第8.1.2条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采用地上敷设。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13</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具有可燃性、爆炸危险性及有毒性介质的管道，不应穿越与其无关的建筑物、构筑物、生产装置、辅助生产及仓储设施、贮罐区等。</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设计</w:t>
            </w:r>
            <w:r>
              <w:rPr>
                <w:rFonts w:hint="eastAsia"/>
                <w:color w:val="auto"/>
                <w:lang w:val="en-US" w:eastAsia="zh-CN"/>
              </w:rPr>
              <w:br w:type="textWrapping"/>
            </w:r>
            <w:r>
              <w:rPr>
                <w:rFonts w:hint="eastAsia"/>
                <w:color w:val="auto"/>
                <w:lang w:val="en-US" w:eastAsia="zh-CN"/>
              </w:rPr>
              <w:t>时应</w:t>
            </w:r>
            <w:r>
              <w:rPr>
                <w:rFonts w:hint="eastAsia"/>
                <w:color w:val="auto"/>
                <w:lang w:val="en-US" w:eastAsia="zh-CN"/>
              </w:rPr>
              <w:br w:type="textWrapping"/>
            </w:r>
            <w:r>
              <w:rPr>
                <w:rFonts w:hint="eastAsia"/>
                <w:color w:val="auto"/>
                <w:lang w:val="en-US" w:eastAsia="zh-CN"/>
              </w:rPr>
              <w:t>考虑</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w:t>
            </w:r>
            <w:r>
              <w:rPr>
                <w:rFonts w:hint="eastAsia"/>
                <w:color w:val="auto"/>
                <w:lang w:val="en-US" w:eastAsia="zh-CN"/>
              </w:rPr>
              <w:br w:type="textWrapping"/>
            </w:r>
            <w:r>
              <w:rPr>
                <w:rFonts w:hint="eastAsia"/>
                <w:color w:val="auto"/>
                <w:lang w:val="en-US" w:eastAsia="zh-CN"/>
              </w:rPr>
              <w:t>第8.1.7条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可研未提及。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14</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有甲、乙、丙类火灾危险性、腐蚀性及毒性介质的管道，除使用该管线的建筑物、构筑物外，均不得采用建筑物、构筑物支撑式敷设。</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设计</w:t>
            </w:r>
            <w:r>
              <w:rPr>
                <w:rFonts w:hint="eastAsia"/>
                <w:color w:val="auto"/>
                <w:lang w:val="en-US" w:eastAsia="zh-CN"/>
              </w:rPr>
              <w:br w:type="textWrapping"/>
            </w:r>
            <w:r>
              <w:rPr>
                <w:rFonts w:hint="eastAsia"/>
                <w:color w:val="auto"/>
                <w:lang w:val="en-US" w:eastAsia="zh-CN"/>
              </w:rPr>
              <w:t>时应</w:t>
            </w:r>
            <w:r>
              <w:rPr>
                <w:rFonts w:hint="eastAsia"/>
                <w:color w:val="auto"/>
                <w:lang w:val="en-US" w:eastAsia="zh-CN"/>
              </w:rPr>
              <w:br w:type="textWrapping"/>
            </w:r>
            <w:r>
              <w:rPr>
                <w:rFonts w:hint="eastAsia"/>
                <w:color w:val="auto"/>
                <w:lang w:val="en-US" w:eastAsia="zh-CN"/>
              </w:rPr>
              <w:t>考虑</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《工业企业总</w:t>
            </w:r>
            <w:r>
              <w:rPr>
                <w:rFonts w:hint="eastAsia"/>
                <w:color w:val="auto"/>
                <w:lang w:val="en-US" w:eastAsia="zh-CN"/>
              </w:rPr>
              <w:br w:type="textWrapping"/>
            </w:r>
            <w:r>
              <w:rPr>
                <w:rFonts w:hint="eastAsia"/>
                <w:color w:val="auto"/>
                <w:lang w:val="en-US" w:eastAsia="zh-CN"/>
              </w:rPr>
              <w:t>平面设计规范》</w:t>
            </w:r>
            <w:r>
              <w:rPr>
                <w:rFonts w:hint="eastAsia"/>
                <w:color w:val="auto"/>
                <w:lang w:val="en-US" w:eastAsia="zh-CN"/>
              </w:rPr>
              <w:br w:type="textWrapping"/>
            </w:r>
            <w:r>
              <w:rPr>
                <w:rFonts w:hint="eastAsia"/>
                <w:color w:val="auto"/>
                <w:lang w:val="en-US" w:eastAsia="zh-CN"/>
              </w:rPr>
              <w:t>第 8.3.3条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可研未提及。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15</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工厂总平面布置，应根据生产工艺流程及生产特点和火灾危险性、地形、风向、父通运输等条件，按生产、辅助、公用、仓储、生产管理及生活服务设施的功能分区集中布置。</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w:t>
            </w:r>
            <w:r>
              <w:rPr>
                <w:rFonts w:hint="eastAsia"/>
                <w:color w:val="auto"/>
                <w:lang w:val="en-US" w:eastAsia="zh-CN"/>
              </w:rPr>
              <w:br w:type="textWrapping"/>
            </w:r>
            <w:r>
              <w:rPr>
                <w:rFonts w:hint="eastAsia"/>
                <w:color w:val="auto"/>
                <w:lang w:val="en-US" w:eastAsia="zh-CN"/>
              </w:rPr>
              <w:t>业工程设计防</w:t>
            </w:r>
            <w:r>
              <w:rPr>
                <w:rFonts w:hint="eastAsia"/>
                <w:color w:val="auto"/>
                <w:lang w:val="en-US" w:eastAsia="zh-CN"/>
              </w:rPr>
              <w:br w:type="textWrapping"/>
            </w:r>
            <w:r>
              <w:rPr>
                <w:rFonts w:hint="eastAsia"/>
                <w:color w:val="auto"/>
                <w:lang w:val="en-US" w:eastAsia="zh-CN"/>
              </w:rPr>
              <w:t>火标准》第4.2.1条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按生产、辅助、公用、仓储、生产管理及生活服务设施的功能分区集中布置。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16</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消防废水池可与污水处理设施集中布置消防废水池与明火地点的防火间跑不应小于25m。</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w:t>
            </w:r>
            <w:r>
              <w:rPr>
                <w:rFonts w:hint="eastAsia"/>
                <w:color w:val="auto"/>
                <w:lang w:val="en-US" w:eastAsia="zh-CN"/>
              </w:rPr>
              <w:br w:type="textWrapping"/>
            </w:r>
            <w:r>
              <w:rPr>
                <w:rFonts w:hint="eastAsia"/>
                <w:color w:val="auto"/>
                <w:lang w:val="en-US" w:eastAsia="zh-CN"/>
              </w:rPr>
              <w:t>业工程设计防</w:t>
            </w:r>
            <w:r>
              <w:rPr>
                <w:rFonts w:hint="eastAsia"/>
                <w:color w:val="auto"/>
                <w:lang w:val="en-US" w:eastAsia="zh-CN"/>
              </w:rPr>
              <w:br w:type="textWrapping"/>
            </w:r>
            <w:r>
              <w:rPr>
                <w:rFonts w:hint="eastAsia"/>
                <w:color w:val="auto"/>
                <w:lang w:val="en-US" w:eastAsia="zh-CN"/>
              </w:rPr>
              <w:t>火标准》第4.2.6条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污水处理设施25m内无明火地点。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17</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采用架空电力线路进出厂区的变配电所，应靠近厂区边缘布置。</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《精细化工企</w:t>
            </w:r>
            <w:r>
              <w:rPr>
                <w:rFonts w:hint="eastAsia"/>
                <w:color w:val="auto"/>
                <w:lang w:val="en-US" w:eastAsia="zh-CN"/>
              </w:rPr>
              <w:br w:type="textWrapping"/>
            </w:r>
            <w:r>
              <w:rPr>
                <w:rFonts w:hint="eastAsia"/>
                <w:color w:val="auto"/>
                <w:lang w:val="en-US" w:eastAsia="zh-CN"/>
              </w:rPr>
              <w:t>业工程设计防</w:t>
            </w:r>
            <w:r>
              <w:rPr>
                <w:rFonts w:hint="eastAsia"/>
                <w:color w:val="auto"/>
                <w:lang w:val="en-US" w:eastAsia="zh-CN"/>
              </w:rPr>
              <w:br w:type="textWrapping"/>
            </w:r>
            <w:r>
              <w:rPr>
                <w:rFonts w:hint="eastAsia"/>
                <w:color w:val="auto"/>
                <w:lang w:val="en-US" w:eastAsia="zh-CN"/>
              </w:rPr>
              <w:t>火标准》第4.2.7条</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电力线从厂外架空线埋</w:t>
            </w:r>
            <w:r>
              <w:rPr>
                <w:rFonts w:hint="eastAsia"/>
                <w:color w:val="auto"/>
                <w:lang w:val="en-US" w:eastAsia="zh-CN"/>
              </w:rPr>
              <w:br w:type="textWrapping"/>
            </w:r>
            <w:r>
              <w:rPr>
                <w:rFonts w:hint="eastAsia"/>
                <w:color w:val="auto"/>
                <w:lang w:val="en-US" w:eastAsia="zh-CN"/>
              </w:rPr>
              <w:t>地敷设至厂区变配电间。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18</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生产场所的火灾危险性应根据生产中使用或产生的物质性质及数量等因素，分为甲、乙、丙、丁、戊类，并应符合GB50016的规定。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火规范》3.1.1</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生产场所火灾类别确定。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19</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储存物品的火灾危险性应根据储存物品的性质和储存物品中的可燃物数量等因素划分，可分为甲、乙、内、丁、戊类，并应符合表3.1.3的规定。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火规范》3.1.3</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储存场所火灾类别确定。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20</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甲、乙类生产场所（仓库）不应设置在地下或半地下。</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火规范》3.3.4</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甲类生产场所（仓库）不设置在地下或半地下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21</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员工宿舍严禁设置在厂房内。</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火规范》3.3.5</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员工宿舍未设置在厂房内。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22</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厂房内的丙类液体中间储罐应设置在单独房间内，其容量不应大于 5m</w:t>
            </w:r>
            <w:r>
              <w:rPr>
                <w:rFonts w:hint="eastAsia"/>
                <w:color w:val="auto"/>
                <w:vertAlign w:val="superscript"/>
                <w:lang w:val="en-US" w:eastAsia="zh-CN"/>
              </w:rPr>
              <w:t>3</w:t>
            </w:r>
            <w:r>
              <w:rPr>
                <w:rFonts w:hint="eastAsia"/>
                <w:color w:val="auto"/>
                <w:lang w:val="en-US" w:eastAsia="zh-CN"/>
              </w:rPr>
              <w:t>。设置中间储罐的房间，应采用耐火极限不低于3.00h的防火隔墙和1.50h的楼板与其他部位分隔，房间门应采用甲级防火门。</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火规范》3.3.7</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中间罐布置在厂房外。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23</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变、配电站不应设置在甲、乙类厂房内或贴邻，且不应设置在爆炸性气体、粉尘环境的危险区域内。供甲、乙类厂房专用的10kV 及以下的变、配电站，当采用无门、窗、洞口的防火墙分隔时，可一面贴邻，并应符合现行国家标准《爆炸危险环境电力装置设计规范》GB 50058 等标准的规定。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火规范》3.3.8</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变、配电站不设置在甲类厂房内或贴邻。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24</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员工宿舍严禁设置在仓库内。</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火规范》3.3.9</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员工宿舍未设置在仓库</w:t>
            </w:r>
            <w:r>
              <w:rPr>
                <w:rFonts w:hint="eastAsia"/>
                <w:color w:val="auto"/>
                <w:lang w:val="en-US" w:eastAsia="zh-CN"/>
              </w:rPr>
              <w:br w:type="textWrapping"/>
            </w:r>
            <w:r>
              <w:rPr>
                <w:rFonts w:hint="eastAsia"/>
                <w:color w:val="auto"/>
                <w:lang w:val="en-US" w:eastAsia="zh-CN"/>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25</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甲类厂房与重要公共建筑的防火间距不</w:t>
            </w:r>
            <w:r>
              <w:rPr>
                <w:rFonts w:hint="eastAsia"/>
                <w:color w:val="auto"/>
                <w:lang w:val="en-US" w:eastAsia="zh-CN"/>
              </w:rPr>
              <w:br w:type="textWrapping"/>
            </w:r>
            <w:r>
              <w:rPr>
                <w:rFonts w:hint="eastAsia"/>
                <w:color w:val="auto"/>
                <w:lang w:val="en-US" w:eastAsia="zh-CN"/>
              </w:rPr>
              <w:t>应小于50m，与明火或散发火花地点的防</w:t>
            </w:r>
            <w:r>
              <w:rPr>
                <w:rFonts w:hint="eastAsia"/>
                <w:color w:val="auto"/>
                <w:lang w:val="en-US" w:eastAsia="zh-CN"/>
              </w:rPr>
              <w:br w:type="textWrapping"/>
            </w:r>
            <w:r>
              <w:rPr>
                <w:rFonts w:hint="eastAsia"/>
                <w:color w:val="auto"/>
                <w:lang w:val="en-US" w:eastAsia="zh-CN"/>
              </w:rPr>
              <w:t>火间距不应小于30m。</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火规范》3.4.2</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甲类厂房50m范围内无</w:t>
            </w:r>
            <w:r>
              <w:rPr>
                <w:rFonts w:hint="eastAsia"/>
                <w:color w:val="auto"/>
                <w:lang w:val="en-US" w:eastAsia="zh-CN"/>
              </w:rPr>
              <w:br w:type="textWrapping"/>
            </w:r>
            <w:r>
              <w:rPr>
                <w:rFonts w:hint="eastAsia"/>
                <w:color w:val="auto"/>
                <w:lang w:val="en-US" w:eastAsia="zh-CN"/>
              </w:rPr>
              <w:t>重要公共建筑，30m内</w:t>
            </w:r>
            <w:r>
              <w:rPr>
                <w:rFonts w:hint="eastAsia"/>
                <w:color w:val="auto"/>
                <w:lang w:val="en-US" w:eastAsia="zh-CN"/>
              </w:rPr>
              <w:br w:type="textWrapping"/>
            </w:r>
            <w:r>
              <w:rPr>
                <w:rFonts w:hint="eastAsia"/>
                <w:color w:val="auto"/>
                <w:lang w:val="en-US" w:eastAsia="zh-CN"/>
              </w:rPr>
              <w:t>无明火或散发火花地</w:t>
            </w:r>
            <w:r>
              <w:rPr>
                <w:rFonts w:hint="eastAsia"/>
                <w:color w:val="auto"/>
                <w:lang w:val="en-US" w:eastAsia="zh-CN"/>
              </w:rPr>
              <w:br w:type="textWrapping"/>
            </w:r>
            <w:r>
              <w:rPr>
                <w:rFonts w:hint="eastAsia"/>
                <w:color w:val="auto"/>
                <w:lang w:val="en-US" w:eastAsia="zh-CN"/>
              </w:rPr>
              <w:t>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26</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散发可燃气体、可燃蒸气的甲类厂房与铁路、道路等的防火间距不应小于表3.4.3的规定，</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火规范》3.4.3</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该项目厂房与厂内主要</w:t>
            </w:r>
            <w:r>
              <w:rPr>
                <w:rFonts w:hint="eastAsia"/>
                <w:color w:val="auto"/>
                <w:lang w:val="en-US" w:eastAsia="zh-CN"/>
              </w:rPr>
              <w:br w:type="textWrapping"/>
            </w:r>
            <w:r>
              <w:rPr>
                <w:rFonts w:hint="eastAsia"/>
                <w:color w:val="auto"/>
                <w:lang w:val="en-US" w:eastAsia="zh-CN"/>
              </w:rPr>
              <w:t>道路间距不小于 10m,</w:t>
            </w:r>
            <w:r>
              <w:rPr>
                <w:rFonts w:hint="eastAsia"/>
                <w:color w:val="auto"/>
                <w:lang w:val="en-US" w:eastAsia="zh-CN"/>
              </w:rPr>
              <w:br w:type="textWrapping"/>
            </w:r>
            <w:r>
              <w:rPr>
                <w:rFonts w:hint="eastAsia"/>
                <w:color w:val="auto"/>
                <w:lang w:val="en-US" w:eastAsia="zh-CN"/>
              </w:rPr>
              <w:t>与次要道路不小于5m: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27</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有爆炸危险的甲、乙类厂房宜独立设置，并宜采用敞开或半敞开式。其承重结构宜采用钢筋混凝土或钢框架、排架结构。</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火规范》3.6.1</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该项目甲类厂房为半敞</w:t>
            </w:r>
            <w:r>
              <w:rPr>
                <w:rFonts w:hint="eastAsia"/>
                <w:color w:val="auto"/>
                <w:lang w:val="en-US" w:eastAsia="zh-CN"/>
              </w:rPr>
              <w:br w:type="textWrapping"/>
            </w:r>
            <w:r>
              <w:rPr>
                <w:rFonts w:hint="eastAsia"/>
                <w:color w:val="auto"/>
                <w:lang w:val="en-US" w:eastAsia="zh-CN"/>
              </w:rPr>
              <w:t>开式。其承重结构采用</w:t>
            </w:r>
            <w:r>
              <w:rPr>
                <w:rFonts w:hint="eastAsia"/>
                <w:color w:val="auto"/>
                <w:lang w:val="en-US" w:eastAsia="zh-CN"/>
              </w:rPr>
              <w:br w:type="textWrapping"/>
            </w:r>
            <w:r>
              <w:rPr>
                <w:rFonts w:hint="eastAsia"/>
                <w:color w:val="auto"/>
                <w:lang w:val="en-US" w:eastAsia="zh-CN"/>
              </w:rPr>
              <w:t>框架结构。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28</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有爆炸危险的甲、乙类厂房应设置泄压设施。</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火规范》3.6.2</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101裂解车间为半敞开式厂房，102精馏车间为敞开式厂房。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29</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散发较空气重的可燃气体、可燃蒸气的甲类厂房和有粉尘、纤维爆炸危险的乙类厂房，应符合下列规定：</w:t>
            </w:r>
            <w:r>
              <w:rPr>
                <w:rFonts w:hint="eastAsia"/>
                <w:color w:val="auto"/>
                <w:lang w:val="en-US" w:eastAsia="zh-CN"/>
              </w:rPr>
              <w:br w:type="textWrapping"/>
            </w:r>
            <w:r>
              <w:rPr>
                <w:rFonts w:hint="eastAsia"/>
                <w:color w:val="auto"/>
                <w:lang w:val="en-US" w:eastAsia="zh-CN"/>
              </w:rPr>
              <w:t>1 应采用不发火花的地面。采用绝缘材料作整体面层时，应采取防静电措施：</w:t>
            </w:r>
            <w:r>
              <w:rPr>
                <w:rFonts w:hint="eastAsia"/>
                <w:color w:val="auto"/>
                <w:lang w:val="en-US" w:eastAsia="zh-CN"/>
              </w:rPr>
              <w:br w:type="textWrapping"/>
            </w:r>
            <w:r>
              <w:rPr>
                <w:rFonts w:hint="eastAsia"/>
                <w:color w:val="auto"/>
                <w:lang w:val="en-US" w:eastAsia="zh-CN"/>
              </w:rPr>
              <w:t>2 散发可燃粉尘、纤维的厂房，其内表面应平整、光滑，并易于清扫：</w:t>
            </w:r>
            <w:r>
              <w:rPr>
                <w:rFonts w:hint="eastAsia"/>
                <w:color w:val="auto"/>
                <w:lang w:val="en-US" w:eastAsia="zh-CN"/>
              </w:rPr>
              <w:br w:type="textWrapping"/>
            </w:r>
            <w:r>
              <w:rPr>
                <w:rFonts w:hint="eastAsia"/>
                <w:color w:val="auto"/>
                <w:lang w:val="en-US" w:eastAsia="zh-CN"/>
              </w:rPr>
              <w:t>3厂房内不宜设置地沟，确需设置时，其盖板应严密，地沟应采取防止可燃气体、可燃蒸气和粉尘、纤维在地沟积聚的有效措施，且应在与相邻厂房连通处采用防火材料密封。</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火规范》3.6.6</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拟采用不发火花地面，</w:t>
            </w:r>
            <w:r>
              <w:rPr>
                <w:rFonts w:hint="eastAsia"/>
                <w:color w:val="auto"/>
                <w:lang w:val="en-US" w:eastAsia="zh-CN"/>
              </w:rPr>
              <w:br w:type="textWrapping"/>
            </w:r>
            <w:r>
              <w:rPr>
                <w:rFonts w:hint="eastAsia"/>
                <w:color w:val="auto"/>
                <w:lang w:val="en-US" w:eastAsia="zh-CN"/>
              </w:rPr>
              <w:t>设置防静电措施。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6" w:hRule="atLeast"/>
        </w:trPr>
        <w:tc>
          <w:tcPr>
            <w:tcW w:w="524"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30</w:t>
            </w:r>
          </w:p>
        </w:tc>
        <w:tc>
          <w:tcPr>
            <w:tcW w:w="4275"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每座仓库的安全出口不应少于2个，当一座仓库的占地面积不大于300m</w:t>
            </w:r>
            <w:r>
              <w:rPr>
                <w:rFonts w:hint="eastAsia"/>
                <w:color w:val="auto"/>
                <w:vertAlign w:val="superscript"/>
                <w:lang w:val="en-US" w:eastAsia="zh-CN"/>
              </w:rPr>
              <w:t>2</w:t>
            </w:r>
            <w:r>
              <w:rPr>
                <w:rFonts w:hint="eastAsia"/>
                <w:color w:val="auto"/>
                <w:lang w:val="en-US" w:eastAsia="zh-CN"/>
              </w:rPr>
              <w:t>时，可设置1个安全出口。仓库内每个防火分区通向疏散走道、楼梯或室外的出口不宜少于2个，当防火分区的建筑面积不大于 100m</w:t>
            </w:r>
            <w:r>
              <w:rPr>
                <w:rFonts w:hint="eastAsia"/>
                <w:color w:val="auto"/>
                <w:vertAlign w:val="superscript"/>
                <w:lang w:val="en-US" w:eastAsia="zh-CN"/>
              </w:rPr>
              <w:t>2</w:t>
            </w:r>
            <w:r>
              <w:rPr>
                <w:rFonts w:hint="eastAsia"/>
                <w:color w:val="auto"/>
                <w:lang w:val="en-US" w:eastAsia="zh-CN"/>
              </w:rPr>
              <w:t>时，可设置1个出口。通向疏散走道或楼梯的门应为乙级防火门。</w:t>
            </w:r>
          </w:p>
        </w:tc>
        <w:tc>
          <w:tcPr>
            <w:tcW w:w="806" w:type="dxa"/>
            <w:tcBorders>
              <w:top w:val="single" w:color="000000" w:sz="4" w:space="0"/>
              <w:left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设计</w:t>
            </w:r>
            <w:r>
              <w:rPr>
                <w:rFonts w:hint="eastAsia"/>
                <w:color w:val="auto"/>
                <w:lang w:val="en-US" w:eastAsia="zh-CN"/>
              </w:rPr>
              <w:br w:type="textWrapping"/>
            </w:r>
            <w:r>
              <w:rPr>
                <w:rFonts w:hint="eastAsia"/>
                <w:color w:val="auto"/>
                <w:lang w:val="en-US" w:eastAsia="zh-CN"/>
              </w:rPr>
              <w:t>时应</w:t>
            </w:r>
            <w:r>
              <w:rPr>
                <w:rFonts w:hint="eastAsia"/>
                <w:color w:val="auto"/>
                <w:lang w:val="en-US" w:eastAsia="zh-CN"/>
              </w:rPr>
              <w:br w:type="textWrapping"/>
            </w:r>
            <w:r>
              <w:rPr>
                <w:rFonts w:hint="eastAsia"/>
                <w:color w:val="auto"/>
                <w:lang w:val="en-US" w:eastAsia="zh-CN"/>
              </w:rPr>
              <w:t>考虑</w:t>
            </w:r>
          </w:p>
        </w:tc>
        <w:tc>
          <w:tcPr>
            <w:tcW w:w="1561" w:type="dxa"/>
            <w:tcBorders>
              <w:top w:val="single" w:color="000000" w:sz="4" w:space="0"/>
              <w:left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《建筑设计防</w:t>
            </w:r>
            <w:r>
              <w:rPr>
                <w:rFonts w:hint="eastAsia"/>
                <w:color w:val="auto"/>
                <w:lang w:val="en-US" w:eastAsia="zh-CN"/>
              </w:rPr>
              <w:br w:type="textWrapping"/>
            </w:r>
            <w:r>
              <w:rPr>
                <w:rFonts w:hint="eastAsia"/>
                <w:color w:val="auto"/>
                <w:lang w:val="en-US" w:eastAsia="zh-CN"/>
              </w:rPr>
              <w:t>火规范》3.8.2</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可研未明确拟建仓库安</w:t>
            </w:r>
            <w:r>
              <w:rPr>
                <w:rFonts w:hint="eastAsia"/>
                <w:color w:val="auto"/>
                <w:lang w:val="en-US" w:eastAsia="zh-CN"/>
              </w:rPr>
              <w:br w:type="textWrapping"/>
            </w:r>
            <w:r>
              <w:rPr>
                <w:rFonts w:hint="eastAsia"/>
                <w:color w:val="auto"/>
                <w:lang w:val="en-US" w:eastAsia="zh-CN"/>
              </w:rPr>
              <w:t>全出口个数。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31</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可能散发可燃气体的设施，宜布置在明火或散发火花地点的全年最小频率风向的上风侧，在山区或丘陵地区时，应避免布置在窝风地段。</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《化工企业总</w:t>
            </w:r>
            <w:r>
              <w:rPr>
                <w:rFonts w:hint="eastAsia"/>
                <w:color w:val="auto"/>
                <w:lang w:val="en-US" w:eastAsia="zh-CN"/>
              </w:rPr>
              <w:br w:type="textWrapping"/>
            </w:r>
            <w:r>
              <w:rPr>
                <w:rFonts w:hint="eastAsia"/>
                <w:color w:val="auto"/>
                <w:lang w:val="en-US" w:eastAsia="zh-CN"/>
              </w:rPr>
              <w:t>图运输设计规</w:t>
            </w:r>
            <w:r>
              <w:rPr>
                <w:rFonts w:hint="eastAsia"/>
                <w:color w:val="auto"/>
                <w:lang w:val="en-US" w:eastAsia="zh-CN"/>
              </w:rPr>
              <w:br w:type="textWrapping"/>
            </w:r>
            <w:r>
              <w:rPr>
                <w:rFonts w:hint="eastAsia"/>
                <w:color w:val="auto"/>
                <w:lang w:val="en-US" w:eastAsia="zh-CN"/>
              </w:rPr>
              <w:t>范》5.2.2</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未布置在窝风地段。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32</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可能泄漏、散发有毒或腐蚀性气体、粉尘的设施，应避开人员集中活动场所，并应布置在该场所及其他主要生产设备区全年最小频率风向的上风侧</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《化工企业总</w:t>
            </w:r>
            <w:r>
              <w:rPr>
                <w:rFonts w:hint="eastAsia"/>
                <w:color w:val="auto"/>
                <w:lang w:val="en-US" w:eastAsia="zh-CN"/>
              </w:rPr>
              <w:br w:type="textWrapping"/>
            </w:r>
            <w:r>
              <w:rPr>
                <w:rFonts w:hint="eastAsia"/>
                <w:color w:val="auto"/>
                <w:lang w:val="en-US" w:eastAsia="zh-CN"/>
              </w:rPr>
              <w:t>图运输设计规</w:t>
            </w:r>
            <w:r>
              <w:rPr>
                <w:rFonts w:hint="eastAsia"/>
                <w:color w:val="auto"/>
                <w:lang w:val="en-US" w:eastAsia="zh-CN"/>
              </w:rPr>
              <w:br w:type="textWrapping"/>
            </w:r>
            <w:r>
              <w:rPr>
                <w:rFonts w:hint="eastAsia"/>
                <w:color w:val="auto"/>
                <w:lang w:val="en-US" w:eastAsia="zh-CN"/>
              </w:rPr>
              <w:t>范》5.2.3</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避开人员集中活动场。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33</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化工企业厂区总平面应满足现行国家标准《化工企业总图运输设计规范》GB50489的要求，应根据厂内各生产系统及安全、卫生要求进行功能明确合理分区的布置，分区内部和相互之间应保持一定的通道和间距。</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w:t>
            </w:r>
            <w:r>
              <w:rPr>
                <w:rFonts w:hint="eastAsia"/>
                <w:color w:val="auto"/>
                <w:lang w:val="en-US" w:eastAsia="zh-CN"/>
              </w:rPr>
              <w:br w:type="textWrapping"/>
            </w:r>
            <w:r>
              <w:rPr>
                <w:rFonts w:hint="eastAsia"/>
                <w:color w:val="auto"/>
                <w:lang w:val="en-US" w:eastAsia="zh-CN"/>
              </w:rPr>
              <w:t>全卫生设计规</w:t>
            </w:r>
            <w:r>
              <w:rPr>
                <w:rFonts w:hint="eastAsia"/>
                <w:color w:val="auto"/>
                <w:lang w:val="en-US" w:eastAsia="zh-CN"/>
              </w:rPr>
              <w:br w:type="textWrapping"/>
            </w:r>
            <w:r>
              <w:rPr>
                <w:rFonts w:hint="eastAsia"/>
                <w:color w:val="auto"/>
                <w:lang w:val="en-US" w:eastAsia="zh-CN"/>
              </w:rPr>
              <w:t>范》3.2.1</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合理分区的布置，分区</w:t>
            </w:r>
            <w:r>
              <w:rPr>
                <w:rFonts w:hint="eastAsia"/>
                <w:color w:val="auto"/>
                <w:lang w:val="en-US" w:eastAsia="zh-CN"/>
              </w:rPr>
              <w:br w:type="textWrapping"/>
            </w:r>
            <w:r>
              <w:rPr>
                <w:rFonts w:hint="eastAsia"/>
                <w:color w:val="auto"/>
                <w:lang w:val="en-US" w:eastAsia="zh-CN"/>
              </w:rPr>
              <w:t>内部和相互之间保持一</w:t>
            </w:r>
            <w:r>
              <w:rPr>
                <w:rFonts w:hint="eastAsia"/>
                <w:color w:val="auto"/>
                <w:lang w:val="en-US" w:eastAsia="zh-CN"/>
              </w:rPr>
              <w:br w:type="textWrapping"/>
            </w:r>
            <w:r>
              <w:rPr>
                <w:rFonts w:hint="eastAsia"/>
                <w:color w:val="auto"/>
                <w:lang w:val="en-US" w:eastAsia="zh-CN"/>
              </w:rPr>
              <w:t>定的通道和间距。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34</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化工企业主要出入口不应少于两个，并宜位于不同方位。大型化工厂的人流和货运应明确分开，大宗危险货物运输应有单独路线，不得与人流混行或平交。</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符合</w:t>
            </w:r>
            <w:r>
              <w:rPr>
                <w:rFonts w:hint="eastAsia"/>
                <w:color w:val="auto"/>
                <w:lang w:val="en-US" w:eastAsia="zh-CN"/>
              </w:rPr>
              <w:br w:type="textWrapping"/>
            </w:r>
            <w:r>
              <w:rPr>
                <w:rFonts w:hint="eastAsia"/>
                <w:color w:val="auto"/>
                <w:lang w:val="en-US" w:eastAsia="zh-CN"/>
              </w:rPr>
              <w:t>要求</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w:t>
            </w:r>
            <w:r>
              <w:rPr>
                <w:rFonts w:hint="eastAsia"/>
                <w:color w:val="auto"/>
                <w:lang w:val="en-US" w:eastAsia="zh-CN"/>
              </w:rPr>
              <w:br w:type="textWrapping"/>
            </w:r>
            <w:r>
              <w:rPr>
                <w:rFonts w:hint="eastAsia"/>
                <w:color w:val="auto"/>
                <w:lang w:val="en-US" w:eastAsia="zh-CN"/>
              </w:rPr>
              <w:t>全卫生设计规</w:t>
            </w:r>
            <w:r>
              <w:rPr>
                <w:rFonts w:hint="eastAsia"/>
                <w:color w:val="auto"/>
                <w:lang w:val="en-US" w:eastAsia="zh-CN"/>
              </w:rPr>
              <w:br w:type="textWrapping"/>
            </w:r>
            <w:r>
              <w:rPr>
                <w:rFonts w:hint="eastAsia"/>
                <w:color w:val="auto"/>
                <w:lang w:val="en-US" w:eastAsia="zh-CN"/>
              </w:rPr>
              <w:t>范》3.2.4</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厂区物流、人流、消防出入口均独立设置。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35</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具有化学灼伤危险的生产装置，其设备布置应保证作业场所有足够空间，并保证作业场所畅通，避免交叉作业。如果交义作业不可避免，在危险作业点应装设避免化学灼伤危险的防护措施。</w:t>
            </w:r>
          </w:p>
        </w:tc>
        <w:tc>
          <w:tcPr>
            <w:tcW w:w="8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center"/>
              <w:rPr>
                <w:rFonts w:hint="eastAsia"/>
                <w:color w:val="auto"/>
              </w:rPr>
            </w:pPr>
            <w:r>
              <w:rPr>
                <w:rFonts w:hint="eastAsia"/>
                <w:color w:val="auto"/>
                <w:lang w:val="en-US" w:eastAsia="zh-CN"/>
              </w:rPr>
              <w:t>设计</w:t>
            </w:r>
            <w:r>
              <w:rPr>
                <w:rFonts w:hint="eastAsia"/>
                <w:color w:val="auto"/>
                <w:lang w:val="en-US" w:eastAsia="zh-CN"/>
              </w:rPr>
              <w:br w:type="textWrapping"/>
            </w:r>
            <w:r>
              <w:rPr>
                <w:rFonts w:hint="eastAsia"/>
                <w:color w:val="auto"/>
                <w:lang w:val="en-US" w:eastAsia="zh-CN"/>
              </w:rPr>
              <w:t>时应</w:t>
            </w:r>
            <w:r>
              <w:rPr>
                <w:rFonts w:hint="eastAsia"/>
                <w:color w:val="auto"/>
                <w:lang w:val="en-US" w:eastAsia="zh-CN"/>
              </w:rPr>
              <w:br w:type="textWrapping"/>
            </w:r>
            <w:r>
              <w:rPr>
                <w:rFonts w:hint="eastAsia"/>
                <w:color w:val="auto"/>
                <w:lang w:val="en-US" w:eastAsia="zh-CN"/>
              </w:rPr>
              <w:t>考虑</w:t>
            </w:r>
          </w:p>
        </w:tc>
        <w:tc>
          <w:tcPr>
            <w:tcW w:w="156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《化工企业安</w:t>
            </w:r>
            <w:r>
              <w:rPr>
                <w:rFonts w:hint="eastAsia"/>
                <w:color w:val="auto"/>
                <w:lang w:val="en-US" w:eastAsia="zh-CN"/>
              </w:rPr>
              <w:br w:type="textWrapping"/>
            </w:r>
            <w:r>
              <w:rPr>
                <w:rFonts w:hint="eastAsia"/>
                <w:color w:val="auto"/>
                <w:lang w:val="en-US" w:eastAsia="zh-CN"/>
              </w:rPr>
              <w:t>全卫生设计规</w:t>
            </w:r>
            <w:r>
              <w:rPr>
                <w:rFonts w:hint="eastAsia"/>
                <w:color w:val="auto"/>
                <w:lang w:val="en-US" w:eastAsia="zh-CN"/>
              </w:rPr>
              <w:br w:type="textWrapping"/>
            </w:r>
            <w:r>
              <w:rPr>
                <w:rFonts w:hint="eastAsia"/>
                <w:color w:val="auto"/>
                <w:lang w:val="en-US" w:eastAsia="zh-CN"/>
              </w:rPr>
              <w:t>范》5.6.3</w:t>
            </w:r>
          </w:p>
        </w:tc>
        <w:tc>
          <w:tcPr>
            <w:tcW w:w="23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9"/>
              <w:jc w:val="both"/>
              <w:rPr>
                <w:rFonts w:hint="eastAsia"/>
                <w:color w:val="auto"/>
              </w:rPr>
            </w:pPr>
            <w:r>
              <w:rPr>
                <w:rFonts w:hint="eastAsia"/>
                <w:color w:val="auto"/>
                <w:lang w:val="en-US" w:eastAsia="zh-CN"/>
              </w:rPr>
              <w:t>可研未提及。</w:t>
            </w:r>
          </w:p>
        </w:tc>
      </w:tr>
    </w:tbl>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2.评价小结</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评价组根据该公司所提供的资料，对该项目平面布置及建构筑物情况评</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价小结如下：</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1）该项目的生产装置按工艺流程分区域布置，生产装置区内设备设施</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的布置紧凑、合理；建构筑物外形规整。</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2）该项目主要建构筑物均为框架结构，拟设置耐火等级符合规范要求。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建筑物、构筑物等设施采用集中布置，进行功能分区，合理地确定通道宽度；生产设施的布置，保证生产人员的安全操作及疏散方便。厂内道路的布置，满足生产、运输、安装、检修、消防安全和施工的要求；有利于功能分区和街区的划分；与厂外道路连接方便、短捷；</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4）生产场所、储存物品的火灾危险性根据生产中使用或产生的物质性</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质及数量等因素，为甲类。</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5）甲类生产场所（仓库）不设置在地下或半地下。员工宿舍未设置在厂房内、仓库内。</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6）该项目厂房、仓库与厂内道路间距满足要求；</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7）对该单元采用安全检查表法分析，共进行了 35 项内容的检查分析，</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其中6项在设计时应考虑。设计时应考虑项为：</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（1）设计时应考虑易燃、易爆危险品生产设施的布置，应保证生产人员的安全操作及疏散方便，并应符合国家现行的有关标准的规定。</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（2）设计时应考虑管道不穿越与其无关的建筑物、构筑物、生产装置、</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辅助生产及仓储设施、贮罐区等；</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（3）设计时应考虑有甲类火灾危险性的管道，除使用该管线的建筑物、构筑物外，均不得采用建筑物、构筑物支撑式敷设；</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（4）设计时应考虑拟建仓库的安全出口不应少于 2 个。仓库内每个防</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火分区通向疏散走道、楼梯或室外的出口不宜少于 2 个，当防火分区的建筑面积不大于 100m</w:t>
      </w:r>
      <w:r>
        <w:rPr>
          <w:rFonts w:hint="eastAsia"/>
          <w:color w:val="auto"/>
          <w:highlight w:val="none"/>
          <w:vertAlign w:val="superscript"/>
          <w:lang w:val="en-US" w:eastAsia="zh-CN"/>
        </w:rPr>
        <w:t xml:space="preserve">2 </w:t>
      </w:r>
      <w:r>
        <w:rPr>
          <w:rFonts w:hint="eastAsia"/>
          <w:color w:val="auto"/>
          <w:highlight w:val="none"/>
          <w:lang w:val="en-US" w:eastAsia="zh-CN"/>
        </w:rPr>
        <w:t>时，可设置 1 个出口。通向疏散走道或楼梯的门应为乙级防火门。</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（5）设计时应考虑具有化学灼伤危险的生产装置，其设备布置应保证</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作业场所有足够空间，并保证作业场所畅通，避免交叉作业。如果交叉作业</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不可避免，在危险作业点应装设避免化学灼伤危险的防护措施。</w:t>
      </w:r>
    </w:p>
    <w:p>
      <w:pPr>
        <w:pStyle w:val="3"/>
        <w:numPr>
          <w:ilvl w:val="-1"/>
          <w:numId w:val="0"/>
        </w:numPr>
        <w:ind w:firstLine="643" w:firstLineChars="200"/>
        <w:rPr>
          <w:rFonts w:hint="eastAsia"/>
          <w:color w:val="auto"/>
          <w:lang w:val="en-US" w:eastAsia="zh-CN"/>
        </w:rPr>
      </w:pPr>
      <w:bookmarkStart w:id="960" w:name="_Toc12451"/>
      <w:bookmarkStart w:id="961" w:name="_Toc24815"/>
      <w:bookmarkStart w:id="962" w:name="_Toc19796"/>
      <w:bookmarkStart w:id="963" w:name="_Toc23438"/>
      <w:bookmarkStart w:id="964" w:name="_Toc31327"/>
      <w:bookmarkStart w:id="965" w:name="_Toc27020"/>
      <w:r>
        <w:rPr>
          <w:rFonts w:hint="eastAsia"/>
          <w:color w:val="auto"/>
          <w:lang w:val="en-US" w:eastAsia="zh-CN"/>
        </w:rPr>
        <w:t>C.3 生产工艺装置单元</w:t>
      </w:r>
      <w:bookmarkEnd w:id="960"/>
      <w:bookmarkEnd w:id="961"/>
      <w:bookmarkEnd w:id="962"/>
      <w:bookmarkEnd w:id="963"/>
      <w:bookmarkEnd w:id="964"/>
      <w:bookmarkEnd w:id="965"/>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该项目生产装置布置在 101裂解车间和102精馏车间。主要涉及裂解、精馏等过程。该车间主要设备为电阻裂解炉、精馏塔、蒸馏釜等。工艺条件中涉及高温等，高温物料能引起烫伤等事故。主要涉及的危险物料有甲基丙烯酸甲酯、甲醇、甲基丙烯酸、丙烯酸甲酯等。甲基丙烯酸甲酯、甲醇、甲基丙烯酸、丙烯酸甲酯的蒸气与空气可形成爆炸性混合物，遇明火、高热能引起燃烧爆炸；</w:t>
      </w:r>
    </w:p>
    <w:p>
      <w:pPr>
        <w:numPr>
          <w:ilvl w:val="-1"/>
          <w:numId w:val="0"/>
        </w:numPr>
        <w:ind w:firstLine="562" w:firstLineChars="200"/>
        <w:rPr>
          <w:rFonts w:hint="eastAsia"/>
          <w:b/>
          <w:bCs/>
          <w:color w:val="auto"/>
          <w:highlight w:val="none"/>
          <w:lang w:val="en-US" w:eastAsia="zh-CN"/>
        </w:rPr>
      </w:pPr>
      <w:r>
        <w:rPr>
          <w:rFonts w:hint="eastAsia"/>
          <w:b/>
          <w:bCs/>
          <w:color w:val="auto"/>
          <w:highlight w:val="none"/>
          <w:lang w:val="en-US" w:eastAsia="zh-CN"/>
        </w:rPr>
        <w:t>1.预先危险分析</w:t>
      </w:r>
    </w:p>
    <w:p>
      <w:pPr>
        <w:numPr>
          <w:ilvl w:val="-1"/>
          <w:numId w:val="0"/>
        </w:numPr>
        <w:ind w:firstLine="560" w:firstLineChars="200"/>
        <w:rPr>
          <w:rFonts w:hint="eastAsia"/>
          <w:color w:val="auto"/>
          <w:highlight w:val="none"/>
          <w:lang w:val="en-US" w:eastAsia="zh-CN"/>
        </w:rPr>
      </w:pPr>
      <w:r>
        <w:rPr>
          <w:rFonts w:hint="eastAsia"/>
          <w:color w:val="auto"/>
          <w:highlight w:val="none"/>
          <w:lang w:val="en-US" w:eastAsia="zh-CN"/>
        </w:rPr>
        <w:t>采用预先危险分析法（PHA）对生产工艺装置单元进行分析评价，具体</w:t>
      </w:r>
    </w:p>
    <w:p>
      <w:pPr>
        <w:numPr>
          <w:ilvl w:val="-1"/>
          <w:numId w:val="0"/>
        </w:numPr>
        <w:ind w:firstLine="0" w:firstLineChars="0"/>
        <w:rPr>
          <w:rFonts w:hint="eastAsia"/>
          <w:color w:val="auto"/>
          <w:highlight w:val="none"/>
          <w:lang w:val="en-US" w:eastAsia="zh-CN"/>
        </w:rPr>
      </w:pPr>
      <w:r>
        <w:rPr>
          <w:rFonts w:hint="eastAsia"/>
          <w:color w:val="auto"/>
          <w:highlight w:val="none"/>
          <w:lang w:val="en-US" w:eastAsia="zh-CN"/>
        </w:rPr>
        <w:t>情况见表 C.3-1。</w:t>
      </w:r>
    </w:p>
    <w:p>
      <w:pPr>
        <w:pStyle w:val="53"/>
        <w:numPr>
          <w:ilvl w:val="-1"/>
          <w:numId w:val="0"/>
        </w:numPr>
        <w:ind w:firstLine="482" w:firstLineChars="200"/>
        <w:rPr>
          <w:rFonts w:hint="eastAsia"/>
          <w:color w:val="auto"/>
          <w:lang w:val="en-US" w:eastAsia="zh-CN"/>
        </w:rPr>
      </w:pPr>
      <w:r>
        <w:rPr>
          <w:rFonts w:hint="eastAsia"/>
          <w:color w:val="auto"/>
          <w:lang w:val="en-US" w:eastAsia="zh-CN"/>
        </w:rPr>
        <w:t>表 C.3-1 生产工艺装置单元预先危险分析</w:t>
      </w:r>
    </w:p>
    <w:tbl>
      <w:tblPr>
        <w:tblStyle w:val="42"/>
        <w:tblW w:w="9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36"/>
        <w:gridCol w:w="696"/>
        <w:gridCol w:w="3412"/>
        <w:gridCol w:w="696"/>
        <w:gridCol w:w="634"/>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事故</w:t>
            </w:r>
          </w:p>
        </w:tc>
        <w:tc>
          <w:tcPr>
            <w:tcW w:w="696" w:type="dxa"/>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lang w:val="en-US" w:eastAsia="zh-CN"/>
              </w:rPr>
              <w:t>触发</w:t>
            </w:r>
            <w:r>
              <w:rPr>
                <w:rFonts w:hint="eastAsia"/>
                <w:color w:val="auto"/>
                <w:lang w:val="en-US" w:eastAsia="zh-CN"/>
              </w:rPr>
              <w:br w:type="textWrapping"/>
            </w:r>
            <w:r>
              <w:rPr>
                <w:rFonts w:hint="eastAsia"/>
                <w:color w:val="auto"/>
                <w:lang w:val="en-US" w:eastAsia="zh-CN"/>
              </w:rPr>
              <w:t>事件</w:t>
            </w:r>
          </w:p>
        </w:tc>
        <w:tc>
          <w:tcPr>
            <w:tcW w:w="3412"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事故原因</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事故</w:t>
            </w:r>
            <w:r>
              <w:rPr>
                <w:rFonts w:hint="eastAsia"/>
                <w:color w:val="auto"/>
                <w:lang w:val="en-US" w:eastAsia="zh-CN"/>
              </w:rPr>
              <w:br w:type="textWrapping"/>
            </w:r>
            <w:r>
              <w:rPr>
                <w:rFonts w:hint="eastAsia"/>
                <w:color w:val="auto"/>
                <w:lang w:val="en-US" w:eastAsia="zh-CN"/>
              </w:rPr>
              <w:t>后果</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危险</w:t>
            </w:r>
            <w:r>
              <w:rPr>
                <w:rFonts w:hint="eastAsia"/>
                <w:color w:val="auto"/>
                <w:lang w:val="en-US" w:eastAsia="zh-CN"/>
              </w:rPr>
              <w:br w:type="textWrapping"/>
            </w:r>
            <w:r>
              <w:rPr>
                <w:rFonts w:hint="eastAsia"/>
                <w:color w:val="auto"/>
                <w:lang w:val="en-US" w:eastAsia="zh-CN"/>
              </w:rPr>
              <w:t>等级</w:t>
            </w:r>
          </w:p>
        </w:tc>
        <w:tc>
          <w:tcPr>
            <w:tcW w:w="3525"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1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rPr>
            </w:pPr>
            <w:r>
              <w:rPr>
                <w:rFonts w:hint="eastAsia"/>
                <w:color w:val="auto"/>
                <w:lang w:val="en-US" w:eastAsia="zh-CN"/>
              </w:rPr>
              <w:t>火</w:t>
            </w:r>
            <w:r>
              <w:rPr>
                <w:rFonts w:hint="eastAsia"/>
                <w:color w:val="auto"/>
                <w:lang w:val="en-US" w:eastAsia="zh-CN"/>
              </w:rPr>
              <w:br w:type="textWrapping"/>
            </w:r>
            <w:r>
              <w:rPr>
                <w:rFonts w:hint="eastAsia"/>
                <w:color w:val="auto"/>
                <w:lang w:val="en-US" w:eastAsia="zh-CN"/>
              </w:rPr>
              <w:t>灾、</w:t>
            </w:r>
            <w:r>
              <w:rPr>
                <w:rFonts w:hint="eastAsia"/>
                <w:color w:val="auto"/>
                <w:lang w:val="en-US" w:eastAsia="zh-CN"/>
              </w:rPr>
              <w:br w:type="textWrapping"/>
            </w:r>
            <w:r>
              <w:rPr>
                <w:rFonts w:hint="eastAsia"/>
                <w:color w:val="auto"/>
                <w:lang w:val="en-US" w:eastAsia="zh-CN"/>
              </w:rPr>
              <w:t>爆炸</w:t>
            </w:r>
          </w:p>
        </w:tc>
        <w:tc>
          <w:tcPr>
            <w:tcW w:w="696" w:type="dxa"/>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lang w:val="en-US" w:eastAsia="zh-CN"/>
              </w:rPr>
              <w:t>1．可</w:t>
            </w:r>
            <w:r>
              <w:rPr>
                <w:rFonts w:hint="eastAsia"/>
                <w:color w:val="auto"/>
                <w:lang w:val="en-US" w:eastAsia="zh-CN"/>
              </w:rPr>
              <w:br w:type="textWrapping"/>
            </w:r>
            <w:r>
              <w:rPr>
                <w:rFonts w:hint="eastAsia"/>
                <w:color w:val="auto"/>
                <w:lang w:val="en-US" w:eastAsia="zh-CN"/>
              </w:rPr>
              <w:t>燃物</w:t>
            </w:r>
            <w:r>
              <w:rPr>
                <w:rFonts w:hint="eastAsia"/>
                <w:color w:val="auto"/>
                <w:lang w:val="en-US" w:eastAsia="zh-CN"/>
              </w:rPr>
              <w:br w:type="textWrapping"/>
            </w:r>
            <w:r>
              <w:rPr>
                <w:rFonts w:hint="eastAsia"/>
                <w:color w:val="auto"/>
                <w:lang w:val="en-US" w:eastAsia="zh-CN"/>
              </w:rPr>
              <w:t>质泄</w:t>
            </w:r>
            <w:r>
              <w:rPr>
                <w:rFonts w:hint="eastAsia"/>
                <w:color w:val="auto"/>
                <w:lang w:val="en-US" w:eastAsia="zh-CN"/>
              </w:rPr>
              <w:br w:type="textWrapping"/>
            </w:r>
            <w:r>
              <w:rPr>
                <w:rFonts w:hint="eastAsia"/>
                <w:color w:val="auto"/>
                <w:lang w:val="en-US" w:eastAsia="zh-CN"/>
              </w:rPr>
              <w:t>漏，</w:t>
            </w:r>
            <w:r>
              <w:rPr>
                <w:rFonts w:hint="eastAsia"/>
                <w:color w:val="auto"/>
                <w:lang w:val="en-US" w:eastAsia="zh-CN"/>
              </w:rPr>
              <w:br w:type="textWrapping"/>
            </w:r>
            <w:r>
              <w:rPr>
                <w:rFonts w:hint="eastAsia"/>
                <w:color w:val="auto"/>
                <w:lang w:val="en-US" w:eastAsia="zh-CN"/>
              </w:rPr>
              <w:t>遇火</w:t>
            </w:r>
            <w:r>
              <w:rPr>
                <w:rFonts w:hint="eastAsia"/>
                <w:color w:val="auto"/>
                <w:lang w:val="en-US" w:eastAsia="zh-CN"/>
              </w:rPr>
              <w:br w:type="textWrapping"/>
            </w:r>
            <w:r>
              <w:rPr>
                <w:rFonts w:hint="eastAsia"/>
                <w:color w:val="auto"/>
                <w:lang w:val="en-US" w:eastAsia="zh-CN"/>
              </w:rPr>
              <w:t>源发</w:t>
            </w:r>
            <w:r>
              <w:rPr>
                <w:rFonts w:hint="eastAsia"/>
                <w:color w:val="auto"/>
                <w:lang w:val="en-US" w:eastAsia="zh-CN"/>
              </w:rPr>
              <w:br w:type="textWrapping"/>
            </w:r>
            <w:r>
              <w:rPr>
                <w:rFonts w:hint="eastAsia"/>
                <w:color w:val="auto"/>
                <w:lang w:val="en-US" w:eastAsia="zh-CN"/>
              </w:rPr>
              <w:t>火灾</w:t>
            </w:r>
            <w:r>
              <w:rPr>
                <w:rFonts w:hint="eastAsia"/>
                <w:color w:val="auto"/>
                <w:lang w:val="en-US" w:eastAsia="zh-CN"/>
              </w:rPr>
              <w:br w:type="textWrapping"/>
            </w:r>
            <w:r>
              <w:rPr>
                <w:rFonts w:hint="eastAsia"/>
                <w:color w:val="auto"/>
                <w:lang w:val="en-US" w:eastAsia="zh-CN"/>
              </w:rPr>
              <w:t>2．超</w:t>
            </w:r>
            <w:r>
              <w:rPr>
                <w:rFonts w:hint="eastAsia"/>
                <w:color w:val="auto"/>
                <w:lang w:val="en-US" w:eastAsia="zh-CN"/>
              </w:rPr>
              <w:br w:type="textWrapping"/>
            </w:r>
            <w:r>
              <w:rPr>
                <w:rFonts w:hint="eastAsia"/>
                <w:color w:val="auto"/>
                <w:lang w:val="en-US" w:eastAsia="zh-CN"/>
              </w:rPr>
              <w:t>压</w:t>
            </w:r>
          </w:p>
        </w:tc>
        <w:tc>
          <w:tcPr>
            <w:tcW w:w="3412" w:type="dxa"/>
            <w:shd w:val="clear" w:color="auto" w:fill="auto"/>
            <w:vAlign w:val="center"/>
          </w:tcPr>
          <w:p>
            <w:pPr>
              <w:pStyle w:val="59"/>
              <w:keepNext w:val="0"/>
              <w:keepLines w:val="0"/>
              <w:widowControl/>
              <w:suppressLineNumbers w:val="0"/>
              <w:jc w:val="both"/>
              <w:textAlignment w:val="center"/>
              <w:rPr>
                <w:rFonts w:hint="eastAsia"/>
                <w:color w:val="auto"/>
                <w:lang w:val="en-US" w:eastAsia="zh-CN"/>
              </w:rPr>
            </w:pPr>
            <w:r>
              <w:rPr>
                <w:rFonts w:hint="eastAsia"/>
                <w:color w:val="auto"/>
                <w:lang w:val="en-US" w:eastAsia="zh-CN"/>
              </w:rPr>
              <w:t>1．设备、管道等材质选用不当：2．设备设计不合理，施工有缺陷：设备、管道、阀门材质不符合或有缺陷；</w:t>
            </w:r>
            <w:r>
              <w:rPr>
                <w:rFonts w:hint="eastAsia"/>
                <w:color w:val="auto"/>
                <w:lang w:val="en-US" w:eastAsia="zh-CN"/>
              </w:rPr>
              <w:br w:type="textWrapping"/>
            </w:r>
            <w:r>
              <w:rPr>
                <w:rFonts w:hint="eastAsia"/>
                <w:color w:val="auto"/>
                <w:lang w:val="en-US" w:eastAsia="zh-CN"/>
              </w:rPr>
              <w:t>3．设备相连接的法兰、阀门、管件</w:t>
            </w:r>
            <w:r>
              <w:rPr>
                <w:rFonts w:hint="eastAsia"/>
                <w:color w:val="auto"/>
                <w:lang w:val="en-US" w:eastAsia="zh-CN"/>
              </w:rPr>
              <w:br w:type="textWrapping"/>
            </w:r>
            <w:r>
              <w:rPr>
                <w:rFonts w:hint="eastAsia"/>
                <w:color w:val="auto"/>
                <w:lang w:val="en-US" w:eastAsia="zh-CN"/>
              </w:rPr>
              <w:t>等处密封件老化泄漏；</w:t>
            </w:r>
            <w:r>
              <w:rPr>
                <w:rFonts w:hint="eastAsia"/>
                <w:color w:val="auto"/>
                <w:lang w:val="en-US" w:eastAsia="zh-CN"/>
              </w:rPr>
              <w:br w:type="textWrapping"/>
            </w:r>
            <w:r>
              <w:rPr>
                <w:rFonts w:hint="eastAsia"/>
                <w:color w:val="auto"/>
                <w:lang w:val="en-US" w:eastAsia="zh-CN"/>
              </w:rPr>
              <w:t>4．甲基丙烯酸甲酯等物料的中间罐、高位槽等物料溢出，液位等控制系统失效；</w:t>
            </w:r>
            <w:r>
              <w:rPr>
                <w:rFonts w:hint="eastAsia"/>
                <w:color w:val="auto"/>
                <w:lang w:val="en-US" w:eastAsia="zh-CN"/>
              </w:rPr>
              <w:br w:type="textWrapping"/>
            </w:r>
            <w:r>
              <w:rPr>
                <w:rFonts w:hint="eastAsia"/>
                <w:color w:val="auto"/>
                <w:lang w:val="en-US" w:eastAsia="zh-CN"/>
              </w:rPr>
              <w:t>5．生产过程中温度控制失效，造成</w:t>
            </w:r>
            <w:r>
              <w:rPr>
                <w:rFonts w:hint="eastAsia"/>
                <w:color w:val="auto"/>
                <w:lang w:val="en-US" w:eastAsia="zh-CN"/>
              </w:rPr>
              <w:br w:type="textWrapping"/>
            </w:r>
            <w:r>
              <w:rPr>
                <w:rFonts w:hint="eastAsia"/>
                <w:color w:val="auto"/>
                <w:lang w:val="en-US" w:eastAsia="zh-CN"/>
              </w:rPr>
              <w:t>反物料急剧气化喷出；</w:t>
            </w:r>
            <w:r>
              <w:rPr>
                <w:rFonts w:hint="eastAsia"/>
                <w:color w:val="auto"/>
                <w:lang w:val="en-US" w:eastAsia="zh-CN"/>
              </w:rPr>
              <w:br w:type="textWrapping"/>
            </w:r>
            <w:r>
              <w:rPr>
                <w:rFonts w:hint="eastAsia"/>
                <w:color w:val="auto"/>
                <w:lang w:val="en-US" w:eastAsia="zh-CN"/>
              </w:rPr>
              <w:t>6．安全附件失效或未装；</w:t>
            </w:r>
            <w:r>
              <w:rPr>
                <w:rFonts w:hint="eastAsia"/>
                <w:color w:val="auto"/>
                <w:lang w:val="en-US" w:eastAsia="zh-CN"/>
              </w:rPr>
              <w:br w:type="textWrapping"/>
            </w:r>
            <w:r>
              <w:rPr>
                <w:rFonts w:hint="eastAsia"/>
                <w:color w:val="auto"/>
                <w:lang w:val="en-US" w:eastAsia="zh-CN"/>
              </w:rPr>
              <w:t>7．电气火花、静电放电、雷击；</w:t>
            </w:r>
          </w:p>
          <w:p>
            <w:pPr>
              <w:pStyle w:val="59"/>
              <w:keepNext w:val="0"/>
              <w:keepLines w:val="0"/>
              <w:widowControl/>
              <w:suppressLineNumbers w:val="0"/>
              <w:jc w:val="both"/>
              <w:textAlignment w:val="center"/>
              <w:rPr>
                <w:rFonts w:hint="eastAsia"/>
                <w:color w:val="auto"/>
                <w:lang w:val="en-US" w:eastAsia="zh-CN"/>
              </w:rPr>
            </w:pPr>
            <w:r>
              <w:rPr>
                <w:rFonts w:hint="eastAsia"/>
                <w:color w:val="auto"/>
                <w:lang w:val="en-US" w:eastAsia="zh-CN"/>
              </w:rPr>
              <w:t>8.甲基丙烯酸甲酯精馏系统开车前存在易燃易爆物质等装置未进行氮气置换或置换不合格，系统内氧含量超标；</w:t>
            </w:r>
          </w:p>
          <w:p>
            <w:pPr>
              <w:pStyle w:val="59"/>
              <w:keepNext w:val="0"/>
              <w:keepLines w:val="0"/>
              <w:widowControl/>
              <w:suppressLineNumbers w:val="0"/>
              <w:jc w:val="both"/>
              <w:textAlignment w:val="center"/>
              <w:rPr>
                <w:rFonts w:hint="eastAsia"/>
                <w:color w:val="auto"/>
                <w:lang w:val="en-US" w:eastAsia="zh-CN"/>
              </w:rPr>
            </w:pPr>
            <w:r>
              <w:rPr>
                <w:rFonts w:hint="eastAsia"/>
                <w:color w:val="auto"/>
                <w:lang w:val="en-US" w:eastAsia="zh-CN"/>
              </w:rPr>
              <w:t>9.精馏系统密封不良甲基丙烯酸甲酯等易燃物质泄漏；</w:t>
            </w:r>
          </w:p>
          <w:p>
            <w:pPr>
              <w:pStyle w:val="59"/>
              <w:keepNext w:val="0"/>
              <w:keepLines w:val="0"/>
              <w:widowControl/>
              <w:suppressLineNumbers w:val="0"/>
              <w:jc w:val="both"/>
              <w:textAlignment w:val="center"/>
              <w:rPr>
                <w:rFonts w:hint="eastAsia"/>
                <w:color w:val="auto"/>
              </w:rPr>
            </w:pPr>
            <w:r>
              <w:rPr>
                <w:rFonts w:hint="eastAsia"/>
                <w:color w:val="auto"/>
                <w:lang w:val="en-US" w:eastAsia="zh-CN"/>
              </w:rPr>
              <w:t>10．人为损坏造成器、罐、阀、管道泄漏；</w:t>
            </w:r>
            <w:r>
              <w:rPr>
                <w:rFonts w:hint="eastAsia"/>
                <w:color w:val="auto"/>
                <w:lang w:val="en-US" w:eastAsia="zh-CN"/>
              </w:rPr>
              <w:br w:type="textWrapping"/>
            </w:r>
            <w:r>
              <w:rPr>
                <w:rFonts w:hint="eastAsia"/>
                <w:color w:val="auto"/>
                <w:lang w:val="en-US" w:eastAsia="zh-CN"/>
              </w:rPr>
              <w:t>11．违章操作；</w:t>
            </w:r>
            <w:r>
              <w:rPr>
                <w:rFonts w:hint="eastAsia"/>
                <w:color w:val="auto"/>
                <w:lang w:val="en-US" w:eastAsia="zh-CN"/>
              </w:rPr>
              <w:br w:type="textWrapping"/>
            </w:r>
            <w:r>
              <w:rPr>
                <w:rFonts w:hint="eastAsia"/>
                <w:color w:val="auto"/>
                <w:lang w:val="en-US" w:eastAsia="zh-CN"/>
              </w:rPr>
              <w:t>12．反应过程中断冷却水或冷却能</w:t>
            </w:r>
            <w:r>
              <w:rPr>
                <w:rFonts w:hint="eastAsia"/>
                <w:color w:val="auto"/>
                <w:lang w:val="en-US" w:eastAsia="zh-CN"/>
              </w:rPr>
              <w:br w:type="textWrapping"/>
            </w:r>
            <w:r>
              <w:rPr>
                <w:rFonts w:hint="eastAsia"/>
                <w:color w:val="auto"/>
                <w:lang w:val="en-US" w:eastAsia="zh-CN"/>
              </w:rPr>
              <w:t>力不足，加热时温度过高，反应温</w:t>
            </w:r>
            <w:r>
              <w:rPr>
                <w:rFonts w:hint="eastAsia"/>
                <w:color w:val="auto"/>
                <w:lang w:val="en-US" w:eastAsia="zh-CN"/>
              </w:rPr>
              <w:br w:type="textWrapping"/>
            </w:r>
            <w:r>
              <w:rPr>
                <w:rFonts w:hint="eastAsia"/>
                <w:color w:val="auto"/>
                <w:lang w:val="en-US" w:eastAsia="zh-CN"/>
              </w:rPr>
              <w:t>度控制过高，反应速度过快，造成</w:t>
            </w:r>
            <w:r>
              <w:rPr>
                <w:rFonts w:hint="eastAsia"/>
                <w:color w:val="auto"/>
                <w:lang w:val="en-US" w:eastAsia="zh-CN"/>
              </w:rPr>
              <w:br w:type="textWrapping"/>
            </w:r>
            <w:r>
              <w:rPr>
                <w:rFonts w:hint="eastAsia"/>
                <w:color w:val="auto"/>
                <w:lang w:val="en-US" w:eastAsia="zh-CN"/>
              </w:rPr>
              <w:t>反物料急剧气化喷出；</w:t>
            </w:r>
            <w:r>
              <w:rPr>
                <w:rFonts w:hint="eastAsia"/>
                <w:color w:val="auto"/>
                <w:lang w:val="en-US" w:eastAsia="zh-CN"/>
              </w:rPr>
              <w:br w:type="textWrapping"/>
            </w:r>
            <w:r>
              <w:rPr>
                <w:rFonts w:hint="eastAsia"/>
                <w:color w:val="auto"/>
                <w:lang w:val="en-US" w:eastAsia="zh-CN"/>
              </w:rPr>
              <w:t>13．电气不符合防爆要求；</w:t>
            </w:r>
            <w:r>
              <w:rPr>
                <w:rFonts w:hint="eastAsia"/>
                <w:color w:val="auto"/>
                <w:lang w:val="en-US" w:eastAsia="zh-CN"/>
              </w:rPr>
              <w:br w:type="textWrapping"/>
            </w:r>
            <w:r>
              <w:rPr>
                <w:rFonts w:hint="eastAsia"/>
                <w:color w:val="auto"/>
                <w:lang w:val="en-US" w:eastAsia="zh-CN"/>
              </w:rPr>
              <w:t>14．控制系统故障；</w:t>
            </w:r>
            <w:r>
              <w:rPr>
                <w:rFonts w:hint="eastAsia"/>
                <w:color w:val="auto"/>
                <w:lang w:val="en-US" w:eastAsia="zh-CN"/>
              </w:rPr>
              <w:br w:type="textWrapping"/>
            </w:r>
            <w:r>
              <w:rPr>
                <w:rFonts w:hint="eastAsia"/>
                <w:color w:val="auto"/>
                <w:lang w:val="en-US" w:eastAsia="zh-CN"/>
              </w:rPr>
              <w:t>15．可燃气体报警器失灵；</w:t>
            </w:r>
            <w:r>
              <w:rPr>
                <w:rFonts w:hint="eastAsia"/>
                <w:color w:val="auto"/>
                <w:lang w:val="en-US" w:eastAsia="zh-CN"/>
              </w:rPr>
              <w:br w:type="textWrapping"/>
            </w:r>
            <w:r>
              <w:rPr>
                <w:rFonts w:hint="eastAsia"/>
                <w:color w:val="auto"/>
                <w:lang w:val="en-US" w:eastAsia="zh-CN"/>
              </w:rPr>
              <w:t>16．用非防爆工具操作、打击等造</w:t>
            </w:r>
            <w:r>
              <w:rPr>
                <w:rFonts w:hint="eastAsia"/>
                <w:color w:val="auto"/>
                <w:lang w:val="en-US" w:eastAsia="zh-CN"/>
              </w:rPr>
              <w:br w:type="textWrapping"/>
            </w:r>
            <w:r>
              <w:rPr>
                <w:rFonts w:hint="eastAsia"/>
                <w:color w:val="auto"/>
                <w:lang w:val="en-US" w:eastAsia="zh-CN"/>
              </w:rPr>
              <w:t>成火花。</w:t>
            </w:r>
          </w:p>
        </w:tc>
        <w:tc>
          <w:tcPr>
            <w:tcW w:w="696" w:type="dxa"/>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lang w:val="en-US" w:eastAsia="zh-CN"/>
              </w:rPr>
              <w:t>人员</w:t>
            </w:r>
            <w:r>
              <w:rPr>
                <w:rFonts w:hint="eastAsia"/>
                <w:color w:val="auto"/>
                <w:lang w:val="en-US" w:eastAsia="zh-CN"/>
              </w:rPr>
              <w:br w:type="textWrapping"/>
            </w:r>
            <w:r>
              <w:rPr>
                <w:rFonts w:hint="eastAsia"/>
                <w:color w:val="auto"/>
                <w:lang w:val="en-US" w:eastAsia="zh-CN"/>
              </w:rPr>
              <w:t>伤</w:t>
            </w:r>
            <w:r>
              <w:rPr>
                <w:rFonts w:hint="eastAsia"/>
                <w:color w:val="auto"/>
                <w:lang w:val="en-US" w:eastAsia="zh-CN"/>
              </w:rPr>
              <w:br w:type="textWrapping"/>
            </w:r>
            <w:r>
              <w:rPr>
                <w:rFonts w:hint="eastAsia"/>
                <w:color w:val="auto"/>
                <w:lang w:val="en-US" w:eastAsia="zh-CN"/>
              </w:rPr>
              <w:t>亡、</w:t>
            </w:r>
            <w:r>
              <w:rPr>
                <w:rFonts w:hint="eastAsia"/>
                <w:color w:val="auto"/>
                <w:lang w:val="en-US" w:eastAsia="zh-CN"/>
              </w:rPr>
              <w:br w:type="textWrapping"/>
            </w:r>
            <w:r>
              <w:rPr>
                <w:rFonts w:hint="eastAsia"/>
                <w:color w:val="auto"/>
                <w:lang w:val="en-US" w:eastAsia="zh-CN"/>
              </w:rPr>
              <w:t>设备</w:t>
            </w:r>
            <w:r>
              <w:rPr>
                <w:rFonts w:hint="eastAsia"/>
                <w:color w:val="auto"/>
                <w:lang w:val="en-US" w:eastAsia="zh-CN"/>
              </w:rPr>
              <w:br w:type="textWrapping"/>
            </w:r>
            <w:r>
              <w:rPr>
                <w:rFonts w:hint="eastAsia"/>
                <w:color w:val="auto"/>
                <w:lang w:val="en-US" w:eastAsia="zh-CN"/>
              </w:rPr>
              <w:t>损坏</w:t>
            </w:r>
          </w:p>
        </w:tc>
        <w:tc>
          <w:tcPr>
            <w:tcW w:w="634" w:type="dxa"/>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lang w:val="en-US" w:eastAsia="zh-CN"/>
              </w:rPr>
              <w:t>III</w:t>
            </w:r>
          </w:p>
        </w:tc>
        <w:tc>
          <w:tcPr>
            <w:tcW w:w="3525" w:type="dxa"/>
            <w:shd w:val="clear" w:color="auto" w:fill="auto"/>
            <w:vAlign w:val="center"/>
          </w:tcPr>
          <w:p>
            <w:pPr>
              <w:pStyle w:val="59"/>
              <w:keepNext w:val="0"/>
              <w:keepLines w:val="0"/>
              <w:widowControl/>
              <w:suppressLineNumbers w:val="0"/>
              <w:jc w:val="both"/>
              <w:textAlignment w:val="center"/>
              <w:rPr>
                <w:rFonts w:hint="eastAsia"/>
                <w:color w:val="auto"/>
              </w:rPr>
            </w:pPr>
            <w:r>
              <w:rPr>
                <w:rFonts w:hint="eastAsia"/>
                <w:color w:val="auto"/>
              </w:rPr>
              <w:t>1．设备的工程设计、专业制造厂及施工、安装、检修单位必须具有相应的资质及许可证；施工、安装、检修完毕，应做好安全、质量检查和验收交接；</w:t>
            </w:r>
          </w:p>
          <w:p>
            <w:pPr>
              <w:pStyle w:val="59"/>
              <w:keepNext w:val="0"/>
              <w:keepLines w:val="0"/>
              <w:widowControl/>
              <w:suppressLineNumbers w:val="0"/>
              <w:jc w:val="both"/>
              <w:textAlignment w:val="center"/>
              <w:rPr>
                <w:rFonts w:hint="eastAsia"/>
                <w:color w:val="auto"/>
              </w:rPr>
            </w:pPr>
            <w:r>
              <w:rPr>
                <w:rFonts w:hint="eastAsia"/>
                <w:color w:val="auto"/>
              </w:rPr>
              <w:t>2．加强现场检查维护，减缓设备或管道等腐蚀、老化程度；</w:t>
            </w:r>
          </w:p>
          <w:p>
            <w:pPr>
              <w:pStyle w:val="59"/>
              <w:keepNext w:val="0"/>
              <w:keepLines w:val="0"/>
              <w:widowControl/>
              <w:suppressLineNumbers w:val="0"/>
              <w:jc w:val="both"/>
              <w:textAlignment w:val="center"/>
              <w:rPr>
                <w:rFonts w:hint="eastAsia"/>
                <w:color w:val="auto"/>
              </w:rPr>
            </w:pPr>
            <w:r>
              <w:rPr>
                <w:rFonts w:hint="eastAsia"/>
                <w:color w:val="auto"/>
              </w:rPr>
              <w:t>3.控制原料质量；输送应采用密闭化措施；</w:t>
            </w:r>
          </w:p>
          <w:p>
            <w:pPr>
              <w:pStyle w:val="59"/>
              <w:keepNext w:val="0"/>
              <w:keepLines w:val="0"/>
              <w:widowControl/>
              <w:suppressLineNumbers w:val="0"/>
              <w:jc w:val="both"/>
              <w:textAlignment w:val="center"/>
              <w:rPr>
                <w:rFonts w:hint="eastAsia"/>
                <w:color w:val="auto"/>
              </w:rPr>
            </w:pPr>
            <w:r>
              <w:rPr>
                <w:rFonts w:hint="eastAsia"/>
                <w:color w:val="auto"/>
              </w:rPr>
              <w:t>4.严格执行安全操作规程，禁止违章作业，发现隐患及时整改；</w:t>
            </w:r>
          </w:p>
          <w:p>
            <w:pPr>
              <w:pStyle w:val="59"/>
              <w:keepNext w:val="0"/>
              <w:keepLines w:val="0"/>
              <w:widowControl/>
              <w:suppressLineNumbers w:val="0"/>
              <w:jc w:val="both"/>
              <w:textAlignment w:val="center"/>
              <w:rPr>
                <w:rFonts w:hint="eastAsia"/>
                <w:color w:val="auto"/>
              </w:rPr>
            </w:pPr>
            <w:r>
              <w:rPr>
                <w:rFonts w:hint="eastAsia"/>
                <w:color w:val="auto"/>
              </w:rPr>
              <w:t>5.仪表、控制系统，联锁、报警装置应保护控制动作灵敏、可靠。</w:t>
            </w:r>
          </w:p>
          <w:p>
            <w:pPr>
              <w:pStyle w:val="59"/>
              <w:keepNext w:val="0"/>
              <w:keepLines w:val="0"/>
              <w:widowControl/>
              <w:suppressLineNumbers w:val="0"/>
              <w:jc w:val="both"/>
              <w:textAlignment w:val="center"/>
              <w:rPr>
                <w:rFonts w:hint="eastAsia" w:ascii="Arial" w:hAnsi="Arial" w:eastAsia="宋体" w:cs="Times New Roman"/>
                <w:color w:val="auto"/>
                <w:kern w:val="2"/>
                <w:sz w:val="21"/>
                <w:szCs w:val="24"/>
                <w:lang w:val="en-US" w:eastAsia="zh-CN" w:bidi="ar-SA"/>
              </w:rPr>
            </w:pPr>
            <w:r>
              <w:rPr>
                <w:rFonts w:hint="eastAsia"/>
                <w:color w:val="auto"/>
                <w:lang w:val="en-US" w:eastAsia="zh-CN"/>
              </w:rPr>
              <w:t>6．严格执行操作规程，平稳操作，保持系统运行平稳，安全阀定期检验，</w:t>
            </w:r>
            <w:r>
              <w:rPr>
                <w:rFonts w:hint="eastAsia"/>
                <w:color w:val="auto"/>
                <w:lang w:val="en-US" w:eastAsia="zh-CN"/>
              </w:rPr>
              <w:br w:type="textWrapping"/>
            </w:r>
            <w:r>
              <w:rPr>
                <w:rFonts w:hint="eastAsia"/>
                <w:color w:val="auto"/>
                <w:lang w:val="en-US" w:eastAsia="zh-CN"/>
              </w:rPr>
              <w:t>保持灵活可靠，不超温超压，对发生</w:t>
            </w:r>
            <w:r>
              <w:rPr>
                <w:rFonts w:hint="eastAsia"/>
                <w:color w:val="auto"/>
                <w:lang w:val="en-US" w:eastAsia="zh-CN"/>
              </w:rPr>
              <w:br w:type="textWrapping"/>
            </w:r>
            <w:r>
              <w:rPr>
                <w:rFonts w:hint="eastAsia"/>
                <w:color w:val="auto"/>
                <w:lang w:val="en-US" w:eastAsia="zh-CN"/>
              </w:rPr>
              <w:t>蠕变的螺栓进行更换；</w:t>
            </w:r>
            <w:r>
              <w:rPr>
                <w:rFonts w:hint="eastAsia"/>
                <w:color w:val="auto"/>
                <w:lang w:val="en-US" w:eastAsia="zh-CN"/>
              </w:rPr>
              <w:br w:type="textWrapping"/>
            </w:r>
            <w:r>
              <w:rPr>
                <w:rFonts w:hint="eastAsia"/>
                <w:color w:val="auto"/>
                <w:lang w:val="en-US" w:eastAsia="zh-CN"/>
              </w:rPr>
              <w:t>7．加强信息沟通：上下游装置做必要的准备；</w:t>
            </w:r>
            <w:r>
              <w:rPr>
                <w:rFonts w:hint="eastAsia"/>
                <w:color w:val="auto"/>
                <w:lang w:val="en-US" w:eastAsia="zh-CN"/>
              </w:rPr>
              <w:br w:type="textWrapping"/>
            </w:r>
            <w:r>
              <w:rPr>
                <w:rFonts w:hint="eastAsia"/>
                <w:color w:val="auto"/>
                <w:lang w:val="en-US" w:eastAsia="zh-CN"/>
              </w:rPr>
              <w:t>8．加强设备安全附管理，保证灵敏</w:t>
            </w:r>
            <w:r>
              <w:rPr>
                <w:rFonts w:hint="eastAsia"/>
                <w:color w:val="auto"/>
                <w:lang w:val="en-US" w:eastAsia="zh-CN"/>
              </w:rPr>
              <w:br w:type="textWrapping"/>
            </w:r>
            <w:r>
              <w:rPr>
                <w:rFonts w:hint="eastAsia"/>
                <w:color w:val="auto"/>
                <w:lang w:val="en-US" w:eastAsia="zh-CN"/>
              </w:rPr>
              <w:t>好用；</w:t>
            </w:r>
            <w:r>
              <w:rPr>
                <w:rFonts w:hint="eastAsia"/>
                <w:color w:val="auto"/>
                <w:lang w:val="en-US" w:eastAsia="zh-CN"/>
              </w:rPr>
              <w:br w:type="textWrapping"/>
            </w:r>
            <w:r>
              <w:rPr>
                <w:rFonts w:hint="eastAsia"/>
                <w:color w:val="auto"/>
                <w:lang w:val="en-US" w:eastAsia="zh-CN"/>
              </w:rPr>
              <w:t>9．加强安全管理，杜绝"三违"（违章作业、违章指挥、违反劳纪），严守工艺规定，防止工艺参数发生变化；</w:t>
            </w:r>
            <w:r>
              <w:rPr>
                <w:rFonts w:hint="eastAsia"/>
                <w:color w:val="auto"/>
                <w:lang w:val="en-US" w:eastAsia="zh-CN"/>
              </w:rPr>
              <w:br w:type="textWrapping"/>
            </w:r>
            <w:r>
              <w:rPr>
                <w:rFonts w:hint="eastAsia"/>
                <w:color w:val="auto"/>
                <w:lang w:val="en-US" w:eastAsia="zh-CN"/>
              </w:rPr>
              <w:t>10．按规范进行防雷、防静电设施的设计安装和检测。</w:t>
            </w:r>
            <w:r>
              <w:rPr>
                <w:rFonts w:hint="eastAsia"/>
                <w:color w:val="auto"/>
                <w:lang w:val="en-US" w:eastAsia="zh-CN"/>
              </w:rPr>
              <w:br w:type="textWrapping"/>
            </w:r>
            <w:r>
              <w:rPr>
                <w:rFonts w:hint="eastAsia"/>
                <w:color w:val="auto"/>
                <w:lang w:val="en-US" w:eastAsia="zh-CN"/>
              </w:rPr>
              <w:t>11．制定系统超压、超温、物料泄漏等应急预案；</w:t>
            </w:r>
            <w:r>
              <w:rPr>
                <w:rFonts w:hint="eastAsia"/>
                <w:color w:val="auto"/>
                <w:lang w:val="en-US" w:eastAsia="zh-CN"/>
              </w:rPr>
              <w:br w:type="textWrapping"/>
            </w:r>
            <w:r>
              <w:rPr>
                <w:rFonts w:hint="eastAsia"/>
                <w:color w:val="auto"/>
                <w:lang w:val="en-US" w:eastAsia="zh-CN"/>
              </w:rPr>
              <w:t>12．定期维护和保养：按计划停车检</w:t>
            </w:r>
            <w:r>
              <w:rPr>
                <w:rFonts w:hint="eastAsia"/>
                <w:color w:val="auto"/>
                <w:lang w:val="en-US" w:eastAsia="zh-CN"/>
              </w:rPr>
              <w:br w:type="textWrapping"/>
            </w:r>
            <w:r>
              <w:rPr>
                <w:rFonts w:hint="eastAsia"/>
                <w:color w:val="auto"/>
                <w:lang w:val="en-US" w:eastAsia="zh-CN"/>
              </w:rPr>
              <w:t>修；</w:t>
            </w:r>
            <w:r>
              <w:rPr>
                <w:rFonts w:hint="eastAsia"/>
                <w:color w:val="auto"/>
                <w:lang w:val="en-US" w:eastAsia="zh-CN"/>
              </w:rPr>
              <w:br w:type="textWrapping"/>
            </w:r>
            <w:r>
              <w:rPr>
                <w:rFonts w:hint="eastAsia"/>
                <w:color w:val="auto"/>
                <w:lang w:val="en-US" w:eastAsia="zh-CN"/>
              </w:rPr>
              <w:t>13．设置相应的检测报警及联锁：严格控制原料通入速度并设置自动切断</w:t>
            </w:r>
            <w:r>
              <w:rPr>
                <w:rFonts w:hint="eastAsia"/>
                <w:color w:val="auto"/>
                <w:lang w:val="en-US" w:eastAsia="zh-CN"/>
              </w:rPr>
              <w:br w:type="textWrapping"/>
            </w:r>
            <w:r>
              <w:rPr>
                <w:rFonts w:hint="eastAsia"/>
                <w:color w:val="auto"/>
                <w:lang w:val="en-US" w:eastAsia="zh-CN"/>
              </w:rPr>
              <w:t>阀；</w:t>
            </w:r>
            <w:r>
              <w:rPr>
                <w:rFonts w:hint="eastAsia"/>
                <w:color w:val="auto"/>
                <w:lang w:val="en-US" w:eastAsia="zh-CN"/>
              </w:rPr>
              <w:br w:type="textWrapping"/>
            </w:r>
            <w:r>
              <w:rPr>
                <w:rFonts w:hint="eastAsia"/>
                <w:color w:val="auto"/>
                <w:lang w:val="en-US" w:eastAsia="zh-CN"/>
              </w:rPr>
              <w:t>14．合理控制进料流量及其比例，并应与压力形成联锁；</w:t>
            </w:r>
            <w:r>
              <w:rPr>
                <w:rFonts w:hint="eastAsia"/>
                <w:color w:val="auto"/>
                <w:lang w:val="en-US" w:eastAsia="zh-CN"/>
              </w:rPr>
              <w:br w:type="textWrapping"/>
            </w:r>
            <w:r>
              <w:rPr>
                <w:rFonts w:hint="eastAsia"/>
                <w:color w:val="auto"/>
                <w:lang w:val="en-US" w:eastAsia="zh-CN"/>
              </w:rPr>
              <w:t>15．按照规范要求设置相应组别和级</w:t>
            </w:r>
            <w:r>
              <w:rPr>
                <w:rFonts w:hint="eastAsia"/>
                <w:color w:val="auto"/>
                <w:lang w:val="en-US" w:eastAsia="zh-CN"/>
              </w:rPr>
              <w:br w:type="textWrapping"/>
            </w:r>
            <w:r>
              <w:rPr>
                <w:rFonts w:hint="eastAsia"/>
                <w:color w:val="auto"/>
                <w:lang w:val="en-US" w:eastAsia="zh-CN"/>
              </w:rPr>
              <w:t>别的防爆电气；</w:t>
            </w:r>
            <w:r>
              <w:rPr>
                <w:rFonts w:hint="eastAsia"/>
                <w:color w:val="auto"/>
                <w:lang w:val="en-US" w:eastAsia="zh-CN"/>
              </w:rPr>
              <w:br w:type="textWrapping"/>
            </w:r>
            <w:r>
              <w:rPr>
                <w:rFonts w:hint="eastAsia"/>
                <w:color w:val="auto"/>
                <w:lang w:val="en-US" w:eastAsia="zh-CN"/>
              </w:rPr>
              <w:t>16．定期对厂区内可燃气体报警器检</w:t>
            </w:r>
            <w:r>
              <w:rPr>
                <w:rFonts w:hint="eastAsia"/>
                <w:color w:val="auto"/>
                <w:lang w:val="en-US" w:eastAsia="zh-CN"/>
              </w:rPr>
              <w:br w:type="textWrapping"/>
            </w:r>
            <w:r>
              <w:rPr>
                <w:rFonts w:hint="eastAsia"/>
                <w:color w:val="auto"/>
                <w:lang w:val="en-US" w:eastAsia="zh-CN"/>
              </w:rPr>
              <w:t>测：保证仪器灵敏好用。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171" w:hRule="atLeast"/>
        </w:trPr>
        <w:tc>
          <w:tcPr>
            <w:tcW w:w="636" w:type="dxa"/>
            <w:shd w:val="clear" w:color="auto" w:fill="auto"/>
            <w:vAlign w:val="center"/>
          </w:tcPr>
          <w:p>
            <w:pPr>
              <w:pStyle w:val="59"/>
              <w:jc w:val="center"/>
              <w:rPr>
                <w:rFonts w:hint="eastAsia"/>
                <w:color w:val="auto"/>
                <w:lang w:val="en-US" w:eastAsia="zh-CN"/>
              </w:rPr>
            </w:pPr>
            <w:r>
              <w:rPr>
                <w:rFonts w:hint="eastAsia"/>
                <w:color w:val="auto"/>
              </w:rPr>
              <w:t>灼烫</w:t>
            </w:r>
          </w:p>
        </w:tc>
        <w:tc>
          <w:tcPr>
            <w:tcW w:w="696" w:type="dxa"/>
            <w:shd w:val="clear" w:color="auto" w:fill="auto"/>
            <w:vAlign w:val="center"/>
          </w:tcPr>
          <w:p>
            <w:pPr>
              <w:pStyle w:val="59"/>
              <w:jc w:val="center"/>
              <w:rPr>
                <w:rFonts w:hint="eastAsia"/>
                <w:color w:val="auto"/>
                <w:lang w:val="en-US" w:eastAsia="zh-CN"/>
              </w:rPr>
            </w:pPr>
            <w:r>
              <w:rPr>
                <w:rFonts w:hint="eastAsia"/>
                <w:color w:val="auto"/>
              </w:rPr>
              <w:t>高温部件、腐蚀性化学品与人体直接接触</w:t>
            </w:r>
          </w:p>
        </w:tc>
        <w:tc>
          <w:tcPr>
            <w:tcW w:w="3412" w:type="dxa"/>
            <w:shd w:val="clear" w:color="auto" w:fill="auto"/>
            <w:vAlign w:val="center"/>
          </w:tcPr>
          <w:p>
            <w:pPr>
              <w:pStyle w:val="59"/>
              <w:spacing w:line="340" w:lineRule="exact"/>
              <w:jc w:val="both"/>
              <w:rPr>
                <w:color w:val="auto"/>
              </w:rPr>
            </w:pPr>
            <w:r>
              <w:rPr>
                <w:rFonts w:hint="eastAsia"/>
                <w:color w:val="auto"/>
              </w:rPr>
              <w:t>1.酯化、精馏等过程中蒸汽等高温物料，故障喷出；</w:t>
            </w:r>
          </w:p>
          <w:p>
            <w:pPr>
              <w:pStyle w:val="59"/>
              <w:spacing w:line="340" w:lineRule="exact"/>
              <w:jc w:val="both"/>
              <w:rPr>
                <w:color w:val="auto"/>
              </w:rPr>
            </w:pPr>
            <w:r>
              <w:rPr>
                <w:rFonts w:hint="eastAsia"/>
                <w:color w:val="auto"/>
              </w:rPr>
              <w:t>2.</w:t>
            </w:r>
            <w:r>
              <w:rPr>
                <w:color w:val="auto"/>
              </w:rPr>
              <w:t>高温介质</w:t>
            </w:r>
            <w:r>
              <w:rPr>
                <w:rFonts w:hint="eastAsia"/>
                <w:color w:val="auto"/>
              </w:rPr>
              <w:t>等管道、设备、机泵、阀门破裂。</w:t>
            </w:r>
          </w:p>
          <w:p>
            <w:pPr>
              <w:pStyle w:val="59"/>
              <w:spacing w:line="340" w:lineRule="exact"/>
              <w:jc w:val="both"/>
              <w:rPr>
                <w:color w:val="auto"/>
              </w:rPr>
            </w:pPr>
            <w:r>
              <w:rPr>
                <w:rFonts w:hint="eastAsia"/>
                <w:color w:val="auto"/>
              </w:rPr>
              <w:t>3.</w:t>
            </w:r>
            <w:r>
              <w:rPr>
                <w:color w:val="auto"/>
              </w:rPr>
              <w:t>清洗、检修罐、阀、泵、管等设备时泄漏，未使用防护用品，接触到高温介质</w:t>
            </w:r>
            <w:r>
              <w:rPr>
                <w:rFonts w:hint="eastAsia"/>
                <w:color w:val="auto"/>
              </w:rPr>
              <w:t>；</w:t>
            </w:r>
          </w:p>
          <w:p>
            <w:pPr>
              <w:pStyle w:val="59"/>
              <w:spacing w:line="340" w:lineRule="exact"/>
              <w:jc w:val="both"/>
              <w:rPr>
                <w:color w:val="auto"/>
              </w:rPr>
            </w:pPr>
            <w:r>
              <w:rPr>
                <w:rFonts w:hint="eastAsia"/>
                <w:color w:val="auto"/>
                <w:lang w:val="en-US" w:eastAsia="zh-CN"/>
              </w:rPr>
              <w:t>4</w:t>
            </w:r>
            <w:r>
              <w:rPr>
                <w:rFonts w:hint="eastAsia"/>
                <w:color w:val="auto"/>
              </w:rPr>
              <w:t>.没有按照要求穿戴劳动防护用品；</w:t>
            </w:r>
          </w:p>
          <w:p>
            <w:pPr>
              <w:pStyle w:val="59"/>
              <w:spacing w:line="340" w:lineRule="exact"/>
              <w:jc w:val="both"/>
              <w:rPr>
                <w:color w:val="auto"/>
              </w:rPr>
            </w:pPr>
            <w:r>
              <w:rPr>
                <w:rFonts w:hint="eastAsia"/>
                <w:color w:val="auto"/>
                <w:lang w:val="en-US" w:eastAsia="zh-CN"/>
              </w:rPr>
              <w:t>5</w:t>
            </w:r>
            <w:r>
              <w:rPr>
                <w:rFonts w:hint="eastAsia"/>
                <w:color w:val="auto"/>
              </w:rPr>
              <w:t>.未按要求设置警示标识；</w:t>
            </w:r>
          </w:p>
          <w:p>
            <w:pPr>
              <w:pStyle w:val="59"/>
              <w:keepNext w:val="0"/>
              <w:keepLines w:val="0"/>
              <w:widowControl/>
              <w:suppressLineNumbers w:val="0"/>
              <w:jc w:val="left"/>
              <w:textAlignment w:val="center"/>
              <w:rPr>
                <w:rFonts w:hint="eastAsia"/>
                <w:color w:val="auto"/>
                <w:lang w:val="en-US" w:eastAsia="zh-CN"/>
              </w:rPr>
            </w:pPr>
            <w:r>
              <w:rPr>
                <w:rFonts w:hint="eastAsia"/>
                <w:color w:val="auto"/>
                <w:lang w:val="en-US" w:eastAsia="zh-CN"/>
              </w:rPr>
              <w:t>6</w:t>
            </w:r>
            <w:r>
              <w:rPr>
                <w:color w:val="auto"/>
              </w:rPr>
              <w:t>.</w:t>
            </w:r>
            <w:r>
              <w:rPr>
                <w:rFonts w:hint="eastAsia"/>
                <w:color w:val="auto"/>
              </w:rPr>
              <w:t>违规违章操作。</w:t>
            </w:r>
          </w:p>
        </w:tc>
        <w:tc>
          <w:tcPr>
            <w:tcW w:w="696" w:type="dxa"/>
            <w:shd w:val="clear" w:color="auto" w:fill="auto"/>
            <w:vAlign w:val="center"/>
          </w:tcPr>
          <w:p>
            <w:pPr>
              <w:pStyle w:val="59"/>
              <w:jc w:val="center"/>
              <w:rPr>
                <w:rFonts w:hint="eastAsia"/>
                <w:color w:val="auto"/>
                <w:lang w:val="en-US" w:eastAsia="zh-CN"/>
              </w:rPr>
            </w:pPr>
            <w:r>
              <w:rPr>
                <w:rFonts w:hint="eastAsia"/>
                <w:color w:val="auto"/>
              </w:rPr>
              <w:t>人员灼伤、甚至死亡</w:t>
            </w:r>
          </w:p>
        </w:tc>
        <w:tc>
          <w:tcPr>
            <w:tcW w:w="634" w:type="dxa"/>
            <w:shd w:val="clear" w:color="auto" w:fill="auto"/>
            <w:vAlign w:val="center"/>
          </w:tcPr>
          <w:p>
            <w:pPr>
              <w:pStyle w:val="59"/>
              <w:jc w:val="center"/>
              <w:rPr>
                <w:rFonts w:hint="eastAsia"/>
                <w:color w:val="auto"/>
                <w:lang w:val="en-US" w:eastAsia="zh-CN"/>
              </w:rPr>
            </w:pPr>
            <w:r>
              <w:rPr>
                <w:rFonts w:hint="eastAsia"/>
                <w:color w:val="auto"/>
              </w:rPr>
              <w:t>Ⅱ</w:t>
            </w:r>
          </w:p>
        </w:tc>
        <w:tc>
          <w:tcPr>
            <w:tcW w:w="3525" w:type="dxa"/>
            <w:shd w:val="clear" w:color="auto" w:fill="auto"/>
            <w:vAlign w:val="center"/>
          </w:tcPr>
          <w:p>
            <w:pPr>
              <w:pStyle w:val="59"/>
              <w:spacing w:line="340" w:lineRule="exact"/>
              <w:jc w:val="both"/>
              <w:rPr>
                <w:color w:val="auto"/>
              </w:rPr>
            </w:pPr>
            <w:r>
              <w:rPr>
                <w:rFonts w:hint="eastAsia"/>
                <w:color w:val="auto"/>
              </w:rPr>
              <w:t>1.严格控制设备质量，加强设备维护保养；</w:t>
            </w:r>
          </w:p>
          <w:p>
            <w:pPr>
              <w:pStyle w:val="59"/>
              <w:spacing w:line="340" w:lineRule="exact"/>
              <w:jc w:val="both"/>
              <w:rPr>
                <w:color w:val="auto"/>
              </w:rPr>
            </w:pPr>
            <w:r>
              <w:rPr>
                <w:rFonts w:hint="eastAsia"/>
                <w:color w:val="auto"/>
              </w:rPr>
              <w:t>2坚持巡回检查，发现问题及时处理；</w:t>
            </w:r>
          </w:p>
          <w:p>
            <w:pPr>
              <w:pStyle w:val="59"/>
              <w:spacing w:line="340" w:lineRule="exact"/>
              <w:jc w:val="both"/>
              <w:rPr>
                <w:color w:val="auto"/>
              </w:rPr>
            </w:pPr>
            <w:r>
              <w:rPr>
                <w:color w:val="auto"/>
              </w:rPr>
              <w:t>3</w:t>
            </w:r>
            <w:r>
              <w:rPr>
                <w:rFonts w:hint="eastAsia"/>
                <w:color w:val="auto"/>
              </w:rPr>
              <w:t>.检修存在腐蚀性物料设备、管线时，应将设备、管线内物料排空完，应关闭阀门，并对管线加堵盲板；</w:t>
            </w:r>
          </w:p>
          <w:p>
            <w:pPr>
              <w:pStyle w:val="59"/>
              <w:spacing w:line="340" w:lineRule="exact"/>
              <w:jc w:val="both"/>
              <w:rPr>
                <w:color w:val="auto"/>
              </w:rPr>
            </w:pPr>
            <w:r>
              <w:rPr>
                <w:color w:val="auto"/>
              </w:rPr>
              <w:t>4</w:t>
            </w:r>
            <w:r>
              <w:rPr>
                <w:rFonts w:hint="eastAsia"/>
                <w:color w:val="auto"/>
              </w:rPr>
              <w:t>.可能存在物理烫伤的部件设置隔热材料或防护措施；</w:t>
            </w:r>
          </w:p>
          <w:p>
            <w:pPr>
              <w:pStyle w:val="59"/>
              <w:spacing w:line="340" w:lineRule="exact"/>
              <w:jc w:val="both"/>
              <w:rPr>
                <w:color w:val="auto"/>
              </w:rPr>
            </w:pPr>
            <w:r>
              <w:rPr>
                <w:color w:val="auto"/>
              </w:rPr>
              <w:t>5</w:t>
            </w:r>
            <w:r>
              <w:rPr>
                <w:rFonts w:hint="eastAsia"/>
                <w:color w:val="auto"/>
              </w:rPr>
              <w:t>.配备相应的防护用品和急救用品；处理腐蚀性物料泄漏故障时，建议工作人员佩戴防护用品；</w:t>
            </w:r>
          </w:p>
          <w:p>
            <w:pPr>
              <w:pStyle w:val="59"/>
              <w:spacing w:line="340" w:lineRule="exact"/>
              <w:jc w:val="both"/>
              <w:rPr>
                <w:color w:val="auto"/>
              </w:rPr>
            </w:pPr>
            <w:r>
              <w:rPr>
                <w:color w:val="auto"/>
              </w:rPr>
              <w:t>6</w:t>
            </w:r>
            <w:r>
              <w:rPr>
                <w:rFonts w:hint="eastAsia"/>
                <w:color w:val="auto"/>
              </w:rPr>
              <w:t>.设置危险、高温标志。</w:t>
            </w:r>
          </w:p>
          <w:p>
            <w:pPr>
              <w:pStyle w:val="59"/>
              <w:keepNext w:val="0"/>
              <w:keepLines w:val="0"/>
              <w:widowControl/>
              <w:suppressLineNumbers w:val="0"/>
              <w:jc w:val="left"/>
              <w:textAlignment w:val="center"/>
              <w:rPr>
                <w:rFonts w:hint="eastAsia"/>
                <w:color w:val="auto"/>
                <w:lang w:val="en-US" w:eastAsia="zh-CN"/>
              </w:rPr>
            </w:pPr>
            <w:r>
              <w:rPr>
                <w:color w:val="auto"/>
              </w:rPr>
              <w:t>7</w:t>
            </w:r>
            <w:r>
              <w:rPr>
                <w:rFonts w:hint="eastAsia"/>
                <w:color w:val="auto"/>
              </w:rPr>
              <w:t>.按操作规程进行；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1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中毒和窒息</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装置生产过程中乳酸乙酯等有毒物料泄漏或人体缺氧</w:t>
            </w:r>
          </w:p>
        </w:tc>
        <w:tc>
          <w:tcPr>
            <w:tcW w:w="3412" w:type="dxa"/>
            <w:shd w:val="clear" w:color="auto" w:fill="auto"/>
            <w:vAlign w:val="center"/>
          </w:tcPr>
          <w:p>
            <w:pPr>
              <w:pStyle w:val="59"/>
              <w:spacing w:line="340" w:lineRule="exact"/>
              <w:jc w:val="both"/>
              <w:rPr>
                <w:color w:val="auto"/>
              </w:rPr>
            </w:pPr>
            <w:r>
              <w:rPr>
                <w:rFonts w:hint="eastAsia"/>
                <w:color w:val="auto"/>
              </w:rPr>
              <w:t>一、运行泄漏：</w:t>
            </w:r>
          </w:p>
          <w:p>
            <w:pPr>
              <w:pStyle w:val="59"/>
              <w:spacing w:line="340" w:lineRule="exact"/>
              <w:jc w:val="both"/>
              <w:rPr>
                <w:color w:val="auto"/>
              </w:rPr>
            </w:pPr>
            <w:r>
              <w:rPr>
                <w:rFonts w:hint="eastAsia"/>
                <w:color w:val="auto"/>
              </w:rPr>
              <w:t>1.阀门、法兰等泄漏；</w:t>
            </w:r>
          </w:p>
          <w:p>
            <w:pPr>
              <w:pStyle w:val="59"/>
              <w:spacing w:line="340" w:lineRule="exact"/>
              <w:jc w:val="both"/>
              <w:rPr>
                <w:color w:val="auto"/>
              </w:rPr>
            </w:pPr>
            <w:r>
              <w:rPr>
                <w:rFonts w:hint="eastAsia"/>
                <w:color w:val="auto"/>
              </w:rPr>
              <w:t>2.泵破裂或泵、转动设备等动密封处泄漏；</w:t>
            </w:r>
          </w:p>
          <w:p>
            <w:pPr>
              <w:pStyle w:val="59"/>
              <w:spacing w:line="340" w:lineRule="exact"/>
              <w:jc w:val="both"/>
              <w:rPr>
                <w:color w:val="auto"/>
              </w:rPr>
            </w:pPr>
            <w:r>
              <w:rPr>
                <w:rFonts w:hint="eastAsia"/>
                <w:color w:val="auto"/>
              </w:rPr>
              <w:t>3.阀门、泵、管道、流量计、仪表连接处泄漏；</w:t>
            </w:r>
          </w:p>
          <w:p>
            <w:pPr>
              <w:pStyle w:val="59"/>
              <w:spacing w:line="340" w:lineRule="exact"/>
              <w:jc w:val="both"/>
              <w:rPr>
                <w:color w:val="auto"/>
              </w:rPr>
            </w:pPr>
            <w:r>
              <w:rPr>
                <w:rFonts w:hint="eastAsia"/>
                <w:color w:val="auto"/>
              </w:rPr>
              <w:t>4、阀门、泵、管道等因质量或安装不当泄漏；</w:t>
            </w:r>
          </w:p>
          <w:p>
            <w:pPr>
              <w:pStyle w:val="59"/>
              <w:spacing w:line="340" w:lineRule="exact"/>
              <w:jc w:val="both"/>
              <w:rPr>
                <w:color w:val="auto"/>
              </w:rPr>
            </w:pPr>
            <w:r>
              <w:rPr>
                <w:rFonts w:hint="eastAsia"/>
                <w:color w:val="auto"/>
              </w:rPr>
              <w:t>5.</w:t>
            </w:r>
            <w:r>
              <w:rPr>
                <w:color w:val="auto"/>
              </w:rPr>
              <w:t>设备或管</w:t>
            </w:r>
            <w:r>
              <w:rPr>
                <w:rFonts w:hint="eastAsia"/>
                <w:color w:val="auto"/>
              </w:rPr>
              <w:t>道遭</w:t>
            </w:r>
            <w:r>
              <w:rPr>
                <w:color w:val="auto"/>
              </w:rPr>
              <w:t>受腐蚀</w:t>
            </w:r>
            <w:r>
              <w:rPr>
                <w:rFonts w:hint="eastAsia"/>
                <w:color w:val="auto"/>
              </w:rPr>
              <w:t>强度下降，发生破裂泄漏</w:t>
            </w:r>
          </w:p>
          <w:p>
            <w:pPr>
              <w:pStyle w:val="59"/>
              <w:spacing w:line="340" w:lineRule="exact"/>
              <w:jc w:val="both"/>
              <w:rPr>
                <w:color w:val="auto"/>
              </w:rPr>
            </w:pPr>
            <w:r>
              <w:rPr>
                <w:rFonts w:hint="eastAsia"/>
                <w:color w:val="auto"/>
              </w:rPr>
              <w:t>二.作业场所通风不良；</w:t>
            </w:r>
          </w:p>
          <w:p>
            <w:pPr>
              <w:pStyle w:val="59"/>
              <w:spacing w:line="340" w:lineRule="exact"/>
              <w:jc w:val="both"/>
              <w:rPr>
                <w:color w:val="auto"/>
              </w:rPr>
            </w:pPr>
            <w:r>
              <w:rPr>
                <w:rFonts w:hint="eastAsia"/>
                <w:color w:val="auto"/>
              </w:rPr>
              <w:t>三.未设置事故通风设施；</w:t>
            </w:r>
          </w:p>
          <w:p>
            <w:pPr>
              <w:pStyle w:val="59"/>
              <w:spacing w:line="340" w:lineRule="exact"/>
              <w:jc w:val="both"/>
              <w:rPr>
                <w:color w:val="auto"/>
              </w:rPr>
            </w:pPr>
            <w:r>
              <w:rPr>
                <w:rFonts w:hint="eastAsia"/>
                <w:color w:val="auto"/>
              </w:rPr>
              <w:t>四．报警器失灵；</w:t>
            </w:r>
          </w:p>
          <w:p>
            <w:pPr>
              <w:pStyle w:val="59"/>
              <w:keepNext w:val="0"/>
              <w:keepLines w:val="0"/>
              <w:widowControl/>
              <w:suppressLineNumbers w:val="0"/>
              <w:jc w:val="left"/>
              <w:textAlignment w:val="center"/>
              <w:rPr>
                <w:rFonts w:hint="eastAsia"/>
                <w:color w:val="auto"/>
                <w:lang w:val="en-US" w:eastAsia="zh-CN"/>
              </w:rPr>
            </w:pPr>
            <w:r>
              <w:rPr>
                <w:rFonts w:hint="eastAsia"/>
                <w:color w:val="auto"/>
              </w:rPr>
              <w:t>五．未经吹扫置换或置换不完全进入设备内部。</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人员伤亡</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Ⅱ</w:t>
            </w:r>
          </w:p>
        </w:tc>
        <w:tc>
          <w:tcPr>
            <w:tcW w:w="3525" w:type="dxa"/>
            <w:shd w:val="clear" w:color="auto" w:fill="auto"/>
            <w:vAlign w:val="center"/>
          </w:tcPr>
          <w:p>
            <w:pPr>
              <w:pStyle w:val="59"/>
              <w:spacing w:line="340" w:lineRule="exact"/>
              <w:jc w:val="both"/>
              <w:rPr>
                <w:color w:val="auto"/>
              </w:rPr>
            </w:pPr>
            <w:r>
              <w:rPr>
                <w:color w:val="auto"/>
              </w:rPr>
              <w:t>1．应对管线、法兰、阀门、附件</w:t>
            </w:r>
            <w:r>
              <w:rPr>
                <w:rFonts w:hint="eastAsia"/>
                <w:color w:val="auto"/>
              </w:rPr>
              <w:t>等</w:t>
            </w:r>
            <w:r>
              <w:rPr>
                <w:color w:val="auto"/>
              </w:rPr>
              <w:t>经常进行检查，防止气体泄漏。</w:t>
            </w:r>
          </w:p>
          <w:p>
            <w:pPr>
              <w:pStyle w:val="59"/>
              <w:spacing w:line="340" w:lineRule="exact"/>
              <w:jc w:val="both"/>
              <w:rPr>
                <w:color w:val="auto"/>
              </w:rPr>
            </w:pPr>
            <w:r>
              <w:rPr>
                <w:color w:val="auto"/>
              </w:rPr>
              <w:t>2．</w:t>
            </w:r>
            <w:r>
              <w:rPr>
                <w:rFonts w:hint="eastAsia"/>
                <w:color w:val="auto"/>
              </w:rPr>
              <w:t>加强作业场所的通风；</w:t>
            </w:r>
          </w:p>
          <w:p>
            <w:pPr>
              <w:pStyle w:val="59"/>
              <w:spacing w:line="340" w:lineRule="exact"/>
              <w:jc w:val="both"/>
              <w:rPr>
                <w:color w:val="auto"/>
              </w:rPr>
            </w:pPr>
            <w:r>
              <w:rPr>
                <w:color w:val="auto"/>
              </w:rPr>
              <w:t>3．</w:t>
            </w:r>
            <w:r>
              <w:rPr>
                <w:rFonts w:hint="eastAsia"/>
                <w:color w:val="auto"/>
              </w:rPr>
              <w:t>保证</w:t>
            </w:r>
            <w:r>
              <w:rPr>
                <w:color w:val="auto"/>
              </w:rPr>
              <w:t>报警装置</w:t>
            </w:r>
            <w:r>
              <w:rPr>
                <w:rFonts w:hint="eastAsia"/>
                <w:color w:val="auto"/>
              </w:rPr>
              <w:t>好用；</w:t>
            </w:r>
          </w:p>
          <w:p>
            <w:pPr>
              <w:pStyle w:val="59"/>
              <w:spacing w:line="340" w:lineRule="exact"/>
              <w:jc w:val="both"/>
              <w:rPr>
                <w:color w:val="auto"/>
              </w:rPr>
            </w:pPr>
            <w:r>
              <w:rPr>
                <w:rFonts w:hint="eastAsia"/>
                <w:color w:val="auto"/>
              </w:rPr>
              <w:t>4.可能存在大量泄漏场所，设置事故通风系统；</w:t>
            </w:r>
          </w:p>
          <w:p>
            <w:pPr>
              <w:pStyle w:val="59"/>
              <w:spacing w:line="340" w:lineRule="exact"/>
              <w:jc w:val="both"/>
              <w:rPr>
                <w:color w:val="auto"/>
              </w:rPr>
            </w:pPr>
            <w:r>
              <w:rPr>
                <w:rFonts w:hint="eastAsia"/>
                <w:color w:val="auto"/>
              </w:rPr>
              <w:t>5. 未经置换或置换不完全不准进入现场；</w:t>
            </w:r>
          </w:p>
          <w:p>
            <w:pPr>
              <w:pStyle w:val="59"/>
              <w:keepNext w:val="0"/>
              <w:keepLines w:val="0"/>
              <w:widowControl/>
              <w:suppressLineNumbers w:val="0"/>
              <w:jc w:val="left"/>
              <w:textAlignment w:val="center"/>
              <w:rPr>
                <w:rFonts w:hint="eastAsia"/>
                <w:color w:val="auto"/>
                <w:lang w:val="en-US" w:eastAsia="zh-CN"/>
              </w:rPr>
            </w:pPr>
            <w:r>
              <w:rPr>
                <w:rFonts w:hint="eastAsia"/>
                <w:color w:val="auto"/>
              </w:rPr>
              <w:t>6.配备相应的防护器材。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触电</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人体接触到带电设备</w:t>
            </w:r>
          </w:p>
        </w:tc>
        <w:tc>
          <w:tcPr>
            <w:tcW w:w="3412" w:type="dxa"/>
            <w:shd w:val="clear" w:color="auto" w:fill="auto"/>
            <w:vAlign w:val="center"/>
          </w:tcPr>
          <w:p>
            <w:pPr>
              <w:pStyle w:val="59"/>
              <w:numPr>
                <w:ilvl w:val="0"/>
                <w:numId w:val="13"/>
              </w:numPr>
              <w:spacing w:line="340" w:lineRule="exact"/>
              <w:jc w:val="both"/>
              <w:rPr>
                <w:color w:val="auto"/>
              </w:rPr>
            </w:pPr>
            <w:r>
              <w:rPr>
                <w:color w:val="auto"/>
              </w:rPr>
              <w:t>电气设备、临时电源漏电；</w:t>
            </w:r>
          </w:p>
          <w:p>
            <w:pPr>
              <w:pStyle w:val="59"/>
              <w:numPr>
                <w:ilvl w:val="0"/>
                <w:numId w:val="13"/>
              </w:numPr>
              <w:spacing w:line="340" w:lineRule="exact"/>
              <w:jc w:val="both"/>
              <w:rPr>
                <w:color w:val="auto"/>
              </w:rPr>
            </w:pPr>
            <w:r>
              <w:rPr>
                <w:color w:val="auto"/>
              </w:rPr>
              <w:t>安全距离不够（如架空线路、室内线路、变配电设备、用电设备及检修的安全距离）；</w:t>
            </w:r>
          </w:p>
          <w:p>
            <w:pPr>
              <w:pStyle w:val="59"/>
              <w:numPr>
                <w:ilvl w:val="0"/>
                <w:numId w:val="13"/>
              </w:numPr>
              <w:spacing w:line="340" w:lineRule="exact"/>
              <w:jc w:val="both"/>
              <w:rPr>
                <w:color w:val="auto"/>
              </w:rPr>
            </w:pPr>
            <w:r>
              <w:rPr>
                <w:color w:val="auto"/>
              </w:rPr>
              <w:t>绝缘损坏、老化；</w:t>
            </w:r>
          </w:p>
          <w:p>
            <w:pPr>
              <w:pStyle w:val="59"/>
              <w:numPr>
                <w:ilvl w:val="0"/>
                <w:numId w:val="13"/>
              </w:numPr>
              <w:spacing w:line="340" w:lineRule="exact"/>
              <w:jc w:val="both"/>
              <w:rPr>
                <w:color w:val="auto"/>
              </w:rPr>
            </w:pPr>
            <w:r>
              <w:rPr>
                <w:color w:val="auto"/>
              </w:rPr>
              <w:t>保护接地、接零不当；</w:t>
            </w:r>
          </w:p>
          <w:p>
            <w:pPr>
              <w:pStyle w:val="59"/>
              <w:numPr>
                <w:ilvl w:val="0"/>
                <w:numId w:val="13"/>
              </w:numPr>
              <w:spacing w:line="340" w:lineRule="exact"/>
              <w:jc w:val="both"/>
              <w:rPr>
                <w:color w:val="auto"/>
              </w:rPr>
            </w:pPr>
            <w:r>
              <w:rPr>
                <w:color w:val="auto"/>
              </w:rPr>
              <w:t>手持电动工具类别选择不当，疏于管理；</w:t>
            </w:r>
          </w:p>
          <w:p>
            <w:pPr>
              <w:pStyle w:val="59"/>
              <w:numPr>
                <w:ilvl w:val="0"/>
                <w:numId w:val="13"/>
              </w:numPr>
              <w:spacing w:line="340" w:lineRule="exact"/>
              <w:jc w:val="both"/>
              <w:rPr>
                <w:color w:val="auto"/>
              </w:rPr>
            </w:pPr>
            <w:r>
              <w:rPr>
                <w:color w:val="auto"/>
              </w:rPr>
              <w:t>建筑结构未做到“五防一通”（即防火、防水、防漏、防雨雪、防小动物和通风良好）；</w:t>
            </w:r>
          </w:p>
          <w:p>
            <w:pPr>
              <w:pStyle w:val="59"/>
              <w:spacing w:line="340" w:lineRule="exact"/>
              <w:jc w:val="both"/>
              <w:rPr>
                <w:color w:val="auto"/>
              </w:rPr>
            </w:pPr>
            <w:r>
              <w:rPr>
                <w:color w:val="auto"/>
              </w:rPr>
              <w:t>7、防护用品和工具缺少或质量缺陷、使用不当；</w:t>
            </w:r>
          </w:p>
          <w:p>
            <w:pPr>
              <w:pStyle w:val="59"/>
              <w:spacing w:line="340" w:lineRule="exact"/>
              <w:jc w:val="both"/>
              <w:rPr>
                <w:color w:val="auto"/>
              </w:rPr>
            </w:pPr>
            <w:r>
              <w:rPr>
                <w:color w:val="auto"/>
              </w:rPr>
              <w:t>8、雷击。</w:t>
            </w:r>
          </w:p>
          <w:p>
            <w:pPr>
              <w:pStyle w:val="59"/>
              <w:keepNext w:val="0"/>
              <w:keepLines w:val="0"/>
              <w:widowControl/>
              <w:suppressLineNumbers w:val="0"/>
              <w:jc w:val="left"/>
              <w:textAlignment w:val="center"/>
              <w:rPr>
                <w:rFonts w:hint="eastAsia"/>
                <w:color w:val="auto"/>
                <w:lang w:val="en-US" w:eastAsia="zh-CN"/>
              </w:rPr>
            </w:pPr>
            <w:r>
              <w:rPr>
                <w:color w:val="auto"/>
              </w:rPr>
              <w:t>9、动土施工时误挖断电缆。</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人员伤亡</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Ⅱ</w:t>
            </w:r>
          </w:p>
        </w:tc>
        <w:tc>
          <w:tcPr>
            <w:tcW w:w="3525" w:type="dxa"/>
            <w:shd w:val="clear" w:color="auto" w:fill="auto"/>
            <w:vAlign w:val="center"/>
          </w:tcPr>
          <w:p>
            <w:pPr>
              <w:pStyle w:val="59"/>
              <w:spacing w:line="340" w:lineRule="exact"/>
              <w:jc w:val="both"/>
              <w:rPr>
                <w:color w:val="auto"/>
              </w:rPr>
            </w:pPr>
            <w:r>
              <w:rPr>
                <w:color w:val="auto"/>
              </w:rPr>
              <w:t>1、电气绝缘等级要与使用电压、环境、运行条件相符，并定期检查、检测、维护、维修，保持完好状态；</w:t>
            </w:r>
          </w:p>
          <w:p>
            <w:pPr>
              <w:pStyle w:val="59"/>
              <w:spacing w:line="340" w:lineRule="exact"/>
              <w:jc w:val="both"/>
              <w:rPr>
                <w:color w:val="auto"/>
              </w:rPr>
            </w:pPr>
            <w:r>
              <w:rPr>
                <w:color w:val="auto"/>
              </w:rPr>
              <w:t>2、采用遮拦、护罩等防护措施，防止人体接触带电体；</w:t>
            </w:r>
          </w:p>
          <w:p>
            <w:pPr>
              <w:pStyle w:val="59"/>
              <w:spacing w:line="340" w:lineRule="exact"/>
              <w:jc w:val="both"/>
              <w:rPr>
                <w:color w:val="auto"/>
              </w:rPr>
            </w:pPr>
            <w:r>
              <w:rPr>
                <w:color w:val="auto"/>
              </w:rPr>
              <w:t>3、架空、室内线、所有强电设备及其检修作业要有安全距离；</w:t>
            </w:r>
          </w:p>
          <w:p>
            <w:pPr>
              <w:pStyle w:val="59"/>
              <w:spacing w:line="340" w:lineRule="exact"/>
              <w:jc w:val="both"/>
              <w:rPr>
                <w:color w:val="auto"/>
              </w:rPr>
            </w:pPr>
            <w:r>
              <w:rPr>
                <w:color w:val="auto"/>
              </w:rPr>
              <w:t>4、严格按标准要求对电气设备做好保护接地、重复接地或保护接零；</w:t>
            </w:r>
          </w:p>
          <w:p>
            <w:pPr>
              <w:pStyle w:val="59"/>
              <w:spacing w:line="340" w:lineRule="exact"/>
              <w:jc w:val="both"/>
              <w:rPr>
                <w:color w:val="auto"/>
              </w:rPr>
            </w:pPr>
            <w:r>
              <w:rPr>
                <w:color w:val="auto"/>
              </w:rPr>
              <w:t>5、金属容器或有限空间内作业，宜用12伏和以下的电器设备，并有监护；</w:t>
            </w:r>
          </w:p>
          <w:p>
            <w:pPr>
              <w:pStyle w:val="59"/>
              <w:spacing w:line="340" w:lineRule="exact"/>
              <w:jc w:val="both"/>
              <w:rPr>
                <w:color w:val="auto"/>
              </w:rPr>
            </w:pPr>
            <w:r>
              <w:rPr>
                <w:color w:val="auto"/>
              </w:rPr>
              <w:t>6、电焊机绝缘完好、接线不裸露，定期检测漏电，电焊作业者穿戴防护用品，注意夏季防触电，有监护和应急措施；</w:t>
            </w:r>
          </w:p>
          <w:p>
            <w:pPr>
              <w:pStyle w:val="59"/>
              <w:spacing w:line="340" w:lineRule="exact"/>
              <w:jc w:val="both"/>
              <w:rPr>
                <w:color w:val="auto"/>
              </w:rPr>
            </w:pPr>
            <w:r>
              <w:rPr>
                <w:color w:val="auto"/>
              </w:rPr>
              <w:t>7、据作业场所特点正确选择Ⅰ、Ⅱ、Ⅲ类手持电动工具，确保安全可靠，并根据要求严格执行安全操作规程；</w:t>
            </w:r>
          </w:p>
          <w:p>
            <w:pPr>
              <w:pStyle w:val="59"/>
              <w:spacing w:line="340" w:lineRule="exact"/>
              <w:jc w:val="both"/>
              <w:rPr>
                <w:color w:val="auto"/>
              </w:rPr>
            </w:pPr>
            <w:r>
              <w:rPr>
                <w:color w:val="auto"/>
              </w:rPr>
              <w:t>8、建立、健全并严格执行电气安全规章制度和电气操作规程；</w:t>
            </w:r>
          </w:p>
          <w:p>
            <w:pPr>
              <w:pStyle w:val="59"/>
              <w:spacing w:line="340" w:lineRule="exact"/>
              <w:jc w:val="both"/>
              <w:rPr>
                <w:color w:val="auto"/>
              </w:rPr>
            </w:pPr>
            <w:r>
              <w:rPr>
                <w:color w:val="auto"/>
              </w:rPr>
              <w:t>9、坚持对员工的电气安全操作和急救方法的培训、教育；</w:t>
            </w:r>
          </w:p>
          <w:p>
            <w:pPr>
              <w:pStyle w:val="59"/>
              <w:spacing w:line="340" w:lineRule="exact"/>
              <w:jc w:val="both"/>
              <w:rPr>
                <w:color w:val="auto"/>
              </w:rPr>
            </w:pPr>
            <w:r>
              <w:rPr>
                <w:color w:val="auto"/>
              </w:rPr>
              <w:t>10、定期进行电气安全检查，严禁“三违”；</w:t>
            </w:r>
          </w:p>
          <w:p>
            <w:pPr>
              <w:pStyle w:val="59"/>
              <w:spacing w:line="340" w:lineRule="exact"/>
              <w:jc w:val="both"/>
              <w:rPr>
                <w:color w:val="auto"/>
              </w:rPr>
            </w:pPr>
            <w:r>
              <w:rPr>
                <w:color w:val="auto"/>
              </w:rPr>
              <w:t>11、对防雷措施进行定期检查、检测，保持完好、可靠状态；</w:t>
            </w:r>
          </w:p>
          <w:p>
            <w:pPr>
              <w:pStyle w:val="59"/>
              <w:spacing w:line="340" w:lineRule="exact"/>
              <w:jc w:val="both"/>
              <w:rPr>
                <w:color w:val="auto"/>
              </w:rPr>
            </w:pPr>
            <w:r>
              <w:rPr>
                <w:color w:val="auto"/>
              </w:rPr>
              <w:t>12、制定并执行电气设备使用、保管、检验、维修、更新程序；</w:t>
            </w:r>
          </w:p>
          <w:p>
            <w:pPr>
              <w:pStyle w:val="59"/>
              <w:spacing w:line="340" w:lineRule="exact"/>
              <w:jc w:val="both"/>
              <w:rPr>
                <w:color w:val="auto"/>
              </w:rPr>
            </w:pPr>
            <w:r>
              <w:rPr>
                <w:color w:val="auto"/>
              </w:rPr>
              <w:t>13、电气人员设备执行培训、持证上岗，专人使用制度；</w:t>
            </w:r>
          </w:p>
          <w:p>
            <w:pPr>
              <w:pStyle w:val="59"/>
              <w:spacing w:line="340" w:lineRule="exact"/>
              <w:jc w:val="both"/>
              <w:rPr>
                <w:color w:val="auto"/>
              </w:rPr>
            </w:pPr>
            <w:r>
              <w:rPr>
                <w:color w:val="auto"/>
              </w:rPr>
              <w:t>14、按制度对强电线路加强管理、巡查、检修。</w:t>
            </w:r>
          </w:p>
          <w:p>
            <w:pPr>
              <w:pStyle w:val="59"/>
              <w:keepNext w:val="0"/>
              <w:keepLines w:val="0"/>
              <w:widowControl/>
              <w:suppressLineNumbers w:val="0"/>
              <w:jc w:val="left"/>
              <w:textAlignment w:val="center"/>
              <w:rPr>
                <w:rFonts w:hint="eastAsia"/>
                <w:color w:val="auto"/>
                <w:lang w:val="en-US" w:eastAsia="zh-CN"/>
              </w:rPr>
            </w:pPr>
            <w:r>
              <w:rPr>
                <w:color w:val="auto"/>
              </w:rPr>
              <w:t>15、严格执行动土管理制度。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1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机械伤害</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运动机械与人体直接接触</w:t>
            </w:r>
          </w:p>
        </w:tc>
        <w:tc>
          <w:tcPr>
            <w:tcW w:w="3412" w:type="dxa"/>
            <w:shd w:val="clear" w:color="auto" w:fill="auto"/>
            <w:vAlign w:val="center"/>
          </w:tcPr>
          <w:p>
            <w:pPr>
              <w:pStyle w:val="59"/>
              <w:keepNext w:val="0"/>
              <w:keepLines w:val="0"/>
              <w:widowControl/>
              <w:suppressLineNumbers w:val="0"/>
              <w:jc w:val="left"/>
              <w:textAlignment w:val="center"/>
              <w:rPr>
                <w:rFonts w:hint="eastAsia"/>
                <w:color w:val="auto"/>
                <w:lang w:val="en-US" w:eastAsia="zh-CN"/>
              </w:rPr>
            </w:pPr>
            <w:r>
              <w:rPr>
                <w:color w:val="auto"/>
              </w:rPr>
              <w:t>1.机械设备缺乏安全防护装置，本身的结构、强度等不合理；2.运行部件飞出；旋转、往复、滑动物撞击人体；3.安装维修不当，使设备的安全性能不佳；4.工作场所环境不良，如空间狭窄，设备布局不合理等；5.违反操作规程；7.运行状态时打扫卫生；8.设备有故障</w:t>
            </w:r>
            <w:r>
              <w:rPr>
                <w:rFonts w:hint="eastAsia"/>
                <w:color w:val="auto"/>
              </w:rPr>
              <w:t>9.机械设备安全防护装置缺乏或损坏、被拆除等； 10.操作人员疏忽大意，身体进入机械危险部位；11.安全管理上存在不足。</w:t>
            </w:r>
          </w:p>
        </w:tc>
        <w:tc>
          <w:tcPr>
            <w:tcW w:w="696" w:type="dxa"/>
            <w:shd w:val="clear" w:color="auto" w:fill="auto"/>
            <w:vAlign w:val="center"/>
          </w:tcPr>
          <w:p>
            <w:pPr>
              <w:pStyle w:val="59"/>
              <w:jc w:val="center"/>
              <w:rPr>
                <w:rFonts w:hint="eastAsia"/>
                <w:color w:val="auto"/>
                <w:lang w:val="en-US" w:eastAsia="zh-CN"/>
              </w:rPr>
            </w:pPr>
            <w:r>
              <w:rPr>
                <w:rFonts w:hint="eastAsia"/>
                <w:color w:val="auto"/>
              </w:rPr>
              <w:t>人员损伤</w:t>
            </w:r>
          </w:p>
        </w:tc>
        <w:tc>
          <w:tcPr>
            <w:tcW w:w="634" w:type="dxa"/>
            <w:shd w:val="clear" w:color="auto" w:fill="auto"/>
            <w:vAlign w:val="center"/>
          </w:tcPr>
          <w:p>
            <w:pPr>
              <w:pStyle w:val="59"/>
              <w:jc w:val="center"/>
              <w:rPr>
                <w:rFonts w:hint="eastAsia"/>
                <w:color w:val="auto"/>
                <w:lang w:val="en-US" w:eastAsia="zh-CN"/>
              </w:rPr>
            </w:pPr>
            <w:r>
              <w:rPr>
                <w:rFonts w:hint="eastAsia"/>
                <w:color w:val="auto"/>
              </w:rPr>
              <w:t>Ⅱ</w:t>
            </w:r>
          </w:p>
        </w:tc>
        <w:tc>
          <w:tcPr>
            <w:tcW w:w="3525" w:type="dxa"/>
            <w:shd w:val="clear" w:color="auto" w:fill="auto"/>
            <w:vAlign w:val="center"/>
          </w:tcPr>
          <w:p>
            <w:pPr>
              <w:pStyle w:val="59"/>
              <w:spacing w:line="340" w:lineRule="exact"/>
              <w:jc w:val="both"/>
              <w:rPr>
                <w:color w:val="auto"/>
              </w:rPr>
            </w:pPr>
            <w:r>
              <w:rPr>
                <w:rFonts w:hint="eastAsia"/>
                <w:color w:val="auto"/>
              </w:rPr>
              <w:t>1.加强安全教育，增强职工安全意识；</w:t>
            </w:r>
          </w:p>
          <w:p>
            <w:pPr>
              <w:pStyle w:val="59"/>
              <w:spacing w:line="340" w:lineRule="exact"/>
              <w:jc w:val="both"/>
              <w:rPr>
                <w:color w:val="auto"/>
              </w:rPr>
            </w:pPr>
            <w:r>
              <w:rPr>
                <w:rFonts w:hint="eastAsia"/>
                <w:color w:val="auto"/>
              </w:rPr>
              <w:t>2.严格遵守安全操作规程，严禁违章操作，在机械运行中禁止接触转动部分；</w:t>
            </w:r>
          </w:p>
          <w:p>
            <w:pPr>
              <w:pStyle w:val="59"/>
              <w:spacing w:line="340" w:lineRule="exact"/>
              <w:jc w:val="both"/>
              <w:rPr>
                <w:color w:val="auto"/>
              </w:rPr>
            </w:pPr>
            <w:r>
              <w:rPr>
                <w:rFonts w:hint="eastAsia"/>
                <w:color w:val="auto"/>
              </w:rPr>
              <w:t>3.机械转动部分的安全防护装置要保持完好；</w:t>
            </w:r>
          </w:p>
          <w:p>
            <w:pPr>
              <w:pStyle w:val="59"/>
              <w:spacing w:line="340" w:lineRule="exact"/>
              <w:jc w:val="both"/>
              <w:rPr>
                <w:color w:val="auto"/>
              </w:rPr>
            </w:pPr>
            <w:r>
              <w:rPr>
                <w:rFonts w:hint="eastAsia"/>
                <w:color w:val="auto"/>
              </w:rPr>
              <w:t>4.经常进行设备安全防护装置的检修和维护；</w:t>
            </w:r>
          </w:p>
          <w:p>
            <w:pPr>
              <w:pStyle w:val="59"/>
              <w:keepNext w:val="0"/>
              <w:keepLines w:val="0"/>
              <w:widowControl/>
              <w:suppressLineNumbers w:val="0"/>
              <w:jc w:val="left"/>
              <w:textAlignment w:val="center"/>
              <w:rPr>
                <w:rFonts w:hint="eastAsia"/>
                <w:color w:val="auto"/>
                <w:lang w:val="en-US" w:eastAsia="zh-CN"/>
              </w:rPr>
            </w:pPr>
            <w:r>
              <w:rPr>
                <w:rFonts w:hint="eastAsia"/>
                <w:color w:val="auto"/>
              </w:rPr>
              <w:t>5.加强工作现场的安全管理。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71"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高处坠落</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人员从高处坠落</w:t>
            </w:r>
          </w:p>
        </w:tc>
        <w:tc>
          <w:tcPr>
            <w:tcW w:w="3412" w:type="dxa"/>
            <w:shd w:val="clear" w:color="auto" w:fill="auto"/>
            <w:vAlign w:val="center"/>
          </w:tcPr>
          <w:p>
            <w:pPr>
              <w:pStyle w:val="59"/>
              <w:spacing w:line="340" w:lineRule="exact"/>
              <w:jc w:val="both"/>
              <w:rPr>
                <w:color w:val="auto"/>
              </w:rPr>
            </w:pPr>
            <w:r>
              <w:rPr>
                <w:rFonts w:hint="eastAsia"/>
                <w:color w:val="auto"/>
              </w:rPr>
              <w:t>1</w:t>
            </w:r>
            <w:r>
              <w:rPr>
                <w:color w:val="auto"/>
              </w:rPr>
              <w:t>.</w:t>
            </w:r>
            <w:r>
              <w:rPr>
                <w:rFonts w:hint="eastAsia"/>
                <w:color w:val="auto"/>
              </w:rPr>
              <w:t>洞、坑无盖板或检修中移去盖板；</w:t>
            </w:r>
          </w:p>
          <w:p>
            <w:pPr>
              <w:pStyle w:val="59"/>
              <w:spacing w:line="340" w:lineRule="exact"/>
              <w:jc w:val="both"/>
              <w:rPr>
                <w:color w:val="auto"/>
              </w:rPr>
            </w:pPr>
            <w:r>
              <w:rPr>
                <w:rFonts w:hint="eastAsia"/>
                <w:color w:val="auto"/>
              </w:rPr>
              <w:t>2</w:t>
            </w:r>
            <w:r>
              <w:rPr>
                <w:color w:val="auto"/>
              </w:rPr>
              <w:t>.</w:t>
            </w:r>
            <w:r>
              <w:rPr>
                <w:rFonts w:hint="eastAsia"/>
                <w:color w:val="auto"/>
              </w:rPr>
              <w:t>平台、扶梯的栏杆不符合安全要求，临时拆除栏杆后没有防护措施，不设警告标志；</w:t>
            </w:r>
          </w:p>
          <w:p>
            <w:pPr>
              <w:pStyle w:val="59"/>
              <w:spacing w:line="340" w:lineRule="exact"/>
              <w:jc w:val="both"/>
              <w:rPr>
                <w:color w:val="auto"/>
              </w:rPr>
            </w:pPr>
            <w:r>
              <w:rPr>
                <w:rFonts w:hint="eastAsia"/>
                <w:color w:val="auto"/>
              </w:rPr>
              <w:t>3</w:t>
            </w:r>
            <w:r>
              <w:rPr>
                <w:color w:val="auto"/>
              </w:rPr>
              <w:t>.</w:t>
            </w:r>
            <w:r>
              <w:rPr>
                <w:rFonts w:hint="eastAsia"/>
                <w:color w:val="auto"/>
              </w:rPr>
              <w:t>高处作业不挂安全带、不戴安全帽、不挂安全网；不采取任何安全措施，在不坚固的结构上作业；</w:t>
            </w:r>
          </w:p>
          <w:p>
            <w:pPr>
              <w:pStyle w:val="59"/>
              <w:spacing w:line="340" w:lineRule="exact"/>
              <w:jc w:val="both"/>
              <w:rPr>
                <w:color w:val="auto"/>
              </w:rPr>
            </w:pPr>
            <w:r>
              <w:rPr>
                <w:rFonts w:hint="eastAsia"/>
                <w:color w:val="auto"/>
              </w:rPr>
              <w:t>4</w:t>
            </w:r>
            <w:r>
              <w:rPr>
                <w:color w:val="auto"/>
              </w:rPr>
              <w:t>.</w:t>
            </w:r>
            <w:r>
              <w:rPr>
                <w:rFonts w:hint="eastAsia"/>
                <w:color w:val="auto"/>
              </w:rPr>
              <w:t>梯子使用不当或梯子不符合安全要求；</w:t>
            </w:r>
          </w:p>
          <w:p>
            <w:pPr>
              <w:pStyle w:val="59"/>
              <w:spacing w:line="340" w:lineRule="exact"/>
              <w:jc w:val="both"/>
              <w:rPr>
                <w:color w:val="auto"/>
              </w:rPr>
            </w:pPr>
            <w:r>
              <w:rPr>
                <w:rFonts w:hint="eastAsia"/>
                <w:color w:val="auto"/>
              </w:rPr>
              <w:t>5</w:t>
            </w:r>
            <w:r>
              <w:rPr>
                <w:color w:val="auto"/>
              </w:rPr>
              <w:t>.</w:t>
            </w:r>
            <w:r>
              <w:rPr>
                <w:rFonts w:hint="eastAsia"/>
                <w:color w:val="auto"/>
              </w:rPr>
              <w:t>脚手架有缺陷；高处作业用力不当、重心失稳；</w:t>
            </w:r>
          </w:p>
          <w:p>
            <w:pPr>
              <w:pStyle w:val="59"/>
              <w:keepNext w:val="0"/>
              <w:keepLines w:val="0"/>
              <w:widowControl/>
              <w:suppressLineNumbers w:val="0"/>
              <w:jc w:val="left"/>
              <w:textAlignment w:val="center"/>
              <w:rPr>
                <w:rFonts w:hint="eastAsia"/>
                <w:color w:val="auto"/>
                <w:lang w:val="en-US" w:eastAsia="zh-CN"/>
              </w:rPr>
            </w:pPr>
            <w:r>
              <w:rPr>
                <w:color w:val="auto"/>
              </w:rPr>
              <w:t>6.</w:t>
            </w:r>
            <w:r>
              <w:rPr>
                <w:rFonts w:hint="eastAsia"/>
                <w:color w:val="auto"/>
              </w:rPr>
              <w:t>作业附近对电网设防不妥触电坠落等。</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人员伤亡</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color w:val="auto"/>
              </w:rPr>
              <w:t>Ⅱ</w:t>
            </w:r>
          </w:p>
        </w:tc>
        <w:tc>
          <w:tcPr>
            <w:tcW w:w="3525" w:type="dxa"/>
            <w:shd w:val="clear" w:color="auto" w:fill="auto"/>
            <w:vAlign w:val="center"/>
          </w:tcPr>
          <w:p>
            <w:pPr>
              <w:pStyle w:val="59"/>
              <w:spacing w:line="340" w:lineRule="exact"/>
              <w:jc w:val="both"/>
              <w:rPr>
                <w:color w:val="auto"/>
              </w:rPr>
            </w:pPr>
            <w:r>
              <w:rPr>
                <w:rFonts w:hint="eastAsia"/>
                <w:color w:val="auto"/>
              </w:rPr>
              <w:t>1</w:t>
            </w:r>
            <w:r>
              <w:rPr>
                <w:color w:val="auto"/>
              </w:rPr>
              <w:t>.</w:t>
            </w:r>
            <w:r>
              <w:rPr>
                <w:rFonts w:hint="eastAsia"/>
                <w:color w:val="auto"/>
              </w:rPr>
              <w:t>检修后安全设施应复位；</w:t>
            </w:r>
          </w:p>
          <w:p>
            <w:pPr>
              <w:pStyle w:val="59"/>
              <w:spacing w:line="340" w:lineRule="exact"/>
              <w:jc w:val="both"/>
              <w:rPr>
                <w:color w:val="auto"/>
              </w:rPr>
            </w:pPr>
            <w:r>
              <w:rPr>
                <w:rFonts w:hint="eastAsia"/>
                <w:color w:val="auto"/>
              </w:rPr>
              <w:t>2</w:t>
            </w:r>
            <w:r>
              <w:rPr>
                <w:color w:val="auto"/>
              </w:rPr>
              <w:t>.</w:t>
            </w:r>
            <w:r>
              <w:rPr>
                <w:rFonts w:hint="eastAsia"/>
                <w:color w:val="auto"/>
              </w:rPr>
              <w:t>按要求对平台、扶梯设置防护栏；</w:t>
            </w:r>
          </w:p>
          <w:p>
            <w:pPr>
              <w:pStyle w:val="59"/>
              <w:spacing w:line="340" w:lineRule="exact"/>
              <w:jc w:val="both"/>
              <w:rPr>
                <w:color w:val="auto"/>
              </w:rPr>
            </w:pPr>
            <w:r>
              <w:rPr>
                <w:rFonts w:hint="eastAsia"/>
                <w:color w:val="auto"/>
              </w:rPr>
              <w:t>3</w:t>
            </w:r>
            <w:r>
              <w:rPr>
                <w:color w:val="auto"/>
              </w:rPr>
              <w:t>.</w:t>
            </w:r>
            <w:r>
              <w:rPr>
                <w:rFonts w:hint="eastAsia"/>
                <w:color w:val="auto"/>
              </w:rPr>
              <w:t>高处作业时严格遵循作业规程，佩戴安全帽，挂安全带；</w:t>
            </w:r>
          </w:p>
          <w:p>
            <w:pPr>
              <w:pStyle w:val="59"/>
              <w:spacing w:line="340" w:lineRule="exact"/>
              <w:jc w:val="both"/>
              <w:rPr>
                <w:color w:val="auto"/>
              </w:rPr>
            </w:pPr>
            <w:r>
              <w:rPr>
                <w:rFonts w:hint="eastAsia"/>
                <w:color w:val="auto"/>
              </w:rPr>
              <w:t>4</w:t>
            </w:r>
            <w:r>
              <w:rPr>
                <w:color w:val="auto"/>
              </w:rPr>
              <w:t>.</w:t>
            </w:r>
            <w:r>
              <w:rPr>
                <w:rFonts w:hint="eastAsia"/>
                <w:color w:val="auto"/>
              </w:rPr>
              <w:t>使用梯子时应固定牢靠；</w:t>
            </w:r>
          </w:p>
          <w:p>
            <w:pPr>
              <w:pStyle w:val="59"/>
              <w:spacing w:line="340" w:lineRule="exact"/>
              <w:jc w:val="both"/>
              <w:rPr>
                <w:color w:val="auto"/>
              </w:rPr>
            </w:pPr>
            <w:r>
              <w:rPr>
                <w:rFonts w:hint="eastAsia"/>
                <w:color w:val="auto"/>
              </w:rPr>
              <w:t>5</w:t>
            </w:r>
            <w:r>
              <w:rPr>
                <w:color w:val="auto"/>
              </w:rPr>
              <w:t>.</w:t>
            </w:r>
            <w:r>
              <w:rPr>
                <w:rFonts w:hint="eastAsia"/>
                <w:color w:val="auto"/>
              </w:rPr>
              <w:t>使用质量可靠的脚手架</w:t>
            </w:r>
          </w:p>
          <w:p>
            <w:pPr>
              <w:pStyle w:val="59"/>
              <w:keepNext w:val="0"/>
              <w:keepLines w:val="0"/>
              <w:widowControl/>
              <w:suppressLineNumbers w:val="0"/>
              <w:jc w:val="left"/>
              <w:textAlignment w:val="center"/>
              <w:rPr>
                <w:rFonts w:hint="eastAsia"/>
                <w:color w:val="auto"/>
                <w:lang w:val="en-US" w:eastAsia="zh-CN"/>
              </w:rPr>
            </w:pPr>
            <w:r>
              <w:rPr>
                <w:color w:val="auto"/>
              </w:rPr>
              <w:t>6.</w:t>
            </w:r>
            <w:r>
              <w:rPr>
                <w:rFonts w:hint="eastAsia"/>
                <w:color w:val="auto"/>
              </w:rPr>
              <w:t>靠近电网的高处作业应采取防触电措施。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16"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物体打击</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物体坠落或飞出</w:t>
            </w:r>
          </w:p>
        </w:tc>
        <w:tc>
          <w:tcPr>
            <w:tcW w:w="3412" w:type="dxa"/>
            <w:shd w:val="clear" w:color="auto" w:fill="auto"/>
            <w:vAlign w:val="center"/>
          </w:tcPr>
          <w:p>
            <w:pPr>
              <w:pStyle w:val="59"/>
              <w:spacing w:line="340" w:lineRule="exact"/>
              <w:jc w:val="both"/>
              <w:rPr>
                <w:color w:val="auto"/>
              </w:rPr>
            </w:pPr>
            <w:r>
              <w:rPr>
                <w:color w:val="auto"/>
              </w:rPr>
              <w:t>1、高处有未被固定的物体被碰撞或风吹等坠落；</w:t>
            </w:r>
          </w:p>
          <w:p>
            <w:pPr>
              <w:pStyle w:val="59"/>
              <w:spacing w:line="340" w:lineRule="exact"/>
              <w:jc w:val="both"/>
              <w:rPr>
                <w:color w:val="auto"/>
              </w:rPr>
            </w:pPr>
            <w:r>
              <w:rPr>
                <w:color w:val="auto"/>
              </w:rPr>
              <w:t>2、工具、器具等上下抛掷；</w:t>
            </w:r>
          </w:p>
          <w:p>
            <w:pPr>
              <w:pStyle w:val="59"/>
              <w:keepNext w:val="0"/>
              <w:keepLines w:val="0"/>
              <w:widowControl/>
              <w:suppressLineNumbers w:val="0"/>
              <w:jc w:val="left"/>
              <w:textAlignment w:val="center"/>
              <w:rPr>
                <w:rFonts w:hint="eastAsia"/>
                <w:color w:val="auto"/>
                <w:lang w:val="en-US" w:eastAsia="zh-CN"/>
              </w:rPr>
            </w:pPr>
            <w:r>
              <w:rPr>
                <w:color w:val="auto"/>
              </w:rPr>
              <w:t>3、</w:t>
            </w:r>
            <w:r>
              <w:rPr>
                <w:rFonts w:hint="eastAsia"/>
                <w:color w:val="auto"/>
              </w:rPr>
              <w:t>高处作业时</w:t>
            </w:r>
            <w:r>
              <w:rPr>
                <w:color w:val="auto"/>
              </w:rPr>
              <w:t>工具未握牢脱手或作业场所空间不足，碰撞到其它物体造成工具飞出等</w:t>
            </w:r>
            <w:r>
              <w:rPr>
                <w:rFonts w:hint="eastAsia"/>
                <w:color w:val="auto"/>
              </w:rPr>
              <w:t>；</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人员伤亡</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color w:val="auto"/>
              </w:rPr>
              <w:t>Ⅱ</w:t>
            </w:r>
          </w:p>
        </w:tc>
        <w:tc>
          <w:tcPr>
            <w:tcW w:w="3525" w:type="dxa"/>
            <w:shd w:val="clear" w:color="auto" w:fill="auto"/>
            <w:vAlign w:val="center"/>
          </w:tcPr>
          <w:p>
            <w:pPr>
              <w:pStyle w:val="59"/>
              <w:spacing w:line="340" w:lineRule="exact"/>
              <w:jc w:val="both"/>
              <w:rPr>
                <w:color w:val="auto"/>
              </w:rPr>
            </w:pPr>
            <w:r>
              <w:rPr>
                <w:color w:val="auto"/>
              </w:rPr>
              <w:t>1、</w:t>
            </w:r>
            <w:r>
              <w:rPr>
                <w:rFonts w:hint="eastAsia"/>
                <w:color w:val="auto"/>
              </w:rPr>
              <w:t>高处设备设施应进行固定并定期巡检</w:t>
            </w:r>
            <w:r>
              <w:rPr>
                <w:color w:val="auto"/>
              </w:rPr>
              <w:t>；</w:t>
            </w:r>
          </w:p>
          <w:p>
            <w:pPr>
              <w:pStyle w:val="59"/>
              <w:spacing w:line="340" w:lineRule="exact"/>
              <w:jc w:val="both"/>
              <w:rPr>
                <w:color w:val="auto"/>
              </w:rPr>
            </w:pPr>
            <w:r>
              <w:rPr>
                <w:color w:val="auto"/>
              </w:rPr>
              <w:t>2、加强对员工的安全意识教育，杜绝“三违”；</w:t>
            </w:r>
          </w:p>
          <w:p>
            <w:pPr>
              <w:pStyle w:val="59"/>
              <w:keepNext w:val="0"/>
              <w:keepLines w:val="0"/>
              <w:widowControl/>
              <w:suppressLineNumbers w:val="0"/>
              <w:jc w:val="left"/>
              <w:textAlignment w:val="center"/>
              <w:rPr>
                <w:rFonts w:hint="eastAsia"/>
                <w:color w:val="auto"/>
                <w:lang w:val="en-US" w:eastAsia="zh-CN"/>
              </w:rPr>
            </w:pPr>
            <w:r>
              <w:rPr>
                <w:color w:val="auto"/>
              </w:rPr>
              <w:t>3、作业人员、进入现场的其他人员都应穿戴必要的防护用品，特别是安全帽；</w:t>
            </w:r>
            <w:r>
              <w:rPr>
                <w:rFonts w:hint="eastAsia"/>
                <w:color w:val="auto"/>
              </w:rPr>
              <w:t>高处作业下方严禁站人，</w:t>
            </w:r>
            <w:r>
              <w:rPr>
                <w:color w:val="auto"/>
              </w:rPr>
              <w:t>必要时采取相应的围护。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780" w:hRule="atLeast"/>
        </w:trPr>
        <w:tc>
          <w:tcPr>
            <w:tcW w:w="63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起重伤害</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违规吊装作业</w:t>
            </w:r>
          </w:p>
        </w:tc>
        <w:tc>
          <w:tcPr>
            <w:tcW w:w="3412" w:type="dxa"/>
            <w:shd w:val="clear" w:color="auto" w:fill="auto"/>
            <w:vAlign w:val="center"/>
          </w:tcPr>
          <w:p>
            <w:pPr>
              <w:pStyle w:val="59"/>
              <w:spacing w:line="340" w:lineRule="exact"/>
              <w:jc w:val="both"/>
              <w:rPr>
                <w:color w:val="auto"/>
              </w:rPr>
            </w:pPr>
            <w:r>
              <w:rPr>
                <w:rFonts w:hint="eastAsia"/>
                <w:color w:val="auto"/>
              </w:rPr>
              <w:t>1、悬挂装置的破断；曳引轮上曳引绳失控滑移；辅助绳、链和带的所有连接的破断和松弛；参与对制动轮或盘制动的机电制动器机械零部件之一失效；与主驱动机组和曳引轮有关零部件的失效。</w:t>
            </w:r>
          </w:p>
          <w:p>
            <w:pPr>
              <w:pStyle w:val="59"/>
              <w:keepNext w:val="0"/>
              <w:keepLines w:val="0"/>
              <w:widowControl/>
              <w:suppressLineNumbers w:val="0"/>
              <w:jc w:val="left"/>
              <w:textAlignment w:val="center"/>
              <w:rPr>
                <w:rFonts w:hint="eastAsia"/>
                <w:color w:val="auto"/>
                <w:lang w:val="en-US" w:eastAsia="zh-CN"/>
              </w:rPr>
            </w:pPr>
            <w:r>
              <w:rPr>
                <w:color w:val="auto"/>
              </w:rPr>
              <w:t>2.</w:t>
            </w:r>
            <w:r>
              <w:rPr>
                <w:rFonts w:hint="eastAsia"/>
                <w:color w:val="auto"/>
              </w:rPr>
              <w:t>违章进行吊装作业。</w:t>
            </w:r>
          </w:p>
        </w:tc>
        <w:tc>
          <w:tcPr>
            <w:tcW w:w="696"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rFonts w:hint="eastAsia"/>
                <w:color w:val="auto"/>
              </w:rPr>
              <w:t>人员伤亡</w:t>
            </w:r>
          </w:p>
        </w:tc>
        <w:tc>
          <w:tcPr>
            <w:tcW w:w="634" w:type="dxa"/>
            <w:shd w:val="clear" w:color="auto" w:fill="auto"/>
            <w:vAlign w:val="center"/>
          </w:tcPr>
          <w:p>
            <w:pPr>
              <w:pStyle w:val="59"/>
              <w:keepNext w:val="0"/>
              <w:keepLines w:val="0"/>
              <w:widowControl/>
              <w:suppressLineNumbers w:val="0"/>
              <w:jc w:val="center"/>
              <w:textAlignment w:val="center"/>
              <w:rPr>
                <w:rFonts w:hint="eastAsia"/>
                <w:color w:val="auto"/>
                <w:lang w:val="en-US" w:eastAsia="zh-CN"/>
              </w:rPr>
            </w:pPr>
            <w:r>
              <w:rPr>
                <w:color w:val="auto"/>
              </w:rPr>
              <w:t>Ⅱ</w:t>
            </w:r>
          </w:p>
        </w:tc>
        <w:tc>
          <w:tcPr>
            <w:tcW w:w="3525" w:type="dxa"/>
            <w:shd w:val="clear" w:color="auto" w:fill="auto"/>
            <w:vAlign w:val="center"/>
          </w:tcPr>
          <w:p>
            <w:pPr>
              <w:pStyle w:val="59"/>
              <w:spacing w:line="340" w:lineRule="exact"/>
              <w:jc w:val="both"/>
              <w:rPr>
                <w:color w:val="auto"/>
              </w:rPr>
            </w:pPr>
            <w:r>
              <w:rPr>
                <w:color w:val="auto"/>
              </w:rPr>
              <w:t>1、起重设备按规定进行检查、检测、保持完好状态；</w:t>
            </w:r>
          </w:p>
          <w:p>
            <w:pPr>
              <w:pStyle w:val="59"/>
              <w:keepNext w:val="0"/>
              <w:keepLines w:val="0"/>
              <w:widowControl/>
              <w:suppressLineNumbers w:val="0"/>
              <w:jc w:val="left"/>
              <w:textAlignment w:val="center"/>
              <w:rPr>
                <w:rFonts w:hint="eastAsia"/>
                <w:color w:val="auto"/>
                <w:lang w:val="en-US" w:eastAsia="zh-CN"/>
              </w:rPr>
            </w:pPr>
            <w:r>
              <w:rPr>
                <w:color w:val="auto"/>
              </w:rPr>
              <w:t>2、起重作业人员持证上岗，严格遵守“十不吊”</w:t>
            </w:r>
            <w:r>
              <w:rPr>
                <w:rFonts w:hint="eastAsia"/>
                <w:color w:val="auto"/>
              </w:rPr>
              <w:t>。</w:t>
            </w:r>
          </w:p>
        </w:tc>
      </w:tr>
    </w:tbl>
    <w:p>
      <w:pPr>
        <w:pStyle w:val="54"/>
        <w:ind w:firstLine="562"/>
        <w:rPr>
          <w:b/>
          <w:color w:val="auto"/>
        </w:rPr>
      </w:pPr>
      <w:r>
        <w:rPr>
          <w:rFonts w:hint="eastAsia"/>
          <w:b/>
          <w:color w:val="auto"/>
        </w:rPr>
        <w:t>评价小结</w:t>
      </w:r>
    </w:p>
    <w:p>
      <w:pPr>
        <w:pStyle w:val="54"/>
        <w:ind w:firstLine="560"/>
        <w:rPr>
          <w:color w:val="auto"/>
        </w:rPr>
      </w:pPr>
      <w:r>
        <w:rPr>
          <w:color w:val="auto"/>
        </w:rPr>
        <w:t>通过预先危险分析：</w:t>
      </w:r>
      <w:r>
        <w:rPr>
          <w:rFonts w:hint="eastAsia"/>
          <w:color w:val="auto"/>
        </w:rPr>
        <w:t>生产工艺装置</w:t>
      </w:r>
      <w:r>
        <w:rPr>
          <w:color w:val="auto"/>
        </w:rPr>
        <w:t>单元主要危险、有害因素为：火灾爆炸</w:t>
      </w:r>
      <w:r>
        <w:rPr>
          <w:rFonts w:hint="eastAsia"/>
          <w:color w:val="auto"/>
        </w:rPr>
        <w:t>，</w:t>
      </w:r>
      <w:r>
        <w:rPr>
          <w:color w:val="auto"/>
        </w:rPr>
        <w:t>危险程度为Ⅲ级；灼</w:t>
      </w:r>
      <w:r>
        <w:rPr>
          <w:rFonts w:hint="eastAsia"/>
          <w:color w:val="auto"/>
        </w:rPr>
        <w:t>烫</w:t>
      </w:r>
      <w:r>
        <w:rPr>
          <w:color w:val="auto"/>
        </w:rPr>
        <w:t>、中毒</w:t>
      </w:r>
      <w:r>
        <w:rPr>
          <w:rFonts w:hint="eastAsia"/>
          <w:color w:val="auto"/>
        </w:rPr>
        <w:t>和</w:t>
      </w:r>
      <w:r>
        <w:rPr>
          <w:color w:val="auto"/>
        </w:rPr>
        <w:t>窒息</w:t>
      </w:r>
      <w:r>
        <w:rPr>
          <w:rFonts w:hint="eastAsia"/>
          <w:color w:val="auto"/>
        </w:rPr>
        <w:t>、</w:t>
      </w:r>
      <w:r>
        <w:rPr>
          <w:color w:val="auto"/>
        </w:rPr>
        <w:t>触电、机械伤害</w:t>
      </w:r>
      <w:r>
        <w:rPr>
          <w:rFonts w:hint="eastAsia"/>
          <w:color w:val="auto"/>
        </w:rPr>
        <w:t>、高处坠落、物体打击、起重伤害</w:t>
      </w:r>
      <w:r>
        <w:rPr>
          <w:color w:val="auto"/>
        </w:rPr>
        <w:t>危险程度为Ⅱ级；Ⅲ级是危险的，会造成人员伤亡和系统损坏，要立即采取防范对策措施；Ⅱ级处于事故的边缘状态，暂时还不会造成人员伤亡、系统损坏降低系统性能，但应予排除或采取控制措施。</w:t>
      </w:r>
    </w:p>
    <w:p>
      <w:pPr>
        <w:pStyle w:val="54"/>
        <w:ind w:firstLine="562"/>
        <w:rPr>
          <w:b/>
          <w:color w:val="auto"/>
        </w:rPr>
      </w:pPr>
      <w:r>
        <w:rPr>
          <w:rFonts w:hint="eastAsia"/>
          <w:b/>
          <w:color w:val="auto"/>
        </w:rPr>
        <w:t>2.危险度分析</w:t>
      </w:r>
    </w:p>
    <w:p>
      <w:pPr>
        <w:pStyle w:val="54"/>
        <w:ind w:firstLine="560"/>
        <w:rPr>
          <w:color w:val="auto"/>
        </w:rPr>
      </w:pPr>
      <w:r>
        <w:rPr>
          <w:rFonts w:hint="eastAsia"/>
          <w:bCs/>
          <w:color w:val="auto"/>
        </w:rPr>
        <w:t>依据该单位提供的生产设备设施的规格型号和在生产操作规程中规定的温度、压力及操作等参数数值，选出危险性较大的设备作为该方法评价的设备；同时参考其它类似企业的生产数据，按照5.3节评价方法简介中“</w:t>
      </w:r>
      <w:r>
        <w:rPr>
          <w:rFonts w:hint="eastAsia"/>
          <w:color w:val="auto"/>
        </w:rPr>
        <w:t>危险度评价法”</w:t>
      </w:r>
      <w:r>
        <w:rPr>
          <w:rFonts w:hint="eastAsia"/>
          <w:bCs/>
          <w:color w:val="auto"/>
        </w:rPr>
        <w:t>提供的方法，得到该项目主要生产设备设施的危险度分级表见附表。作业场所固有危险程度等级以场所内设备最高危险程度等级为准，建设项目总的固有危险程度等级以项目内最高场所危险程度等级为准。</w:t>
      </w:r>
    </w:p>
    <w:p>
      <w:pPr>
        <w:pStyle w:val="53"/>
        <w:rPr>
          <w:color w:val="auto"/>
        </w:rPr>
      </w:pPr>
      <w:r>
        <w:rPr>
          <w:rFonts w:hint="eastAsia"/>
          <w:color w:val="auto"/>
        </w:rPr>
        <w:t>表</w:t>
      </w:r>
      <w:r>
        <w:rPr>
          <w:color w:val="auto"/>
        </w:rPr>
        <w:t>C.3-2  101</w:t>
      </w:r>
      <w:r>
        <w:rPr>
          <w:rFonts w:hint="eastAsia"/>
          <w:color w:val="auto"/>
          <w:lang w:val="en-US" w:eastAsia="zh-CN"/>
        </w:rPr>
        <w:t>裂解</w:t>
      </w:r>
      <w:r>
        <w:rPr>
          <w:rFonts w:hint="eastAsia"/>
          <w:color w:val="auto"/>
        </w:rPr>
        <w:t>车间</w:t>
      </w:r>
      <w:r>
        <w:rPr>
          <w:rFonts w:hint="eastAsia"/>
          <w:color w:val="auto"/>
          <w:lang w:eastAsia="zh-CN"/>
        </w:rPr>
        <w:t>、</w:t>
      </w:r>
      <w:r>
        <w:rPr>
          <w:rFonts w:hint="eastAsia"/>
          <w:color w:val="auto"/>
          <w:lang w:val="en-US" w:eastAsia="zh-CN"/>
        </w:rPr>
        <w:t>102精馏车间</w:t>
      </w:r>
      <w:r>
        <w:rPr>
          <w:rFonts w:hint="eastAsia"/>
          <w:color w:val="auto"/>
        </w:rPr>
        <w:t>作业场所固有危险程度分析表</w:t>
      </w:r>
    </w:p>
    <w:tbl>
      <w:tblPr>
        <w:tblStyle w:val="42"/>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307"/>
        <w:gridCol w:w="493"/>
        <w:gridCol w:w="772"/>
        <w:gridCol w:w="471"/>
        <w:gridCol w:w="911"/>
        <w:gridCol w:w="482"/>
        <w:gridCol w:w="720"/>
        <w:gridCol w:w="420"/>
        <w:gridCol w:w="645"/>
        <w:gridCol w:w="480"/>
        <w:gridCol w:w="600"/>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14" w:type="dxa"/>
            <w:vMerge w:val="restart"/>
            <w:vAlign w:val="center"/>
          </w:tcPr>
          <w:p>
            <w:pPr>
              <w:pStyle w:val="59"/>
              <w:jc w:val="center"/>
              <w:rPr>
                <w:color w:val="auto"/>
              </w:rPr>
            </w:pPr>
            <w:r>
              <w:rPr>
                <w:rFonts w:hint="eastAsia"/>
                <w:color w:val="auto"/>
              </w:rPr>
              <w:t>装置</w:t>
            </w:r>
          </w:p>
        </w:tc>
        <w:tc>
          <w:tcPr>
            <w:tcW w:w="1800" w:type="dxa"/>
            <w:gridSpan w:val="2"/>
            <w:vAlign w:val="center"/>
          </w:tcPr>
          <w:p>
            <w:pPr>
              <w:pStyle w:val="59"/>
              <w:jc w:val="center"/>
              <w:rPr>
                <w:color w:val="auto"/>
              </w:rPr>
            </w:pPr>
            <w:r>
              <w:rPr>
                <w:rFonts w:hint="eastAsia"/>
                <w:color w:val="auto"/>
              </w:rPr>
              <w:t>主要介质</w:t>
            </w:r>
          </w:p>
        </w:tc>
        <w:tc>
          <w:tcPr>
            <w:tcW w:w="1243" w:type="dxa"/>
            <w:gridSpan w:val="2"/>
            <w:vAlign w:val="center"/>
          </w:tcPr>
          <w:p>
            <w:pPr>
              <w:pStyle w:val="59"/>
              <w:jc w:val="center"/>
              <w:rPr>
                <w:color w:val="auto"/>
              </w:rPr>
            </w:pPr>
            <w:r>
              <w:rPr>
                <w:rFonts w:hint="eastAsia"/>
                <w:color w:val="auto"/>
              </w:rPr>
              <w:t>物料容量</w:t>
            </w:r>
          </w:p>
        </w:tc>
        <w:tc>
          <w:tcPr>
            <w:tcW w:w="1393" w:type="dxa"/>
            <w:gridSpan w:val="2"/>
            <w:vAlign w:val="center"/>
          </w:tcPr>
          <w:p>
            <w:pPr>
              <w:pStyle w:val="59"/>
              <w:jc w:val="center"/>
              <w:rPr>
                <w:color w:val="auto"/>
              </w:rPr>
            </w:pPr>
            <w:r>
              <w:rPr>
                <w:rFonts w:hint="eastAsia"/>
                <w:color w:val="auto"/>
              </w:rPr>
              <w:t>温度</w:t>
            </w:r>
          </w:p>
        </w:tc>
        <w:tc>
          <w:tcPr>
            <w:tcW w:w="1140" w:type="dxa"/>
            <w:gridSpan w:val="2"/>
            <w:vAlign w:val="center"/>
          </w:tcPr>
          <w:p>
            <w:pPr>
              <w:pStyle w:val="59"/>
              <w:jc w:val="center"/>
              <w:rPr>
                <w:color w:val="auto"/>
              </w:rPr>
            </w:pPr>
            <w:r>
              <w:rPr>
                <w:rFonts w:hint="eastAsia"/>
                <w:color w:val="auto"/>
              </w:rPr>
              <w:t>压力</w:t>
            </w:r>
          </w:p>
        </w:tc>
        <w:tc>
          <w:tcPr>
            <w:tcW w:w="645" w:type="dxa"/>
            <w:vAlign w:val="center"/>
          </w:tcPr>
          <w:p>
            <w:pPr>
              <w:pStyle w:val="59"/>
              <w:jc w:val="center"/>
              <w:rPr>
                <w:color w:val="auto"/>
              </w:rPr>
            </w:pPr>
            <w:r>
              <w:rPr>
                <w:rFonts w:hint="eastAsia"/>
                <w:color w:val="auto"/>
              </w:rPr>
              <w:t>操作</w:t>
            </w:r>
          </w:p>
        </w:tc>
        <w:tc>
          <w:tcPr>
            <w:tcW w:w="480" w:type="dxa"/>
            <w:vMerge w:val="restart"/>
            <w:vAlign w:val="center"/>
          </w:tcPr>
          <w:p>
            <w:pPr>
              <w:pStyle w:val="59"/>
              <w:jc w:val="center"/>
              <w:rPr>
                <w:color w:val="auto"/>
              </w:rPr>
            </w:pPr>
            <w:r>
              <w:rPr>
                <w:rFonts w:hint="eastAsia"/>
                <w:color w:val="auto"/>
              </w:rPr>
              <w:t>总分</w:t>
            </w:r>
          </w:p>
        </w:tc>
        <w:tc>
          <w:tcPr>
            <w:tcW w:w="600" w:type="dxa"/>
            <w:vMerge w:val="restart"/>
            <w:vAlign w:val="center"/>
          </w:tcPr>
          <w:p>
            <w:pPr>
              <w:pStyle w:val="59"/>
              <w:jc w:val="center"/>
              <w:rPr>
                <w:color w:val="auto"/>
              </w:rPr>
            </w:pPr>
            <w:r>
              <w:rPr>
                <w:rFonts w:hint="eastAsia"/>
                <w:color w:val="auto"/>
              </w:rPr>
              <w:t>危险等级</w:t>
            </w:r>
          </w:p>
        </w:tc>
        <w:tc>
          <w:tcPr>
            <w:tcW w:w="789" w:type="dxa"/>
            <w:vMerge w:val="restart"/>
            <w:vAlign w:val="center"/>
          </w:tcPr>
          <w:p>
            <w:pPr>
              <w:pStyle w:val="59"/>
              <w:jc w:val="center"/>
              <w:rPr>
                <w:color w:val="auto"/>
              </w:rPr>
            </w:pPr>
            <w:r>
              <w:rPr>
                <w:rFonts w:hint="eastAsia"/>
                <w:color w:val="auto"/>
              </w:rPr>
              <w:t>装置危险度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14" w:type="dxa"/>
            <w:vMerge w:val="continue"/>
            <w:vAlign w:val="center"/>
          </w:tcPr>
          <w:p>
            <w:pPr>
              <w:pStyle w:val="59"/>
              <w:jc w:val="center"/>
              <w:rPr>
                <w:color w:val="auto"/>
              </w:rPr>
            </w:pPr>
          </w:p>
        </w:tc>
        <w:tc>
          <w:tcPr>
            <w:tcW w:w="1307" w:type="dxa"/>
            <w:vAlign w:val="center"/>
          </w:tcPr>
          <w:p>
            <w:pPr>
              <w:pStyle w:val="59"/>
              <w:jc w:val="center"/>
              <w:rPr>
                <w:color w:val="auto"/>
              </w:rPr>
            </w:pPr>
            <w:r>
              <w:rPr>
                <w:rFonts w:hint="eastAsia"/>
                <w:color w:val="auto"/>
              </w:rPr>
              <w:t>名称</w:t>
            </w:r>
          </w:p>
        </w:tc>
        <w:tc>
          <w:tcPr>
            <w:tcW w:w="493" w:type="dxa"/>
            <w:vAlign w:val="center"/>
          </w:tcPr>
          <w:p>
            <w:pPr>
              <w:pStyle w:val="59"/>
              <w:jc w:val="center"/>
              <w:rPr>
                <w:color w:val="auto"/>
              </w:rPr>
            </w:pPr>
            <w:r>
              <w:rPr>
                <w:rFonts w:hint="eastAsia"/>
                <w:color w:val="auto"/>
              </w:rPr>
              <w:t>分数</w:t>
            </w:r>
          </w:p>
        </w:tc>
        <w:tc>
          <w:tcPr>
            <w:tcW w:w="772" w:type="dxa"/>
            <w:vAlign w:val="center"/>
          </w:tcPr>
          <w:p>
            <w:pPr>
              <w:pStyle w:val="59"/>
              <w:jc w:val="center"/>
              <w:rPr>
                <w:color w:val="auto"/>
              </w:rPr>
            </w:pPr>
            <w:r>
              <w:rPr>
                <w:rFonts w:hint="eastAsia"/>
                <w:color w:val="auto"/>
              </w:rPr>
              <w:t>m</w:t>
            </w:r>
            <w:r>
              <w:rPr>
                <w:rFonts w:hint="eastAsia"/>
                <w:color w:val="auto"/>
                <w:vertAlign w:val="superscript"/>
              </w:rPr>
              <w:t>3</w:t>
            </w:r>
          </w:p>
        </w:tc>
        <w:tc>
          <w:tcPr>
            <w:tcW w:w="471" w:type="dxa"/>
            <w:vAlign w:val="center"/>
          </w:tcPr>
          <w:p>
            <w:pPr>
              <w:pStyle w:val="59"/>
              <w:jc w:val="center"/>
              <w:rPr>
                <w:color w:val="auto"/>
              </w:rPr>
            </w:pPr>
            <w:r>
              <w:rPr>
                <w:rFonts w:hint="eastAsia"/>
                <w:color w:val="auto"/>
              </w:rPr>
              <w:t>分数</w:t>
            </w:r>
          </w:p>
        </w:tc>
        <w:tc>
          <w:tcPr>
            <w:tcW w:w="911" w:type="dxa"/>
            <w:vAlign w:val="center"/>
          </w:tcPr>
          <w:p>
            <w:pPr>
              <w:pStyle w:val="59"/>
              <w:jc w:val="center"/>
              <w:rPr>
                <w:color w:val="auto"/>
              </w:rPr>
            </w:pPr>
            <w:r>
              <w:rPr>
                <w:rFonts w:hint="eastAsia"/>
                <w:color w:val="auto"/>
              </w:rPr>
              <w:t>℃</w:t>
            </w:r>
          </w:p>
        </w:tc>
        <w:tc>
          <w:tcPr>
            <w:tcW w:w="482" w:type="dxa"/>
            <w:vAlign w:val="center"/>
          </w:tcPr>
          <w:p>
            <w:pPr>
              <w:pStyle w:val="59"/>
              <w:jc w:val="center"/>
              <w:rPr>
                <w:color w:val="auto"/>
              </w:rPr>
            </w:pPr>
            <w:r>
              <w:rPr>
                <w:rFonts w:hint="eastAsia"/>
                <w:color w:val="auto"/>
              </w:rPr>
              <w:t>分数</w:t>
            </w:r>
          </w:p>
        </w:tc>
        <w:tc>
          <w:tcPr>
            <w:tcW w:w="720" w:type="dxa"/>
            <w:vAlign w:val="center"/>
          </w:tcPr>
          <w:p>
            <w:pPr>
              <w:pStyle w:val="59"/>
              <w:jc w:val="center"/>
              <w:rPr>
                <w:color w:val="auto"/>
              </w:rPr>
            </w:pPr>
            <w:r>
              <w:rPr>
                <w:rFonts w:hint="eastAsia"/>
                <w:color w:val="auto"/>
              </w:rPr>
              <w:t>MPa</w:t>
            </w:r>
          </w:p>
        </w:tc>
        <w:tc>
          <w:tcPr>
            <w:tcW w:w="420" w:type="dxa"/>
            <w:vAlign w:val="center"/>
          </w:tcPr>
          <w:p>
            <w:pPr>
              <w:pStyle w:val="59"/>
              <w:jc w:val="center"/>
              <w:rPr>
                <w:color w:val="auto"/>
              </w:rPr>
            </w:pPr>
            <w:r>
              <w:rPr>
                <w:rFonts w:hint="eastAsia"/>
                <w:color w:val="auto"/>
              </w:rPr>
              <w:t>分数</w:t>
            </w:r>
          </w:p>
        </w:tc>
        <w:tc>
          <w:tcPr>
            <w:tcW w:w="645" w:type="dxa"/>
            <w:vAlign w:val="center"/>
          </w:tcPr>
          <w:p>
            <w:pPr>
              <w:pStyle w:val="59"/>
              <w:jc w:val="center"/>
              <w:rPr>
                <w:color w:val="auto"/>
              </w:rPr>
            </w:pPr>
            <w:r>
              <w:rPr>
                <w:rFonts w:hint="eastAsia"/>
                <w:color w:val="auto"/>
              </w:rPr>
              <w:t>分数</w:t>
            </w:r>
          </w:p>
        </w:tc>
        <w:tc>
          <w:tcPr>
            <w:tcW w:w="480" w:type="dxa"/>
            <w:vMerge w:val="continue"/>
            <w:vAlign w:val="center"/>
          </w:tcPr>
          <w:p>
            <w:pPr>
              <w:pStyle w:val="59"/>
              <w:jc w:val="center"/>
              <w:rPr>
                <w:color w:val="auto"/>
              </w:rPr>
            </w:pPr>
          </w:p>
        </w:tc>
        <w:tc>
          <w:tcPr>
            <w:tcW w:w="600" w:type="dxa"/>
            <w:vMerge w:val="continue"/>
            <w:vAlign w:val="center"/>
          </w:tcPr>
          <w:p>
            <w:pPr>
              <w:pStyle w:val="59"/>
              <w:jc w:val="center"/>
              <w:rPr>
                <w:color w:val="auto"/>
              </w:rPr>
            </w:pPr>
          </w:p>
        </w:tc>
        <w:tc>
          <w:tcPr>
            <w:tcW w:w="789" w:type="dxa"/>
            <w:vMerge w:val="continue"/>
            <w:vAlign w:val="center"/>
          </w:tcPr>
          <w:p>
            <w:pPr>
              <w:pStyle w:val="59"/>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14" w:type="dxa"/>
            <w:vAlign w:val="center"/>
          </w:tcPr>
          <w:p>
            <w:pPr>
              <w:pStyle w:val="59"/>
              <w:jc w:val="center"/>
              <w:rPr>
                <w:rFonts w:hint="default" w:eastAsia="宋体"/>
                <w:color w:val="auto"/>
                <w:lang w:val="en-US" w:eastAsia="zh-CN"/>
              </w:rPr>
            </w:pPr>
            <w:r>
              <w:rPr>
                <w:rFonts w:hint="default"/>
                <w:color w:val="auto"/>
                <w:lang w:val="en-US" w:eastAsia="zh-CN"/>
              </w:rPr>
              <w:t>裂解炉</w:t>
            </w:r>
          </w:p>
        </w:tc>
        <w:tc>
          <w:tcPr>
            <w:tcW w:w="1307" w:type="dxa"/>
            <w:vAlign w:val="center"/>
          </w:tcPr>
          <w:p>
            <w:pPr>
              <w:pStyle w:val="59"/>
              <w:jc w:val="center"/>
              <w:rPr>
                <w:rFonts w:hint="default" w:eastAsia="宋体"/>
                <w:color w:val="auto"/>
                <w:lang w:eastAsia="zh-CN"/>
              </w:rPr>
            </w:pPr>
            <w:r>
              <w:rPr>
                <w:rFonts w:hint="default"/>
                <w:color w:val="auto"/>
                <w:lang w:val="en-US" w:eastAsia="zh-CN"/>
              </w:rPr>
              <w:t>甲基丙烯酸甲酯</w:t>
            </w:r>
          </w:p>
        </w:tc>
        <w:tc>
          <w:tcPr>
            <w:tcW w:w="493" w:type="dxa"/>
            <w:vAlign w:val="center"/>
          </w:tcPr>
          <w:p>
            <w:pPr>
              <w:pStyle w:val="59"/>
              <w:jc w:val="center"/>
              <w:rPr>
                <w:rFonts w:hint="default" w:eastAsia="宋体"/>
                <w:color w:val="auto"/>
                <w:lang w:eastAsia="zh-CN"/>
              </w:rPr>
            </w:pPr>
            <w:r>
              <w:rPr>
                <w:rFonts w:hint="default"/>
                <w:color w:val="auto"/>
                <w:lang w:val="en-US" w:eastAsia="zh-CN"/>
              </w:rPr>
              <w:t>5</w:t>
            </w:r>
          </w:p>
        </w:tc>
        <w:tc>
          <w:tcPr>
            <w:tcW w:w="772" w:type="dxa"/>
            <w:vAlign w:val="center"/>
          </w:tcPr>
          <w:p>
            <w:pPr>
              <w:pStyle w:val="59"/>
              <w:jc w:val="center"/>
              <w:rPr>
                <w:rFonts w:hint="default" w:eastAsia="宋体"/>
                <w:color w:val="auto"/>
                <w:lang w:val="en-US" w:eastAsia="zh-CN"/>
              </w:rPr>
            </w:pPr>
            <w:r>
              <w:rPr>
                <w:rFonts w:hint="eastAsia"/>
                <w:color w:val="auto"/>
                <w:lang w:val="en-US" w:eastAsia="zh-CN"/>
              </w:rPr>
              <w:t>40</w:t>
            </w:r>
          </w:p>
        </w:tc>
        <w:tc>
          <w:tcPr>
            <w:tcW w:w="471" w:type="dxa"/>
            <w:vAlign w:val="center"/>
          </w:tcPr>
          <w:p>
            <w:pPr>
              <w:pStyle w:val="59"/>
              <w:jc w:val="center"/>
              <w:rPr>
                <w:color w:val="auto"/>
              </w:rPr>
            </w:pPr>
            <w:r>
              <w:rPr>
                <w:color w:val="auto"/>
              </w:rPr>
              <w:t>2</w:t>
            </w:r>
          </w:p>
        </w:tc>
        <w:tc>
          <w:tcPr>
            <w:tcW w:w="911" w:type="dxa"/>
            <w:vAlign w:val="center"/>
          </w:tcPr>
          <w:p>
            <w:pPr>
              <w:pStyle w:val="59"/>
              <w:jc w:val="center"/>
              <w:rPr>
                <w:rFonts w:hint="default" w:eastAsia="宋体"/>
                <w:color w:val="auto"/>
                <w:lang w:val="en-US" w:eastAsia="zh-CN"/>
              </w:rPr>
            </w:pPr>
            <w:r>
              <w:rPr>
                <w:rFonts w:hint="default"/>
                <w:color w:val="auto"/>
                <w:lang w:val="en-US" w:eastAsia="zh-CN"/>
              </w:rPr>
              <w:t>400~500</w:t>
            </w:r>
          </w:p>
        </w:tc>
        <w:tc>
          <w:tcPr>
            <w:tcW w:w="482" w:type="dxa"/>
            <w:vAlign w:val="center"/>
          </w:tcPr>
          <w:p>
            <w:pPr>
              <w:pStyle w:val="59"/>
              <w:jc w:val="center"/>
              <w:rPr>
                <w:rFonts w:hint="eastAsia" w:eastAsia="宋体"/>
                <w:color w:val="auto"/>
                <w:lang w:eastAsia="zh-CN"/>
              </w:rPr>
            </w:pPr>
            <w:r>
              <w:rPr>
                <w:rFonts w:hint="eastAsia"/>
                <w:color w:val="auto"/>
                <w:lang w:val="en-US" w:eastAsia="zh-CN"/>
              </w:rPr>
              <w:t>2</w:t>
            </w:r>
          </w:p>
        </w:tc>
        <w:tc>
          <w:tcPr>
            <w:tcW w:w="720" w:type="dxa"/>
            <w:vAlign w:val="center"/>
          </w:tcPr>
          <w:p>
            <w:pPr>
              <w:pStyle w:val="59"/>
              <w:jc w:val="center"/>
              <w:rPr>
                <w:rFonts w:hint="eastAsia" w:eastAsia="宋体"/>
                <w:color w:val="auto"/>
                <w:lang w:eastAsia="zh-CN"/>
              </w:rPr>
            </w:pPr>
            <w:r>
              <w:rPr>
                <w:rFonts w:hint="eastAsia"/>
                <w:color w:val="auto"/>
                <w:lang w:val="en-US" w:eastAsia="zh-CN"/>
              </w:rPr>
              <w:t>常压</w:t>
            </w:r>
          </w:p>
        </w:tc>
        <w:tc>
          <w:tcPr>
            <w:tcW w:w="420" w:type="dxa"/>
            <w:vAlign w:val="center"/>
          </w:tcPr>
          <w:p>
            <w:pPr>
              <w:pStyle w:val="59"/>
              <w:jc w:val="center"/>
              <w:rPr>
                <w:color w:val="auto"/>
              </w:rPr>
            </w:pPr>
            <w:r>
              <w:rPr>
                <w:rFonts w:hint="default"/>
                <w:color w:val="auto"/>
              </w:rPr>
              <w:t>0</w:t>
            </w:r>
          </w:p>
        </w:tc>
        <w:tc>
          <w:tcPr>
            <w:tcW w:w="645" w:type="dxa"/>
            <w:vAlign w:val="center"/>
          </w:tcPr>
          <w:p>
            <w:pPr>
              <w:pStyle w:val="59"/>
              <w:jc w:val="center"/>
              <w:rPr>
                <w:color w:val="auto"/>
              </w:rPr>
            </w:pPr>
            <w:r>
              <w:rPr>
                <w:color w:val="auto"/>
              </w:rPr>
              <w:t>2</w:t>
            </w:r>
          </w:p>
        </w:tc>
        <w:tc>
          <w:tcPr>
            <w:tcW w:w="480" w:type="dxa"/>
            <w:vAlign w:val="center"/>
          </w:tcPr>
          <w:p>
            <w:pPr>
              <w:pStyle w:val="59"/>
              <w:jc w:val="center"/>
              <w:rPr>
                <w:rFonts w:hint="default" w:eastAsia="宋体"/>
                <w:color w:val="auto"/>
                <w:lang w:val="en-US" w:eastAsia="zh-CN"/>
              </w:rPr>
            </w:pPr>
            <w:r>
              <w:rPr>
                <w:rFonts w:hint="eastAsia"/>
                <w:color w:val="auto"/>
                <w:lang w:val="en-US" w:eastAsia="zh-CN"/>
              </w:rPr>
              <w:t>11</w:t>
            </w:r>
          </w:p>
        </w:tc>
        <w:tc>
          <w:tcPr>
            <w:tcW w:w="600" w:type="dxa"/>
            <w:vAlign w:val="center"/>
          </w:tcPr>
          <w:p>
            <w:pPr>
              <w:pStyle w:val="59"/>
              <w:jc w:val="center"/>
              <w:rPr>
                <w:color w:val="auto"/>
              </w:rPr>
            </w:pPr>
            <w:r>
              <w:rPr>
                <w:rFonts w:hint="default"/>
                <w:color w:val="auto"/>
              </w:rPr>
              <w:t>Ⅲ</w:t>
            </w:r>
          </w:p>
        </w:tc>
        <w:tc>
          <w:tcPr>
            <w:tcW w:w="789" w:type="dxa"/>
            <w:vMerge w:val="restart"/>
            <w:vAlign w:val="center"/>
          </w:tcPr>
          <w:p>
            <w:pPr>
              <w:pStyle w:val="59"/>
              <w:jc w:val="center"/>
              <w:rPr>
                <w:color w:val="auto"/>
              </w:rPr>
            </w:pPr>
            <w:r>
              <w:rPr>
                <w:rFonts w:hint="default"/>
                <w:color w:val="auto"/>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14" w:type="dxa"/>
            <w:vAlign w:val="center"/>
          </w:tcPr>
          <w:p>
            <w:pPr>
              <w:pStyle w:val="59"/>
              <w:jc w:val="center"/>
              <w:rPr>
                <w:color w:val="auto"/>
              </w:rPr>
            </w:pPr>
            <w:r>
              <w:rPr>
                <w:rFonts w:hint="eastAsia"/>
                <w:color w:val="auto"/>
              </w:rPr>
              <w:t>精馏塔</w:t>
            </w:r>
          </w:p>
        </w:tc>
        <w:tc>
          <w:tcPr>
            <w:tcW w:w="1307" w:type="dxa"/>
            <w:vAlign w:val="center"/>
          </w:tcPr>
          <w:p>
            <w:pPr>
              <w:pStyle w:val="59"/>
              <w:jc w:val="center"/>
              <w:rPr>
                <w:color w:val="auto"/>
              </w:rPr>
            </w:pPr>
            <w:r>
              <w:rPr>
                <w:rFonts w:hint="eastAsia"/>
                <w:color w:val="auto"/>
                <w:lang w:val="en-US" w:eastAsia="zh-CN"/>
              </w:rPr>
              <w:t>甲基丙烯酸甲酯</w:t>
            </w:r>
          </w:p>
        </w:tc>
        <w:tc>
          <w:tcPr>
            <w:tcW w:w="493" w:type="dxa"/>
            <w:vAlign w:val="center"/>
          </w:tcPr>
          <w:p>
            <w:pPr>
              <w:pStyle w:val="59"/>
              <w:jc w:val="center"/>
              <w:rPr>
                <w:color w:val="auto"/>
              </w:rPr>
            </w:pPr>
            <w:r>
              <w:rPr>
                <w:rFonts w:hint="eastAsia"/>
                <w:color w:val="auto"/>
              </w:rPr>
              <w:t>5</w:t>
            </w:r>
          </w:p>
        </w:tc>
        <w:tc>
          <w:tcPr>
            <w:tcW w:w="772" w:type="dxa"/>
            <w:vAlign w:val="center"/>
          </w:tcPr>
          <w:p>
            <w:pPr>
              <w:pStyle w:val="59"/>
              <w:jc w:val="center"/>
              <w:rPr>
                <w:rFonts w:hint="default" w:eastAsia="宋体"/>
                <w:color w:val="auto"/>
                <w:lang w:val="en-US" w:eastAsia="zh-CN"/>
              </w:rPr>
            </w:pPr>
            <w:r>
              <w:rPr>
                <w:rFonts w:hint="eastAsia"/>
                <w:color w:val="auto"/>
                <w:lang w:val="en-US" w:eastAsia="zh-CN"/>
              </w:rPr>
              <w:t>60</w:t>
            </w:r>
          </w:p>
        </w:tc>
        <w:tc>
          <w:tcPr>
            <w:tcW w:w="471" w:type="dxa"/>
            <w:vAlign w:val="center"/>
          </w:tcPr>
          <w:p>
            <w:pPr>
              <w:pStyle w:val="59"/>
              <w:jc w:val="center"/>
              <w:rPr>
                <w:rFonts w:hint="default" w:eastAsia="宋体"/>
                <w:color w:val="auto"/>
                <w:lang w:val="en-US" w:eastAsia="zh-CN"/>
              </w:rPr>
            </w:pPr>
            <w:r>
              <w:rPr>
                <w:rFonts w:hint="eastAsia"/>
                <w:color w:val="auto"/>
                <w:lang w:val="en-US" w:eastAsia="zh-CN"/>
              </w:rPr>
              <w:t>5</w:t>
            </w:r>
          </w:p>
        </w:tc>
        <w:tc>
          <w:tcPr>
            <w:tcW w:w="911" w:type="dxa"/>
            <w:vAlign w:val="center"/>
          </w:tcPr>
          <w:p>
            <w:pPr>
              <w:pStyle w:val="59"/>
              <w:jc w:val="center"/>
              <w:rPr>
                <w:rFonts w:hint="default"/>
                <w:color w:val="auto"/>
                <w:lang w:val="en-US" w:eastAsia="zh-CN"/>
              </w:rPr>
            </w:pPr>
            <w:r>
              <w:rPr>
                <w:rFonts w:hint="eastAsia"/>
                <w:color w:val="auto"/>
                <w:lang w:val="en-US" w:eastAsia="zh-CN"/>
              </w:rPr>
              <w:t>60~80</w:t>
            </w:r>
          </w:p>
        </w:tc>
        <w:tc>
          <w:tcPr>
            <w:tcW w:w="482" w:type="dxa"/>
            <w:vAlign w:val="center"/>
          </w:tcPr>
          <w:p>
            <w:pPr>
              <w:pStyle w:val="59"/>
              <w:jc w:val="center"/>
              <w:rPr>
                <w:color w:val="auto"/>
              </w:rPr>
            </w:pPr>
            <w:r>
              <w:rPr>
                <w:rFonts w:hint="eastAsia"/>
                <w:color w:val="auto"/>
              </w:rPr>
              <w:t>0</w:t>
            </w:r>
          </w:p>
        </w:tc>
        <w:tc>
          <w:tcPr>
            <w:tcW w:w="720" w:type="dxa"/>
            <w:vAlign w:val="center"/>
          </w:tcPr>
          <w:p>
            <w:pPr>
              <w:pStyle w:val="59"/>
              <w:ind w:left="-140" w:leftChars="-50" w:right="-140" w:rightChars="-50"/>
              <w:jc w:val="center"/>
              <w:rPr>
                <w:rFonts w:hint="eastAsia"/>
                <w:color w:val="auto"/>
                <w:lang w:eastAsia="zh-CN"/>
              </w:rPr>
            </w:pPr>
            <w:r>
              <w:rPr>
                <w:rFonts w:hint="eastAsia"/>
                <w:color w:val="auto"/>
                <w:lang w:val="en-US" w:eastAsia="zh-CN"/>
              </w:rPr>
              <w:t>常压</w:t>
            </w:r>
          </w:p>
        </w:tc>
        <w:tc>
          <w:tcPr>
            <w:tcW w:w="420" w:type="dxa"/>
            <w:vAlign w:val="center"/>
          </w:tcPr>
          <w:p>
            <w:pPr>
              <w:pStyle w:val="59"/>
              <w:jc w:val="center"/>
              <w:rPr>
                <w:color w:val="auto"/>
              </w:rPr>
            </w:pPr>
            <w:r>
              <w:rPr>
                <w:rFonts w:hint="eastAsia"/>
                <w:color w:val="auto"/>
              </w:rPr>
              <w:t>0</w:t>
            </w:r>
          </w:p>
        </w:tc>
        <w:tc>
          <w:tcPr>
            <w:tcW w:w="645" w:type="dxa"/>
            <w:vAlign w:val="center"/>
          </w:tcPr>
          <w:p>
            <w:pPr>
              <w:pStyle w:val="59"/>
              <w:jc w:val="center"/>
              <w:rPr>
                <w:rFonts w:hint="eastAsia" w:eastAsia="宋体"/>
                <w:color w:val="auto"/>
                <w:lang w:eastAsia="zh-CN"/>
              </w:rPr>
            </w:pPr>
            <w:r>
              <w:rPr>
                <w:rFonts w:hint="eastAsia"/>
                <w:color w:val="auto"/>
                <w:lang w:val="en-US" w:eastAsia="zh-CN"/>
              </w:rPr>
              <w:t>2</w:t>
            </w:r>
          </w:p>
        </w:tc>
        <w:tc>
          <w:tcPr>
            <w:tcW w:w="480" w:type="dxa"/>
            <w:vAlign w:val="center"/>
          </w:tcPr>
          <w:p>
            <w:pPr>
              <w:pStyle w:val="59"/>
              <w:jc w:val="center"/>
              <w:rPr>
                <w:rFonts w:hint="default" w:eastAsia="宋体"/>
                <w:color w:val="auto"/>
                <w:lang w:val="en-US" w:eastAsia="zh-CN"/>
              </w:rPr>
            </w:pPr>
            <w:r>
              <w:rPr>
                <w:rFonts w:hint="eastAsia"/>
                <w:color w:val="auto"/>
                <w:lang w:val="en-US" w:eastAsia="zh-CN"/>
              </w:rPr>
              <w:t>15</w:t>
            </w:r>
          </w:p>
        </w:tc>
        <w:tc>
          <w:tcPr>
            <w:tcW w:w="600" w:type="dxa"/>
            <w:vAlign w:val="center"/>
          </w:tcPr>
          <w:p>
            <w:pPr>
              <w:pStyle w:val="59"/>
              <w:jc w:val="center"/>
              <w:rPr>
                <w:color w:val="auto"/>
              </w:rPr>
            </w:pPr>
            <w:r>
              <w:rPr>
                <w:rFonts w:hint="default"/>
                <w:color w:val="auto"/>
              </w:rPr>
              <w:t>Ⅱ</w:t>
            </w:r>
          </w:p>
        </w:tc>
        <w:tc>
          <w:tcPr>
            <w:tcW w:w="789" w:type="dxa"/>
            <w:vMerge w:val="continue"/>
            <w:vAlign w:val="center"/>
          </w:tcPr>
          <w:p>
            <w:pPr>
              <w:pStyle w:val="59"/>
              <w:jc w:val="center"/>
              <w:rPr>
                <w:color w:val="auto"/>
              </w:rPr>
            </w:pPr>
          </w:p>
        </w:tc>
      </w:tr>
    </w:tbl>
    <w:p>
      <w:pPr>
        <w:numPr>
          <w:ilvl w:val="-1"/>
          <w:numId w:val="0"/>
        </w:numPr>
        <w:ind w:firstLine="560" w:firstLineChars="200"/>
        <w:rPr>
          <w:rFonts w:hint="eastAsia"/>
          <w:color w:val="auto"/>
          <w:highlight w:val="yellow"/>
          <w:lang w:val="en-US" w:eastAsia="zh-CN"/>
        </w:rPr>
      </w:pPr>
      <w:r>
        <w:rPr>
          <w:rFonts w:hint="eastAsia"/>
          <w:color w:val="auto"/>
        </w:rPr>
        <w:t>评价小结：</w:t>
      </w:r>
      <w:r>
        <w:rPr>
          <w:rFonts w:hint="eastAsia"/>
          <w:bCs/>
          <w:color w:val="auto"/>
        </w:rPr>
        <w:t>由上表分析得知：</w:t>
      </w:r>
      <w:r>
        <w:rPr>
          <w:rFonts w:hint="eastAsia"/>
          <w:color w:val="auto"/>
          <w:highlight w:val="none"/>
        </w:rPr>
        <w:t>该单元</w:t>
      </w:r>
      <w:r>
        <w:rPr>
          <w:rFonts w:hint="eastAsia"/>
          <w:color w:val="auto"/>
          <w:highlight w:val="none"/>
          <w:lang w:val="en-US" w:eastAsia="zh-CN"/>
        </w:rPr>
        <w:t>裂解炉</w:t>
      </w:r>
      <w:r>
        <w:rPr>
          <w:rFonts w:hint="eastAsia"/>
          <w:color w:val="auto"/>
          <w:highlight w:val="none"/>
        </w:rPr>
        <w:t>等设备</w:t>
      </w:r>
      <w:r>
        <w:rPr>
          <w:rFonts w:hint="eastAsia"/>
          <w:bCs/>
          <w:color w:val="auto"/>
          <w:highlight w:val="none"/>
        </w:rPr>
        <w:t>危险</w:t>
      </w:r>
      <w:r>
        <w:rPr>
          <w:rFonts w:hint="eastAsia"/>
          <w:color w:val="auto"/>
          <w:highlight w:val="none"/>
        </w:rPr>
        <w:t>度等级为</w:t>
      </w:r>
      <w:r>
        <w:rPr>
          <w:rFonts w:hint="default"/>
          <w:color w:val="auto"/>
          <w:highlight w:val="none"/>
        </w:rPr>
        <w:t>Ⅲ</w:t>
      </w:r>
      <w:r>
        <w:rPr>
          <w:rFonts w:hint="eastAsia"/>
          <w:color w:val="auto"/>
          <w:highlight w:val="none"/>
        </w:rPr>
        <w:t>级；精馏塔等设备</w:t>
      </w:r>
      <w:r>
        <w:rPr>
          <w:rFonts w:hint="eastAsia"/>
          <w:bCs/>
          <w:color w:val="auto"/>
          <w:highlight w:val="none"/>
        </w:rPr>
        <w:t>危险</w:t>
      </w:r>
      <w:r>
        <w:rPr>
          <w:rFonts w:hint="eastAsia"/>
          <w:color w:val="auto"/>
          <w:highlight w:val="none"/>
        </w:rPr>
        <w:t>度等级为</w:t>
      </w:r>
      <w:r>
        <w:rPr>
          <w:rFonts w:hint="default"/>
          <w:color w:val="auto"/>
          <w:highlight w:val="none"/>
        </w:rPr>
        <w:t>Ⅱ</w:t>
      </w:r>
      <w:r>
        <w:rPr>
          <w:rFonts w:hint="eastAsia"/>
          <w:color w:val="auto"/>
          <w:highlight w:val="none"/>
        </w:rPr>
        <w:t>级；以单元内最高场所危险程度等级作为该单元总的固有危险程度等级，该单元总的固有</w:t>
      </w:r>
      <w:r>
        <w:rPr>
          <w:rFonts w:hint="eastAsia"/>
          <w:color w:val="auto"/>
        </w:rPr>
        <w:t>危险程度等级为Ⅱ级，属于中度危险，应采取安全控制措施，降低危险程度，防止事故发生。</w:t>
      </w:r>
    </w:p>
    <w:p>
      <w:pPr>
        <w:pStyle w:val="3"/>
        <w:rPr>
          <w:color w:val="auto"/>
        </w:rPr>
      </w:pPr>
      <w:bookmarkStart w:id="966" w:name="_Toc1308"/>
      <w:bookmarkStart w:id="967" w:name="_Toc11757"/>
      <w:bookmarkStart w:id="968" w:name="_Toc29400"/>
      <w:bookmarkStart w:id="969" w:name="_Toc646"/>
      <w:bookmarkStart w:id="970" w:name="_Toc96877134"/>
      <w:bookmarkStart w:id="971" w:name="_Toc126586697"/>
      <w:bookmarkStart w:id="972" w:name="_Toc20850"/>
      <w:bookmarkStart w:id="973" w:name="_Toc8137"/>
      <w:r>
        <w:rPr>
          <w:rFonts w:hint="eastAsia"/>
          <w:color w:val="auto"/>
        </w:rPr>
        <w:t>C</w:t>
      </w:r>
      <w:r>
        <w:rPr>
          <w:color w:val="auto"/>
        </w:rPr>
        <w:t xml:space="preserve">.4 </w:t>
      </w:r>
      <w:r>
        <w:rPr>
          <w:rFonts w:hint="eastAsia"/>
          <w:color w:val="auto"/>
        </w:rPr>
        <w:t>公用工程及辅助设施单元</w:t>
      </w:r>
      <w:bookmarkEnd w:id="966"/>
      <w:bookmarkEnd w:id="967"/>
      <w:bookmarkEnd w:id="968"/>
      <w:bookmarkEnd w:id="969"/>
      <w:bookmarkEnd w:id="970"/>
      <w:bookmarkEnd w:id="971"/>
      <w:bookmarkEnd w:id="972"/>
      <w:bookmarkEnd w:id="973"/>
    </w:p>
    <w:p>
      <w:pPr>
        <w:pStyle w:val="4"/>
        <w:ind w:firstLine="560"/>
        <w:rPr>
          <w:color w:val="auto"/>
        </w:rPr>
      </w:pPr>
      <w:bookmarkStart w:id="974" w:name="_Toc126586698"/>
      <w:bookmarkStart w:id="975" w:name="_Toc3548"/>
      <w:bookmarkStart w:id="976" w:name="_Toc24530"/>
      <w:bookmarkStart w:id="977" w:name="_Toc1185"/>
      <w:bookmarkStart w:id="978" w:name="_Toc750"/>
      <w:bookmarkStart w:id="979" w:name="_Toc13475"/>
      <w:bookmarkStart w:id="980" w:name="_Toc16616"/>
      <w:bookmarkStart w:id="981" w:name="_Toc96877135"/>
      <w:r>
        <w:rPr>
          <w:color w:val="auto"/>
        </w:rPr>
        <w:t>C</w:t>
      </w:r>
      <w:r>
        <w:rPr>
          <w:rFonts w:hint="eastAsia"/>
          <w:color w:val="auto"/>
        </w:rPr>
        <w:t>.4.1</w:t>
      </w:r>
      <w:r>
        <w:rPr>
          <w:color w:val="auto"/>
        </w:rPr>
        <w:t xml:space="preserve"> </w:t>
      </w:r>
      <w:r>
        <w:rPr>
          <w:rFonts w:hint="eastAsia"/>
          <w:color w:val="auto"/>
        </w:rPr>
        <w:t>电气子单元</w:t>
      </w:r>
      <w:bookmarkEnd w:id="974"/>
      <w:bookmarkEnd w:id="975"/>
      <w:bookmarkEnd w:id="976"/>
      <w:bookmarkEnd w:id="977"/>
      <w:bookmarkEnd w:id="978"/>
      <w:bookmarkEnd w:id="979"/>
      <w:bookmarkEnd w:id="980"/>
      <w:bookmarkEnd w:id="981"/>
    </w:p>
    <w:p>
      <w:pPr>
        <w:pStyle w:val="54"/>
        <w:ind w:firstLine="562"/>
        <w:rPr>
          <w:b/>
          <w:color w:val="auto"/>
        </w:rPr>
      </w:pPr>
      <w:r>
        <w:rPr>
          <w:rFonts w:hint="eastAsia"/>
          <w:b/>
          <w:color w:val="auto"/>
        </w:rPr>
        <w:t>1</w:t>
      </w:r>
      <w:r>
        <w:rPr>
          <w:b/>
          <w:color w:val="auto"/>
        </w:rPr>
        <w:t>.</w:t>
      </w:r>
      <w:r>
        <w:rPr>
          <w:rFonts w:hint="eastAsia"/>
          <w:b/>
          <w:color w:val="auto"/>
        </w:rPr>
        <w:t>预先危险分析</w:t>
      </w:r>
    </w:p>
    <w:p>
      <w:pPr>
        <w:pStyle w:val="54"/>
        <w:ind w:firstLine="536"/>
        <w:rPr>
          <w:color w:val="auto"/>
          <w:spacing w:val="-6"/>
        </w:rPr>
      </w:pPr>
      <w:r>
        <w:rPr>
          <w:rFonts w:hint="eastAsia"/>
          <w:color w:val="auto"/>
          <w:spacing w:val="-6"/>
        </w:rPr>
        <w:t>采用预先危险分析法（PHA）对本子单元进行分析评价，具体情况见表</w:t>
      </w:r>
      <w:r>
        <w:rPr>
          <w:color w:val="auto"/>
          <w:spacing w:val="-6"/>
        </w:rPr>
        <w:t>C.4-1</w:t>
      </w:r>
      <w:r>
        <w:rPr>
          <w:rFonts w:hint="eastAsia"/>
          <w:color w:val="auto"/>
          <w:spacing w:val="-6"/>
        </w:rPr>
        <w:t>。</w:t>
      </w:r>
    </w:p>
    <w:p>
      <w:pPr>
        <w:pStyle w:val="53"/>
        <w:rPr>
          <w:color w:val="auto"/>
        </w:rPr>
      </w:pPr>
      <w:r>
        <w:rPr>
          <w:rFonts w:hint="eastAsia"/>
          <w:color w:val="auto"/>
        </w:rPr>
        <w:t>表</w:t>
      </w:r>
      <w:r>
        <w:rPr>
          <w:color w:val="auto"/>
        </w:rPr>
        <w:t xml:space="preserve">C.4-1  </w:t>
      </w:r>
      <w:r>
        <w:rPr>
          <w:rFonts w:hint="eastAsia"/>
          <w:color w:val="auto"/>
        </w:rPr>
        <w:t>电气子单元预先危险分析表</w:t>
      </w:r>
    </w:p>
    <w:tbl>
      <w:tblPr>
        <w:tblStyle w:val="4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
        <w:gridCol w:w="456"/>
        <w:gridCol w:w="3643"/>
        <w:gridCol w:w="683"/>
        <w:gridCol w:w="720"/>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jc w:val="center"/>
              <w:rPr>
                <w:color w:val="auto"/>
              </w:rPr>
            </w:pPr>
            <w:r>
              <w:rPr>
                <w:rFonts w:hint="eastAsia"/>
                <w:color w:val="auto"/>
              </w:rPr>
              <w:t>事故</w:t>
            </w:r>
          </w:p>
        </w:tc>
        <w:tc>
          <w:tcPr>
            <w:tcW w:w="456" w:type="dxa"/>
            <w:vAlign w:val="center"/>
          </w:tcPr>
          <w:p>
            <w:pPr>
              <w:pStyle w:val="59"/>
              <w:jc w:val="center"/>
              <w:rPr>
                <w:color w:val="auto"/>
              </w:rPr>
            </w:pPr>
            <w:r>
              <w:rPr>
                <w:rFonts w:hint="eastAsia"/>
                <w:color w:val="auto"/>
              </w:rPr>
              <w:t>阶段</w:t>
            </w:r>
          </w:p>
        </w:tc>
        <w:tc>
          <w:tcPr>
            <w:tcW w:w="3643" w:type="dxa"/>
            <w:vAlign w:val="center"/>
          </w:tcPr>
          <w:p>
            <w:pPr>
              <w:pStyle w:val="59"/>
              <w:jc w:val="center"/>
              <w:rPr>
                <w:color w:val="auto"/>
              </w:rPr>
            </w:pPr>
            <w:r>
              <w:rPr>
                <w:rFonts w:hint="eastAsia"/>
                <w:color w:val="auto"/>
              </w:rPr>
              <w:t>触发事件</w:t>
            </w:r>
          </w:p>
        </w:tc>
        <w:tc>
          <w:tcPr>
            <w:tcW w:w="683" w:type="dxa"/>
            <w:vAlign w:val="center"/>
          </w:tcPr>
          <w:p>
            <w:pPr>
              <w:pStyle w:val="59"/>
              <w:jc w:val="center"/>
              <w:rPr>
                <w:color w:val="auto"/>
              </w:rPr>
            </w:pPr>
            <w:r>
              <w:rPr>
                <w:rFonts w:hint="eastAsia"/>
                <w:color w:val="auto"/>
              </w:rPr>
              <w:t>事故后果</w:t>
            </w:r>
          </w:p>
        </w:tc>
        <w:tc>
          <w:tcPr>
            <w:tcW w:w="720" w:type="dxa"/>
            <w:vAlign w:val="center"/>
          </w:tcPr>
          <w:p>
            <w:pPr>
              <w:pStyle w:val="59"/>
              <w:jc w:val="center"/>
              <w:rPr>
                <w:color w:val="auto"/>
              </w:rPr>
            </w:pPr>
            <w:r>
              <w:rPr>
                <w:rFonts w:hint="eastAsia"/>
                <w:color w:val="auto"/>
              </w:rPr>
              <w:t>危险等级</w:t>
            </w:r>
          </w:p>
        </w:tc>
        <w:tc>
          <w:tcPr>
            <w:tcW w:w="3540" w:type="dxa"/>
            <w:vAlign w:val="center"/>
          </w:tcPr>
          <w:p>
            <w:pPr>
              <w:pStyle w:val="59"/>
              <w:jc w:val="center"/>
              <w:rPr>
                <w:color w:val="auto"/>
              </w:rPr>
            </w:pPr>
            <w:r>
              <w:rPr>
                <w:rFonts w:hint="eastAsia"/>
                <w:color w:val="auto"/>
              </w:rPr>
              <w:t>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火灾、爆炸</w:t>
            </w:r>
          </w:p>
        </w:tc>
        <w:tc>
          <w:tcPr>
            <w:tcW w:w="456" w:type="dxa"/>
            <w:vAlign w:val="center"/>
          </w:tcPr>
          <w:p>
            <w:pPr>
              <w:pStyle w:val="59"/>
              <w:rPr>
                <w:color w:val="auto"/>
              </w:rPr>
            </w:pPr>
            <w:r>
              <w:rPr>
                <w:rFonts w:hint="eastAsia"/>
                <w:color w:val="auto"/>
              </w:rPr>
              <w:t>正常生产</w:t>
            </w:r>
          </w:p>
        </w:tc>
        <w:tc>
          <w:tcPr>
            <w:tcW w:w="3643" w:type="dxa"/>
            <w:vAlign w:val="center"/>
          </w:tcPr>
          <w:p>
            <w:pPr>
              <w:pStyle w:val="59"/>
              <w:jc w:val="both"/>
              <w:rPr>
                <w:color w:val="auto"/>
              </w:rPr>
            </w:pPr>
            <w:r>
              <w:rPr>
                <w:rFonts w:hint="eastAsia"/>
                <w:color w:val="auto"/>
              </w:rPr>
              <w:t>变压器或互感器发生火灾、爆炸</w:t>
            </w:r>
          </w:p>
          <w:p>
            <w:pPr>
              <w:pStyle w:val="59"/>
              <w:jc w:val="both"/>
              <w:rPr>
                <w:color w:val="auto"/>
              </w:rPr>
            </w:pPr>
            <w:r>
              <w:rPr>
                <w:rFonts w:hint="eastAsia"/>
                <w:color w:val="auto"/>
              </w:rPr>
              <w:t>1.变压器超负荷运行，引起温度升高，造成绝缘不良，变压器铁芯叠装不良，芯片间绝缘老化，引起铁损增加，造成变压器过热。如此时保护系统失灵或整定值调整过大，就会烧毁变压器。</w:t>
            </w:r>
          </w:p>
          <w:p>
            <w:pPr>
              <w:pStyle w:val="59"/>
              <w:jc w:val="both"/>
              <w:rPr>
                <w:color w:val="auto"/>
              </w:rPr>
            </w:pPr>
            <w:r>
              <w:rPr>
                <w:rFonts w:hint="eastAsia"/>
                <w:color w:val="auto"/>
              </w:rPr>
              <w:t>2.大气过电压和内部过电压，使变压器绕组主绝缘损毁，造成短路，引起变压器爆炸、着火；</w:t>
            </w:r>
          </w:p>
          <w:p>
            <w:pPr>
              <w:pStyle w:val="59"/>
              <w:jc w:val="both"/>
              <w:rPr>
                <w:color w:val="auto"/>
              </w:rPr>
            </w:pPr>
            <w:r>
              <w:rPr>
                <w:rFonts w:hint="eastAsia"/>
                <w:color w:val="auto"/>
              </w:rPr>
              <w:t>3.变压器分接开关和绕组连接处接触不良，产生高温，磁路发生故障、铁芯故障、产生涡流、环流发热。</w:t>
            </w:r>
          </w:p>
          <w:p>
            <w:pPr>
              <w:pStyle w:val="59"/>
              <w:jc w:val="both"/>
              <w:rPr>
                <w:color w:val="auto"/>
              </w:rPr>
            </w:pPr>
            <w:r>
              <w:rPr>
                <w:rFonts w:hint="eastAsia"/>
                <w:color w:val="auto"/>
              </w:rPr>
              <w:t>4.变压器线圈受机械损伤或受潮，引起层间、匝间或对地短路：或硅钢片之间绝缘老化，或者紧夹铁芯的螺栓套管损坏，使铁芯产生很大涡流，引起发热而温度升高，引发火灾</w:t>
            </w:r>
          </w:p>
          <w:p>
            <w:pPr>
              <w:pStyle w:val="59"/>
              <w:jc w:val="both"/>
              <w:rPr>
                <w:color w:val="auto"/>
              </w:rPr>
            </w:pPr>
            <w:r>
              <w:rPr>
                <w:rFonts w:hint="eastAsia"/>
                <w:color w:val="auto"/>
              </w:rPr>
              <w:t>5.变压器质量不佳。</w:t>
            </w:r>
          </w:p>
        </w:tc>
        <w:tc>
          <w:tcPr>
            <w:tcW w:w="683" w:type="dxa"/>
            <w:vAlign w:val="center"/>
          </w:tcPr>
          <w:p>
            <w:pPr>
              <w:pStyle w:val="59"/>
              <w:jc w:val="center"/>
              <w:rPr>
                <w:color w:val="auto"/>
              </w:rPr>
            </w:pPr>
            <w:r>
              <w:rPr>
                <w:rFonts w:hint="eastAsia"/>
                <w:color w:val="auto"/>
              </w:rPr>
              <w:t>人员伤亡、设备损坏、停电停产</w:t>
            </w:r>
          </w:p>
        </w:tc>
        <w:tc>
          <w:tcPr>
            <w:tcW w:w="720" w:type="dxa"/>
            <w:vAlign w:val="center"/>
          </w:tcPr>
          <w:p>
            <w:pPr>
              <w:pStyle w:val="59"/>
              <w:jc w:val="center"/>
              <w:rPr>
                <w:color w:val="auto"/>
              </w:rPr>
            </w:pPr>
            <w:r>
              <w:rPr>
                <w:rFonts w:hint="eastAsia"/>
                <w:color w:val="auto"/>
              </w:rPr>
              <w:t>Ⅲ</w:t>
            </w:r>
          </w:p>
        </w:tc>
        <w:tc>
          <w:tcPr>
            <w:tcW w:w="3540" w:type="dxa"/>
            <w:vAlign w:val="center"/>
          </w:tcPr>
          <w:p>
            <w:pPr>
              <w:pStyle w:val="59"/>
              <w:jc w:val="both"/>
              <w:rPr>
                <w:color w:val="auto"/>
              </w:rPr>
            </w:pPr>
            <w:r>
              <w:rPr>
                <w:rFonts w:hint="eastAsia"/>
                <w:color w:val="auto"/>
              </w:rPr>
              <w:t>1.维护变压器内各种电器元件、电线等的完好，避免绝缘损坏造成的短路打火。</w:t>
            </w:r>
          </w:p>
          <w:p>
            <w:pPr>
              <w:pStyle w:val="59"/>
              <w:jc w:val="both"/>
              <w:rPr>
                <w:color w:val="auto"/>
              </w:rPr>
            </w:pPr>
            <w:r>
              <w:rPr>
                <w:color w:val="auto"/>
              </w:rPr>
              <w:t>2</w:t>
            </w:r>
            <w:r>
              <w:rPr>
                <w:rFonts w:hint="eastAsia"/>
                <w:color w:val="auto"/>
              </w:rPr>
              <w:t>.确保变压器的中性点接地牢靠，防止变压器过电压击穿事故的发生。</w:t>
            </w:r>
          </w:p>
          <w:p>
            <w:pPr>
              <w:pStyle w:val="59"/>
              <w:jc w:val="both"/>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绝缘污闪事故</w:t>
            </w:r>
          </w:p>
        </w:tc>
        <w:tc>
          <w:tcPr>
            <w:tcW w:w="456" w:type="dxa"/>
            <w:vAlign w:val="center"/>
          </w:tcPr>
          <w:p>
            <w:pPr>
              <w:pStyle w:val="59"/>
              <w:rPr>
                <w:color w:val="auto"/>
              </w:rPr>
            </w:pPr>
            <w:r>
              <w:rPr>
                <w:rFonts w:hint="eastAsia"/>
                <w:color w:val="auto"/>
              </w:rPr>
              <w:t>正常生产</w:t>
            </w:r>
          </w:p>
        </w:tc>
        <w:tc>
          <w:tcPr>
            <w:tcW w:w="3643" w:type="dxa"/>
            <w:vAlign w:val="center"/>
          </w:tcPr>
          <w:p>
            <w:pPr>
              <w:pStyle w:val="59"/>
              <w:jc w:val="both"/>
              <w:rPr>
                <w:color w:val="auto"/>
              </w:rPr>
            </w:pPr>
            <w:r>
              <w:rPr>
                <w:rFonts w:hint="eastAsia"/>
                <w:color w:val="auto"/>
              </w:rPr>
              <w:t>1.电缆的设计、材质、安装不当，导致电缆发生短路、过载、局部过热、电火花或电弧、电缆接头爆炸等</w:t>
            </w:r>
          </w:p>
          <w:p>
            <w:pPr>
              <w:pStyle w:val="59"/>
              <w:jc w:val="both"/>
              <w:rPr>
                <w:color w:val="auto"/>
              </w:rPr>
            </w:pPr>
            <w:r>
              <w:rPr>
                <w:rFonts w:hint="eastAsia"/>
                <w:color w:val="auto"/>
              </w:rPr>
              <w:t>2.电缆绝缘材料的绝缘性能下降，老化而失效；</w:t>
            </w:r>
          </w:p>
          <w:p>
            <w:pPr>
              <w:pStyle w:val="59"/>
              <w:jc w:val="both"/>
              <w:rPr>
                <w:color w:val="auto"/>
              </w:rPr>
            </w:pPr>
            <w:r>
              <w:rPr>
                <w:rFonts w:hint="eastAsia"/>
                <w:color w:val="auto"/>
              </w:rPr>
              <w:t>3.</w:t>
            </w:r>
            <w:r>
              <w:rPr>
                <w:color w:val="auto"/>
              </w:rPr>
              <w:t xml:space="preserve"> </w:t>
            </w:r>
            <w:r>
              <w:rPr>
                <w:rFonts w:hint="eastAsia"/>
                <w:color w:val="auto"/>
              </w:rPr>
              <w:t>未使用阻燃电缆和阻燃电缆质量不好；</w:t>
            </w:r>
          </w:p>
          <w:p>
            <w:pPr>
              <w:pStyle w:val="59"/>
              <w:jc w:val="both"/>
              <w:rPr>
                <w:color w:val="auto"/>
              </w:rPr>
            </w:pPr>
            <w:r>
              <w:rPr>
                <w:rFonts w:hint="eastAsia"/>
                <w:color w:val="auto"/>
              </w:rPr>
              <w:t>4.电缆被外界点火源点燃</w:t>
            </w:r>
          </w:p>
        </w:tc>
        <w:tc>
          <w:tcPr>
            <w:tcW w:w="683" w:type="dxa"/>
            <w:vAlign w:val="center"/>
          </w:tcPr>
          <w:p>
            <w:pPr>
              <w:pStyle w:val="59"/>
              <w:jc w:val="center"/>
              <w:rPr>
                <w:color w:val="auto"/>
              </w:rPr>
            </w:pPr>
            <w:r>
              <w:rPr>
                <w:rFonts w:hint="eastAsia"/>
                <w:color w:val="auto"/>
              </w:rPr>
              <w:t>火灾；人员伤亡、设备损坏、停电停产</w:t>
            </w:r>
          </w:p>
        </w:tc>
        <w:tc>
          <w:tcPr>
            <w:tcW w:w="720" w:type="dxa"/>
            <w:vAlign w:val="center"/>
          </w:tcPr>
          <w:p>
            <w:pPr>
              <w:pStyle w:val="59"/>
              <w:jc w:val="center"/>
              <w:rPr>
                <w:color w:val="auto"/>
              </w:rPr>
            </w:pPr>
            <w:r>
              <w:rPr>
                <w:rFonts w:hint="eastAsia"/>
                <w:color w:val="auto"/>
              </w:rPr>
              <w:t>Ⅲ</w:t>
            </w:r>
          </w:p>
        </w:tc>
        <w:tc>
          <w:tcPr>
            <w:tcW w:w="3540" w:type="dxa"/>
            <w:vAlign w:val="center"/>
          </w:tcPr>
          <w:p>
            <w:pPr>
              <w:pStyle w:val="59"/>
              <w:jc w:val="both"/>
              <w:rPr>
                <w:color w:val="auto"/>
              </w:rPr>
            </w:pPr>
            <w:r>
              <w:rPr>
                <w:rFonts w:hint="eastAsia"/>
                <w:color w:val="auto"/>
              </w:rPr>
              <w:t>1.设置电缆火灾防护系统，包括：火灾自动报警、防火分隔封堵、人工与自动灭火器材等；2.在工程设计中，电缆的选择和敷设方式应根据相关规范进行；3.电缆桥架应与热管道保持足够的防火距离，易燃易爆场所应选用阻燃电缆；4.设计、施工中严格做好电缆防火分隔封堵工作。靠近带有设备的电缆沟盖板应严密；5.尽量减少电缆中间接头的数量；6.电缆隧道及重要电缆沟的人孔盖应有保安措施；7.电缆支架应有足够的强度，如有弯折，应及时更换扶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jc w:val="both"/>
              <w:rPr>
                <w:color w:val="auto"/>
              </w:rPr>
            </w:pPr>
            <w:r>
              <w:rPr>
                <w:rFonts w:hint="eastAsia"/>
                <w:color w:val="auto"/>
              </w:rPr>
              <w:t>触电</w:t>
            </w:r>
          </w:p>
        </w:tc>
        <w:tc>
          <w:tcPr>
            <w:tcW w:w="456" w:type="dxa"/>
            <w:vAlign w:val="center"/>
          </w:tcPr>
          <w:p>
            <w:pPr>
              <w:pStyle w:val="59"/>
              <w:rPr>
                <w:color w:val="auto"/>
              </w:rPr>
            </w:pPr>
            <w:r>
              <w:rPr>
                <w:rFonts w:hint="eastAsia"/>
                <w:color w:val="auto"/>
              </w:rPr>
              <w:t>正常生产、检维修</w:t>
            </w:r>
          </w:p>
        </w:tc>
        <w:tc>
          <w:tcPr>
            <w:tcW w:w="3643" w:type="dxa"/>
            <w:vAlign w:val="center"/>
          </w:tcPr>
          <w:p>
            <w:pPr>
              <w:pStyle w:val="59"/>
              <w:jc w:val="both"/>
              <w:rPr>
                <w:color w:val="auto"/>
              </w:rPr>
            </w:pPr>
            <w:r>
              <w:rPr>
                <w:rFonts w:hint="eastAsia"/>
                <w:color w:val="auto"/>
              </w:rPr>
              <w:t>1.设备、线路因绝缘缺陷、绝缘老化而失效；</w:t>
            </w:r>
          </w:p>
          <w:p>
            <w:pPr>
              <w:pStyle w:val="59"/>
              <w:jc w:val="both"/>
              <w:rPr>
                <w:color w:val="auto"/>
              </w:rPr>
            </w:pPr>
            <w:r>
              <w:rPr>
                <w:rFonts w:hint="eastAsia"/>
                <w:color w:val="auto"/>
              </w:rPr>
              <w:t>2.设备、线路机械损伤、动物啃咬电缆、过载或过电压击穿而绝缘损坏；</w:t>
            </w:r>
          </w:p>
          <w:p>
            <w:pPr>
              <w:pStyle w:val="59"/>
              <w:jc w:val="both"/>
              <w:rPr>
                <w:color w:val="auto"/>
              </w:rPr>
            </w:pPr>
            <w:r>
              <w:rPr>
                <w:rFonts w:hint="eastAsia"/>
                <w:color w:val="auto"/>
              </w:rPr>
              <w:t>3.电气设备外壳带电，漏雨电保护装置失效或接地不合格；</w:t>
            </w:r>
          </w:p>
          <w:p>
            <w:pPr>
              <w:pStyle w:val="59"/>
              <w:jc w:val="both"/>
              <w:rPr>
                <w:color w:val="auto"/>
              </w:rPr>
            </w:pPr>
            <w:r>
              <w:rPr>
                <w:rFonts w:hint="eastAsia"/>
                <w:color w:val="auto"/>
              </w:rPr>
              <w:t>4.检修中设备误送电或反馈送电；</w:t>
            </w:r>
          </w:p>
          <w:p>
            <w:pPr>
              <w:pStyle w:val="59"/>
              <w:jc w:val="both"/>
              <w:rPr>
                <w:color w:val="auto"/>
              </w:rPr>
            </w:pPr>
            <w:r>
              <w:rPr>
                <w:rFonts w:hint="eastAsia"/>
                <w:color w:val="auto"/>
              </w:rPr>
              <w:t>5.设备检修前未放电或未充分放电而触电；</w:t>
            </w:r>
          </w:p>
          <w:p>
            <w:pPr>
              <w:pStyle w:val="59"/>
              <w:jc w:val="both"/>
              <w:rPr>
                <w:color w:val="auto"/>
              </w:rPr>
            </w:pPr>
            <w:r>
              <w:rPr>
                <w:rFonts w:hint="eastAsia"/>
                <w:color w:val="auto"/>
              </w:rPr>
              <w:t>6.带电作业中防护装置失效而触电；</w:t>
            </w:r>
          </w:p>
          <w:p>
            <w:pPr>
              <w:pStyle w:val="59"/>
              <w:jc w:val="both"/>
              <w:rPr>
                <w:color w:val="auto"/>
              </w:rPr>
            </w:pPr>
            <w:r>
              <w:rPr>
                <w:rFonts w:hint="eastAsia"/>
                <w:color w:val="auto"/>
              </w:rPr>
              <w:t>7.电气设备未标名称编号或名称编号有误、无安全标志或清晰；</w:t>
            </w:r>
          </w:p>
          <w:p>
            <w:pPr>
              <w:pStyle w:val="59"/>
              <w:jc w:val="both"/>
              <w:rPr>
                <w:color w:val="auto"/>
              </w:rPr>
            </w:pPr>
            <w:r>
              <w:rPr>
                <w:rFonts w:hint="eastAsia"/>
                <w:color w:val="auto"/>
              </w:rPr>
              <w:t>8.电气设备无闭锁装置或违规解除闭锁装置而走错间隔，误碰触电；</w:t>
            </w:r>
          </w:p>
          <w:p>
            <w:pPr>
              <w:pStyle w:val="59"/>
              <w:jc w:val="both"/>
              <w:rPr>
                <w:color w:val="auto"/>
              </w:rPr>
            </w:pPr>
            <w:r>
              <w:rPr>
                <w:rFonts w:hint="eastAsia"/>
                <w:color w:val="auto"/>
              </w:rPr>
              <w:t>9.高压柜操作和维护通道过小，带电部位裸露；</w:t>
            </w:r>
          </w:p>
          <w:p>
            <w:pPr>
              <w:pStyle w:val="59"/>
              <w:jc w:val="both"/>
              <w:rPr>
                <w:color w:val="auto"/>
              </w:rPr>
            </w:pPr>
            <w:r>
              <w:rPr>
                <w:rFonts w:hint="eastAsia"/>
                <w:color w:val="auto"/>
              </w:rPr>
              <w:t>10.从业人员违章作业；</w:t>
            </w:r>
          </w:p>
          <w:p>
            <w:pPr>
              <w:pStyle w:val="59"/>
              <w:jc w:val="both"/>
              <w:rPr>
                <w:color w:val="auto"/>
              </w:rPr>
            </w:pPr>
            <w:r>
              <w:rPr>
                <w:rFonts w:hint="eastAsia"/>
                <w:color w:val="auto"/>
              </w:rPr>
              <w:t>11.非工作人员违章进入变配电室。</w:t>
            </w:r>
          </w:p>
        </w:tc>
        <w:tc>
          <w:tcPr>
            <w:tcW w:w="683" w:type="dxa"/>
            <w:vAlign w:val="center"/>
          </w:tcPr>
          <w:p>
            <w:pPr>
              <w:pStyle w:val="59"/>
              <w:jc w:val="center"/>
              <w:rPr>
                <w:color w:val="auto"/>
              </w:rPr>
            </w:pPr>
            <w:r>
              <w:rPr>
                <w:rFonts w:hint="eastAsia"/>
                <w:color w:val="auto"/>
              </w:rPr>
              <w:t>设备损坏、人员伤害</w:t>
            </w:r>
          </w:p>
        </w:tc>
        <w:tc>
          <w:tcPr>
            <w:tcW w:w="720" w:type="dxa"/>
            <w:vAlign w:val="center"/>
          </w:tcPr>
          <w:p>
            <w:pPr>
              <w:pStyle w:val="59"/>
              <w:jc w:val="center"/>
              <w:rPr>
                <w:color w:val="auto"/>
              </w:rPr>
            </w:pPr>
            <w:r>
              <w:rPr>
                <w:rFonts w:hint="eastAsia"/>
                <w:color w:val="auto"/>
              </w:rPr>
              <w:t>Ⅱ</w:t>
            </w:r>
          </w:p>
        </w:tc>
        <w:tc>
          <w:tcPr>
            <w:tcW w:w="3540" w:type="dxa"/>
            <w:vAlign w:val="center"/>
          </w:tcPr>
          <w:p>
            <w:pPr>
              <w:pStyle w:val="59"/>
              <w:jc w:val="both"/>
              <w:rPr>
                <w:color w:val="auto"/>
              </w:rPr>
            </w:pPr>
            <w:r>
              <w:rPr>
                <w:rFonts w:hint="eastAsia"/>
                <w:color w:val="auto"/>
              </w:rPr>
              <w:t>1.电气设备应严格按照相关规定、规范要求设计，各种电器设备应做到良好的绝缘、接地；按规定配置过载保护器、漏电保护器；2.基建安装、生产及检修过程中要注意防护设备、线路的绝缘，加强灭鼠工作，以免发生绝缘损坏而漏雨电；3.应对正常带电部位做到良好的隔离，加强防护措施，定期检测电器设备绝缘，发现绝缘缺陷，及进修补；4.电气设备停电时，要充分放电、严格验电，挂短路接地线，做好防止突然来电的可靠措施；5.电气间隔应设置可靠的闭锁或联锁装置，开关柜应设置“五防”闭锁功能，杜绝误操作；6.高压电气设备必须设置安全防护（如围栏等隔离设施）设施，各种防护措施符合相关要求；7.安装调试、运行、维护中，注意与高压电气设备的安全距离，避免过分靠近。作业时事先应作好危险点分析，制定防范措施；8.各种电气设备上设置安全标识、标注设备名称，以防误操作。在有可能发生触电伤害的地点、场所设置警告牌和防护栏；9.电气设备的布置应按有关规范、标准留出操作和维护通道，设置必要的护栏、护网；10.值班电工必须按规程要求穿绝缘鞋、防护服；11.加强从业人员的安全知识培训，提高安全意识，正确使用安全防护用座；电气设备的检修维护中，应严格执行工作票制度，加强监护，防止误操作。严格规范作业人员的行为，杜绝违章和习惯性违章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继电保护动作异常</w:t>
            </w:r>
          </w:p>
        </w:tc>
        <w:tc>
          <w:tcPr>
            <w:tcW w:w="456" w:type="dxa"/>
            <w:vAlign w:val="center"/>
          </w:tcPr>
          <w:p>
            <w:pPr>
              <w:pStyle w:val="59"/>
              <w:rPr>
                <w:color w:val="auto"/>
              </w:rPr>
            </w:pPr>
            <w:r>
              <w:rPr>
                <w:rFonts w:hint="eastAsia"/>
                <w:color w:val="auto"/>
              </w:rPr>
              <w:t>正常生产、检维修</w:t>
            </w:r>
          </w:p>
        </w:tc>
        <w:tc>
          <w:tcPr>
            <w:tcW w:w="3643" w:type="dxa"/>
            <w:vAlign w:val="center"/>
          </w:tcPr>
          <w:p>
            <w:pPr>
              <w:pStyle w:val="59"/>
              <w:jc w:val="both"/>
              <w:rPr>
                <w:color w:val="auto"/>
              </w:rPr>
            </w:pPr>
            <w:r>
              <w:rPr>
                <w:rFonts w:hint="eastAsia"/>
                <w:color w:val="auto"/>
              </w:rPr>
              <w:t>1、直流熔断器与相关回路配置问题。</w:t>
            </w:r>
          </w:p>
          <w:p>
            <w:pPr>
              <w:pStyle w:val="59"/>
              <w:jc w:val="both"/>
              <w:rPr>
                <w:color w:val="auto"/>
              </w:rPr>
            </w:pPr>
            <w:r>
              <w:rPr>
                <w:rFonts w:hint="eastAsia"/>
                <w:color w:val="auto"/>
              </w:rPr>
              <w:t>2、保护装置用直流中间继电器、跳（合）闸出口继电器及相关回路问题。</w:t>
            </w:r>
          </w:p>
          <w:p>
            <w:pPr>
              <w:pStyle w:val="59"/>
              <w:jc w:val="both"/>
              <w:rPr>
                <w:color w:val="auto"/>
              </w:rPr>
            </w:pPr>
            <w:r>
              <w:rPr>
                <w:rFonts w:hint="eastAsia"/>
                <w:color w:val="auto"/>
              </w:rPr>
              <w:t>3、信号回路问题。</w:t>
            </w:r>
          </w:p>
          <w:p>
            <w:pPr>
              <w:pStyle w:val="59"/>
              <w:jc w:val="both"/>
              <w:rPr>
                <w:color w:val="auto"/>
              </w:rPr>
            </w:pPr>
            <w:r>
              <w:rPr>
                <w:rFonts w:hint="eastAsia"/>
                <w:color w:val="auto"/>
              </w:rPr>
              <w:t>4、仪用互感器及其二次回路问题</w:t>
            </w:r>
          </w:p>
        </w:tc>
        <w:tc>
          <w:tcPr>
            <w:tcW w:w="683" w:type="dxa"/>
            <w:vAlign w:val="center"/>
          </w:tcPr>
          <w:p>
            <w:pPr>
              <w:pStyle w:val="59"/>
              <w:jc w:val="center"/>
              <w:rPr>
                <w:color w:val="auto"/>
              </w:rPr>
            </w:pPr>
            <w:r>
              <w:rPr>
                <w:color w:val="auto"/>
              </w:rPr>
              <w:t>1</w:t>
            </w:r>
            <w:r>
              <w:rPr>
                <w:rFonts w:hint="eastAsia"/>
                <w:color w:val="auto"/>
              </w:rPr>
              <w:t>、保护失灵；</w:t>
            </w:r>
            <w:r>
              <w:rPr>
                <w:color w:val="auto"/>
              </w:rPr>
              <w:t>2</w:t>
            </w:r>
            <w:r>
              <w:rPr>
                <w:rFonts w:hint="eastAsia"/>
                <w:color w:val="auto"/>
              </w:rPr>
              <w:t>、信号不可靠动；</w:t>
            </w:r>
          </w:p>
          <w:p>
            <w:pPr>
              <w:pStyle w:val="59"/>
              <w:jc w:val="center"/>
              <w:rPr>
                <w:color w:val="auto"/>
              </w:rPr>
            </w:pPr>
            <w:r>
              <w:rPr>
                <w:color w:val="auto"/>
              </w:rPr>
              <w:t>3</w:t>
            </w:r>
            <w:r>
              <w:rPr>
                <w:rFonts w:hint="eastAsia"/>
                <w:color w:val="auto"/>
              </w:rPr>
              <w:t>、引起电流电压故障</w:t>
            </w:r>
          </w:p>
        </w:tc>
        <w:tc>
          <w:tcPr>
            <w:tcW w:w="720" w:type="dxa"/>
            <w:vAlign w:val="center"/>
          </w:tcPr>
          <w:p>
            <w:pPr>
              <w:pStyle w:val="59"/>
              <w:jc w:val="center"/>
              <w:rPr>
                <w:color w:val="auto"/>
              </w:rPr>
            </w:pPr>
            <w:r>
              <w:rPr>
                <w:rFonts w:hint="eastAsia"/>
                <w:color w:val="auto"/>
              </w:rPr>
              <w:t>Ⅲ</w:t>
            </w:r>
          </w:p>
        </w:tc>
        <w:tc>
          <w:tcPr>
            <w:tcW w:w="3540" w:type="dxa"/>
            <w:vAlign w:val="center"/>
          </w:tcPr>
          <w:p>
            <w:pPr>
              <w:pStyle w:val="59"/>
              <w:jc w:val="both"/>
              <w:rPr>
                <w:color w:val="auto"/>
              </w:rPr>
            </w:pPr>
            <w:r>
              <w:rPr>
                <w:rFonts w:hint="eastAsia"/>
                <w:color w:val="auto"/>
              </w:rPr>
              <w:t>1、每一操作回路应分别由专用的直流熔断器供电。</w:t>
            </w:r>
          </w:p>
          <w:p>
            <w:pPr>
              <w:pStyle w:val="59"/>
              <w:jc w:val="both"/>
              <w:rPr>
                <w:color w:val="auto"/>
              </w:rPr>
            </w:pPr>
            <w:r>
              <w:rPr>
                <w:rFonts w:hint="eastAsia"/>
                <w:color w:val="auto"/>
              </w:rPr>
              <w:t>2、保护装置的直流回路由另一组直流熔断器供电。</w:t>
            </w:r>
          </w:p>
          <w:p>
            <w:pPr>
              <w:pStyle w:val="59"/>
              <w:jc w:val="both"/>
              <w:rPr>
                <w:color w:val="auto"/>
              </w:rPr>
            </w:pPr>
            <w:r>
              <w:rPr>
                <w:rFonts w:hint="eastAsia"/>
                <w:color w:val="auto"/>
              </w:rPr>
              <w:t>3、检修时严格按照规程，消除漏检项目，保证检修质量。</w:t>
            </w:r>
          </w:p>
          <w:p>
            <w:pPr>
              <w:pStyle w:val="59"/>
              <w:jc w:val="both"/>
              <w:rPr>
                <w:color w:val="auto"/>
              </w:rPr>
            </w:pPr>
            <w:r>
              <w:rPr>
                <w:rFonts w:hint="eastAsia"/>
                <w:color w:val="auto"/>
              </w:rPr>
              <w:t>4、跳（合）闸线圈的出口继电器跳（合）闸回路中串入电源自保持线圈。</w:t>
            </w:r>
          </w:p>
          <w:p>
            <w:pPr>
              <w:pStyle w:val="59"/>
              <w:jc w:val="both"/>
              <w:rPr>
                <w:color w:val="auto"/>
              </w:rPr>
            </w:pPr>
            <w:r>
              <w:rPr>
                <w:rFonts w:hint="eastAsia"/>
                <w:color w:val="auto"/>
              </w:rPr>
              <w:t>5、加强维护和检修人员的安全和技术素质，保证继电保护装置的正确动作。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电气误操作</w:t>
            </w:r>
          </w:p>
        </w:tc>
        <w:tc>
          <w:tcPr>
            <w:tcW w:w="456" w:type="dxa"/>
            <w:vAlign w:val="center"/>
          </w:tcPr>
          <w:p>
            <w:pPr>
              <w:pStyle w:val="59"/>
              <w:rPr>
                <w:color w:val="auto"/>
              </w:rPr>
            </w:pPr>
            <w:r>
              <w:rPr>
                <w:rFonts w:hint="eastAsia"/>
                <w:color w:val="auto"/>
              </w:rPr>
              <w:t>正常生产、检维修</w:t>
            </w:r>
          </w:p>
        </w:tc>
        <w:tc>
          <w:tcPr>
            <w:tcW w:w="3643" w:type="dxa"/>
            <w:vAlign w:val="center"/>
          </w:tcPr>
          <w:p>
            <w:pPr>
              <w:pStyle w:val="59"/>
              <w:jc w:val="both"/>
              <w:rPr>
                <w:color w:val="auto"/>
              </w:rPr>
            </w:pPr>
            <w:r>
              <w:rPr>
                <w:color w:val="auto"/>
              </w:rPr>
              <w:t>1</w:t>
            </w:r>
            <w:r>
              <w:rPr>
                <w:rFonts w:hint="eastAsia"/>
                <w:color w:val="auto"/>
              </w:rPr>
              <w:t>、人员不严格执行操作票制度，违章操作；</w:t>
            </w:r>
          </w:p>
          <w:p>
            <w:pPr>
              <w:pStyle w:val="59"/>
              <w:jc w:val="both"/>
              <w:rPr>
                <w:color w:val="auto"/>
              </w:rPr>
            </w:pPr>
            <w:r>
              <w:rPr>
                <w:color w:val="auto"/>
              </w:rPr>
              <w:t>2</w:t>
            </w:r>
            <w:r>
              <w:rPr>
                <w:rFonts w:hint="eastAsia"/>
                <w:color w:val="auto"/>
              </w:rPr>
              <w:t>、运行检修人员误碰误动；</w:t>
            </w:r>
          </w:p>
          <w:p>
            <w:pPr>
              <w:pStyle w:val="59"/>
              <w:jc w:val="both"/>
              <w:rPr>
                <w:color w:val="auto"/>
              </w:rPr>
            </w:pPr>
            <w:r>
              <w:rPr>
                <w:color w:val="auto"/>
              </w:rPr>
              <w:t>3</w:t>
            </w:r>
            <w:r>
              <w:rPr>
                <w:rFonts w:hint="eastAsia"/>
                <w:color w:val="auto"/>
              </w:rPr>
              <w:t>、万用钥匙的管理规定不完善，在执行中不严肃认真；</w:t>
            </w:r>
          </w:p>
          <w:p>
            <w:pPr>
              <w:pStyle w:val="59"/>
              <w:jc w:val="both"/>
              <w:rPr>
                <w:color w:val="auto"/>
              </w:rPr>
            </w:pPr>
            <w:r>
              <w:rPr>
                <w:color w:val="auto"/>
              </w:rPr>
              <w:t>4</w:t>
            </w:r>
            <w:r>
              <w:rPr>
                <w:rFonts w:hint="eastAsia"/>
                <w:color w:val="auto"/>
              </w:rPr>
              <w:t>、技术措施不完备，主要是防误闭锁装置设置有疏漏，设备“五防”功能不全。</w:t>
            </w:r>
          </w:p>
        </w:tc>
        <w:tc>
          <w:tcPr>
            <w:tcW w:w="683" w:type="dxa"/>
            <w:vAlign w:val="center"/>
          </w:tcPr>
          <w:p>
            <w:pPr>
              <w:pStyle w:val="59"/>
              <w:jc w:val="center"/>
              <w:rPr>
                <w:color w:val="auto"/>
              </w:rPr>
            </w:pPr>
            <w:r>
              <w:rPr>
                <w:rFonts w:hint="eastAsia"/>
                <w:color w:val="auto"/>
              </w:rPr>
              <w:t>设备损坏、人员伤害</w:t>
            </w:r>
          </w:p>
        </w:tc>
        <w:tc>
          <w:tcPr>
            <w:tcW w:w="720" w:type="dxa"/>
            <w:vAlign w:val="center"/>
          </w:tcPr>
          <w:p>
            <w:pPr>
              <w:pStyle w:val="59"/>
              <w:jc w:val="center"/>
              <w:rPr>
                <w:color w:val="auto"/>
              </w:rPr>
            </w:pPr>
            <w:r>
              <w:rPr>
                <w:rFonts w:hint="eastAsia"/>
                <w:color w:val="auto"/>
              </w:rPr>
              <w:t>Ⅱ</w:t>
            </w:r>
          </w:p>
        </w:tc>
        <w:tc>
          <w:tcPr>
            <w:tcW w:w="3540" w:type="dxa"/>
            <w:vAlign w:val="center"/>
          </w:tcPr>
          <w:p>
            <w:pPr>
              <w:pStyle w:val="59"/>
              <w:jc w:val="both"/>
              <w:rPr>
                <w:color w:val="auto"/>
              </w:rPr>
            </w:pPr>
            <w:r>
              <w:rPr>
                <w:color w:val="auto"/>
              </w:rPr>
              <w:t>1</w:t>
            </w:r>
            <w:r>
              <w:rPr>
                <w:rFonts w:hint="eastAsia"/>
                <w:color w:val="auto"/>
              </w:rPr>
              <w:t>、在操作过程中，应严格执行《电力安全工作规程》的有关规定和“两票”制度；</w:t>
            </w:r>
          </w:p>
          <w:p>
            <w:pPr>
              <w:pStyle w:val="59"/>
              <w:jc w:val="both"/>
              <w:rPr>
                <w:color w:val="auto"/>
              </w:rPr>
            </w:pPr>
            <w:r>
              <w:rPr>
                <w:color w:val="auto"/>
              </w:rPr>
              <w:t>2</w:t>
            </w:r>
            <w:r>
              <w:rPr>
                <w:rFonts w:hint="eastAsia"/>
                <w:color w:val="auto"/>
              </w:rPr>
              <w:t>、规范电气安全工器具的管理，对安全用具应根据安全用具的有关规定，定期试验，合格后方可继续使用；</w:t>
            </w:r>
          </w:p>
          <w:p>
            <w:pPr>
              <w:pStyle w:val="59"/>
              <w:jc w:val="both"/>
              <w:rPr>
                <w:color w:val="auto"/>
              </w:rPr>
            </w:pPr>
            <w:r>
              <w:rPr>
                <w:color w:val="auto"/>
              </w:rPr>
              <w:t>3</w:t>
            </w:r>
            <w:r>
              <w:rPr>
                <w:rFonts w:hint="eastAsia"/>
                <w:color w:val="auto"/>
              </w:rPr>
              <w:t>、加强防误装置的管理。保证防误装置安装率、完好率、投入率</w:t>
            </w:r>
            <w:r>
              <w:rPr>
                <w:color w:val="auto"/>
              </w:rPr>
              <w:t>100%</w:t>
            </w:r>
            <w:r>
              <w:rPr>
                <w:rFonts w:hint="eastAsia"/>
                <w:color w:val="auto"/>
              </w:rPr>
              <w:t>；</w:t>
            </w:r>
          </w:p>
          <w:p>
            <w:pPr>
              <w:pStyle w:val="59"/>
              <w:jc w:val="both"/>
              <w:rPr>
                <w:color w:val="auto"/>
              </w:rPr>
            </w:pPr>
            <w:r>
              <w:rPr>
                <w:color w:val="auto"/>
              </w:rPr>
              <w:t>4</w:t>
            </w:r>
            <w:r>
              <w:rPr>
                <w:rFonts w:hint="eastAsia"/>
                <w:color w:val="auto"/>
              </w:rPr>
              <w:t>、现场设备都应有明显、清晰的名称、编号及色标；</w:t>
            </w:r>
          </w:p>
          <w:p>
            <w:pPr>
              <w:pStyle w:val="59"/>
              <w:jc w:val="both"/>
              <w:rPr>
                <w:color w:val="auto"/>
              </w:rPr>
            </w:pPr>
            <w:r>
              <w:rPr>
                <w:color w:val="auto"/>
              </w:rPr>
              <w:t>5</w:t>
            </w:r>
            <w:r>
              <w:rPr>
                <w:rFonts w:hint="eastAsia"/>
                <w:color w:val="auto"/>
              </w:rPr>
              <w:t>、严格紧急解锁钥匙使用的管理，使用必须经过批准，确认无误，在监护下使用。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无功电容器爆炸</w:t>
            </w:r>
          </w:p>
        </w:tc>
        <w:tc>
          <w:tcPr>
            <w:tcW w:w="456" w:type="dxa"/>
            <w:vAlign w:val="center"/>
          </w:tcPr>
          <w:p>
            <w:pPr>
              <w:pStyle w:val="59"/>
              <w:rPr>
                <w:color w:val="auto"/>
              </w:rPr>
            </w:pPr>
            <w:r>
              <w:rPr>
                <w:rFonts w:hint="eastAsia"/>
                <w:color w:val="auto"/>
              </w:rPr>
              <w:t>正常生产、检维修</w:t>
            </w:r>
          </w:p>
        </w:tc>
        <w:tc>
          <w:tcPr>
            <w:tcW w:w="3643" w:type="dxa"/>
            <w:vAlign w:val="center"/>
          </w:tcPr>
          <w:p>
            <w:pPr>
              <w:pStyle w:val="59"/>
              <w:jc w:val="both"/>
              <w:rPr>
                <w:color w:val="auto"/>
              </w:rPr>
            </w:pPr>
            <w:r>
              <w:rPr>
                <w:color w:val="auto"/>
              </w:rPr>
              <w:t>1</w:t>
            </w:r>
            <w:r>
              <w:rPr>
                <w:rFonts w:hint="eastAsia"/>
                <w:color w:val="auto"/>
              </w:rPr>
              <w:t>、电容器漏电流过大被击穿；</w:t>
            </w:r>
          </w:p>
          <w:p>
            <w:pPr>
              <w:pStyle w:val="59"/>
              <w:jc w:val="both"/>
              <w:rPr>
                <w:color w:val="auto"/>
              </w:rPr>
            </w:pPr>
            <w:r>
              <w:rPr>
                <w:color w:val="auto"/>
              </w:rPr>
              <w:t>2</w:t>
            </w:r>
            <w:r>
              <w:rPr>
                <w:rFonts w:hint="eastAsia"/>
                <w:color w:val="auto"/>
              </w:rPr>
              <w:t>、电容器在短时间内产生较大的热能；</w:t>
            </w:r>
          </w:p>
          <w:p>
            <w:pPr>
              <w:pStyle w:val="59"/>
              <w:jc w:val="both"/>
              <w:rPr>
                <w:color w:val="auto"/>
              </w:rPr>
            </w:pPr>
            <w:r>
              <w:rPr>
                <w:color w:val="auto"/>
              </w:rPr>
              <w:t>3</w:t>
            </w:r>
            <w:r>
              <w:rPr>
                <w:rFonts w:hint="eastAsia"/>
                <w:color w:val="auto"/>
              </w:rPr>
              <w:t>、温升过高。</w:t>
            </w:r>
          </w:p>
        </w:tc>
        <w:tc>
          <w:tcPr>
            <w:tcW w:w="683" w:type="dxa"/>
            <w:vAlign w:val="center"/>
          </w:tcPr>
          <w:p>
            <w:pPr>
              <w:pStyle w:val="59"/>
              <w:jc w:val="center"/>
              <w:rPr>
                <w:color w:val="auto"/>
              </w:rPr>
            </w:pPr>
            <w:r>
              <w:rPr>
                <w:rFonts w:hint="eastAsia"/>
                <w:color w:val="auto"/>
              </w:rPr>
              <w:t>设备损坏、人员伤害</w:t>
            </w:r>
          </w:p>
        </w:tc>
        <w:tc>
          <w:tcPr>
            <w:tcW w:w="720" w:type="dxa"/>
            <w:vAlign w:val="center"/>
          </w:tcPr>
          <w:p>
            <w:pPr>
              <w:pStyle w:val="59"/>
              <w:jc w:val="center"/>
              <w:rPr>
                <w:color w:val="auto"/>
              </w:rPr>
            </w:pPr>
            <w:r>
              <w:rPr>
                <w:rFonts w:hint="eastAsia"/>
                <w:color w:val="auto"/>
              </w:rPr>
              <w:t>Ⅱ</w:t>
            </w:r>
          </w:p>
        </w:tc>
        <w:tc>
          <w:tcPr>
            <w:tcW w:w="3540" w:type="dxa"/>
            <w:vAlign w:val="center"/>
          </w:tcPr>
          <w:p>
            <w:pPr>
              <w:pStyle w:val="59"/>
              <w:jc w:val="both"/>
              <w:rPr>
                <w:color w:val="auto"/>
              </w:rPr>
            </w:pPr>
            <w:r>
              <w:rPr>
                <w:color w:val="auto"/>
              </w:rPr>
              <w:t>1</w:t>
            </w:r>
            <w:r>
              <w:rPr>
                <w:rFonts w:hint="eastAsia"/>
                <w:color w:val="auto"/>
              </w:rPr>
              <w:t>、在每组每相上安装快速熔断器；</w:t>
            </w:r>
          </w:p>
          <w:p>
            <w:pPr>
              <w:pStyle w:val="59"/>
              <w:jc w:val="both"/>
              <w:rPr>
                <w:color w:val="auto"/>
              </w:rPr>
            </w:pPr>
            <w:r>
              <w:rPr>
                <w:color w:val="auto"/>
              </w:rPr>
              <w:t>2</w:t>
            </w:r>
            <w:r>
              <w:rPr>
                <w:rFonts w:hint="eastAsia"/>
                <w:color w:val="auto"/>
              </w:rPr>
              <w:t>、在补偿器的每相上安装一电流表，当发现三相电流不平衡时，补偿柜立即运行、检查、找出漏电流过大或被击穿的电容器；</w:t>
            </w:r>
          </w:p>
          <w:p>
            <w:pPr>
              <w:pStyle w:val="59"/>
              <w:jc w:val="both"/>
              <w:rPr>
                <w:color w:val="auto"/>
              </w:rPr>
            </w:pPr>
            <w:r>
              <w:rPr>
                <w:color w:val="auto"/>
              </w:rPr>
              <w:t>3</w:t>
            </w:r>
            <w:r>
              <w:rPr>
                <w:rFonts w:hint="eastAsia"/>
                <w:color w:val="auto"/>
              </w:rPr>
              <w:t>、定期监视电容器的温升情况；</w:t>
            </w:r>
          </w:p>
          <w:p>
            <w:pPr>
              <w:pStyle w:val="59"/>
              <w:jc w:val="both"/>
              <w:rPr>
                <w:color w:val="auto"/>
              </w:rPr>
            </w:pPr>
            <w:r>
              <w:rPr>
                <w:color w:val="auto"/>
              </w:rPr>
              <w:t>4</w:t>
            </w:r>
            <w:r>
              <w:rPr>
                <w:rFonts w:hint="eastAsia"/>
                <w:color w:val="auto"/>
              </w:rPr>
              <w:t>、加强对电容器组的巡视检查。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dxa"/>
            <w:vAlign w:val="center"/>
          </w:tcPr>
          <w:p>
            <w:pPr>
              <w:pStyle w:val="59"/>
              <w:rPr>
                <w:color w:val="auto"/>
              </w:rPr>
            </w:pPr>
            <w:r>
              <w:rPr>
                <w:rFonts w:hint="eastAsia"/>
                <w:color w:val="auto"/>
              </w:rPr>
              <w:t>全厂停电事故</w:t>
            </w:r>
          </w:p>
        </w:tc>
        <w:tc>
          <w:tcPr>
            <w:tcW w:w="456" w:type="dxa"/>
            <w:vAlign w:val="center"/>
          </w:tcPr>
          <w:p>
            <w:pPr>
              <w:pStyle w:val="59"/>
              <w:rPr>
                <w:color w:val="auto"/>
              </w:rPr>
            </w:pPr>
            <w:r>
              <w:rPr>
                <w:rFonts w:hint="eastAsia"/>
                <w:color w:val="auto"/>
              </w:rPr>
              <w:t>正常生产、检维修</w:t>
            </w:r>
          </w:p>
        </w:tc>
        <w:tc>
          <w:tcPr>
            <w:tcW w:w="3643" w:type="dxa"/>
            <w:vAlign w:val="center"/>
          </w:tcPr>
          <w:p>
            <w:pPr>
              <w:pStyle w:val="59"/>
              <w:jc w:val="both"/>
              <w:rPr>
                <w:color w:val="auto"/>
              </w:rPr>
            </w:pPr>
            <w:r>
              <w:rPr>
                <w:color w:val="auto"/>
              </w:rPr>
              <w:t>1</w:t>
            </w:r>
            <w:r>
              <w:rPr>
                <w:rFonts w:hint="eastAsia"/>
                <w:color w:val="auto"/>
              </w:rPr>
              <w:t>、厂用电设计不完善；</w:t>
            </w:r>
          </w:p>
          <w:p>
            <w:pPr>
              <w:pStyle w:val="59"/>
              <w:jc w:val="both"/>
              <w:rPr>
                <w:color w:val="auto"/>
              </w:rPr>
            </w:pPr>
            <w:r>
              <w:rPr>
                <w:color w:val="auto"/>
              </w:rPr>
              <w:t>2</w:t>
            </w:r>
            <w:r>
              <w:rPr>
                <w:rFonts w:hint="eastAsia"/>
                <w:color w:val="auto"/>
              </w:rPr>
              <w:t>、备用电源自投失灵，保安电源自投失灵。直流系统故障；</w:t>
            </w:r>
          </w:p>
          <w:p>
            <w:pPr>
              <w:pStyle w:val="59"/>
              <w:jc w:val="both"/>
              <w:rPr>
                <w:color w:val="auto"/>
              </w:rPr>
            </w:pPr>
            <w:r>
              <w:rPr>
                <w:color w:val="auto"/>
              </w:rPr>
              <w:t>3</w:t>
            </w:r>
            <w:r>
              <w:rPr>
                <w:rFonts w:hint="eastAsia"/>
                <w:color w:val="auto"/>
              </w:rPr>
              <w:t>、保护误动、拒动，事故扩大；</w:t>
            </w:r>
          </w:p>
          <w:p>
            <w:pPr>
              <w:pStyle w:val="59"/>
              <w:jc w:val="both"/>
              <w:rPr>
                <w:color w:val="auto"/>
              </w:rPr>
            </w:pPr>
            <w:r>
              <w:rPr>
                <w:color w:val="auto"/>
              </w:rPr>
              <w:t>4</w:t>
            </w:r>
            <w:r>
              <w:rPr>
                <w:rFonts w:hint="eastAsia"/>
                <w:color w:val="auto"/>
              </w:rPr>
              <w:t>、人员过失，操作失误。</w:t>
            </w:r>
          </w:p>
        </w:tc>
        <w:tc>
          <w:tcPr>
            <w:tcW w:w="683" w:type="dxa"/>
            <w:vAlign w:val="center"/>
          </w:tcPr>
          <w:p>
            <w:pPr>
              <w:pStyle w:val="59"/>
              <w:jc w:val="center"/>
              <w:rPr>
                <w:color w:val="auto"/>
              </w:rPr>
            </w:pPr>
            <w:r>
              <w:rPr>
                <w:rFonts w:hint="eastAsia"/>
                <w:color w:val="auto"/>
              </w:rPr>
              <w:t>财产损失</w:t>
            </w:r>
          </w:p>
        </w:tc>
        <w:tc>
          <w:tcPr>
            <w:tcW w:w="720" w:type="dxa"/>
            <w:vAlign w:val="center"/>
          </w:tcPr>
          <w:p>
            <w:pPr>
              <w:pStyle w:val="59"/>
              <w:jc w:val="center"/>
              <w:rPr>
                <w:color w:val="auto"/>
              </w:rPr>
            </w:pPr>
            <w:r>
              <w:rPr>
                <w:rFonts w:hint="eastAsia"/>
                <w:color w:val="auto"/>
              </w:rPr>
              <w:t>Ⅲ</w:t>
            </w:r>
          </w:p>
        </w:tc>
        <w:tc>
          <w:tcPr>
            <w:tcW w:w="3540" w:type="dxa"/>
            <w:vAlign w:val="center"/>
          </w:tcPr>
          <w:p>
            <w:pPr>
              <w:pStyle w:val="59"/>
              <w:jc w:val="both"/>
              <w:rPr>
                <w:color w:val="auto"/>
              </w:rPr>
            </w:pPr>
            <w:r>
              <w:rPr>
                <w:color w:val="auto"/>
              </w:rPr>
              <w:t>1</w:t>
            </w:r>
            <w:r>
              <w:rPr>
                <w:rFonts w:hint="eastAsia"/>
                <w:color w:val="auto"/>
              </w:rPr>
              <w:t>、尽量采用简单的母线保护，母线保护启用时，尽量减少母线倒闸操作；</w:t>
            </w:r>
          </w:p>
          <w:p>
            <w:pPr>
              <w:pStyle w:val="59"/>
              <w:jc w:val="both"/>
              <w:rPr>
                <w:color w:val="auto"/>
              </w:rPr>
            </w:pPr>
            <w:r>
              <w:rPr>
                <w:color w:val="auto"/>
              </w:rPr>
              <w:t>2</w:t>
            </w:r>
            <w:r>
              <w:rPr>
                <w:rFonts w:hint="eastAsia"/>
                <w:color w:val="auto"/>
              </w:rPr>
              <w:t>、开关失灵保护整定正确，动作可靠，严防开关误动扩大事故。重要辅机组电动机事故按钮要加保护罩，以防误碰停机事故；</w:t>
            </w:r>
          </w:p>
          <w:p>
            <w:pPr>
              <w:pStyle w:val="59"/>
              <w:jc w:val="both"/>
              <w:rPr>
                <w:color w:val="auto"/>
              </w:rPr>
            </w:pPr>
            <w:r>
              <w:rPr>
                <w:color w:val="auto"/>
              </w:rPr>
              <w:t>3</w:t>
            </w:r>
            <w:r>
              <w:rPr>
                <w:rFonts w:hint="eastAsia"/>
                <w:color w:val="auto"/>
              </w:rPr>
              <w:t>、加强蓄电池和直流系统、柴油发电机组的维护，直流系统熔断器的管理；保安电源自动投入功能可靠；</w:t>
            </w:r>
          </w:p>
          <w:p>
            <w:pPr>
              <w:pStyle w:val="59"/>
              <w:jc w:val="both"/>
              <w:rPr>
                <w:color w:val="auto"/>
              </w:rPr>
            </w:pPr>
            <w:r>
              <w:rPr>
                <w:color w:val="auto"/>
              </w:rPr>
              <w:t>4</w:t>
            </w:r>
            <w:r>
              <w:rPr>
                <w:rFonts w:hint="eastAsia"/>
                <w:color w:val="auto"/>
              </w:rPr>
              <w:t>、厂用电备用电源自投功能可靠，保证事故情况下厂用电不中断；</w:t>
            </w:r>
          </w:p>
          <w:p>
            <w:pPr>
              <w:pStyle w:val="59"/>
              <w:jc w:val="both"/>
              <w:rPr>
                <w:color w:val="auto"/>
              </w:rPr>
            </w:pPr>
            <w:r>
              <w:rPr>
                <w:color w:val="auto"/>
              </w:rPr>
              <w:t>5</w:t>
            </w:r>
            <w:r>
              <w:rPr>
                <w:rFonts w:hint="eastAsia"/>
                <w:color w:val="auto"/>
              </w:rPr>
              <w:t>、制定事故处理预案，防止人员误操作事故；</w:t>
            </w:r>
          </w:p>
          <w:p>
            <w:pPr>
              <w:pStyle w:val="59"/>
              <w:jc w:val="both"/>
              <w:rPr>
                <w:color w:val="auto"/>
              </w:rPr>
            </w:pPr>
            <w:r>
              <w:rPr>
                <w:color w:val="auto"/>
              </w:rPr>
              <w:t>6</w:t>
            </w:r>
            <w:r>
              <w:rPr>
                <w:rFonts w:hint="eastAsia"/>
                <w:color w:val="auto"/>
              </w:rPr>
              <w:t>、应加强对公共系统故障的分析。</w:t>
            </w:r>
          </w:p>
        </w:tc>
      </w:tr>
    </w:tbl>
    <w:p>
      <w:pPr>
        <w:pStyle w:val="54"/>
        <w:ind w:firstLine="562"/>
        <w:rPr>
          <w:rFonts w:hint="eastAsia"/>
          <w:b/>
          <w:color w:val="auto"/>
        </w:rPr>
      </w:pPr>
    </w:p>
    <w:p>
      <w:pPr>
        <w:pStyle w:val="54"/>
        <w:ind w:firstLine="562"/>
        <w:rPr>
          <w:b/>
          <w:color w:val="auto"/>
        </w:rPr>
      </w:pPr>
      <w:r>
        <w:rPr>
          <w:rFonts w:hint="eastAsia"/>
          <w:b/>
          <w:color w:val="auto"/>
        </w:rPr>
        <w:t>2</w:t>
      </w:r>
      <w:r>
        <w:rPr>
          <w:b/>
          <w:color w:val="auto"/>
        </w:rPr>
        <w:t>.</w:t>
      </w:r>
      <w:r>
        <w:rPr>
          <w:rFonts w:hint="eastAsia"/>
          <w:b/>
          <w:color w:val="auto"/>
        </w:rPr>
        <w:t>评价小结</w:t>
      </w:r>
    </w:p>
    <w:p>
      <w:pPr>
        <w:pStyle w:val="54"/>
        <w:ind w:firstLine="560"/>
        <w:rPr>
          <w:color w:val="auto"/>
        </w:rPr>
      </w:pPr>
      <w:r>
        <w:rPr>
          <w:rFonts w:hint="eastAsia"/>
          <w:color w:val="auto"/>
        </w:rPr>
        <w:t>通过预先危险分析，电气子单元主要危险、有害因素为：火灾、爆炸、继电保护动作异常、绝缘污闪事故、全厂停电事故危险程度为Ⅲ级（危险的），会造成人员伤亡和系统损坏，要立即采取防范对策措施；触电、电气误操作、无功电容器爆炸危险程度为Ⅱ级（临界的），处于事故的边缘状态，暂时还不会造成人员伤亡、系统损坏降低系统性能，但应予排除或采取控制措施。</w:t>
      </w:r>
    </w:p>
    <w:p>
      <w:pPr>
        <w:pStyle w:val="4"/>
        <w:ind w:firstLine="560"/>
        <w:rPr>
          <w:color w:val="auto"/>
        </w:rPr>
      </w:pPr>
      <w:bookmarkStart w:id="982" w:name="_Toc21036"/>
      <w:bookmarkStart w:id="983" w:name="_Toc10083"/>
      <w:bookmarkStart w:id="984" w:name="_Toc126586699"/>
      <w:bookmarkStart w:id="985" w:name="_Toc96877136"/>
      <w:bookmarkStart w:id="986" w:name="_Toc2748"/>
      <w:bookmarkStart w:id="987" w:name="_Toc18410"/>
      <w:bookmarkStart w:id="988" w:name="_Toc14249"/>
      <w:bookmarkStart w:id="989" w:name="_Toc14547"/>
      <w:r>
        <w:rPr>
          <w:color w:val="auto"/>
        </w:rPr>
        <w:t xml:space="preserve">C.4.2 </w:t>
      </w:r>
      <w:r>
        <w:rPr>
          <w:rFonts w:hint="eastAsia"/>
          <w:color w:val="auto"/>
        </w:rPr>
        <w:t>仪表自动控制子单元</w:t>
      </w:r>
      <w:bookmarkEnd w:id="982"/>
      <w:bookmarkEnd w:id="983"/>
      <w:bookmarkEnd w:id="984"/>
      <w:bookmarkEnd w:id="985"/>
      <w:bookmarkEnd w:id="986"/>
      <w:bookmarkEnd w:id="987"/>
      <w:bookmarkEnd w:id="988"/>
      <w:bookmarkEnd w:id="989"/>
    </w:p>
    <w:p>
      <w:pPr>
        <w:pStyle w:val="54"/>
        <w:ind w:firstLine="562"/>
        <w:rPr>
          <w:b/>
          <w:color w:val="auto"/>
        </w:rPr>
      </w:pPr>
      <w:r>
        <w:rPr>
          <w:rFonts w:hint="eastAsia"/>
          <w:b/>
          <w:color w:val="auto"/>
        </w:rPr>
        <w:t>1.预先危险分析</w:t>
      </w:r>
    </w:p>
    <w:p>
      <w:pPr>
        <w:pStyle w:val="54"/>
        <w:ind w:firstLine="560"/>
        <w:rPr>
          <w:color w:val="auto"/>
        </w:rPr>
      </w:pPr>
      <w:r>
        <w:rPr>
          <w:rFonts w:hint="eastAsia"/>
          <w:color w:val="auto"/>
        </w:rPr>
        <w:t>采用预先危险分析法（PHA）对本子单元进行分析评价，具体情况见表</w:t>
      </w:r>
      <w:r>
        <w:rPr>
          <w:color w:val="auto"/>
        </w:rPr>
        <w:t>C.4-2</w:t>
      </w:r>
      <w:r>
        <w:rPr>
          <w:rFonts w:hint="eastAsia"/>
          <w:color w:val="auto"/>
        </w:rPr>
        <w:t>。</w:t>
      </w:r>
    </w:p>
    <w:p>
      <w:pPr>
        <w:pStyle w:val="53"/>
        <w:rPr>
          <w:color w:val="auto"/>
        </w:rPr>
      </w:pPr>
      <w:r>
        <w:rPr>
          <w:rFonts w:hint="eastAsia"/>
          <w:color w:val="auto"/>
        </w:rPr>
        <w:t>表</w:t>
      </w:r>
      <w:r>
        <w:rPr>
          <w:color w:val="auto"/>
        </w:rPr>
        <w:t xml:space="preserve">C.4-2  </w:t>
      </w:r>
      <w:r>
        <w:rPr>
          <w:rFonts w:hint="eastAsia"/>
          <w:color w:val="auto"/>
        </w:rPr>
        <w:t>仪表自动控制子单元预先危险分析</w:t>
      </w:r>
    </w:p>
    <w:tbl>
      <w:tblPr>
        <w:tblStyle w:val="42"/>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667"/>
        <w:gridCol w:w="2950"/>
        <w:gridCol w:w="674"/>
        <w:gridCol w:w="703"/>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pStyle w:val="59"/>
              <w:jc w:val="center"/>
              <w:rPr>
                <w:color w:val="auto"/>
              </w:rPr>
            </w:pPr>
            <w:r>
              <w:rPr>
                <w:rFonts w:hint="eastAsia"/>
                <w:color w:val="auto"/>
              </w:rPr>
              <w:t>事故</w:t>
            </w:r>
          </w:p>
        </w:tc>
        <w:tc>
          <w:tcPr>
            <w:tcW w:w="667" w:type="dxa"/>
            <w:vAlign w:val="center"/>
          </w:tcPr>
          <w:p>
            <w:pPr>
              <w:pStyle w:val="59"/>
              <w:jc w:val="center"/>
              <w:rPr>
                <w:color w:val="auto"/>
              </w:rPr>
            </w:pPr>
            <w:r>
              <w:rPr>
                <w:rFonts w:hint="eastAsia"/>
                <w:color w:val="auto"/>
              </w:rPr>
              <w:t>阶段</w:t>
            </w:r>
          </w:p>
        </w:tc>
        <w:tc>
          <w:tcPr>
            <w:tcW w:w="2950" w:type="dxa"/>
            <w:vAlign w:val="center"/>
          </w:tcPr>
          <w:p>
            <w:pPr>
              <w:pStyle w:val="59"/>
              <w:rPr>
                <w:color w:val="auto"/>
              </w:rPr>
            </w:pPr>
            <w:r>
              <w:rPr>
                <w:rFonts w:hint="eastAsia"/>
                <w:color w:val="auto"/>
              </w:rPr>
              <w:t>原因</w:t>
            </w:r>
          </w:p>
        </w:tc>
        <w:tc>
          <w:tcPr>
            <w:tcW w:w="674" w:type="dxa"/>
            <w:vAlign w:val="center"/>
          </w:tcPr>
          <w:p>
            <w:pPr>
              <w:pStyle w:val="59"/>
              <w:rPr>
                <w:color w:val="auto"/>
              </w:rPr>
            </w:pPr>
            <w:r>
              <w:rPr>
                <w:rFonts w:hint="eastAsia"/>
                <w:color w:val="auto"/>
              </w:rPr>
              <w:t>事故后果</w:t>
            </w:r>
          </w:p>
        </w:tc>
        <w:tc>
          <w:tcPr>
            <w:tcW w:w="703" w:type="dxa"/>
            <w:vAlign w:val="center"/>
          </w:tcPr>
          <w:p>
            <w:pPr>
              <w:pStyle w:val="59"/>
              <w:jc w:val="center"/>
              <w:rPr>
                <w:color w:val="auto"/>
              </w:rPr>
            </w:pPr>
            <w:r>
              <w:rPr>
                <w:rFonts w:hint="eastAsia"/>
                <w:color w:val="auto"/>
              </w:rPr>
              <w:t>危险等级</w:t>
            </w:r>
          </w:p>
        </w:tc>
        <w:tc>
          <w:tcPr>
            <w:tcW w:w="3431" w:type="dxa"/>
            <w:vAlign w:val="center"/>
          </w:tcPr>
          <w:p>
            <w:pPr>
              <w:pStyle w:val="59"/>
              <w:rPr>
                <w:color w:val="auto"/>
              </w:rPr>
            </w:pPr>
            <w:r>
              <w:rPr>
                <w:rFonts w:hint="eastAsia"/>
                <w:color w:val="auto"/>
              </w:rPr>
              <w:t>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pStyle w:val="59"/>
              <w:jc w:val="center"/>
              <w:rPr>
                <w:color w:val="auto"/>
              </w:rPr>
            </w:pPr>
            <w:r>
              <w:rPr>
                <w:rFonts w:hint="eastAsia"/>
                <w:color w:val="auto"/>
              </w:rPr>
              <w:t>(中控室)火灾</w:t>
            </w:r>
          </w:p>
        </w:tc>
        <w:tc>
          <w:tcPr>
            <w:tcW w:w="667" w:type="dxa"/>
            <w:vAlign w:val="center"/>
          </w:tcPr>
          <w:p>
            <w:pPr>
              <w:pStyle w:val="59"/>
              <w:jc w:val="center"/>
              <w:rPr>
                <w:color w:val="auto"/>
              </w:rPr>
            </w:pPr>
            <w:r>
              <w:rPr>
                <w:rFonts w:hint="eastAsia"/>
                <w:color w:val="auto"/>
              </w:rPr>
              <w:t>运行</w:t>
            </w:r>
          </w:p>
        </w:tc>
        <w:tc>
          <w:tcPr>
            <w:tcW w:w="2950" w:type="dxa"/>
            <w:vAlign w:val="center"/>
          </w:tcPr>
          <w:p>
            <w:pPr>
              <w:pStyle w:val="59"/>
              <w:jc w:val="both"/>
              <w:rPr>
                <w:color w:val="auto"/>
              </w:rPr>
            </w:pPr>
            <w:r>
              <w:rPr>
                <w:rFonts w:hint="eastAsia"/>
                <w:color w:val="auto"/>
              </w:rPr>
              <w:t>1、控制室内的电气、控制电线选型不当或不符合安装规定要求，因短路、超负荷等引发火灾事故；</w:t>
            </w:r>
          </w:p>
          <w:p>
            <w:pPr>
              <w:pStyle w:val="59"/>
              <w:jc w:val="both"/>
              <w:rPr>
                <w:color w:val="auto"/>
              </w:rPr>
            </w:pPr>
            <w:r>
              <w:rPr>
                <w:rFonts w:hint="eastAsia"/>
                <w:color w:val="auto"/>
              </w:rPr>
              <w:t>2、计算机发生故障，造成绝缘被击穿，稳压电源短路或高阻抗元件接触不良等发热而着火；</w:t>
            </w:r>
          </w:p>
          <w:p>
            <w:pPr>
              <w:pStyle w:val="59"/>
              <w:jc w:val="both"/>
              <w:rPr>
                <w:rFonts w:hint="eastAsia"/>
                <w:color w:val="auto"/>
                <w:lang w:eastAsia="zh-CN"/>
              </w:rPr>
            </w:pPr>
            <w:r>
              <w:rPr>
                <w:rFonts w:hint="eastAsia"/>
                <w:color w:val="auto"/>
              </w:rPr>
              <w:t>3、控制室内装修采用大量的木板、胶合板、塑料板等可燃物，易引起火势的蔓延与扩大</w:t>
            </w:r>
            <w:r>
              <w:rPr>
                <w:rFonts w:hint="eastAsia"/>
                <w:color w:val="auto"/>
                <w:lang w:eastAsia="zh-CN"/>
              </w:rPr>
              <w:t>；</w:t>
            </w:r>
          </w:p>
          <w:p>
            <w:pPr>
              <w:pStyle w:val="59"/>
              <w:jc w:val="both"/>
              <w:rPr>
                <w:color w:val="auto"/>
              </w:rPr>
            </w:pPr>
            <w:r>
              <w:rPr>
                <w:rFonts w:hint="eastAsia"/>
                <w:color w:val="auto"/>
              </w:rPr>
              <w:t>4、防雷、防静电措施不当或失效；</w:t>
            </w:r>
          </w:p>
          <w:p>
            <w:pPr>
              <w:pStyle w:val="59"/>
              <w:jc w:val="both"/>
              <w:rPr>
                <w:rFonts w:hint="eastAsia"/>
                <w:color w:val="auto"/>
                <w:lang w:eastAsia="zh-CN"/>
              </w:rPr>
            </w:pPr>
            <w:r>
              <w:rPr>
                <w:rFonts w:hint="eastAsia"/>
                <w:color w:val="auto"/>
              </w:rPr>
              <w:t>5、接地电阻值不符合规范要求</w:t>
            </w:r>
            <w:r>
              <w:rPr>
                <w:rFonts w:hint="eastAsia"/>
                <w:color w:val="auto"/>
                <w:lang w:eastAsia="zh-CN"/>
              </w:rPr>
              <w:t>。</w:t>
            </w:r>
          </w:p>
        </w:tc>
        <w:tc>
          <w:tcPr>
            <w:tcW w:w="674" w:type="dxa"/>
            <w:vAlign w:val="center"/>
          </w:tcPr>
          <w:p>
            <w:pPr>
              <w:pStyle w:val="59"/>
              <w:rPr>
                <w:color w:val="auto"/>
              </w:rPr>
            </w:pPr>
            <w:r>
              <w:rPr>
                <w:rFonts w:hint="eastAsia"/>
                <w:color w:val="auto"/>
              </w:rPr>
              <w:t>人员伤亡设备损坏</w:t>
            </w:r>
          </w:p>
        </w:tc>
        <w:tc>
          <w:tcPr>
            <w:tcW w:w="703" w:type="dxa"/>
            <w:vAlign w:val="center"/>
          </w:tcPr>
          <w:p>
            <w:pPr>
              <w:pStyle w:val="59"/>
              <w:jc w:val="center"/>
              <w:rPr>
                <w:color w:val="auto"/>
              </w:rPr>
            </w:pPr>
            <w:r>
              <w:rPr>
                <w:rFonts w:hint="eastAsia"/>
                <w:color w:val="auto"/>
              </w:rPr>
              <w:t>Ⅲ</w:t>
            </w:r>
          </w:p>
        </w:tc>
        <w:tc>
          <w:tcPr>
            <w:tcW w:w="3431" w:type="dxa"/>
            <w:vAlign w:val="center"/>
          </w:tcPr>
          <w:p>
            <w:pPr>
              <w:pStyle w:val="59"/>
              <w:jc w:val="both"/>
              <w:rPr>
                <w:color w:val="auto"/>
              </w:rPr>
            </w:pPr>
            <w:r>
              <w:rPr>
                <w:rFonts w:hint="eastAsia"/>
                <w:color w:val="auto"/>
              </w:rPr>
              <w:t>1．加强日常维护，计算机系统的信号线、电源电缆和地线等分开铺设，控制室外应有良好的防雷设施；</w:t>
            </w:r>
          </w:p>
          <w:p>
            <w:pPr>
              <w:pStyle w:val="59"/>
              <w:jc w:val="both"/>
              <w:rPr>
                <w:color w:val="auto"/>
              </w:rPr>
            </w:pPr>
            <w:r>
              <w:rPr>
                <w:rFonts w:hint="eastAsia"/>
                <w:color w:val="auto"/>
              </w:rPr>
              <w:t>2、电气、控制设备的安装、检修、改线，应符合防火要求；</w:t>
            </w:r>
          </w:p>
          <w:p>
            <w:pPr>
              <w:pStyle w:val="59"/>
              <w:jc w:val="both"/>
              <w:rPr>
                <w:color w:val="auto"/>
              </w:rPr>
            </w:pPr>
            <w:r>
              <w:rPr>
                <w:rFonts w:hint="eastAsia"/>
                <w:color w:val="auto"/>
              </w:rPr>
              <w:t>3、合理配置消防设施和器材，并定期组织检验、维修，确保消防设施和器材完好、有效</w:t>
            </w:r>
          </w:p>
          <w:p>
            <w:pPr>
              <w:pStyle w:val="59"/>
              <w:jc w:val="both"/>
              <w:rPr>
                <w:color w:val="auto"/>
              </w:rPr>
            </w:pPr>
            <w:r>
              <w:rPr>
                <w:rFonts w:hint="eastAsia"/>
                <w:color w:val="auto"/>
              </w:rPr>
              <w:t>4、防雷、防静电设施按规范设计、施工；</w:t>
            </w:r>
          </w:p>
          <w:p>
            <w:pPr>
              <w:pStyle w:val="59"/>
              <w:jc w:val="both"/>
              <w:rPr>
                <w:color w:val="auto"/>
              </w:rPr>
            </w:pPr>
            <w:r>
              <w:rPr>
                <w:rFonts w:hint="eastAsia"/>
                <w:color w:val="auto"/>
              </w:rPr>
              <w:t>5、接地电阻值定期检测。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pStyle w:val="59"/>
              <w:jc w:val="center"/>
              <w:rPr>
                <w:color w:val="auto"/>
              </w:rPr>
            </w:pPr>
            <w:r>
              <w:rPr>
                <w:rFonts w:hint="eastAsia"/>
                <w:color w:val="auto"/>
              </w:rPr>
              <w:t>DCS系统错误</w:t>
            </w:r>
          </w:p>
        </w:tc>
        <w:tc>
          <w:tcPr>
            <w:tcW w:w="667" w:type="dxa"/>
            <w:vAlign w:val="center"/>
          </w:tcPr>
          <w:p>
            <w:pPr>
              <w:pStyle w:val="59"/>
              <w:jc w:val="center"/>
              <w:rPr>
                <w:color w:val="auto"/>
              </w:rPr>
            </w:pPr>
            <w:r>
              <w:rPr>
                <w:rFonts w:hint="eastAsia"/>
                <w:color w:val="auto"/>
              </w:rPr>
              <w:t>运行</w:t>
            </w:r>
          </w:p>
        </w:tc>
        <w:tc>
          <w:tcPr>
            <w:tcW w:w="2950" w:type="dxa"/>
            <w:vAlign w:val="center"/>
          </w:tcPr>
          <w:p>
            <w:pPr>
              <w:pStyle w:val="59"/>
              <w:jc w:val="both"/>
              <w:rPr>
                <w:color w:val="auto"/>
              </w:rPr>
            </w:pPr>
            <w:r>
              <w:rPr>
                <w:rFonts w:hint="eastAsia"/>
                <w:color w:val="auto"/>
                <w:lang w:val="en-US" w:eastAsia="zh-CN"/>
              </w:rPr>
              <w:t>1</w:t>
            </w:r>
            <w:r>
              <w:rPr>
                <w:rFonts w:hint="eastAsia"/>
                <w:color w:val="auto"/>
              </w:rPr>
              <w:t>、附着在集成块上的灰尘影响其散热或引起接触不良，还会引起数据的读写错误；</w:t>
            </w:r>
          </w:p>
          <w:p>
            <w:pPr>
              <w:pStyle w:val="59"/>
              <w:jc w:val="both"/>
              <w:rPr>
                <w:color w:val="auto"/>
              </w:rPr>
            </w:pPr>
            <w:r>
              <w:rPr>
                <w:rFonts w:hint="eastAsia"/>
                <w:color w:val="auto"/>
                <w:lang w:val="en-US" w:eastAsia="zh-CN"/>
              </w:rPr>
              <w:t>2</w:t>
            </w:r>
            <w:r>
              <w:rPr>
                <w:rFonts w:hint="eastAsia"/>
                <w:color w:val="auto"/>
              </w:rPr>
              <w:t>、温度升高导致电阻绝缘性能下降；</w:t>
            </w:r>
          </w:p>
          <w:p>
            <w:pPr>
              <w:pStyle w:val="59"/>
              <w:jc w:val="both"/>
              <w:rPr>
                <w:color w:val="auto"/>
              </w:rPr>
            </w:pPr>
            <w:r>
              <w:rPr>
                <w:rFonts w:hint="eastAsia"/>
                <w:color w:val="auto"/>
                <w:lang w:val="en-US" w:eastAsia="zh-CN"/>
              </w:rPr>
              <w:t>3</w:t>
            </w:r>
            <w:r>
              <w:rPr>
                <w:rFonts w:hint="eastAsia"/>
                <w:color w:val="auto"/>
              </w:rPr>
              <w:t>、低质量的供电损坏计算机的电源系统，并对元器件造成损坏；</w:t>
            </w:r>
          </w:p>
          <w:p>
            <w:pPr>
              <w:pStyle w:val="59"/>
              <w:jc w:val="both"/>
              <w:rPr>
                <w:color w:val="auto"/>
              </w:rPr>
            </w:pPr>
            <w:r>
              <w:rPr>
                <w:rFonts w:hint="eastAsia"/>
                <w:color w:val="auto"/>
                <w:lang w:val="en-US" w:eastAsia="zh-CN"/>
              </w:rPr>
              <w:t>4</w:t>
            </w:r>
            <w:r>
              <w:rPr>
                <w:rFonts w:hint="eastAsia"/>
                <w:color w:val="auto"/>
              </w:rPr>
              <w:t>、接地不良造成零部件的烧毁损坏；</w:t>
            </w:r>
          </w:p>
          <w:p>
            <w:pPr>
              <w:pStyle w:val="59"/>
              <w:jc w:val="both"/>
              <w:rPr>
                <w:color w:val="auto"/>
              </w:rPr>
            </w:pPr>
            <w:r>
              <w:rPr>
                <w:rFonts w:hint="eastAsia"/>
                <w:color w:val="auto"/>
                <w:lang w:val="en-US" w:eastAsia="zh-CN"/>
              </w:rPr>
              <w:t>5</w:t>
            </w:r>
            <w:r>
              <w:rPr>
                <w:rFonts w:hint="eastAsia"/>
                <w:color w:val="auto"/>
              </w:rPr>
              <w:t>、振动对硬件的损害最为严重，若离振动源较近又无避振措施时会受到影响。</w:t>
            </w:r>
          </w:p>
        </w:tc>
        <w:tc>
          <w:tcPr>
            <w:tcW w:w="674" w:type="dxa"/>
            <w:vAlign w:val="center"/>
          </w:tcPr>
          <w:p>
            <w:pPr>
              <w:pStyle w:val="59"/>
              <w:rPr>
                <w:color w:val="auto"/>
              </w:rPr>
            </w:pPr>
            <w:r>
              <w:rPr>
                <w:rFonts w:hint="eastAsia"/>
                <w:color w:val="auto"/>
              </w:rPr>
              <w:t>人员伤亡设备损坏</w:t>
            </w:r>
          </w:p>
        </w:tc>
        <w:tc>
          <w:tcPr>
            <w:tcW w:w="703" w:type="dxa"/>
            <w:vAlign w:val="center"/>
          </w:tcPr>
          <w:p>
            <w:pPr>
              <w:pStyle w:val="59"/>
              <w:jc w:val="center"/>
              <w:rPr>
                <w:color w:val="auto"/>
              </w:rPr>
            </w:pPr>
            <w:r>
              <w:rPr>
                <w:rFonts w:hint="eastAsia"/>
                <w:color w:val="auto"/>
              </w:rPr>
              <w:t>Ⅱ</w:t>
            </w:r>
          </w:p>
        </w:tc>
        <w:tc>
          <w:tcPr>
            <w:tcW w:w="3431" w:type="dxa"/>
            <w:vAlign w:val="center"/>
          </w:tcPr>
          <w:p>
            <w:pPr>
              <w:pStyle w:val="59"/>
              <w:jc w:val="both"/>
              <w:rPr>
                <w:color w:val="auto"/>
              </w:rPr>
            </w:pPr>
            <w:r>
              <w:rPr>
                <w:rFonts w:hint="eastAsia"/>
                <w:color w:val="auto"/>
              </w:rPr>
              <w:t>1、在对DCS装置进行运输、开箱、保管、安装各阶段、严格按照指导说明书要求的环境与步骤进行；</w:t>
            </w:r>
          </w:p>
          <w:p>
            <w:pPr>
              <w:pStyle w:val="59"/>
              <w:jc w:val="both"/>
              <w:rPr>
                <w:color w:val="auto"/>
              </w:rPr>
            </w:pPr>
            <w:r>
              <w:rPr>
                <w:rFonts w:hint="eastAsia"/>
                <w:color w:val="auto"/>
              </w:rPr>
              <w:t>2、提供良好的外部环境条件，如控制室温、湿度控制；良好的接地系统以及防灰、防震、防腐蚀；远离振动源、高噪音源，还应考虑机柜进线的内、外部密封及消防措施等；</w:t>
            </w:r>
          </w:p>
          <w:p>
            <w:pPr>
              <w:pStyle w:val="59"/>
              <w:jc w:val="both"/>
              <w:rPr>
                <w:color w:val="auto"/>
              </w:rPr>
            </w:pPr>
            <w:r>
              <w:rPr>
                <w:rFonts w:hint="eastAsia"/>
                <w:color w:val="auto"/>
              </w:rPr>
              <w:t>3</w:t>
            </w:r>
            <w:r>
              <w:rPr>
                <w:rFonts w:hint="eastAsia"/>
                <w:color w:val="auto"/>
                <w:lang w:eastAsia="zh-CN"/>
              </w:rPr>
              <w:t>、</w:t>
            </w:r>
            <w:r>
              <w:rPr>
                <w:rFonts w:hint="eastAsia"/>
                <w:color w:val="auto"/>
              </w:rPr>
              <w:t>必须配置独立的不间断电源UPS。同时UPS运行的有关参数和运行状态信号应输入到DCS中，当UPS故障时可以报警显示，以保证系统和生产装置的安全运行。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pStyle w:val="59"/>
              <w:jc w:val="center"/>
              <w:rPr>
                <w:color w:val="auto"/>
              </w:rPr>
            </w:pPr>
            <w:r>
              <w:rPr>
                <w:rFonts w:hint="eastAsia"/>
                <w:color w:val="auto"/>
              </w:rPr>
              <w:t>DCS系统运行不正常</w:t>
            </w:r>
          </w:p>
        </w:tc>
        <w:tc>
          <w:tcPr>
            <w:tcW w:w="667" w:type="dxa"/>
            <w:vAlign w:val="center"/>
          </w:tcPr>
          <w:p>
            <w:pPr>
              <w:pStyle w:val="59"/>
              <w:jc w:val="center"/>
              <w:rPr>
                <w:color w:val="auto"/>
              </w:rPr>
            </w:pPr>
            <w:r>
              <w:rPr>
                <w:rFonts w:hint="eastAsia"/>
                <w:color w:val="auto"/>
              </w:rPr>
              <w:t>运行</w:t>
            </w:r>
          </w:p>
        </w:tc>
        <w:tc>
          <w:tcPr>
            <w:tcW w:w="2950" w:type="dxa"/>
            <w:vAlign w:val="center"/>
          </w:tcPr>
          <w:p>
            <w:pPr>
              <w:pStyle w:val="59"/>
              <w:jc w:val="both"/>
              <w:rPr>
                <w:color w:val="auto"/>
              </w:rPr>
            </w:pPr>
            <w:r>
              <w:rPr>
                <w:rFonts w:hint="eastAsia"/>
                <w:color w:val="auto"/>
              </w:rPr>
              <w:t>1、电力线、电机设备的负荷电流通过电磁感应对信号线及DCS显示系统产生干扰，使CRT屏幕上出现麻点和闪动；</w:t>
            </w:r>
          </w:p>
          <w:p>
            <w:pPr>
              <w:pStyle w:val="59"/>
              <w:jc w:val="both"/>
              <w:rPr>
                <w:color w:val="auto"/>
              </w:rPr>
            </w:pPr>
            <w:r>
              <w:rPr>
                <w:rFonts w:hint="eastAsia"/>
                <w:color w:val="auto"/>
              </w:rPr>
              <w:t>2、控制室防雷接地单独设置，与控制系统的接地体没有足够的绝缘距离；</w:t>
            </w:r>
          </w:p>
          <w:p>
            <w:pPr>
              <w:pStyle w:val="59"/>
              <w:jc w:val="both"/>
              <w:rPr>
                <w:color w:val="auto"/>
              </w:rPr>
            </w:pPr>
            <w:r>
              <w:rPr>
                <w:rFonts w:hint="eastAsia"/>
                <w:color w:val="auto"/>
              </w:rPr>
              <w:t>3、仪表电源的波动、信号线连接点的接触电阻等对电信号传输引起干扰。</w:t>
            </w:r>
          </w:p>
          <w:p>
            <w:pPr>
              <w:pStyle w:val="59"/>
              <w:jc w:val="both"/>
              <w:rPr>
                <w:color w:val="auto"/>
              </w:rPr>
            </w:pPr>
            <w:r>
              <w:rPr>
                <w:rFonts w:hint="eastAsia"/>
                <w:color w:val="auto"/>
              </w:rPr>
              <w:t>4、硬盘、存储器等因多次读写产生坏磁道，若未及时修复，会丢失数据，造成控制精度下降甚至死机等大的故障。</w:t>
            </w:r>
          </w:p>
        </w:tc>
        <w:tc>
          <w:tcPr>
            <w:tcW w:w="674" w:type="dxa"/>
            <w:vAlign w:val="center"/>
          </w:tcPr>
          <w:p>
            <w:pPr>
              <w:pStyle w:val="59"/>
              <w:rPr>
                <w:color w:val="auto"/>
              </w:rPr>
            </w:pPr>
            <w:r>
              <w:rPr>
                <w:rFonts w:hint="eastAsia"/>
                <w:color w:val="auto"/>
              </w:rPr>
              <w:t>人员伤亡设备损坏</w:t>
            </w:r>
          </w:p>
        </w:tc>
        <w:tc>
          <w:tcPr>
            <w:tcW w:w="703" w:type="dxa"/>
            <w:vAlign w:val="center"/>
          </w:tcPr>
          <w:p>
            <w:pPr>
              <w:pStyle w:val="59"/>
              <w:jc w:val="center"/>
              <w:rPr>
                <w:color w:val="auto"/>
              </w:rPr>
            </w:pPr>
            <w:r>
              <w:rPr>
                <w:rFonts w:hint="eastAsia"/>
                <w:color w:val="auto"/>
              </w:rPr>
              <w:t>Ⅱ</w:t>
            </w:r>
          </w:p>
        </w:tc>
        <w:tc>
          <w:tcPr>
            <w:tcW w:w="3431" w:type="dxa"/>
            <w:vAlign w:val="center"/>
          </w:tcPr>
          <w:p>
            <w:pPr>
              <w:pStyle w:val="59"/>
              <w:jc w:val="both"/>
              <w:rPr>
                <w:color w:val="auto"/>
              </w:rPr>
            </w:pPr>
            <w:r>
              <w:rPr>
                <w:rFonts w:hint="eastAsia"/>
                <w:color w:val="auto"/>
              </w:rPr>
              <w:t>1、仪表信号线路与电力线及能产生交变电磁场的设备，相隔最小间距应按有关配线设计规定施工规范来执行；</w:t>
            </w:r>
          </w:p>
          <w:p>
            <w:pPr>
              <w:pStyle w:val="59"/>
              <w:jc w:val="both"/>
              <w:rPr>
                <w:color w:val="auto"/>
              </w:rPr>
            </w:pPr>
            <w:r>
              <w:rPr>
                <w:rFonts w:hint="eastAsia"/>
                <w:color w:val="auto"/>
              </w:rPr>
              <w:t>2、机电设备、电源开关等应有铁质壳体屏蔽，信号线与电源线严格分开，不得穿同一金属管或敷设于同一金属槽盒内；</w:t>
            </w:r>
          </w:p>
          <w:p>
            <w:pPr>
              <w:pStyle w:val="59"/>
              <w:jc w:val="both"/>
              <w:rPr>
                <w:color w:val="auto"/>
              </w:rPr>
            </w:pPr>
            <w:r>
              <w:rPr>
                <w:rFonts w:hint="eastAsia"/>
                <w:color w:val="auto"/>
              </w:rPr>
              <w:t>3、采用对绞线可很好抑制电磁感应引入的干扰，又可明显抑制静电感应引入的干扰；</w:t>
            </w:r>
          </w:p>
          <w:p>
            <w:pPr>
              <w:pStyle w:val="59"/>
              <w:jc w:val="both"/>
              <w:rPr>
                <w:color w:val="auto"/>
              </w:rPr>
            </w:pPr>
            <w:r>
              <w:rPr>
                <w:rFonts w:hint="eastAsia"/>
                <w:color w:val="auto"/>
              </w:rPr>
              <w:t>4、设置DCS保护接地和工作接地。在DCS调试前应经过接地电阻测试，达不到要求不能调试，更不能进行生产的联动试车；</w:t>
            </w:r>
          </w:p>
          <w:p>
            <w:pPr>
              <w:pStyle w:val="59"/>
              <w:jc w:val="both"/>
              <w:rPr>
                <w:color w:val="auto"/>
              </w:rPr>
            </w:pPr>
            <w:r>
              <w:rPr>
                <w:rFonts w:hint="eastAsia"/>
                <w:color w:val="auto"/>
              </w:rPr>
              <w:t>5、DCS的接地系统和防雷接地系统应进行等电位联接，以避免DCS电子元件受到雷电反击。</w:t>
            </w:r>
          </w:p>
          <w:p>
            <w:pPr>
              <w:pStyle w:val="59"/>
              <w:jc w:val="both"/>
              <w:rPr>
                <w:color w:val="auto"/>
              </w:rPr>
            </w:pPr>
            <w:r>
              <w:rPr>
                <w:rFonts w:hint="eastAsia"/>
                <w:color w:val="auto"/>
              </w:rPr>
              <w:t>6、利用设备诊断和检测技术，确切掌握设备状态以掌握设备的老化程度，预测故障，决定点检内容、周期，决定更新周期，以维持和提高设备的可靠性、稳定性。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vAlign w:val="center"/>
          </w:tcPr>
          <w:p>
            <w:pPr>
              <w:pStyle w:val="59"/>
              <w:jc w:val="center"/>
              <w:rPr>
                <w:color w:val="auto"/>
              </w:rPr>
            </w:pPr>
            <w:r>
              <w:rPr>
                <w:rFonts w:hint="eastAsia"/>
                <w:color w:val="auto"/>
              </w:rPr>
              <w:t>自动控制调节装置运行不正常</w:t>
            </w:r>
          </w:p>
        </w:tc>
        <w:tc>
          <w:tcPr>
            <w:tcW w:w="667" w:type="dxa"/>
            <w:vAlign w:val="center"/>
          </w:tcPr>
          <w:p>
            <w:pPr>
              <w:pStyle w:val="59"/>
              <w:jc w:val="center"/>
              <w:rPr>
                <w:color w:val="auto"/>
              </w:rPr>
            </w:pPr>
            <w:r>
              <w:rPr>
                <w:rFonts w:hint="eastAsia"/>
                <w:color w:val="auto"/>
              </w:rPr>
              <w:t>运行</w:t>
            </w:r>
          </w:p>
        </w:tc>
        <w:tc>
          <w:tcPr>
            <w:tcW w:w="2950" w:type="dxa"/>
            <w:vAlign w:val="center"/>
          </w:tcPr>
          <w:p>
            <w:pPr>
              <w:pStyle w:val="59"/>
              <w:jc w:val="both"/>
              <w:rPr>
                <w:color w:val="auto"/>
              </w:rPr>
            </w:pPr>
            <w:r>
              <w:rPr>
                <w:rFonts w:hint="eastAsia"/>
                <w:color w:val="auto"/>
              </w:rPr>
              <w:t>1、自动调节系统电源回路失电，或其导线故障，导致自动调节失控或调节系统无动作。</w:t>
            </w:r>
          </w:p>
          <w:p>
            <w:pPr>
              <w:pStyle w:val="59"/>
              <w:jc w:val="both"/>
              <w:rPr>
                <w:color w:val="auto"/>
              </w:rPr>
            </w:pPr>
            <w:r>
              <w:rPr>
                <w:rFonts w:hint="eastAsia"/>
                <w:color w:val="auto"/>
              </w:rPr>
              <w:t>2、调节用一次检测装置及其接线回路损坏，或断线/短路，致使调节信号异常，导致调整门突然开大或关小。</w:t>
            </w:r>
          </w:p>
          <w:p>
            <w:pPr>
              <w:pStyle w:val="59"/>
              <w:jc w:val="both"/>
              <w:rPr>
                <w:color w:val="auto"/>
              </w:rPr>
            </w:pPr>
            <w:r>
              <w:rPr>
                <w:rFonts w:hint="eastAsia"/>
                <w:color w:val="auto"/>
              </w:rPr>
              <w:t>3、执行机构故障，导致自动调节无动作或突大突小。</w:t>
            </w:r>
          </w:p>
          <w:p>
            <w:pPr>
              <w:pStyle w:val="59"/>
              <w:jc w:val="both"/>
              <w:rPr>
                <w:color w:val="auto"/>
              </w:rPr>
            </w:pPr>
            <w:r>
              <w:rPr>
                <w:rFonts w:hint="eastAsia"/>
                <w:color w:val="auto"/>
              </w:rPr>
              <w:t>4、双路冗余互为备用的通讯环路，自动切换时瞬时故障，丢失信息导致自动控制失控。</w:t>
            </w:r>
          </w:p>
          <w:p>
            <w:pPr>
              <w:pStyle w:val="59"/>
              <w:jc w:val="both"/>
              <w:rPr>
                <w:color w:val="auto"/>
              </w:rPr>
            </w:pPr>
            <w:r>
              <w:rPr>
                <w:rFonts w:hint="eastAsia"/>
                <w:color w:val="auto"/>
              </w:rPr>
              <w:t>5、DCS调节用的CPU，超过使用有效期，或受外界干扰或PID运算出错，导致自动调节失控。</w:t>
            </w:r>
          </w:p>
          <w:p>
            <w:pPr>
              <w:pStyle w:val="59"/>
              <w:jc w:val="both"/>
              <w:rPr>
                <w:color w:val="auto"/>
              </w:rPr>
            </w:pPr>
          </w:p>
        </w:tc>
        <w:tc>
          <w:tcPr>
            <w:tcW w:w="674" w:type="dxa"/>
            <w:vAlign w:val="center"/>
          </w:tcPr>
          <w:p>
            <w:pPr>
              <w:pStyle w:val="59"/>
              <w:rPr>
                <w:color w:val="auto"/>
              </w:rPr>
            </w:pPr>
            <w:r>
              <w:rPr>
                <w:rFonts w:hint="eastAsia"/>
                <w:color w:val="auto"/>
              </w:rPr>
              <w:t>可能造成人员伤亡或设备损坏</w:t>
            </w:r>
          </w:p>
        </w:tc>
        <w:tc>
          <w:tcPr>
            <w:tcW w:w="703" w:type="dxa"/>
            <w:vAlign w:val="center"/>
          </w:tcPr>
          <w:p>
            <w:pPr>
              <w:pStyle w:val="59"/>
              <w:jc w:val="center"/>
              <w:rPr>
                <w:color w:val="auto"/>
              </w:rPr>
            </w:pPr>
            <w:r>
              <w:rPr>
                <w:rFonts w:hint="eastAsia"/>
                <w:color w:val="auto"/>
              </w:rPr>
              <w:t>Ⅱ</w:t>
            </w:r>
          </w:p>
        </w:tc>
        <w:tc>
          <w:tcPr>
            <w:tcW w:w="3431" w:type="dxa"/>
            <w:vAlign w:val="center"/>
          </w:tcPr>
          <w:p>
            <w:pPr>
              <w:pStyle w:val="59"/>
              <w:jc w:val="both"/>
              <w:rPr>
                <w:color w:val="auto"/>
              </w:rPr>
            </w:pPr>
            <w:r>
              <w:rPr>
                <w:rFonts w:hint="eastAsia"/>
                <w:color w:val="auto"/>
              </w:rPr>
              <w:t>1、加强系统自动调节系统电源回路(电源开关、熔断器、电缆、接插件)维护管理工组。</w:t>
            </w:r>
          </w:p>
          <w:p>
            <w:pPr>
              <w:pStyle w:val="59"/>
              <w:jc w:val="both"/>
              <w:rPr>
                <w:color w:val="auto"/>
              </w:rPr>
            </w:pPr>
            <w:r>
              <w:rPr>
                <w:rFonts w:hint="eastAsia"/>
                <w:color w:val="auto"/>
              </w:rPr>
              <w:t>2、加强系统调节用一次检测装置、执行机构、调节机构、DCS通讯组件、I/O输入/输出组件、CPU主机组件的维护管理工作。对超过有效期使用的组件，及时更换备用件。</w:t>
            </w:r>
          </w:p>
          <w:p>
            <w:pPr>
              <w:pStyle w:val="59"/>
              <w:jc w:val="both"/>
              <w:rPr>
                <w:color w:val="auto"/>
              </w:rPr>
            </w:pPr>
            <w:r>
              <w:rPr>
                <w:rFonts w:hint="eastAsia"/>
                <w:color w:val="auto"/>
              </w:rPr>
              <w:t>3、把好仪表等检测设备入口关，“三证”齐全方可使用。</w:t>
            </w:r>
          </w:p>
          <w:p>
            <w:pPr>
              <w:pStyle w:val="59"/>
              <w:jc w:val="both"/>
              <w:rPr>
                <w:color w:val="auto"/>
              </w:rPr>
            </w:pPr>
            <w:r>
              <w:rPr>
                <w:rFonts w:hint="eastAsia"/>
                <w:color w:val="auto"/>
              </w:rPr>
              <w:t>4、重要调节系统设计，应具有“当调节信号偏差大时，自动由自动调节方式转为手动调节方式”的功能。</w:t>
            </w:r>
          </w:p>
          <w:p>
            <w:pPr>
              <w:pStyle w:val="59"/>
              <w:jc w:val="both"/>
              <w:rPr>
                <w:color w:val="auto"/>
              </w:rPr>
            </w:pPr>
            <w:r>
              <w:rPr>
                <w:rFonts w:hint="eastAsia"/>
                <w:color w:val="auto"/>
              </w:rPr>
              <w:t>5、重要调节系统，应定期进行内外扰动动作试验。</w:t>
            </w:r>
          </w:p>
          <w:p>
            <w:pPr>
              <w:pStyle w:val="59"/>
              <w:jc w:val="both"/>
              <w:rPr>
                <w:color w:val="auto"/>
              </w:rPr>
            </w:pPr>
            <w:r>
              <w:rPr>
                <w:rFonts w:hint="eastAsia"/>
                <w:color w:val="auto"/>
              </w:rPr>
              <w:t>6、当在线仪表发生损坏时，DCS系统应能及时的显示、报警，必要时，可启动联锁保护系统按规定要求动作，以确保工艺装置的安全生产或停机。</w:t>
            </w:r>
          </w:p>
        </w:tc>
      </w:tr>
    </w:tbl>
    <w:p>
      <w:pPr>
        <w:pStyle w:val="54"/>
        <w:ind w:firstLine="562"/>
        <w:rPr>
          <w:b/>
          <w:color w:val="auto"/>
        </w:rPr>
      </w:pPr>
      <w:r>
        <w:rPr>
          <w:rFonts w:hint="eastAsia"/>
          <w:b/>
          <w:color w:val="auto"/>
        </w:rPr>
        <w:t>2.评价小结</w:t>
      </w:r>
    </w:p>
    <w:p>
      <w:pPr>
        <w:pStyle w:val="54"/>
        <w:ind w:firstLine="560"/>
        <w:rPr>
          <w:color w:val="auto"/>
        </w:rPr>
      </w:pPr>
      <w:r>
        <w:rPr>
          <w:rFonts w:hint="eastAsia"/>
          <w:color w:val="auto"/>
        </w:rPr>
        <w:t>通过预先危险分析，仪表自动控制子单元主要危险、有害因素为：（中控室）火灾危险程度为Ⅲ级（危险的），会造成人员伤亡和系统损坏，要立即采取防范对策措施；DCS系统错误、DCS系统运行不正常、自动控制调节装置运行不正常危险程度为Ⅱ级（临界的），处于事故的边缘状态，暂时还不会造成人员伤亡、系统损坏降低系统性能，但应予排除或采取控制措施。</w:t>
      </w:r>
    </w:p>
    <w:p>
      <w:pPr>
        <w:pStyle w:val="4"/>
        <w:ind w:firstLine="560"/>
        <w:rPr>
          <w:color w:val="auto"/>
        </w:rPr>
      </w:pPr>
      <w:bookmarkStart w:id="990" w:name="_Toc29565"/>
      <w:bookmarkStart w:id="991" w:name="_Toc7076"/>
      <w:bookmarkStart w:id="992" w:name="_Toc32564"/>
      <w:bookmarkStart w:id="993" w:name="_Toc96877137"/>
      <w:bookmarkStart w:id="994" w:name="_Toc126586700"/>
      <w:bookmarkStart w:id="995" w:name="_Toc2638"/>
      <w:bookmarkStart w:id="996" w:name="_Toc29966"/>
      <w:bookmarkStart w:id="997" w:name="_Toc16091"/>
      <w:r>
        <w:rPr>
          <w:color w:val="auto"/>
        </w:rPr>
        <w:t xml:space="preserve">C.4.3 </w:t>
      </w:r>
      <w:r>
        <w:rPr>
          <w:rFonts w:hint="eastAsia"/>
          <w:color w:val="auto"/>
        </w:rPr>
        <w:t>给排水系统子单元</w:t>
      </w:r>
      <w:bookmarkEnd w:id="990"/>
      <w:bookmarkEnd w:id="991"/>
      <w:bookmarkEnd w:id="992"/>
      <w:bookmarkEnd w:id="993"/>
      <w:bookmarkEnd w:id="994"/>
      <w:bookmarkEnd w:id="995"/>
      <w:bookmarkEnd w:id="996"/>
      <w:bookmarkEnd w:id="997"/>
    </w:p>
    <w:p>
      <w:pPr>
        <w:pStyle w:val="54"/>
        <w:ind w:firstLine="562"/>
        <w:rPr>
          <w:b/>
          <w:color w:val="auto"/>
        </w:rPr>
      </w:pPr>
      <w:r>
        <w:rPr>
          <w:b/>
          <w:color w:val="auto"/>
        </w:rPr>
        <w:t>1. 预先危险分析</w:t>
      </w:r>
    </w:p>
    <w:p>
      <w:pPr>
        <w:pStyle w:val="54"/>
        <w:ind w:firstLine="560"/>
        <w:rPr>
          <w:color w:val="auto"/>
        </w:rPr>
      </w:pPr>
      <w:r>
        <w:rPr>
          <w:color w:val="auto"/>
        </w:rPr>
        <w:t>采用预先危险分析法（PHA）对本子单元进行分析评价，具体情况见表C.4-3</w:t>
      </w:r>
      <w:r>
        <w:rPr>
          <w:rFonts w:hint="eastAsia"/>
          <w:color w:val="auto"/>
        </w:rPr>
        <w:t>。</w:t>
      </w:r>
    </w:p>
    <w:p>
      <w:pPr>
        <w:pStyle w:val="53"/>
        <w:rPr>
          <w:color w:val="auto"/>
        </w:rPr>
      </w:pPr>
      <w:r>
        <w:rPr>
          <w:rFonts w:hint="eastAsia"/>
          <w:color w:val="auto"/>
        </w:rPr>
        <w:t>表</w:t>
      </w:r>
      <w:r>
        <w:rPr>
          <w:color w:val="auto"/>
        </w:rPr>
        <w:t xml:space="preserve">C.4-3 </w:t>
      </w:r>
      <w:r>
        <w:rPr>
          <w:rFonts w:hint="eastAsia"/>
          <w:color w:val="auto"/>
        </w:rPr>
        <w:t xml:space="preserve"> 给排水系统子单元</w:t>
      </w:r>
      <w:r>
        <w:rPr>
          <w:color w:val="auto"/>
        </w:rPr>
        <w:t>预先危险性分析评价表</w:t>
      </w:r>
    </w:p>
    <w:tbl>
      <w:tblPr>
        <w:tblStyle w:val="42"/>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426"/>
        <w:gridCol w:w="3327"/>
        <w:gridCol w:w="716"/>
        <w:gridCol w:w="660"/>
        <w:gridCol w:w="3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59"/>
              <w:jc w:val="center"/>
              <w:rPr>
                <w:color w:val="auto"/>
              </w:rPr>
            </w:pPr>
            <w:r>
              <w:rPr>
                <w:rFonts w:hint="eastAsia"/>
                <w:color w:val="auto"/>
              </w:rPr>
              <w:t>事故</w:t>
            </w:r>
          </w:p>
        </w:tc>
        <w:tc>
          <w:tcPr>
            <w:tcW w:w="426" w:type="dxa"/>
            <w:vAlign w:val="center"/>
          </w:tcPr>
          <w:p>
            <w:pPr>
              <w:pStyle w:val="59"/>
              <w:rPr>
                <w:color w:val="auto"/>
              </w:rPr>
            </w:pPr>
            <w:r>
              <w:rPr>
                <w:rFonts w:hint="eastAsia"/>
                <w:color w:val="auto"/>
              </w:rPr>
              <w:t>阶段</w:t>
            </w:r>
          </w:p>
        </w:tc>
        <w:tc>
          <w:tcPr>
            <w:tcW w:w="3327" w:type="dxa"/>
            <w:vAlign w:val="center"/>
          </w:tcPr>
          <w:p>
            <w:pPr>
              <w:pStyle w:val="59"/>
              <w:jc w:val="center"/>
              <w:rPr>
                <w:color w:val="auto"/>
              </w:rPr>
            </w:pPr>
            <w:r>
              <w:rPr>
                <w:rFonts w:hint="eastAsia"/>
                <w:color w:val="auto"/>
              </w:rPr>
              <w:t>原因</w:t>
            </w:r>
          </w:p>
        </w:tc>
        <w:tc>
          <w:tcPr>
            <w:tcW w:w="716" w:type="dxa"/>
            <w:vAlign w:val="center"/>
          </w:tcPr>
          <w:p>
            <w:pPr>
              <w:pStyle w:val="59"/>
              <w:jc w:val="center"/>
              <w:rPr>
                <w:color w:val="auto"/>
              </w:rPr>
            </w:pPr>
            <w:r>
              <w:rPr>
                <w:rFonts w:hint="eastAsia"/>
                <w:color w:val="auto"/>
              </w:rPr>
              <w:t>事故后果</w:t>
            </w:r>
          </w:p>
        </w:tc>
        <w:tc>
          <w:tcPr>
            <w:tcW w:w="660" w:type="dxa"/>
            <w:vAlign w:val="center"/>
          </w:tcPr>
          <w:p>
            <w:pPr>
              <w:pStyle w:val="59"/>
              <w:jc w:val="center"/>
              <w:rPr>
                <w:color w:val="auto"/>
              </w:rPr>
            </w:pPr>
            <w:r>
              <w:rPr>
                <w:rFonts w:hint="eastAsia"/>
                <w:color w:val="auto"/>
              </w:rPr>
              <w:t>危险等级</w:t>
            </w:r>
          </w:p>
        </w:tc>
        <w:tc>
          <w:tcPr>
            <w:tcW w:w="3636" w:type="dxa"/>
            <w:vAlign w:val="center"/>
          </w:tcPr>
          <w:p>
            <w:pPr>
              <w:pStyle w:val="59"/>
              <w:jc w:val="center"/>
              <w:rPr>
                <w:color w:val="auto"/>
              </w:rPr>
            </w:pPr>
            <w:r>
              <w:rPr>
                <w:rFonts w:hint="eastAsia"/>
                <w:color w:val="auto"/>
              </w:rPr>
              <w:t>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59"/>
              <w:jc w:val="center"/>
              <w:rPr>
                <w:color w:val="auto"/>
              </w:rPr>
            </w:pPr>
            <w:r>
              <w:rPr>
                <w:rFonts w:hint="eastAsia"/>
                <w:color w:val="auto"/>
              </w:rPr>
              <w:t>火灾</w:t>
            </w:r>
          </w:p>
        </w:tc>
        <w:tc>
          <w:tcPr>
            <w:tcW w:w="426" w:type="dxa"/>
            <w:vAlign w:val="center"/>
          </w:tcPr>
          <w:p>
            <w:pPr>
              <w:pStyle w:val="59"/>
              <w:rPr>
                <w:color w:val="auto"/>
              </w:rPr>
            </w:pPr>
            <w:r>
              <w:rPr>
                <w:color w:val="auto"/>
              </w:rPr>
              <w:t>生产</w:t>
            </w:r>
            <w:r>
              <w:rPr>
                <w:rFonts w:hint="eastAsia"/>
                <w:color w:val="auto"/>
              </w:rPr>
              <w:t>检修</w:t>
            </w:r>
          </w:p>
        </w:tc>
        <w:tc>
          <w:tcPr>
            <w:tcW w:w="3327" w:type="dxa"/>
            <w:vAlign w:val="center"/>
          </w:tcPr>
          <w:p>
            <w:pPr>
              <w:pStyle w:val="59"/>
              <w:jc w:val="both"/>
              <w:rPr>
                <w:color w:val="auto"/>
              </w:rPr>
            </w:pPr>
            <w:r>
              <w:rPr>
                <w:rFonts w:hint="eastAsia"/>
                <w:color w:val="auto"/>
              </w:rPr>
              <w:t>1.可燃物遇火源起火；2.电气设备及电缆起火；3.违章操作；4.安全防护缺陷；5.意外事件等。</w:t>
            </w:r>
          </w:p>
        </w:tc>
        <w:tc>
          <w:tcPr>
            <w:tcW w:w="716" w:type="dxa"/>
            <w:vAlign w:val="center"/>
          </w:tcPr>
          <w:p>
            <w:pPr>
              <w:pStyle w:val="59"/>
              <w:jc w:val="center"/>
              <w:rPr>
                <w:color w:val="auto"/>
              </w:rPr>
            </w:pPr>
            <w:r>
              <w:rPr>
                <w:rFonts w:hint="eastAsia"/>
                <w:color w:val="auto"/>
              </w:rPr>
              <w:t>人员伤亡财产损失</w:t>
            </w:r>
          </w:p>
        </w:tc>
        <w:tc>
          <w:tcPr>
            <w:tcW w:w="660" w:type="dxa"/>
            <w:vAlign w:val="center"/>
          </w:tcPr>
          <w:p>
            <w:pPr>
              <w:pStyle w:val="59"/>
              <w:jc w:val="center"/>
              <w:rPr>
                <w:color w:val="auto"/>
              </w:rPr>
            </w:pPr>
            <w:r>
              <w:rPr>
                <w:rFonts w:hint="eastAsia"/>
                <w:color w:val="auto"/>
              </w:rPr>
              <w:t>Ⅱ</w:t>
            </w:r>
          </w:p>
        </w:tc>
        <w:tc>
          <w:tcPr>
            <w:tcW w:w="3636" w:type="dxa"/>
            <w:vAlign w:val="center"/>
          </w:tcPr>
          <w:p>
            <w:pPr>
              <w:pStyle w:val="59"/>
              <w:jc w:val="both"/>
              <w:rPr>
                <w:color w:val="auto"/>
              </w:rPr>
            </w:pPr>
            <w:r>
              <w:rPr>
                <w:rFonts w:hint="eastAsia"/>
                <w:color w:val="auto"/>
              </w:rPr>
              <w:t>1.对明火、动火进行严格管制，制定并实施动火安全管理制度，落实责任制。2.加强用电安全。3.按规范要求设置齐备可靠的消防设施；每天检查消防设施和器材的完好有效性。4.严格按操作规程作业。5.严格控制火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59"/>
              <w:jc w:val="center"/>
              <w:rPr>
                <w:color w:val="auto"/>
              </w:rPr>
            </w:pPr>
            <w:r>
              <w:rPr>
                <w:rFonts w:hint="eastAsia"/>
                <w:color w:val="auto"/>
              </w:rPr>
              <w:t>中毒和窒息</w:t>
            </w:r>
          </w:p>
        </w:tc>
        <w:tc>
          <w:tcPr>
            <w:tcW w:w="426" w:type="dxa"/>
            <w:vAlign w:val="center"/>
          </w:tcPr>
          <w:p>
            <w:pPr>
              <w:pStyle w:val="59"/>
              <w:rPr>
                <w:color w:val="auto"/>
              </w:rPr>
            </w:pPr>
            <w:r>
              <w:rPr>
                <w:color w:val="auto"/>
              </w:rPr>
              <w:t>生产</w:t>
            </w:r>
            <w:r>
              <w:rPr>
                <w:rFonts w:hint="eastAsia"/>
                <w:color w:val="auto"/>
              </w:rPr>
              <w:t>检修</w:t>
            </w:r>
          </w:p>
        </w:tc>
        <w:tc>
          <w:tcPr>
            <w:tcW w:w="3327" w:type="dxa"/>
            <w:vAlign w:val="center"/>
          </w:tcPr>
          <w:p>
            <w:pPr>
              <w:pStyle w:val="59"/>
              <w:jc w:val="both"/>
              <w:rPr>
                <w:color w:val="auto"/>
              </w:rPr>
            </w:pPr>
            <w:r>
              <w:rPr>
                <w:rFonts w:hint="eastAsia"/>
                <w:color w:val="auto"/>
              </w:rPr>
              <w:t>1.污泥中产生的有毒有害聚集在设施死角，通风不利；2.操作人员在进入污水井、污泥池等密闭空间或半密闭空间作业时未置换空气和佩戴防护用品，无人监护等。</w:t>
            </w:r>
          </w:p>
        </w:tc>
        <w:tc>
          <w:tcPr>
            <w:tcW w:w="716" w:type="dxa"/>
            <w:vAlign w:val="center"/>
          </w:tcPr>
          <w:p>
            <w:pPr>
              <w:pStyle w:val="59"/>
              <w:jc w:val="center"/>
              <w:rPr>
                <w:color w:val="auto"/>
              </w:rPr>
            </w:pPr>
            <w:r>
              <w:rPr>
                <w:color w:val="auto"/>
              </w:rPr>
              <w:t>人员伤亡</w:t>
            </w:r>
          </w:p>
        </w:tc>
        <w:tc>
          <w:tcPr>
            <w:tcW w:w="660" w:type="dxa"/>
            <w:vAlign w:val="center"/>
          </w:tcPr>
          <w:p>
            <w:pPr>
              <w:pStyle w:val="59"/>
              <w:jc w:val="center"/>
              <w:rPr>
                <w:color w:val="auto"/>
              </w:rPr>
            </w:pPr>
            <w:r>
              <w:rPr>
                <w:rFonts w:hint="eastAsia"/>
                <w:color w:val="auto"/>
              </w:rPr>
              <w:t>Ⅱ</w:t>
            </w:r>
          </w:p>
        </w:tc>
        <w:tc>
          <w:tcPr>
            <w:tcW w:w="3636" w:type="dxa"/>
            <w:vAlign w:val="center"/>
          </w:tcPr>
          <w:p>
            <w:pPr>
              <w:pStyle w:val="59"/>
              <w:jc w:val="both"/>
              <w:rPr>
                <w:color w:val="auto"/>
              </w:rPr>
            </w:pPr>
            <w:r>
              <w:rPr>
                <w:rFonts w:hint="eastAsia"/>
                <w:color w:val="auto"/>
              </w:rPr>
              <w:t>1.严格执行安全操作规程和监护制度。2.完善通风设备，加强通风。3.操作人员正确佩戴完好有效防毒面具等劳保用品等。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59"/>
              <w:jc w:val="center"/>
              <w:rPr>
                <w:color w:val="auto"/>
              </w:rPr>
            </w:pPr>
            <w:r>
              <w:rPr>
                <w:rFonts w:hint="eastAsia"/>
                <w:color w:val="auto"/>
              </w:rPr>
              <w:t>淹溺</w:t>
            </w:r>
          </w:p>
        </w:tc>
        <w:tc>
          <w:tcPr>
            <w:tcW w:w="426" w:type="dxa"/>
            <w:vAlign w:val="center"/>
          </w:tcPr>
          <w:p>
            <w:pPr>
              <w:pStyle w:val="59"/>
              <w:rPr>
                <w:color w:val="auto"/>
              </w:rPr>
            </w:pPr>
            <w:r>
              <w:rPr>
                <w:color w:val="auto"/>
              </w:rPr>
              <w:t>生产</w:t>
            </w:r>
            <w:r>
              <w:rPr>
                <w:rFonts w:hint="eastAsia"/>
                <w:color w:val="auto"/>
              </w:rPr>
              <w:t>检修</w:t>
            </w:r>
          </w:p>
        </w:tc>
        <w:tc>
          <w:tcPr>
            <w:tcW w:w="3327" w:type="dxa"/>
            <w:vAlign w:val="center"/>
          </w:tcPr>
          <w:p>
            <w:pPr>
              <w:pStyle w:val="59"/>
              <w:jc w:val="both"/>
              <w:rPr>
                <w:color w:val="auto"/>
              </w:rPr>
            </w:pPr>
            <w:r>
              <w:rPr>
                <w:rFonts w:hint="eastAsia"/>
                <w:color w:val="auto"/>
              </w:rPr>
              <w:t>1.事故</w:t>
            </w:r>
            <w:r>
              <w:rPr>
                <w:rFonts w:hint="eastAsia"/>
                <w:color w:val="auto"/>
                <w:lang w:val="en-US" w:eastAsia="zh-CN"/>
              </w:rPr>
              <w:t>应急</w:t>
            </w:r>
            <w:r>
              <w:rPr>
                <w:rFonts w:hint="eastAsia"/>
                <w:color w:val="auto"/>
              </w:rPr>
              <w:t>池、污水池、初期雨水池安全防护栏杆未设、不符合要求或损坏；2.照明情况不好；3.人员违章翻越栏杆等</w:t>
            </w:r>
          </w:p>
        </w:tc>
        <w:tc>
          <w:tcPr>
            <w:tcW w:w="716" w:type="dxa"/>
            <w:vAlign w:val="center"/>
          </w:tcPr>
          <w:p>
            <w:pPr>
              <w:pStyle w:val="59"/>
              <w:jc w:val="center"/>
              <w:rPr>
                <w:color w:val="auto"/>
              </w:rPr>
            </w:pPr>
            <w:r>
              <w:rPr>
                <w:color w:val="auto"/>
              </w:rPr>
              <w:t>人员伤亡</w:t>
            </w:r>
          </w:p>
        </w:tc>
        <w:tc>
          <w:tcPr>
            <w:tcW w:w="660" w:type="dxa"/>
            <w:vAlign w:val="center"/>
          </w:tcPr>
          <w:p>
            <w:pPr>
              <w:pStyle w:val="59"/>
              <w:jc w:val="center"/>
              <w:rPr>
                <w:color w:val="auto"/>
              </w:rPr>
            </w:pPr>
            <w:r>
              <w:rPr>
                <w:rFonts w:hint="eastAsia"/>
                <w:color w:val="auto"/>
              </w:rPr>
              <w:t>Ⅱ</w:t>
            </w:r>
          </w:p>
        </w:tc>
        <w:tc>
          <w:tcPr>
            <w:tcW w:w="3636" w:type="dxa"/>
            <w:vAlign w:val="center"/>
          </w:tcPr>
          <w:p>
            <w:pPr>
              <w:pStyle w:val="59"/>
              <w:jc w:val="both"/>
              <w:rPr>
                <w:color w:val="auto"/>
              </w:rPr>
            </w:pPr>
            <w:r>
              <w:rPr>
                <w:rFonts w:hint="eastAsia"/>
                <w:color w:val="auto"/>
              </w:rPr>
              <w:t xml:space="preserve">1. </w:t>
            </w:r>
            <w:r>
              <w:rPr>
                <w:rFonts w:hint="eastAsia"/>
                <w:color w:val="auto"/>
                <w:lang w:eastAsia="zh-CN"/>
              </w:rPr>
              <w:t>事故应急池</w:t>
            </w:r>
            <w:r>
              <w:rPr>
                <w:rFonts w:hint="eastAsia"/>
                <w:color w:val="auto"/>
              </w:rPr>
              <w:t>、污水池、初期雨水池等有高处坠落危险的场所应设有安全防护栏杆。2.污水池附近有良好的照明。3.遵守有关安全制度和安全操作规程等。</w:t>
            </w:r>
          </w:p>
        </w:tc>
      </w:tr>
    </w:tbl>
    <w:p>
      <w:pPr>
        <w:pStyle w:val="54"/>
        <w:ind w:firstLine="562"/>
        <w:rPr>
          <w:b/>
          <w:color w:val="auto"/>
        </w:rPr>
      </w:pPr>
      <w:r>
        <w:rPr>
          <w:rFonts w:hint="eastAsia"/>
          <w:b/>
          <w:color w:val="auto"/>
        </w:rPr>
        <w:t>2.评价小结</w:t>
      </w:r>
    </w:p>
    <w:p>
      <w:pPr>
        <w:pStyle w:val="54"/>
        <w:ind w:firstLine="560"/>
        <w:rPr>
          <w:color w:val="auto"/>
        </w:rPr>
      </w:pPr>
      <w:r>
        <w:rPr>
          <w:rFonts w:hint="eastAsia"/>
          <w:color w:val="auto"/>
        </w:rPr>
        <w:t>通过预先危险分析，给排水系统子单元主要危险、有害因素为：火灾、中毒和窒息、淹溺危险程度为</w:t>
      </w:r>
      <w:r>
        <w:rPr>
          <w:color w:val="auto"/>
        </w:rPr>
        <w:t>Ⅱ</w:t>
      </w:r>
      <w:r>
        <w:rPr>
          <w:rFonts w:hint="eastAsia"/>
          <w:color w:val="auto"/>
        </w:rPr>
        <w:t>级（临界的），处于事故的边缘状态，暂时还不会造成人员伤亡、系统损坏降低系统性能，但应予排除或采取控制措施。</w:t>
      </w:r>
    </w:p>
    <w:p>
      <w:pPr>
        <w:pStyle w:val="4"/>
        <w:ind w:firstLine="560"/>
        <w:rPr>
          <w:color w:val="auto"/>
        </w:rPr>
      </w:pPr>
      <w:bookmarkStart w:id="998" w:name="_Toc14672"/>
      <w:bookmarkStart w:id="999" w:name="_Toc13020"/>
      <w:bookmarkStart w:id="1000" w:name="_Toc29586"/>
      <w:bookmarkStart w:id="1001" w:name="_Toc126586701"/>
      <w:bookmarkStart w:id="1002" w:name="_Toc9704"/>
      <w:bookmarkStart w:id="1003" w:name="_Toc4570"/>
      <w:bookmarkStart w:id="1004" w:name="_Toc96877138"/>
      <w:bookmarkStart w:id="1005" w:name="_Toc29657"/>
      <w:r>
        <w:rPr>
          <w:color w:val="auto"/>
        </w:rPr>
        <w:t xml:space="preserve">C.4.4 </w:t>
      </w:r>
      <w:r>
        <w:rPr>
          <w:rFonts w:hint="eastAsia"/>
          <w:color w:val="auto"/>
        </w:rPr>
        <w:t>冷冻站子单元</w:t>
      </w:r>
      <w:bookmarkEnd w:id="998"/>
      <w:bookmarkEnd w:id="999"/>
      <w:bookmarkEnd w:id="1000"/>
    </w:p>
    <w:p>
      <w:pPr>
        <w:ind w:firstLine="562" w:firstLineChars="200"/>
        <w:rPr>
          <w:b/>
          <w:bCs/>
          <w:color w:val="auto"/>
        </w:rPr>
      </w:pPr>
      <w:r>
        <w:rPr>
          <w:rFonts w:hint="eastAsia"/>
          <w:b/>
          <w:bCs/>
          <w:color w:val="auto"/>
        </w:rPr>
        <w:t>1．预先危险分析评价</w:t>
      </w:r>
    </w:p>
    <w:p>
      <w:pPr>
        <w:pStyle w:val="54"/>
        <w:ind w:firstLine="560"/>
        <w:rPr>
          <w:color w:val="auto"/>
        </w:rPr>
      </w:pPr>
      <w:r>
        <w:rPr>
          <w:rFonts w:hint="eastAsia"/>
          <w:color w:val="auto"/>
        </w:rPr>
        <w:t>采用预先危险分析法（PHA）对本系统子单元进行分析评价，具体情况见表</w:t>
      </w:r>
      <w:r>
        <w:rPr>
          <w:color w:val="auto"/>
        </w:rPr>
        <w:t>C.4-4</w:t>
      </w:r>
      <w:r>
        <w:rPr>
          <w:rFonts w:hint="eastAsia"/>
          <w:color w:val="auto"/>
        </w:rPr>
        <w:t>。</w:t>
      </w:r>
    </w:p>
    <w:p>
      <w:pPr>
        <w:pStyle w:val="53"/>
        <w:rPr>
          <w:color w:val="auto"/>
        </w:rPr>
      </w:pPr>
      <w:r>
        <w:rPr>
          <w:rFonts w:hint="eastAsia"/>
          <w:color w:val="auto"/>
        </w:rPr>
        <w:t>表</w:t>
      </w:r>
      <w:r>
        <w:rPr>
          <w:color w:val="auto"/>
        </w:rPr>
        <w:t xml:space="preserve">C.4-4  </w:t>
      </w:r>
      <w:r>
        <w:rPr>
          <w:rFonts w:hint="eastAsia"/>
          <w:color w:val="auto"/>
        </w:rPr>
        <w:t>冷冻站子单元预先危险分析法评价表</w:t>
      </w:r>
    </w:p>
    <w:tbl>
      <w:tblPr>
        <w:tblStyle w:val="42"/>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
        <w:gridCol w:w="2795"/>
        <w:gridCol w:w="755"/>
        <w:gridCol w:w="720"/>
        <w:gridCol w:w="3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rFonts w:hint="eastAsia"/>
                <w:color w:val="auto"/>
              </w:rPr>
              <w:t>危险有害因素</w:t>
            </w:r>
          </w:p>
        </w:tc>
        <w:tc>
          <w:tcPr>
            <w:tcW w:w="706" w:type="dxa"/>
            <w:vAlign w:val="center"/>
          </w:tcPr>
          <w:p>
            <w:pPr>
              <w:pStyle w:val="344"/>
              <w:rPr>
                <w:color w:val="auto"/>
              </w:rPr>
            </w:pPr>
            <w:r>
              <w:rPr>
                <w:rFonts w:hint="eastAsia"/>
                <w:color w:val="auto"/>
              </w:rPr>
              <w:t>阶段</w:t>
            </w:r>
          </w:p>
        </w:tc>
        <w:tc>
          <w:tcPr>
            <w:tcW w:w="2795" w:type="dxa"/>
            <w:vAlign w:val="center"/>
          </w:tcPr>
          <w:p>
            <w:pPr>
              <w:pStyle w:val="344"/>
              <w:rPr>
                <w:color w:val="auto"/>
              </w:rPr>
            </w:pPr>
            <w:r>
              <w:rPr>
                <w:rFonts w:hint="eastAsia"/>
                <w:color w:val="auto"/>
              </w:rPr>
              <w:t>形成事故原因事件</w:t>
            </w:r>
          </w:p>
        </w:tc>
        <w:tc>
          <w:tcPr>
            <w:tcW w:w="755" w:type="dxa"/>
            <w:vAlign w:val="center"/>
          </w:tcPr>
          <w:p>
            <w:pPr>
              <w:pStyle w:val="344"/>
              <w:rPr>
                <w:color w:val="auto"/>
              </w:rPr>
            </w:pPr>
            <w:r>
              <w:rPr>
                <w:rFonts w:hint="eastAsia"/>
                <w:color w:val="auto"/>
              </w:rPr>
              <w:t>事故后果</w:t>
            </w:r>
          </w:p>
        </w:tc>
        <w:tc>
          <w:tcPr>
            <w:tcW w:w="720" w:type="dxa"/>
            <w:vAlign w:val="center"/>
          </w:tcPr>
          <w:p>
            <w:pPr>
              <w:pStyle w:val="344"/>
              <w:rPr>
                <w:color w:val="auto"/>
              </w:rPr>
            </w:pPr>
            <w:r>
              <w:rPr>
                <w:rFonts w:hint="eastAsia"/>
                <w:color w:val="auto"/>
              </w:rPr>
              <w:t>危险等级</w:t>
            </w:r>
          </w:p>
        </w:tc>
        <w:tc>
          <w:tcPr>
            <w:tcW w:w="3788" w:type="dxa"/>
            <w:vAlign w:val="center"/>
          </w:tcPr>
          <w:p>
            <w:pPr>
              <w:pStyle w:val="344"/>
              <w:rPr>
                <w:color w:val="auto"/>
              </w:rPr>
            </w:pPr>
            <w:r>
              <w:rPr>
                <w:rFonts w:hint="eastAsia"/>
                <w:color w:val="auto"/>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触电</w:t>
            </w:r>
          </w:p>
        </w:tc>
        <w:tc>
          <w:tcPr>
            <w:tcW w:w="706" w:type="dxa"/>
            <w:vAlign w:val="center"/>
          </w:tcPr>
          <w:p>
            <w:pPr>
              <w:pStyle w:val="344"/>
              <w:rPr>
                <w:color w:val="auto"/>
              </w:rPr>
            </w:pPr>
            <w:r>
              <w:rPr>
                <w:color w:val="auto"/>
              </w:rPr>
              <w:t>检修中</w:t>
            </w:r>
          </w:p>
        </w:tc>
        <w:tc>
          <w:tcPr>
            <w:tcW w:w="2795" w:type="dxa"/>
          </w:tcPr>
          <w:p>
            <w:pPr>
              <w:pStyle w:val="344"/>
              <w:jc w:val="both"/>
              <w:rPr>
                <w:color w:val="auto"/>
              </w:rPr>
            </w:pPr>
            <w:r>
              <w:rPr>
                <w:color w:val="auto"/>
              </w:rPr>
              <w:t>1.电气工作不办理工作票、操作票，不执行安全监护制度。</w:t>
            </w:r>
          </w:p>
          <w:p>
            <w:pPr>
              <w:pStyle w:val="344"/>
              <w:jc w:val="both"/>
              <w:rPr>
                <w:color w:val="auto"/>
              </w:rPr>
            </w:pPr>
            <w:r>
              <w:rPr>
                <w:color w:val="auto"/>
              </w:rPr>
              <w:t>2.不使用或使用不合格的绝缘工具，工作前不验电。3.移动使用的配电箱、板及所用导线不符合要求，未使用漏电保护器，不戴绝缘手套。4.在电缆沟、金属结构架工作不使用安全电压。5.在潮湿、环境内工作不穿绝缘鞋，无绝缘垫，无监护人。6.乱接不符合要求的临时线。7.电气装置的绝缘或外壳损坏。8.检修电器设备工作人员擅自扩大工作范围。9.危险标志不明</w:t>
            </w:r>
          </w:p>
        </w:tc>
        <w:tc>
          <w:tcPr>
            <w:tcW w:w="755" w:type="dxa"/>
            <w:vAlign w:val="center"/>
          </w:tcPr>
          <w:p>
            <w:pPr>
              <w:pStyle w:val="344"/>
              <w:rPr>
                <w:color w:val="auto"/>
              </w:rPr>
            </w:pPr>
            <w:r>
              <w:rPr>
                <w:color w:val="auto"/>
              </w:rPr>
              <w:t>人员伤亡</w:t>
            </w:r>
          </w:p>
        </w:tc>
        <w:tc>
          <w:tcPr>
            <w:tcW w:w="720" w:type="dxa"/>
            <w:vAlign w:val="center"/>
          </w:tcPr>
          <w:p>
            <w:pPr>
              <w:pStyle w:val="344"/>
              <w:rPr>
                <w:color w:val="auto"/>
              </w:rPr>
            </w:pPr>
            <w:r>
              <w:rPr>
                <w:rFonts w:hint="eastAsia"/>
                <w:color w:val="auto"/>
              </w:rPr>
              <w:t>Ⅱ</w:t>
            </w:r>
          </w:p>
        </w:tc>
        <w:tc>
          <w:tcPr>
            <w:tcW w:w="3788" w:type="dxa"/>
            <w:vAlign w:val="center"/>
          </w:tcPr>
          <w:p>
            <w:pPr>
              <w:pStyle w:val="344"/>
              <w:jc w:val="both"/>
              <w:rPr>
                <w:color w:val="auto"/>
              </w:rPr>
            </w:pPr>
            <w:r>
              <w:rPr>
                <w:color w:val="auto"/>
              </w:rPr>
              <w:t>1.严格执行电气安全规程。</w:t>
            </w:r>
          </w:p>
          <w:p>
            <w:pPr>
              <w:pStyle w:val="344"/>
              <w:jc w:val="both"/>
              <w:rPr>
                <w:color w:val="auto"/>
              </w:rPr>
            </w:pPr>
            <w:r>
              <w:rPr>
                <w:color w:val="auto"/>
              </w:rPr>
              <w:t>2.移动使用的配电箱、板应采用完整的、带保护线的多股铜芯橡皮护套软电缆或护套软线作电源线，同时应装设漏电保护器。</w:t>
            </w:r>
          </w:p>
          <w:p>
            <w:pPr>
              <w:pStyle w:val="344"/>
              <w:jc w:val="both"/>
              <w:rPr>
                <w:color w:val="auto"/>
              </w:rPr>
            </w:pPr>
            <w:r>
              <w:rPr>
                <w:color w:val="auto"/>
              </w:rPr>
              <w:t>3.临时用电应经主管部门审查批准专人管理。</w:t>
            </w:r>
          </w:p>
          <w:p>
            <w:pPr>
              <w:pStyle w:val="344"/>
              <w:jc w:val="both"/>
              <w:rPr>
                <w:color w:val="auto"/>
              </w:rPr>
            </w:pPr>
            <w:r>
              <w:rPr>
                <w:color w:val="auto"/>
              </w:rPr>
              <w:t>4.</w:t>
            </w:r>
            <w:r>
              <w:rPr>
                <w:rFonts w:hint="eastAsia"/>
                <w:color w:val="auto"/>
              </w:rPr>
              <w:t>冷冻机</w:t>
            </w:r>
            <w:r>
              <w:rPr>
                <w:color w:val="auto"/>
              </w:rPr>
              <w:t>外壳要进行接地或接零。</w:t>
            </w:r>
          </w:p>
          <w:p>
            <w:pPr>
              <w:pStyle w:val="344"/>
              <w:jc w:val="both"/>
              <w:rPr>
                <w:color w:val="auto"/>
              </w:rPr>
            </w:pPr>
            <w:r>
              <w:rPr>
                <w:color w:val="auto"/>
              </w:rPr>
              <w:t>5.电气设备要有良好的绝缘和机械强度。</w:t>
            </w:r>
          </w:p>
          <w:p>
            <w:pPr>
              <w:pStyle w:val="344"/>
              <w:jc w:val="both"/>
              <w:rPr>
                <w:color w:val="auto"/>
              </w:rPr>
            </w:pPr>
            <w:r>
              <w:rPr>
                <w:color w:val="auto"/>
              </w:rPr>
              <w:t>6 严禁非电工操作。</w:t>
            </w:r>
          </w:p>
          <w:p>
            <w:pPr>
              <w:pStyle w:val="344"/>
              <w:jc w:val="both"/>
              <w:rPr>
                <w:color w:val="auto"/>
              </w:rPr>
            </w:pPr>
            <w:r>
              <w:rPr>
                <w:color w:val="auto"/>
              </w:rPr>
              <w:t>7．电器检修要穿用绝缘防护用品。</w:t>
            </w:r>
          </w:p>
          <w:p>
            <w:pPr>
              <w:pStyle w:val="344"/>
              <w:jc w:val="both"/>
              <w:rPr>
                <w:color w:val="auto"/>
              </w:rPr>
            </w:pPr>
            <w:r>
              <w:rPr>
                <w:color w:val="auto"/>
              </w:rPr>
              <w:t>8.加强监护。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rFonts w:hint="eastAsia"/>
                <w:color w:val="auto"/>
              </w:rPr>
              <w:t>冻伤</w:t>
            </w:r>
          </w:p>
        </w:tc>
        <w:tc>
          <w:tcPr>
            <w:tcW w:w="706" w:type="dxa"/>
            <w:vAlign w:val="center"/>
          </w:tcPr>
          <w:p>
            <w:pPr>
              <w:pStyle w:val="344"/>
              <w:rPr>
                <w:color w:val="auto"/>
              </w:rPr>
            </w:pPr>
            <w:r>
              <w:rPr>
                <w:color w:val="auto"/>
              </w:rPr>
              <w:t>开车</w:t>
            </w:r>
          </w:p>
          <w:p>
            <w:pPr>
              <w:pStyle w:val="344"/>
              <w:rPr>
                <w:color w:val="auto"/>
              </w:rPr>
            </w:pPr>
            <w:r>
              <w:rPr>
                <w:rFonts w:hint="eastAsia"/>
                <w:color w:val="auto"/>
              </w:rPr>
              <w:t>、</w:t>
            </w:r>
            <w:r>
              <w:rPr>
                <w:color w:val="auto"/>
              </w:rPr>
              <w:t>运行</w:t>
            </w:r>
          </w:p>
        </w:tc>
        <w:tc>
          <w:tcPr>
            <w:tcW w:w="2795" w:type="dxa"/>
            <w:vAlign w:val="center"/>
          </w:tcPr>
          <w:p>
            <w:pPr>
              <w:pStyle w:val="344"/>
              <w:jc w:val="both"/>
              <w:rPr>
                <w:color w:val="auto"/>
              </w:rPr>
            </w:pPr>
            <w:r>
              <w:rPr>
                <w:rFonts w:hint="eastAsia"/>
                <w:color w:val="auto"/>
              </w:rPr>
              <w:t>1</w:t>
            </w:r>
            <w:r>
              <w:rPr>
                <w:color w:val="auto"/>
              </w:rPr>
              <w:t>.</w:t>
            </w:r>
            <w:r>
              <w:rPr>
                <w:rFonts w:hint="eastAsia"/>
                <w:color w:val="auto"/>
              </w:rPr>
              <w:t>作业人员未佩戴防护用品作业，与冷冻机直接接触；2</w:t>
            </w:r>
            <w:r>
              <w:rPr>
                <w:color w:val="auto"/>
              </w:rPr>
              <w:t>.</w:t>
            </w:r>
            <w:r>
              <w:rPr>
                <w:rFonts w:hint="eastAsia"/>
                <w:color w:val="auto"/>
              </w:rPr>
              <w:t>冷冻机冷冻液、制冷剂泄漏；3</w:t>
            </w:r>
            <w:r>
              <w:rPr>
                <w:color w:val="auto"/>
              </w:rPr>
              <w:t>.</w:t>
            </w:r>
            <w:r>
              <w:rPr>
                <w:rFonts w:hint="eastAsia"/>
                <w:color w:val="auto"/>
              </w:rPr>
              <w:t>冷冻机保温设施失效；4</w:t>
            </w:r>
            <w:r>
              <w:rPr>
                <w:color w:val="auto"/>
              </w:rPr>
              <w:t>.</w:t>
            </w:r>
            <w:r>
              <w:rPr>
                <w:rFonts w:hint="eastAsia"/>
                <w:color w:val="auto"/>
              </w:rPr>
              <w:t>操作人员安全意识不强。</w:t>
            </w:r>
          </w:p>
        </w:tc>
        <w:tc>
          <w:tcPr>
            <w:tcW w:w="755" w:type="dxa"/>
            <w:vAlign w:val="center"/>
          </w:tcPr>
          <w:p>
            <w:pPr>
              <w:pStyle w:val="344"/>
              <w:rPr>
                <w:color w:val="auto"/>
              </w:rPr>
            </w:pPr>
            <w:r>
              <w:rPr>
                <w:rFonts w:hint="eastAsia"/>
                <w:color w:val="auto"/>
              </w:rPr>
              <w:t>人员受伤</w:t>
            </w:r>
          </w:p>
        </w:tc>
        <w:tc>
          <w:tcPr>
            <w:tcW w:w="720" w:type="dxa"/>
            <w:vAlign w:val="center"/>
          </w:tcPr>
          <w:p>
            <w:pPr>
              <w:pStyle w:val="344"/>
              <w:rPr>
                <w:color w:val="auto"/>
              </w:rPr>
            </w:pPr>
            <w:r>
              <w:rPr>
                <w:rFonts w:hint="eastAsia"/>
                <w:color w:val="auto"/>
              </w:rPr>
              <w:t>Ⅱ</w:t>
            </w:r>
          </w:p>
        </w:tc>
        <w:tc>
          <w:tcPr>
            <w:tcW w:w="3788" w:type="dxa"/>
            <w:vAlign w:val="center"/>
          </w:tcPr>
          <w:p>
            <w:pPr>
              <w:pStyle w:val="344"/>
              <w:jc w:val="both"/>
              <w:rPr>
                <w:color w:val="auto"/>
              </w:rPr>
            </w:pPr>
            <w:r>
              <w:rPr>
                <w:rFonts w:hint="eastAsia"/>
                <w:color w:val="auto"/>
              </w:rPr>
              <w:t>1</w:t>
            </w:r>
            <w:r>
              <w:rPr>
                <w:color w:val="auto"/>
              </w:rPr>
              <w:t>.</w:t>
            </w:r>
            <w:r>
              <w:rPr>
                <w:rFonts w:hint="eastAsia"/>
                <w:color w:val="auto"/>
              </w:rPr>
              <w:t>为员工配发劳动防护用品；2</w:t>
            </w:r>
            <w:r>
              <w:rPr>
                <w:color w:val="auto"/>
              </w:rPr>
              <w:t>.</w:t>
            </w:r>
            <w:r>
              <w:rPr>
                <w:rFonts w:hint="eastAsia"/>
                <w:color w:val="auto"/>
              </w:rPr>
              <w:t>定期检查冷冻机的状态；3</w:t>
            </w:r>
            <w:r>
              <w:rPr>
                <w:color w:val="auto"/>
              </w:rPr>
              <w:t>.</w:t>
            </w:r>
            <w:r>
              <w:rPr>
                <w:rFonts w:hint="eastAsia"/>
                <w:color w:val="auto"/>
              </w:rPr>
              <w:t>定期对冷冻机保温效果进行巩固；4</w:t>
            </w:r>
            <w:r>
              <w:rPr>
                <w:color w:val="auto"/>
              </w:rPr>
              <w:t>.</w:t>
            </w:r>
            <w:r>
              <w:rPr>
                <w:rFonts w:hint="eastAsia"/>
                <w:color w:val="auto"/>
              </w:rPr>
              <w:t>对操作人员进行必要的安全教育。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rFonts w:hint="eastAsia"/>
                <w:color w:val="auto"/>
              </w:rPr>
              <w:t>中毒和窒息</w:t>
            </w:r>
          </w:p>
        </w:tc>
        <w:tc>
          <w:tcPr>
            <w:tcW w:w="706" w:type="dxa"/>
            <w:vAlign w:val="center"/>
          </w:tcPr>
          <w:p>
            <w:pPr>
              <w:pStyle w:val="344"/>
              <w:rPr>
                <w:color w:val="auto"/>
              </w:rPr>
            </w:pPr>
            <w:r>
              <w:rPr>
                <w:color w:val="auto"/>
              </w:rPr>
              <w:t>开车</w:t>
            </w:r>
          </w:p>
          <w:p>
            <w:pPr>
              <w:pStyle w:val="344"/>
              <w:rPr>
                <w:color w:val="auto"/>
              </w:rPr>
            </w:pPr>
            <w:r>
              <w:rPr>
                <w:rFonts w:hint="eastAsia"/>
                <w:color w:val="auto"/>
              </w:rPr>
              <w:t>、</w:t>
            </w:r>
            <w:r>
              <w:rPr>
                <w:color w:val="auto"/>
              </w:rPr>
              <w:t>运行</w:t>
            </w:r>
          </w:p>
        </w:tc>
        <w:tc>
          <w:tcPr>
            <w:tcW w:w="2795" w:type="dxa"/>
            <w:vAlign w:val="center"/>
          </w:tcPr>
          <w:p>
            <w:pPr>
              <w:pStyle w:val="344"/>
              <w:jc w:val="both"/>
              <w:rPr>
                <w:color w:val="auto"/>
              </w:rPr>
            </w:pPr>
            <w:r>
              <w:rPr>
                <w:rFonts w:hint="eastAsia"/>
                <w:color w:val="auto"/>
              </w:rPr>
              <w:t>1．设备年久失修，发生开裂等情况；</w:t>
            </w:r>
          </w:p>
          <w:p>
            <w:pPr>
              <w:pStyle w:val="344"/>
              <w:jc w:val="both"/>
              <w:rPr>
                <w:color w:val="auto"/>
              </w:rPr>
            </w:pPr>
            <w:r>
              <w:rPr>
                <w:rFonts w:hint="eastAsia"/>
                <w:color w:val="auto"/>
              </w:rPr>
              <w:t>2．设备、管道、阀门材质不符合要求或有缺陷；</w:t>
            </w:r>
          </w:p>
          <w:p>
            <w:pPr>
              <w:pStyle w:val="344"/>
              <w:jc w:val="both"/>
              <w:rPr>
                <w:color w:val="auto"/>
              </w:rPr>
            </w:pPr>
            <w:r>
              <w:rPr>
                <w:rFonts w:hint="eastAsia"/>
                <w:color w:val="auto"/>
              </w:rPr>
              <w:t>3．安全生产管理工作不到位，违章作业。</w:t>
            </w:r>
          </w:p>
        </w:tc>
        <w:tc>
          <w:tcPr>
            <w:tcW w:w="755" w:type="dxa"/>
            <w:vAlign w:val="center"/>
          </w:tcPr>
          <w:p>
            <w:pPr>
              <w:pStyle w:val="344"/>
              <w:rPr>
                <w:color w:val="auto"/>
              </w:rPr>
            </w:pPr>
            <w:r>
              <w:rPr>
                <w:rFonts w:hint="eastAsia"/>
                <w:color w:val="auto"/>
              </w:rPr>
              <w:t>人员伤亡</w:t>
            </w:r>
          </w:p>
        </w:tc>
        <w:tc>
          <w:tcPr>
            <w:tcW w:w="720" w:type="dxa"/>
            <w:vAlign w:val="center"/>
          </w:tcPr>
          <w:p>
            <w:pPr>
              <w:pStyle w:val="344"/>
              <w:rPr>
                <w:color w:val="auto"/>
              </w:rPr>
            </w:pPr>
            <w:r>
              <w:rPr>
                <w:rFonts w:hint="eastAsia"/>
                <w:color w:val="auto"/>
              </w:rPr>
              <w:t>Ⅱ</w:t>
            </w:r>
          </w:p>
        </w:tc>
        <w:tc>
          <w:tcPr>
            <w:tcW w:w="3788" w:type="dxa"/>
            <w:vAlign w:val="center"/>
          </w:tcPr>
          <w:p>
            <w:pPr>
              <w:pStyle w:val="344"/>
              <w:jc w:val="both"/>
              <w:rPr>
                <w:color w:val="auto"/>
              </w:rPr>
            </w:pPr>
            <w:r>
              <w:rPr>
                <w:rFonts w:hint="eastAsia"/>
                <w:color w:val="auto"/>
              </w:rPr>
              <w:t>1．定期检修冷冻机；</w:t>
            </w:r>
          </w:p>
          <w:p>
            <w:pPr>
              <w:pStyle w:val="344"/>
              <w:jc w:val="both"/>
              <w:rPr>
                <w:color w:val="auto"/>
              </w:rPr>
            </w:pPr>
            <w:r>
              <w:rPr>
                <w:rFonts w:hint="eastAsia"/>
                <w:color w:val="auto"/>
              </w:rPr>
              <w:t>2．冷冻机的质量应符合国家相关标准；</w:t>
            </w:r>
          </w:p>
          <w:p>
            <w:pPr>
              <w:pStyle w:val="344"/>
              <w:jc w:val="both"/>
              <w:rPr>
                <w:color w:val="auto"/>
              </w:rPr>
            </w:pPr>
            <w:r>
              <w:rPr>
                <w:rFonts w:hint="eastAsia"/>
                <w:color w:val="auto"/>
              </w:rPr>
              <w:t>3．加强安全生产管理工作，严格执行各项管理制度和操作规程。</w:t>
            </w:r>
          </w:p>
        </w:tc>
      </w:tr>
    </w:tbl>
    <w:p>
      <w:pPr>
        <w:ind w:firstLine="562" w:firstLineChars="200"/>
        <w:rPr>
          <w:b/>
          <w:bCs/>
          <w:color w:val="auto"/>
        </w:rPr>
      </w:pPr>
      <w:r>
        <w:rPr>
          <w:rFonts w:hint="eastAsia"/>
          <w:b/>
          <w:bCs/>
          <w:color w:val="auto"/>
        </w:rPr>
        <w:t>2.评价小结</w:t>
      </w:r>
    </w:p>
    <w:p>
      <w:pPr>
        <w:pStyle w:val="54"/>
        <w:ind w:firstLine="560"/>
        <w:rPr>
          <w:color w:val="auto"/>
        </w:rPr>
      </w:pPr>
      <w:r>
        <w:rPr>
          <w:rFonts w:hint="eastAsia"/>
          <w:color w:val="auto"/>
        </w:rPr>
        <w:t>通过预先危险分析，冷冻站子单元的主要危险、有害因素为：触电、冻伤、中毒和窒息危险程度为Ⅱ级（临界的），处于事故的边缘状态，暂时还不会造成人员伤亡、系统损坏降低系统性能，但应予排除或采取控制措施。</w:t>
      </w:r>
    </w:p>
    <w:p>
      <w:pPr>
        <w:pStyle w:val="4"/>
        <w:ind w:firstLine="560"/>
        <w:rPr>
          <w:color w:val="auto"/>
        </w:rPr>
      </w:pPr>
      <w:bookmarkStart w:id="1006" w:name="_Toc18463"/>
      <w:bookmarkStart w:id="1007" w:name="_Toc19682"/>
      <w:bookmarkStart w:id="1008" w:name="_Toc19691"/>
      <w:r>
        <w:rPr>
          <w:color w:val="auto"/>
        </w:rPr>
        <w:t>C.4.</w:t>
      </w:r>
      <w:r>
        <w:rPr>
          <w:rFonts w:hint="eastAsia"/>
          <w:color w:val="auto"/>
          <w:lang w:val="en-US" w:eastAsia="zh-CN"/>
        </w:rPr>
        <w:t>5</w:t>
      </w:r>
      <w:r>
        <w:rPr>
          <w:color w:val="auto"/>
        </w:rPr>
        <w:t xml:space="preserve"> </w:t>
      </w:r>
      <w:r>
        <w:rPr>
          <w:rFonts w:hint="eastAsia"/>
          <w:color w:val="auto"/>
          <w:lang w:val="en-US" w:eastAsia="zh-CN"/>
        </w:rPr>
        <w:t>废气处理装置</w:t>
      </w:r>
      <w:r>
        <w:rPr>
          <w:rFonts w:hint="eastAsia"/>
          <w:color w:val="auto"/>
        </w:rPr>
        <w:t>子单元</w:t>
      </w:r>
      <w:bookmarkEnd w:id="1001"/>
      <w:bookmarkEnd w:id="1002"/>
      <w:bookmarkEnd w:id="1003"/>
      <w:bookmarkEnd w:id="1004"/>
      <w:bookmarkEnd w:id="1005"/>
      <w:bookmarkEnd w:id="1006"/>
      <w:bookmarkEnd w:id="1007"/>
      <w:bookmarkEnd w:id="1008"/>
    </w:p>
    <w:p>
      <w:pPr>
        <w:pStyle w:val="54"/>
        <w:ind w:firstLine="562"/>
        <w:rPr>
          <w:b/>
          <w:color w:val="auto"/>
        </w:rPr>
      </w:pPr>
      <w:r>
        <w:rPr>
          <w:rFonts w:hint="eastAsia"/>
          <w:b/>
          <w:color w:val="auto"/>
        </w:rPr>
        <w:t>1．预先危险分析评价</w:t>
      </w:r>
    </w:p>
    <w:p>
      <w:pPr>
        <w:pStyle w:val="54"/>
        <w:ind w:firstLine="560"/>
        <w:rPr>
          <w:color w:val="auto"/>
        </w:rPr>
      </w:pPr>
      <w:r>
        <w:rPr>
          <w:rFonts w:hint="eastAsia"/>
          <w:color w:val="auto"/>
        </w:rPr>
        <w:t>采用预先危险分析法（PHA）对本系统子单元进行分析评价，具体情况见表</w:t>
      </w:r>
      <w:r>
        <w:rPr>
          <w:color w:val="auto"/>
        </w:rPr>
        <w:t>C.4-</w:t>
      </w:r>
      <w:r>
        <w:rPr>
          <w:rFonts w:hint="eastAsia"/>
          <w:color w:val="auto"/>
          <w:lang w:val="en-US" w:eastAsia="zh-CN"/>
        </w:rPr>
        <w:t>5</w:t>
      </w:r>
      <w:r>
        <w:rPr>
          <w:rFonts w:hint="eastAsia"/>
          <w:color w:val="auto"/>
        </w:rPr>
        <w:t>。</w:t>
      </w:r>
    </w:p>
    <w:p>
      <w:pPr>
        <w:pStyle w:val="53"/>
        <w:rPr>
          <w:color w:val="auto"/>
        </w:rPr>
      </w:pPr>
      <w:r>
        <w:rPr>
          <w:rFonts w:hint="eastAsia"/>
          <w:color w:val="auto"/>
        </w:rPr>
        <w:t>表</w:t>
      </w:r>
      <w:r>
        <w:rPr>
          <w:color w:val="auto"/>
        </w:rPr>
        <w:t>C.4-</w:t>
      </w:r>
      <w:r>
        <w:rPr>
          <w:rFonts w:hint="eastAsia"/>
          <w:color w:val="auto"/>
          <w:lang w:val="en-US" w:eastAsia="zh-CN"/>
        </w:rPr>
        <w:t>5废气处理装置</w:t>
      </w:r>
      <w:r>
        <w:rPr>
          <w:rFonts w:hint="eastAsia"/>
          <w:color w:val="auto"/>
        </w:rPr>
        <w:t>子单元预先危险分析法评价表</w:t>
      </w:r>
    </w:p>
    <w:tbl>
      <w:tblPr>
        <w:tblStyle w:val="42"/>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
        <w:gridCol w:w="2795"/>
        <w:gridCol w:w="755"/>
        <w:gridCol w:w="720"/>
        <w:gridCol w:w="3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59"/>
              <w:jc w:val="center"/>
              <w:rPr>
                <w:color w:val="auto"/>
              </w:rPr>
            </w:pPr>
            <w:r>
              <w:rPr>
                <w:rFonts w:hint="eastAsia"/>
                <w:color w:val="auto"/>
              </w:rPr>
              <w:t>危险有害因素</w:t>
            </w:r>
          </w:p>
        </w:tc>
        <w:tc>
          <w:tcPr>
            <w:tcW w:w="706" w:type="dxa"/>
            <w:vAlign w:val="center"/>
          </w:tcPr>
          <w:p>
            <w:pPr>
              <w:pStyle w:val="59"/>
              <w:jc w:val="center"/>
              <w:rPr>
                <w:color w:val="auto"/>
              </w:rPr>
            </w:pPr>
            <w:r>
              <w:rPr>
                <w:rFonts w:hint="eastAsia"/>
                <w:color w:val="auto"/>
              </w:rPr>
              <w:t>阶段</w:t>
            </w:r>
          </w:p>
        </w:tc>
        <w:tc>
          <w:tcPr>
            <w:tcW w:w="2795" w:type="dxa"/>
            <w:vAlign w:val="center"/>
          </w:tcPr>
          <w:p>
            <w:pPr>
              <w:pStyle w:val="59"/>
              <w:jc w:val="center"/>
              <w:rPr>
                <w:color w:val="auto"/>
              </w:rPr>
            </w:pPr>
            <w:r>
              <w:rPr>
                <w:rFonts w:hint="eastAsia"/>
                <w:color w:val="auto"/>
              </w:rPr>
              <w:t>形成事故原因事件</w:t>
            </w:r>
          </w:p>
        </w:tc>
        <w:tc>
          <w:tcPr>
            <w:tcW w:w="755" w:type="dxa"/>
            <w:vAlign w:val="center"/>
          </w:tcPr>
          <w:p>
            <w:pPr>
              <w:pStyle w:val="59"/>
              <w:jc w:val="center"/>
              <w:rPr>
                <w:color w:val="auto"/>
              </w:rPr>
            </w:pPr>
            <w:r>
              <w:rPr>
                <w:rFonts w:hint="eastAsia"/>
                <w:color w:val="auto"/>
              </w:rPr>
              <w:t>事故后果</w:t>
            </w:r>
          </w:p>
        </w:tc>
        <w:tc>
          <w:tcPr>
            <w:tcW w:w="720" w:type="dxa"/>
            <w:vAlign w:val="center"/>
          </w:tcPr>
          <w:p>
            <w:pPr>
              <w:pStyle w:val="59"/>
              <w:jc w:val="center"/>
              <w:rPr>
                <w:color w:val="auto"/>
              </w:rPr>
            </w:pPr>
            <w:r>
              <w:rPr>
                <w:rFonts w:hint="eastAsia"/>
                <w:color w:val="auto"/>
              </w:rPr>
              <w:t>危险等级</w:t>
            </w:r>
          </w:p>
        </w:tc>
        <w:tc>
          <w:tcPr>
            <w:tcW w:w="3788" w:type="dxa"/>
            <w:vAlign w:val="center"/>
          </w:tcPr>
          <w:p>
            <w:pPr>
              <w:pStyle w:val="59"/>
              <w:jc w:val="center"/>
              <w:rPr>
                <w:color w:val="auto"/>
              </w:rPr>
            </w:pPr>
            <w:r>
              <w:rPr>
                <w:rFonts w:hint="eastAsia"/>
                <w:color w:val="auto"/>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59"/>
              <w:rPr>
                <w:color w:val="auto"/>
              </w:rPr>
            </w:pPr>
            <w:r>
              <w:rPr>
                <w:color w:val="auto"/>
              </w:rPr>
              <w:t>触电</w:t>
            </w:r>
          </w:p>
        </w:tc>
        <w:tc>
          <w:tcPr>
            <w:tcW w:w="706" w:type="dxa"/>
            <w:vAlign w:val="center"/>
          </w:tcPr>
          <w:p>
            <w:pPr>
              <w:pStyle w:val="59"/>
              <w:jc w:val="center"/>
              <w:rPr>
                <w:color w:val="auto"/>
              </w:rPr>
            </w:pPr>
            <w:r>
              <w:rPr>
                <w:color w:val="auto"/>
              </w:rPr>
              <w:t>检修中</w:t>
            </w:r>
          </w:p>
        </w:tc>
        <w:tc>
          <w:tcPr>
            <w:tcW w:w="2795" w:type="dxa"/>
          </w:tcPr>
          <w:p>
            <w:pPr>
              <w:pStyle w:val="59"/>
              <w:jc w:val="both"/>
              <w:rPr>
                <w:color w:val="auto"/>
              </w:rPr>
            </w:pPr>
            <w:r>
              <w:rPr>
                <w:color w:val="auto"/>
              </w:rPr>
              <w:t>1.电气工作不办理工作票、操作票，不执行安全监护制度。</w:t>
            </w:r>
          </w:p>
          <w:p>
            <w:pPr>
              <w:pStyle w:val="59"/>
              <w:jc w:val="both"/>
              <w:rPr>
                <w:color w:val="auto"/>
              </w:rPr>
            </w:pPr>
            <w:r>
              <w:rPr>
                <w:color w:val="auto"/>
              </w:rPr>
              <w:t>2.不使用或使用不合格的绝缘工具，工作前不验电。3.移动使用的配电箱、板及所用导线不符合要求，未使用漏电保护器，不戴绝缘手套。4.在电缆沟、金属结构架工作不使用安全电压。5.在潮湿、环境内工作不穿绝缘鞋，无绝缘垫，无监护人。6.乱接不符合要求的临时线。7.电气装置的绝缘或外壳损坏。8.检修电器设备工作人员擅自扩大工作范围。9.危险标志不明</w:t>
            </w:r>
          </w:p>
        </w:tc>
        <w:tc>
          <w:tcPr>
            <w:tcW w:w="755" w:type="dxa"/>
            <w:vAlign w:val="center"/>
          </w:tcPr>
          <w:p>
            <w:pPr>
              <w:pStyle w:val="59"/>
              <w:jc w:val="center"/>
              <w:rPr>
                <w:color w:val="auto"/>
              </w:rPr>
            </w:pPr>
            <w:r>
              <w:rPr>
                <w:color w:val="auto"/>
              </w:rPr>
              <w:t>人员伤亡</w:t>
            </w:r>
          </w:p>
        </w:tc>
        <w:tc>
          <w:tcPr>
            <w:tcW w:w="720" w:type="dxa"/>
            <w:vAlign w:val="center"/>
          </w:tcPr>
          <w:p>
            <w:pPr>
              <w:pStyle w:val="59"/>
              <w:jc w:val="center"/>
              <w:rPr>
                <w:color w:val="auto"/>
              </w:rPr>
            </w:pPr>
            <w:r>
              <w:rPr>
                <w:rFonts w:hint="eastAsia"/>
                <w:color w:val="auto"/>
              </w:rPr>
              <w:t>Ⅱ</w:t>
            </w:r>
          </w:p>
        </w:tc>
        <w:tc>
          <w:tcPr>
            <w:tcW w:w="3788" w:type="dxa"/>
            <w:vAlign w:val="center"/>
          </w:tcPr>
          <w:p>
            <w:pPr>
              <w:pStyle w:val="59"/>
              <w:jc w:val="both"/>
              <w:rPr>
                <w:color w:val="auto"/>
              </w:rPr>
            </w:pPr>
            <w:r>
              <w:rPr>
                <w:color w:val="auto"/>
              </w:rPr>
              <w:t>1.严格执行电气安全规程。</w:t>
            </w:r>
          </w:p>
          <w:p>
            <w:pPr>
              <w:pStyle w:val="59"/>
              <w:jc w:val="both"/>
              <w:rPr>
                <w:color w:val="auto"/>
              </w:rPr>
            </w:pPr>
            <w:r>
              <w:rPr>
                <w:color w:val="auto"/>
              </w:rPr>
              <w:t>2.移动使用的配电箱、板应采用完整的、带保护线的多股铜芯橡皮护套软电缆或护套软线作电源线，同时应装设漏电保护器。</w:t>
            </w:r>
          </w:p>
          <w:p>
            <w:pPr>
              <w:pStyle w:val="59"/>
              <w:jc w:val="both"/>
              <w:rPr>
                <w:color w:val="auto"/>
              </w:rPr>
            </w:pPr>
            <w:r>
              <w:rPr>
                <w:color w:val="auto"/>
              </w:rPr>
              <w:t>3.临时用电应经主管部门审查批准专人管理。</w:t>
            </w:r>
          </w:p>
          <w:p>
            <w:pPr>
              <w:pStyle w:val="59"/>
              <w:jc w:val="both"/>
              <w:rPr>
                <w:color w:val="auto"/>
              </w:rPr>
            </w:pPr>
            <w:r>
              <w:rPr>
                <w:color w:val="auto"/>
              </w:rPr>
              <w:t>4.</w:t>
            </w:r>
            <w:r>
              <w:rPr>
                <w:rFonts w:hint="eastAsia"/>
                <w:color w:val="auto"/>
                <w:lang w:val="en-US" w:eastAsia="zh-CN"/>
              </w:rPr>
              <w:t>废气处理装置</w:t>
            </w:r>
            <w:r>
              <w:rPr>
                <w:color w:val="auto"/>
              </w:rPr>
              <w:t>外壳要进行接地或接零。</w:t>
            </w:r>
          </w:p>
          <w:p>
            <w:pPr>
              <w:pStyle w:val="59"/>
              <w:jc w:val="both"/>
              <w:rPr>
                <w:color w:val="auto"/>
              </w:rPr>
            </w:pPr>
            <w:r>
              <w:rPr>
                <w:color w:val="auto"/>
              </w:rPr>
              <w:t>5.电气设备要有良好的绝缘和机械强度。</w:t>
            </w:r>
          </w:p>
          <w:p>
            <w:pPr>
              <w:pStyle w:val="59"/>
              <w:jc w:val="both"/>
              <w:rPr>
                <w:color w:val="auto"/>
              </w:rPr>
            </w:pPr>
            <w:r>
              <w:rPr>
                <w:color w:val="auto"/>
              </w:rPr>
              <w:t>6 严禁非电工操作。</w:t>
            </w:r>
          </w:p>
          <w:p>
            <w:pPr>
              <w:pStyle w:val="59"/>
              <w:jc w:val="both"/>
              <w:rPr>
                <w:color w:val="auto"/>
              </w:rPr>
            </w:pPr>
            <w:r>
              <w:rPr>
                <w:color w:val="auto"/>
              </w:rPr>
              <w:t>7</w:t>
            </w:r>
            <w:r>
              <w:rPr>
                <w:rFonts w:hint="eastAsia"/>
                <w:color w:val="auto"/>
                <w:lang w:val="en-US" w:eastAsia="zh-CN"/>
              </w:rPr>
              <w:t>.</w:t>
            </w:r>
            <w:r>
              <w:rPr>
                <w:color w:val="auto"/>
              </w:rPr>
              <w:t>电器检修要穿用绝缘防护用品。</w:t>
            </w:r>
          </w:p>
          <w:p>
            <w:pPr>
              <w:pStyle w:val="59"/>
              <w:jc w:val="both"/>
              <w:rPr>
                <w:color w:val="auto"/>
              </w:rPr>
            </w:pPr>
            <w:r>
              <w:rPr>
                <w:color w:val="auto"/>
              </w:rPr>
              <w:t>8.加强监护。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59"/>
              <w:rPr>
                <w:rFonts w:hint="eastAsia" w:eastAsia="宋体"/>
                <w:color w:val="auto"/>
                <w:lang w:eastAsia="zh-CN"/>
              </w:rPr>
            </w:pPr>
            <w:r>
              <w:rPr>
                <w:rFonts w:hint="eastAsia"/>
                <w:color w:val="auto"/>
                <w:lang w:val="en-US" w:eastAsia="zh-CN"/>
              </w:rPr>
              <w:t>火灾</w:t>
            </w:r>
          </w:p>
        </w:tc>
        <w:tc>
          <w:tcPr>
            <w:tcW w:w="706" w:type="dxa"/>
            <w:vAlign w:val="center"/>
          </w:tcPr>
          <w:p>
            <w:pPr>
              <w:pStyle w:val="59"/>
              <w:jc w:val="center"/>
              <w:rPr>
                <w:rFonts w:ascii="Arial" w:hAnsi="Arial" w:eastAsia="宋体" w:cs="Times New Roman"/>
                <w:color w:val="auto"/>
                <w:kern w:val="2"/>
                <w:sz w:val="21"/>
                <w:szCs w:val="24"/>
                <w:lang w:val="en-US" w:eastAsia="zh-CN" w:bidi="ar-SA"/>
              </w:rPr>
            </w:pPr>
            <w:r>
              <w:rPr>
                <w:color w:val="auto"/>
              </w:rPr>
              <w:t>生产</w:t>
            </w:r>
            <w:r>
              <w:rPr>
                <w:rFonts w:hint="eastAsia"/>
                <w:color w:val="auto"/>
              </w:rPr>
              <w:t>检修</w:t>
            </w:r>
          </w:p>
        </w:tc>
        <w:tc>
          <w:tcPr>
            <w:tcW w:w="2795" w:type="dxa"/>
            <w:vAlign w:val="center"/>
          </w:tcPr>
          <w:p>
            <w:pPr>
              <w:pStyle w:val="59"/>
              <w:jc w:val="both"/>
              <w:rPr>
                <w:rFonts w:ascii="Arial" w:hAnsi="Arial" w:eastAsia="宋体" w:cs="Times New Roman"/>
                <w:color w:val="auto"/>
                <w:kern w:val="2"/>
                <w:sz w:val="21"/>
                <w:szCs w:val="24"/>
                <w:lang w:val="en-US" w:eastAsia="zh-CN" w:bidi="ar-SA"/>
              </w:rPr>
            </w:pPr>
            <w:r>
              <w:rPr>
                <w:rFonts w:hint="eastAsia"/>
                <w:color w:val="auto"/>
              </w:rPr>
              <w:t>1.可燃物遇火源起火；2.电气设备及电缆起火；3.违章操作；4.安全防护缺陷；5.意外事件</w:t>
            </w:r>
            <w:r>
              <w:rPr>
                <w:rFonts w:hint="eastAsia"/>
                <w:color w:val="auto"/>
                <w:lang w:val="en-US" w:eastAsia="zh-CN"/>
              </w:rPr>
              <w:t>6.滤袋的产品质量不达标；7.甲基丙烯酸甲酯粉尘沉积</w:t>
            </w:r>
            <w:r>
              <w:rPr>
                <w:rFonts w:hint="eastAsia"/>
                <w:color w:val="auto"/>
              </w:rPr>
              <w:t>等。</w:t>
            </w:r>
          </w:p>
        </w:tc>
        <w:tc>
          <w:tcPr>
            <w:tcW w:w="755" w:type="dxa"/>
            <w:vAlign w:val="center"/>
          </w:tcPr>
          <w:p>
            <w:pPr>
              <w:pStyle w:val="59"/>
              <w:jc w:val="center"/>
              <w:rPr>
                <w:rFonts w:ascii="Arial" w:hAnsi="Arial" w:eastAsia="宋体" w:cs="Times New Roman"/>
                <w:color w:val="auto"/>
                <w:kern w:val="2"/>
                <w:sz w:val="21"/>
                <w:szCs w:val="24"/>
                <w:lang w:val="en-US" w:eastAsia="zh-CN" w:bidi="ar-SA"/>
              </w:rPr>
            </w:pPr>
            <w:r>
              <w:rPr>
                <w:rFonts w:hint="eastAsia"/>
                <w:color w:val="auto"/>
              </w:rPr>
              <w:t>人员伤亡财产损失</w:t>
            </w:r>
          </w:p>
        </w:tc>
        <w:tc>
          <w:tcPr>
            <w:tcW w:w="720" w:type="dxa"/>
            <w:vAlign w:val="center"/>
          </w:tcPr>
          <w:p>
            <w:pPr>
              <w:pStyle w:val="59"/>
              <w:jc w:val="center"/>
              <w:rPr>
                <w:rFonts w:ascii="Arial" w:hAnsi="Arial" w:eastAsia="宋体" w:cs="Times New Roman"/>
                <w:color w:val="auto"/>
                <w:kern w:val="2"/>
                <w:sz w:val="21"/>
                <w:szCs w:val="24"/>
                <w:lang w:val="en-US" w:eastAsia="zh-CN" w:bidi="ar-SA"/>
              </w:rPr>
            </w:pPr>
            <w:r>
              <w:rPr>
                <w:rFonts w:hint="eastAsia"/>
                <w:color w:val="auto"/>
              </w:rPr>
              <w:t>Ⅱ</w:t>
            </w:r>
          </w:p>
        </w:tc>
        <w:tc>
          <w:tcPr>
            <w:tcW w:w="3788" w:type="dxa"/>
            <w:vAlign w:val="center"/>
          </w:tcPr>
          <w:p>
            <w:pPr>
              <w:pStyle w:val="59"/>
              <w:jc w:val="both"/>
              <w:rPr>
                <w:rFonts w:hint="default" w:ascii="Arial" w:hAnsi="Arial" w:eastAsia="宋体" w:cs="Times New Roman"/>
                <w:color w:val="auto"/>
                <w:kern w:val="2"/>
                <w:sz w:val="21"/>
                <w:szCs w:val="24"/>
                <w:lang w:val="en-US" w:eastAsia="zh-CN" w:bidi="ar-SA"/>
              </w:rPr>
            </w:pPr>
            <w:r>
              <w:rPr>
                <w:rFonts w:hint="eastAsia"/>
                <w:color w:val="auto"/>
              </w:rPr>
              <w:t>1.对明火、动火进行严格管制，制定并实施动火安全管理制度，落实责任制。2.加强用电安全。3.按规范要求设置齐备可靠的消防设施；每天检查消防设施和器材的完好有效性。4.严格按操作规程作业。5.严格控制火源。</w:t>
            </w:r>
            <w:r>
              <w:rPr>
                <w:rFonts w:hint="eastAsia"/>
                <w:color w:val="auto"/>
                <w:lang w:val="en-US" w:eastAsia="zh-CN"/>
              </w:rPr>
              <w:t>6.使用产品质量达标的滤袋。7.制定清扫制度，及时清理粉尘。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59"/>
              <w:rPr>
                <w:color w:val="auto"/>
              </w:rPr>
            </w:pPr>
            <w:r>
              <w:rPr>
                <w:rFonts w:hint="eastAsia"/>
                <w:color w:val="auto"/>
              </w:rPr>
              <w:t>中毒和窒息</w:t>
            </w:r>
          </w:p>
        </w:tc>
        <w:tc>
          <w:tcPr>
            <w:tcW w:w="706" w:type="dxa"/>
            <w:vAlign w:val="center"/>
          </w:tcPr>
          <w:p>
            <w:pPr>
              <w:pStyle w:val="59"/>
              <w:jc w:val="center"/>
              <w:rPr>
                <w:color w:val="auto"/>
              </w:rPr>
            </w:pPr>
            <w:r>
              <w:rPr>
                <w:color w:val="auto"/>
              </w:rPr>
              <w:t>开车</w:t>
            </w:r>
          </w:p>
          <w:p>
            <w:pPr>
              <w:pStyle w:val="59"/>
              <w:jc w:val="center"/>
              <w:rPr>
                <w:color w:val="auto"/>
              </w:rPr>
            </w:pPr>
            <w:r>
              <w:rPr>
                <w:rFonts w:hint="eastAsia"/>
                <w:color w:val="auto"/>
              </w:rPr>
              <w:t>、</w:t>
            </w:r>
            <w:r>
              <w:rPr>
                <w:color w:val="auto"/>
              </w:rPr>
              <w:t>运行</w:t>
            </w:r>
          </w:p>
        </w:tc>
        <w:tc>
          <w:tcPr>
            <w:tcW w:w="2795" w:type="dxa"/>
            <w:vAlign w:val="center"/>
          </w:tcPr>
          <w:p>
            <w:pPr>
              <w:pStyle w:val="59"/>
              <w:jc w:val="both"/>
              <w:rPr>
                <w:color w:val="auto"/>
              </w:rPr>
            </w:pPr>
            <w:r>
              <w:rPr>
                <w:rFonts w:hint="eastAsia"/>
                <w:color w:val="auto"/>
              </w:rPr>
              <w:t>1．设备年久失修，发生</w:t>
            </w:r>
            <w:r>
              <w:rPr>
                <w:rFonts w:hint="eastAsia"/>
                <w:color w:val="auto"/>
                <w:lang w:val="en-US" w:eastAsia="zh-CN"/>
              </w:rPr>
              <w:t>停机</w:t>
            </w:r>
            <w:r>
              <w:rPr>
                <w:rFonts w:hint="eastAsia"/>
                <w:color w:val="auto"/>
              </w:rPr>
              <w:t>等情况；</w:t>
            </w:r>
          </w:p>
          <w:p>
            <w:pPr>
              <w:pStyle w:val="59"/>
              <w:jc w:val="both"/>
              <w:rPr>
                <w:color w:val="auto"/>
              </w:rPr>
            </w:pPr>
            <w:r>
              <w:rPr>
                <w:rFonts w:hint="eastAsia"/>
                <w:color w:val="auto"/>
              </w:rPr>
              <w:t>2．设备、管道</w:t>
            </w:r>
            <w:r>
              <w:rPr>
                <w:rFonts w:hint="eastAsia"/>
                <w:color w:val="auto"/>
                <w:lang w:val="en-US" w:eastAsia="zh-CN"/>
              </w:rPr>
              <w:t>等</w:t>
            </w:r>
            <w:r>
              <w:rPr>
                <w:rFonts w:hint="eastAsia"/>
                <w:color w:val="auto"/>
              </w:rPr>
              <w:t>材质不符合要求或有缺陷；</w:t>
            </w:r>
          </w:p>
          <w:p>
            <w:pPr>
              <w:pStyle w:val="59"/>
              <w:jc w:val="both"/>
              <w:rPr>
                <w:color w:val="auto"/>
              </w:rPr>
            </w:pPr>
            <w:r>
              <w:rPr>
                <w:rFonts w:hint="eastAsia"/>
                <w:color w:val="auto"/>
              </w:rPr>
              <w:t>3．安全生产管理工作不到位，违章作业。</w:t>
            </w:r>
          </w:p>
        </w:tc>
        <w:tc>
          <w:tcPr>
            <w:tcW w:w="755" w:type="dxa"/>
            <w:vAlign w:val="center"/>
          </w:tcPr>
          <w:p>
            <w:pPr>
              <w:pStyle w:val="59"/>
              <w:jc w:val="center"/>
              <w:rPr>
                <w:color w:val="auto"/>
              </w:rPr>
            </w:pPr>
            <w:r>
              <w:rPr>
                <w:rFonts w:hint="eastAsia"/>
                <w:color w:val="auto"/>
              </w:rPr>
              <w:t>人员伤亡</w:t>
            </w:r>
          </w:p>
        </w:tc>
        <w:tc>
          <w:tcPr>
            <w:tcW w:w="720" w:type="dxa"/>
            <w:vAlign w:val="center"/>
          </w:tcPr>
          <w:p>
            <w:pPr>
              <w:pStyle w:val="59"/>
              <w:jc w:val="center"/>
              <w:rPr>
                <w:color w:val="auto"/>
              </w:rPr>
            </w:pPr>
            <w:r>
              <w:rPr>
                <w:rFonts w:hint="eastAsia"/>
                <w:color w:val="auto"/>
              </w:rPr>
              <w:t>Ⅱ</w:t>
            </w:r>
          </w:p>
        </w:tc>
        <w:tc>
          <w:tcPr>
            <w:tcW w:w="3788" w:type="dxa"/>
            <w:vAlign w:val="center"/>
          </w:tcPr>
          <w:p>
            <w:pPr>
              <w:pStyle w:val="59"/>
              <w:jc w:val="both"/>
              <w:rPr>
                <w:color w:val="auto"/>
              </w:rPr>
            </w:pPr>
            <w:r>
              <w:rPr>
                <w:rFonts w:hint="eastAsia"/>
                <w:color w:val="auto"/>
              </w:rPr>
              <w:t>1．定期检修</w:t>
            </w:r>
            <w:r>
              <w:rPr>
                <w:rFonts w:hint="eastAsia"/>
                <w:color w:val="auto"/>
                <w:lang w:val="en-US" w:eastAsia="zh-CN"/>
              </w:rPr>
              <w:t>废气处理装置</w:t>
            </w:r>
            <w:r>
              <w:rPr>
                <w:rFonts w:hint="eastAsia"/>
                <w:color w:val="auto"/>
              </w:rPr>
              <w:t>；</w:t>
            </w:r>
          </w:p>
          <w:p>
            <w:pPr>
              <w:pStyle w:val="59"/>
              <w:jc w:val="both"/>
              <w:rPr>
                <w:color w:val="auto"/>
              </w:rPr>
            </w:pPr>
            <w:r>
              <w:rPr>
                <w:rFonts w:hint="eastAsia"/>
                <w:color w:val="auto"/>
              </w:rPr>
              <w:t>2．</w:t>
            </w:r>
            <w:r>
              <w:rPr>
                <w:rFonts w:hint="eastAsia"/>
                <w:color w:val="auto"/>
                <w:lang w:val="en-US" w:eastAsia="zh-CN"/>
              </w:rPr>
              <w:t>废气处理装置</w:t>
            </w:r>
            <w:r>
              <w:rPr>
                <w:rFonts w:hint="eastAsia"/>
                <w:color w:val="auto"/>
              </w:rPr>
              <w:t>的质量应符合国家相关标准；</w:t>
            </w:r>
          </w:p>
          <w:p>
            <w:pPr>
              <w:pStyle w:val="59"/>
              <w:jc w:val="both"/>
              <w:rPr>
                <w:color w:val="auto"/>
              </w:rPr>
            </w:pPr>
            <w:r>
              <w:rPr>
                <w:rFonts w:hint="eastAsia"/>
                <w:color w:val="auto"/>
              </w:rPr>
              <w:t>3．加强安全生产管理工作，严格执行各项管理制度和操作规程。</w:t>
            </w:r>
          </w:p>
        </w:tc>
      </w:tr>
    </w:tbl>
    <w:p>
      <w:pPr>
        <w:pStyle w:val="54"/>
        <w:ind w:firstLine="562"/>
        <w:rPr>
          <w:rFonts w:hint="eastAsia"/>
          <w:b/>
          <w:color w:val="auto"/>
        </w:rPr>
      </w:pPr>
    </w:p>
    <w:p>
      <w:pPr>
        <w:pStyle w:val="54"/>
        <w:ind w:firstLine="562"/>
        <w:rPr>
          <w:b/>
          <w:color w:val="auto"/>
        </w:rPr>
      </w:pPr>
      <w:r>
        <w:rPr>
          <w:rFonts w:hint="eastAsia"/>
          <w:b/>
          <w:color w:val="auto"/>
        </w:rPr>
        <w:t>2.评价小结</w:t>
      </w:r>
    </w:p>
    <w:p>
      <w:pPr>
        <w:pStyle w:val="54"/>
        <w:ind w:firstLine="560"/>
        <w:rPr>
          <w:color w:val="auto"/>
        </w:rPr>
      </w:pPr>
      <w:r>
        <w:rPr>
          <w:rFonts w:hint="eastAsia"/>
          <w:color w:val="auto"/>
        </w:rPr>
        <w:t>通过预先危险分析，</w:t>
      </w:r>
      <w:r>
        <w:rPr>
          <w:rFonts w:hint="eastAsia"/>
          <w:color w:val="auto"/>
          <w:lang w:val="en-US" w:eastAsia="zh-CN"/>
        </w:rPr>
        <w:t>废气处理装置</w:t>
      </w:r>
      <w:r>
        <w:rPr>
          <w:rFonts w:hint="eastAsia"/>
          <w:color w:val="auto"/>
        </w:rPr>
        <w:t>子单元的主要危险、有害因素为：触电、</w:t>
      </w:r>
      <w:r>
        <w:rPr>
          <w:rFonts w:hint="eastAsia"/>
          <w:color w:val="auto"/>
          <w:lang w:val="en-US" w:eastAsia="zh-CN"/>
        </w:rPr>
        <w:t>火灾</w:t>
      </w:r>
      <w:r>
        <w:rPr>
          <w:rFonts w:hint="eastAsia"/>
          <w:color w:val="auto"/>
        </w:rPr>
        <w:t>、中毒和窒息危险程度为Ⅱ级（临界的），处于事故的边缘状态，暂时还不会造成人员伤亡、系统损坏降低系统性能，但应予排除或采取控制措施。</w:t>
      </w:r>
    </w:p>
    <w:p>
      <w:pPr>
        <w:pStyle w:val="4"/>
        <w:ind w:firstLine="560"/>
        <w:rPr>
          <w:color w:val="auto"/>
        </w:rPr>
      </w:pPr>
      <w:bookmarkStart w:id="1009" w:name="_Toc126586702"/>
      <w:bookmarkStart w:id="1010" w:name="_Toc5943"/>
      <w:bookmarkStart w:id="1011" w:name="_Toc32463"/>
      <w:bookmarkStart w:id="1012" w:name="_Toc25344"/>
      <w:bookmarkStart w:id="1013" w:name="_Toc96877139"/>
      <w:bookmarkStart w:id="1014" w:name="_Toc27070"/>
      <w:bookmarkStart w:id="1015" w:name="_Toc17077"/>
      <w:bookmarkStart w:id="1016" w:name="_Toc30910"/>
      <w:r>
        <w:rPr>
          <w:color w:val="auto"/>
        </w:rPr>
        <w:t>C.4.</w:t>
      </w:r>
      <w:r>
        <w:rPr>
          <w:rFonts w:hint="eastAsia"/>
          <w:color w:val="auto"/>
          <w:lang w:val="en-US" w:eastAsia="zh-CN"/>
        </w:rPr>
        <w:t>6</w:t>
      </w:r>
      <w:r>
        <w:rPr>
          <w:rFonts w:hint="eastAsia"/>
          <w:color w:val="auto"/>
        </w:rPr>
        <w:t>空压氮</w:t>
      </w:r>
      <w:r>
        <w:rPr>
          <w:rFonts w:hint="eastAsia"/>
          <w:color w:val="auto"/>
          <w:lang w:val="en-US" w:eastAsia="zh-CN"/>
        </w:rPr>
        <w:t>气</w:t>
      </w:r>
      <w:r>
        <w:rPr>
          <w:rFonts w:hint="eastAsia"/>
          <w:color w:val="auto"/>
        </w:rPr>
        <w:t>装置子单元</w:t>
      </w:r>
      <w:bookmarkEnd w:id="1009"/>
      <w:bookmarkEnd w:id="1010"/>
      <w:bookmarkEnd w:id="1011"/>
      <w:bookmarkEnd w:id="1012"/>
      <w:bookmarkEnd w:id="1013"/>
      <w:bookmarkEnd w:id="1014"/>
      <w:bookmarkEnd w:id="1015"/>
      <w:bookmarkEnd w:id="1016"/>
    </w:p>
    <w:p>
      <w:pPr>
        <w:pStyle w:val="54"/>
        <w:ind w:firstLine="562"/>
        <w:rPr>
          <w:b/>
          <w:color w:val="auto"/>
        </w:rPr>
      </w:pPr>
      <w:r>
        <w:rPr>
          <w:rFonts w:hint="eastAsia"/>
          <w:b/>
          <w:color w:val="auto"/>
        </w:rPr>
        <w:t>1．预先危险分析评价</w:t>
      </w:r>
    </w:p>
    <w:p>
      <w:pPr>
        <w:pStyle w:val="54"/>
        <w:ind w:firstLine="560"/>
        <w:rPr>
          <w:color w:val="auto"/>
        </w:rPr>
      </w:pPr>
      <w:r>
        <w:rPr>
          <w:rFonts w:hint="eastAsia"/>
          <w:color w:val="auto"/>
        </w:rPr>
        <w:t>采用预先危险分析法（PHA）对本系统子单元进行分析评价，具体情况见表</w:t>
      </w:r>
      <w:r>
        <w:rPr>
          <w:color w:val="auto"/>
        </w:rPr>
        <w:t>C.4-</w:t>
      </w:r>
      <w:r>
        <w:rPr>
          <w:rFonts w:hint="eastAsia"/>
          <w:color w:val="auto"/>
          <w:lang w:val="en-US" w:eastAsia="zh-CN"/>
        </w:rPr>
        <w:t>6</w:t>
      </w:r>
      <w:r>
        <w:rPr>
          <w:rFonts w:hint="eastAsia"/>
          <w:color w:val="auto"/>
        </w:rPr>
        <w:t>。</w:t>
      </w:r>
    </w:p>
    <w:p>
      <w:pPr>
        <w:pStyle w:val="53"/>
        <w:rPr>
          <w:color w:val="auto"/>
        </w:rPr>
      </w:pPr>
      <w:r>
        <w:rPr>
          <w:rFonts w:hint="eastAsia"/>
          <w:color w:val="auto"/>
        </w:rPr>
        <w:t>表</w:t>
      </w:r>
      <w:r>
        <w:rPr>
          <w:color w:val="auto"/>
        </w:rPr>
        <w:t>C.4-</w:t>
      </w:r>
      <w:r>
        <w:rPr>
          <w:rFonts w:hint="eastAsia"/>
          <w:color w:val="auto"/>
          <w:lang w:val="en-US" w:eastAsia="zh-CN"/>
        </w:rPr>
        <w:t>6</w:t>
      </w:r>
      <w:r>
        <w:rPr>
          <w:color w:val="auto"/>
        </w:rPr>
        <w:t xml:space="preserve"> </w:t>
      </w:r>
      <w:r>
        <w:rPr>
          <w:rFonts w:hint="eastAsia"/>
          <w:color w:val="auto"/>
        </w:rPr>
        <w:t>空压氮</w:t>
      </w:r>
      <w:r>
        <w:rPr>
          <w:rFonts w:hint="eastAsia"/>
          <w:color w:val="auto"/>
          <w:lang w:val="en-US" w:eastAsia="zh-CN"/>
        </w:rPr>
        <w:t>气</w:t>
      </w:r>
      <w:r>
        <w:rPr>
          <w:rFonts w:hint="eastAsia"/>
          <w:color w:val="auto"/>
        </w:rPr>
        <w:t>装置子单元预先危险分析法评价表</w:t>
      </w:r>
    </w:p>
    <w:tbl>
      <w:tblPr>
        <w:tblStyle w:val="42"/>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706"/>
        <w:gridCol w:w="2795"/>
        <w:gridCol w:w="755"/>
        <w:gridCol w:w="720"/>
        <w:gridCol w:w="3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rFonts w:hint="eastAsia"/>
                <w:color w:val="auto"/>
              </w:rPr>
              <w:t>危险有害因素</w:t>
            </w:r>
          </w:p>
        </w:tc>
        <w:tc>
          <w:tcPr>
            <w:tcW w:w="706" w:type="dxa"/>
            <w:vAlign w:val="center"/>
          </w:tcPr>
          <w:p>
            <w:pPr>
              <w:pStyle w:val="344"/>
              <w:rPr>
                <w:color w:val="auto"/>
              </w:rPr>
            </w:pPr>
            <w:r>
              <w:rPr>
                <w:rFonts w:hint="eastAsia"/>
                <w:color w:val="auto"/>
              </w:rPr>
              <w:t>阶段</w:t>
            </w:r>
          </w:p>
        </w:tc>
        <w:tc>
          <w:tcPr>
            <w:tcW w:w="2795" w:type="dxa"/>
            <w:vAlign w:val="center"/>
          </w:tcPr>
          <w:p>
            <w:pPr>
              <w:pStyle w:val="344"/>
              <w:rPr>
                <w:color w:val="auto"/>
              </w:rPr>
            </w:pPr>
            <w:r>
              <w:rPr>
                <w:rFonts w:hint="eastAsia"/>
                <w:color w:val="auto"/>
              </w:rPr>
              <w:t>形成事故原因事件</w:t>
            </w:r>
          </w:p>
        </w:tc>
        <w:tc>
          <w:tcPr>
            <w:tcW w:w="755" w:type="dxa"/>
            <w:vAlign w:val="center"/>
          </w:tcPr>
          <w:p>
            <w:pPr>
              <w:pStyle w:val="344"/>
              <w:jc w:val="center"/>
              <w:rPr>
                <w:color w:val="auto"/>
              </w:rPr>
            </w:pPr>
            <w:r>
              <w:rPr>
                <w:rFonts w:hint="eastAsia"/>
                <w:color w:val="auto"/>
              </w:rPr>
              <w:t>事故后果</w:t>
            </w:r>
          </w:p>
        </w:tc>
        <w:tc>
          <w:tcPr>
            <w:tcW w:w="720" w:type="dxa"/>
            <w:vAlign w:val="center"/>
          </w:tcPr>
          <w:p>
            <w:pPr>
              <w:pStyle w:val="344"/>
              <w:rPr>
                <w:color w:val="auto"/>
              </w:rPr>
            </w:pPr>
            <w:r>
              <w:rPr>
                <w:rFonts w:hint="eastAsia"/>
                <w:color w:val="auto"/>
              </w:rPr>
              <w:t>危险等级</w:t>
            </w:r>
          </w:p>
        </w:tc>
        <w:tc>
          <w:tcPr>
            <w:tcW w:w="3788" w:type="dxa"/>
            <w:vAlign w:val="center"/>
          </w:tcPr>
          <w:p>
            <w:pPr>
              <w:pStyle w:val="344"/>
              <w:jc w:val="center"/>
              <w:rPr>
                <w:color w:val="auto"/>
              </w:rPr>
            </w:pPr>
            <w:r>
              <w:rPr>
                <w:rFonts w:hint="eastAsia"/>
                <w:color w:val="auto"/>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管道局部爆裂</w:t>
            </w:r>
          </w:p>
        </w:tc>
        <w:tc>
          <w:tcPr>
            <w:tcW w:w="706" w:type="dxa"/>
            <w:vAlign w:val="center"/>
          </w:tcPr>
          <w:p>
            <w:pPr>
              <w:pStyle w:val="344"/>
              <w:rPr>
                <w:color w:val="auto"/>
              </w:rPr>
            </w:pPr>
            <w:r>
              <w:rPr>
                <w:color w:val="auto"/>
              </w:rPr>
              <w:t>运行</w:t>
            </w:r>
          </w:p>
        </w:tc>
        <w:tc>
          <w:tcPr>
            <w:tcW w:w="2795" w:type="dxa"/>
          </w:tcPr>
          <w:p>
            <w:pPr>
              <w:pStyle w:val="344"/>
              <w:jc w:val="both"/>
              <w:rPr>
                <w:color w:val="auto"/>
              </w:rPr>
            </w:pPr>
            <w:r>
              <w:rPr>
                <w:color w:val="auto"/>
              </w:rPr>
              <w:t>1.设计不符标准。</w:t>
            </w:r>
          </w:p>
          <w:p>
            <w:pPr>
              <w:pStyle w:val="344"/>
              <w:jc w:val="both"/>
              <w:rPr>
                <w:color w:val="auto"/>
              </w:rPr>
            </w:pPr>
            <w:r>
              <w:rPr>
                <w:color w:val="auto"/>
              </w:rPr>
              <w:t>2.接口焊接质量不合格。</w:t>
            </w:r>
          </w:p>
          <w:p>
            <w:pPr>
              <w:pStyle w:val="344"/>
              <w:jc w:val="both"/>
              <w:rPr>
                <w:color w:val="auto"/>
              </w:rPr>
            </w:pPr>
            <w:r>
              <w:rPr>
                <w:color w:val="auto"/>
              </w:rPr>
              <w:t>3.材质不合格。</w:t>
            </w:r>
          </w:p>
          <w:p>
            <w:pPr>
              <w:pStyle w:val="344"/>
              <w:jc w:val="both"/>
              <w:rPr>
                <w:color w:val="auto"/>
              </w:rPr>
            </w:pPr>
            <w:r>
              <w:rPr>
                <w:color w:val="auto"/>
              </w:rPr>
              <w:t>4.超设计压力使用。</w:t>
            </w:r>
          </w:p>
          <w:p>
            <w:pPr>
              <w:pStyle w:val="344"/>
              <w:jc w:val="both"/>
              <w:rPr>
                <w:color w:val="auto"/>
              </w:rPr>
            </w:pPr>
            <w:r>
              <w:rPr>
                <w:color w:val="auto"/>
              </w:rPr>
              <w:t>5.安全装置如安全阀失灵。</w:t>
            </w:r>
          </w:p>
          <w:p>
            <w:pPr>
              <w:pStyle w:val="344"/>
              <w:jc w:val="both"/>
              <w:rPr>
                <w:color w:val="auto"/>
              </w:rPr>
            </w:pPr>
            <w:r>
              <w:rPr>
                <w:color w:val="auto"/>
              </w:rPr>
              <w:t>6.压力表显示不准。</w:t>
            </w:r>
          </w:p>
          <w:p>
            <w:pPr>
              <w:pStyle w:val="344"/>
              <w:jc w:val="both"/>
              <w:rPr>
                <w:color w:val="auto"/>
              </w:rPr>
            </w:pPr>
            <w:r>
              <w:rPr>
                <w:color w:val="auto"/>
              </w:rPr>
              <w:t>7.支架基础下沉，造成管线应力变化。</w:t>
            </w:r>
          </w:p>
        </w:tc>
        <w:tc>
          <w:tcPr>
            <w:tcW w:w="755" w:type="dxa"/>
            <w:vAlign w:val="center"/>
          </w:tcPr>
          <w:p>
            <w:pPr>
              <w:pStyle w:val="344"/>
              <w:jc w:val="center"/>
              <w:rPr>
                <w:color w:val="auto"/>
              </w:rPr>
            </w:pPr>
            <w:r>
              <w:rPr>
                <w:color w:val="auto"/>
              </w:rPr>
              <w:t>管道爆裂</w:t>
            </w:r>
            <w:r>
              <w:rPr>
                <w:rFonts w:hint="eastAsia"/>
                <w:color w:val="auto"/>
              </w:rPr>
              <w:t>、</w:t>
            </w:r>
            <w:r>
              <w:rPr>
                <w:color w:val="auto"/>
              </w:rPr>
              <w:t>财产损失</w:t>
            </w:r>
          </w:p>
        </w:tc>
        <w:tc>
          <w:tcPr>
            <w:tcW w:w="720" w:type="dxa"/>
            <w:vAlign w:val="center"/>
          </w:tcPr>
          <w:p>
            <w:pPr>
              <w:pStyle w:val="344"/>
              <w:jc w:val="center"/>
              <w:rPr>
                <w:color w:val="auto"/>
              </w:rPr>
            </w:pPr>
            <w:r>
              <w:rPr>
                <w:rFonts w:hint="eastAsia"/>
                <w:color w:val="auto"/>
              </w:rPr>
              <w:t>Ⅲ</w:t>
            </w:r>
          </w:p>
        </w:tc>
        <w:tc>
          <w:tcPr>
            <w:tcW w:w="3788" w:type="dxa"/>
          </w:tcPr>
          <w:p>
            <w:pPr>
              <w:pStyle w:val="344"/>
              <w:jc w:val="both"/>
              <w:rPr>
                <w:color w:val="auto"/>
              </w:rPr>
            </w:pPr>
            <w:r>
              <w:rPr>
                <w:color w:val="auto"/>
              </w:rPr>
              <w:t xml:space="preserve">1.严格执行压力管道设计规范。 </w:t>
            </w:r>
          </w:p>
          <w:p>
            <w:pPr>
              <w:pStyle w:val="344"/>
              <w:jc w:val="both"/>
              <w:rPr>
                <w:color w:val="auto"/>
              </w:rPr>
            </w:pPr>
            <w:r>
              <w:rPr>
                <w:color w:val="auto"/>
              </w:rPr>
              <w:t>2.管道安装时必须加强质量管理，严禁非焊工或考试不合格焊工施焊。焊口探伤严格按《特种设备安全监察条例》和《压力容器安全技术监察规程》有关规定执行。</w:t>
            </w:r>
          </w:p>
          <w:p>
            <w:pPr>
              <w:pStyle w:val="344"/>
              <w:jc w:val="both"/>
              <w:rPr>
                <w:color w:val="auto"/>
              </w:rPr>
            </w:pPr>
            <w:r>
              <w:rPr>
                <w:color w:val="auto"/>
              </w:rPr>
              <w:t>3.按期检测安全阀。</w:t>
            </w:r>
          </w:p>
          <w:p>
            <w:pPr>
              <w:pStyle w:val="344"/>
              <w:jc w:val="both"/>
              <w:rPr>
                <w:color w:val="auto"/>
              </w:rPr>
            </w:pPr>
            <w:r>
              <w:rPr>
                <w:color w:val="auto"/>
              </w:rPr>
              <w:t>4.充分考虑管道支架承重，支架结构合理，基础符合要求。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rFonts w:hint="eastAsia"/>
                <w:color w:val="auto"/>
              </w:rPr>
              <w:t>中毒和窒息</w:t>
            </w:r>
          </w:p>
        </w:tc>
        <w:tc>
          <w:tcPr>
            <w:tcW w:w="706" w:type="dxa"/>
            <w:vAlign w:val="center"/>
          </w:tcPr>
          <w:p>
            <w:pPr>
              <w:pStyle w:val="344"/>
              <w:rPr>
                <w:color w:val="auto"/>
              </w:rPr>
            </w:pPr>
            <w:r>
              <w:rPr>
                <w:color w:val="auto"/>
              </w:rPr>
              <w:t>开车</w:t>
            </w:r>
          </w:p>
          <w:p>
            <w:pPr>
              <w:pStyle w:val="344"/>
              <w:rPr>
                <w:color w:val="auto"/>
              </w:rPr>
            </w:pPr>
            <w:r>
              <w:rPr>
                <w:rFonts w:hint="eastAsia"/>
                <w:color w:val="auto"/>
              </w:rPr>
              <w:t>、</w:t>
            </w:r>
            <w:r>
              <w:rPr>
                <w:color w:val="auto"/>
              </w:rPr>
              <w:t>运行</w:t>
            </w:r>
          </w:p>
        </w:tc>
        <w:tc>
          <w:tcPr>
            <w:tcW w:w="2795" w:type="dxa"/>
            <w:vAlign w:val="center"/>
          </w:tcPr>
          <w:p>
            <w:pPr>
              <w:pStyle w:val="344"/>
              <w:jc w:val="both"/>
              <w:rPr>
                <w:color w:val="auto"/>
              </w:rPr>
            </w:pPr>
            <w:r>
              <w:rPr>
                <w:rFonts w:hint="eastAsia"/>
                <w:color w:val="auto"/>
              </w:rPr>
              <w:t>1．设备设计不合理，施工有缺陷；</w:t>
            </w:r>
          </w:p>
          <w:p>
            <w:pPr>
              <w:pStyle w:val="344"/>
              <w:jc w:val="both"/>
              <w:rPr>
                <w:color w:val="auto"/>
              </w:rPr>
            </w:pPr>
            <w:r>
              <w:rPr>
                <w:rFonts w:hint="eastAsia"/>
                <w:color w:val="auto"/>
              </w:rPr>
              <w:t>2．设备、管道、阀门材质不符合要求或有缺陷；</w:t>
            </w:r>
          </w:p>
          <w:p>
            <w:pPr>
              <w:pStyle w:val="344"/>
              <w:jc w:val="both"/>
              <w:rPr>
                <w:color w:val="auto"/>
              </w:rPr>
            </w:pPr>
            <w:r>
              <w:rPr>
                <w:rFonts w:hint="eastAsia"/>
                <w:color w:val="auto"/>
              </w:rPr>
              <w:t>3．储罐等设备无通风设施或通风不良；</w:t>
            </w:r>
          </w:p>
          <w:p>
            <w:pPr>
              <w:pStyle w:val="344"/>
              <w:jc w:val="both"/>
              <w:rPr>
                <w:color w:val="auto"/>
              </w:rPr>
            </w:pPr>
            <w:r>
              <w:rPr>
                <w:rFonts w:hint="eastAsia"/>
                <w:color w:val="auto"/>
              </w:rPr>
              <w:t>4．安全生产管理工作不到位，违章作业。</w:t>
            </w:r>
          </w:p>
        </w:tc>
        <w:tc>
          <w:tcPr>
            <w:tcW w:w="755" w:type="dxa"/>
            <w:vAlign w:val="center"/>
          </w:tcPr>
          <w:p>
            <w:pPr>
              <w:pStyle w:val="344"/>
              <w:jc w:val="center"/>
              <w:rPr>
                <w:color w:val="auto"/>
              </w:rPr>
            </w:pPr>
            <w:r>
              <w:rPr>
                <w:rFonts w:hint="eastAsia"/>
                <w:color w:val="auto"/>
              </w:rPr>
              <w:t>人员伤亡</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rFonts w:hint="eastAsia"/>
                <w:color w:val="auto"/>
              </w:rPr>
              <w:t>1．作业人员进入储罐等特种设备内作业时要穿工作服、戴工作帽，并佩戴必要的防护用品；</w:t>
            </w:r>
          </w:p>
          <w:p>
            <w:pPr>
              <w:pStyle w:val="344"/>
              <w:jc w:val="both"/>
              <w:rPr>
                <w:color w:val="auto"/>
              </w:rPr>
            </w:pPr>
            <w:r>
              <w:rPr>
                <w:rFonts w:hint="eastAsia"/>
                <w:color w:val="auto"/>
              </w:rPr>
              <w:t>2．进入储罐等特种设备进行检修作业前，首先必须进行彻底的气体置换，合格后才能允许进入容器内部作业；</w:t>
            </w:r>
          </w:p>
          <w:p>
            <w:pPr>
              <w:pStyle w:val="344"/>
              <w:jc w:val="both"/>
              <w:rPr>
                <w:color w:val="auto"/>
              </w:rPr>
            </w:pPr>
            <w:r>
              <w:rPr>
                <w:rFonts w:hint="eastAsia"/>
                <w:color w:val="auto"/>
              </w:rPr>
              <w:t>3．在储罐等特种设备内作业时，应保持良好的通风；</w:t>
            </w:r>
          </w:p>
          <w:p>
            <w:pPr>
              <w:pStyle w:val="344"/>
              <w:jc w:val="both"/>
              <w:rPr>
                <w:color w:val="auto"/>
              </w:rPr>
            </w:pPr>
            <w:r>
              <w:rPr>
                <w:rFonts w:hint="eastAsia"/>
                <w:color w:val="auto"/>
              </w:rPr>
              <w:t>4．加强安全生产管理工作，严格执行各项管理制度和操作规程。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机械伤害</w:t>
            </w:r>
          </w:p>
        </w:tc>
        <w:tc>
          <w:tcPr>
            <w:tcW w:w="706" w:type="dxa"/>
            <w:vAlign w:val="center"/>
          </w:tcPr>
          <w:p>
            <w:pPr>
              <w:pStyle w:val="344"/>
              <w:rPr>
                <w:color w:val="auto"/>
              </w:rPr>
            </w:pPr>
            <w:r>
              <w:rPr>
                <w:color w:val="auto"/>
              </w:rPr>
              <w:t>检修</w:t>
            </w:r>
          </w:p>
        </w:tc>
        <w:tc>
          <w:tcPr>
            <w:tcW w:w="2795" w:type="dxa"/>
            <w:vAlign w:val="center"/>
          </w:tcPr>
          <w:p>
            <w:pPr>
              <w:pStyle w:val="344"/>
              <w:jc w:val="both"/>
              <w:rPr>
                <w:color w:val="auto"/>
              </w:rPr>
            </w:pPr>
            <w:r>
              <w:rPr>
                <w:color w:val="auto"/>
              </w:rPr>
              <w:t>1.误接触传动部位。</w:t>
            </w:r>
          </w:p>
          <w:p>
            <w:pPr>
              <w:pStyle w:val="344"/>
              <w:jc w:val="both"/>
              <w:rPr>
                <w:color w:val="auto"/>
              </w:rPr>
            </w:pPr>
            <w:r>
              <w:rPr>
                <w:color w:val="auto"/>
              </w:rPr>
              <w:t>2.危险部位无防护装置。</w:t>
            </w:r>
          </w:p>
          <w:p>
            <w:pPr>
              <w:pStyle w:val="344"/>
              <w:jc w:val="both"/>
              <w:rPr>
                <w:color w:val="auto"/>
              </w:rPr>
            </w:pPr>
            <w:r>
              <w:rPr>
                <w:color w:val="auto"/>
              </w:rPr>
              <w:t>3.防护设施失效、破损。</w:t>
            </w:r>
          </w:p>
          <w:p>
            <w:pPr>
              <w:pStyle w:val="344"/>
              <w:jc w:val="both"/>
              <w:rPr>
                <w:color w:val="auto"/>
              </w:rPr>
            </w:pPr>
            <w:r>
              <w:rPr>
                <w:color w:val="auto"/>
              </w:rPr>
              <w:t>4.人员处于危险区内。</w:t>
            </w:r>
          </w:p>
          <w:p>
            <w:pPr>
              <w:pStyle w:val="344"/>
              <w:jc w:val="both"/>
              <w:rPr>
                <w:color w:val="auto"/>
              </w:rPr>
            </w:pPr>
            <w:r>
              <w:rPr>
                <w:color w:val="auto"/>
              </w:rPr>
              <w:t>5.工作人员违章施工、操作。</w:t>
            </w:r>
          </w:p>
        </w:tc>
        <w:tc>
          <w:tcPr>
            <w:tcW w:w="755" w:type="dxa"/>
            <w:vAlign w:val="center"/>
          </w:tcPr>
          <w:p>
            <w:pPr>
              <w:pStyle w:val="344"/>
              <w:jc w:val="center"/>
              <w:rPr>
                <w:color w:val="auto"/>
              </w:rPr>
            </w:pPr>
            <w:r>
              <w:rPr>
                <w:color w:val="auto"/>
              </w:rPr>
              <w:t>人员伤害</w:t>
            </w:r>
          </w:p>
        </w:tc>
        <w:tc>
          <w:tcPr>
            <w:tcW w:w="720" w:type="dxa"/>
            <w:vAlign w:val="center"/>
          </w:tcPr>
          <w:p>
            <w:pPr>
              <w:pStyle w:val="344"/>
              <w:jc w:val="center"/>
              <w:rPr>
                <w:color w:val="auto"/>
              </w:rPr>
            </w:pPr>
            <w:r>
              <w:rPr>
                <w:rFonts w:hint="eastAsia"/>
                <w:color w:val="auto"/>
              </w:rPr>
              <w:t>Ⅱ</w:t>
            </w:r>
          </w:p>
        </w:tc>
        <w:tc>
          <w:tcPr>
            <w:tcW w:w="3788" w:type="dxa"/>
          </w:tcPr>
          <w:p>
            <w:pPr>
              <w:pStyle w:val="344"/>
              <w:jc w:val="both"/>
              <w:rPr>
                <w:color w:val="auto"/>
              </w:rPr>
            </w:pPr>
            <w:r>
              <w:rPr>
                <w:color w:val="auto"/>
              </w:rPr>
              <w:t>1.加强安全教育。</w:t>
            </w:r>
          </w:p>
          <w:p>
            <w:pPr>
              <w:pStyle w:val="344"/>
              <w:jc w:val="both"/>
              <w:rPr>
                <w:color w:val="auto"/>
              </w:rPr>
            </w:pPr>
            <w:r>
              <w:rPr>
                <w:color w:val="auto"/>
              </w:rPr>
              <w:t>2.危险区域或部位挂警示标志。</w:t>
            </w:r>
          </w:p>
          <w:p>
            <w:pPr>
              <w:pStyle w:val="344"/>
              <w:jc w:val="both"/>
              <w:rPr>
                <w:color w:val="auto"/>
              </w:rPr>
            </w:pPr>
            <w:r>
              <w:rPr>
                <w:color w:val="auto"/>
              </w:rPr>
              <w:t>3.危险传动部位进行有效防护。</w:t>
            </w:r>
          </w:p>
          <w:p>
            <w:pPr>
              <w:pStyle w:val="344"/>
              <w:jc w:val="both"/>
              <w:rPr>
                <w:color w:val="auto"/>
              </w:rPr>
            </w:pPr>
            <w:r>
              <w:rPr>
                <w:color w:val="auto"/>
              </w:rPr>
              <w:t>4.远离危险区域。</w:t>
            </w:r>
          </w:p>
          <w:p>
            <w:pPr>
              <w:pStyle w:val="344"/>
              <w:jc w:val="both"/>
              <w:rPr>
                <w:color w:val="auto"/>
              </w:rPr>
            </w:pPr>
            <w:r>
              <w:rPr>
                <w:color w:val="auto"/>
              </w:rPr>
              <w:t>5.检修时注意监护，带全防护用品。</w:t>
            </w:r>
          </w:p>
          <w:p>
            <w:pPr>
              <w:pStyle w:val="344"/>
              <w:jc w:val="both"/>
              <w:rPr>
                <w:color w:val="auto"/>
              </w:rPr>
            </w:pPr>
            <w:r>
              <w:rPr>
                <w:rFonts w:hint="eastAsia"/>
                <w:color w:val="auto"/>
              </w:rPr>
              <w:t>6</w:t>
            </w:r>
            <w:r>
              <w:rPr>
                <w:color w:val="auto"/>
              </w:rPr>
              <w:t>.检修传动部位一定要断电并挂牌警示，防止误送电。</w:t>
            </w:r>
          </w:p>
          <w:p>
            <w:pPr>
              <w:pStyle w:val="344"/>
              <w:jc w:val="both"/>
              <w:rPr>
                <w:color w:val="auto"/>
              </w:rPr>
            </w:pPr>
            <w:r>
              <w:rPr>
                <w:rFonts w:hint="eastAsia"/>
                <w:color w:val="auto"/>
              </w:rPr>
              <w:t>7</w:t>
            </w:r>
            <w:r>
              <w:rPr>
                <w:color w:val="auto"/>
              </w:rPr>
              <w:t>.大型检修须制定详细检修计划，并设现场指挥，防止交叉作业误伤。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压缩</w:t>
            </w:r>
            <w:r>
              <w:rPr>
                <w:rFonts w:hint="eastAsia"/>
                <w:color w:val="auto"/>
              </w:rPr>
              <w:t>空气、氮</w:t>
            </w:r>
            <w:r>
              <w:rPr>
                <w:color w:val="auto"/>
              </w:rPr>
              <w:t>气管道阀门开裂</w:t>
            </w:r>
          </w:p>
        </w:tc>
        <w:tc>
          <w:tcPr>
            <w:tcW w:w="706" w:type="dxa"/>
            <w:vAlign w:val="center"/>
          </w:tcPr>
          <w:p>
            <w:pPr>
              <w:pStyle w:val="344"/>
              <w:rPr>
                <w:color w:val="auto"/>
              </w:rPr>
            </w:pPr>
            <w:r>
              <w:rPr>
                <w:rFonts w:hint="eastAsia"/>
                <w:color w:val="auto"/>
              </w:rPr>
              <w:t>运行</w:t>
            </w:r>
          </w:p>
        </w:tc>
        <w:tc>
          <w:tcPr>
            <w:tcW w:w="2795" w:type="dxa"/>
            <w:vAlign w:val="center"/>
          </w:tcPr>
          <w:p>
            <w:pPr>
              <w:pStyle w:val="344"/>
              <w:jc w:val="both"/>
              <w:rPr>
                <w:color w:val="auto"/>
              </w:rPr>
            </w:pPr>
            <w:r>
              <w:rPr>
                <w:color w:val="auto"/>
              </w:rPr>
              <w:t>管线因受热膨胀挤压阀门导致开裂漏气</w:t>
            </w:r>
            <w:r>
              <w:rPr>
                <w:rFonts w:hint="eastAsia"/>
                <w:color w:val="auto"/>
              </w:rPr>
              <w:t>：</w:t>
            </w:r>
          </w:p>
          <w:p>
            <w:pPr>
              <w:pStyle w:val="344"/>
              <w:jc w:val="both"/>
              <w:rPr>
                <w:color w:val="auto"/>
              </w:rPr>
            </w:pPr>
            <w:r>
              <w:rPr>
                <w:color w:val="auto"/>
              </w:rPr>
              <w:t>1. 压缩</w:t>
            </w:r>
            <w:r>
              <w:rPr>
                <w:rFonts w:hint="eastAsia"/>
                <w:color w:val="auto"/>
              </w:rPr>
              <w:t>氮</w:t>
            </w:r>
            <w:r>
              <w:rPr>
                <w:color w:val="auto"/>
              </w:rPr>
              <w:t>气管线敷设中未设热补偿或热补偿设置有缺陷。</w:t>
            </w:r>
          </w:p>
          <w:p>
            <w:pPr>
              <w:pStyle w:val="344"/>
              <w:jc w:val="both"/>
              <w:rPr>
                <w:color w:val="auto"/>
              </w:rPr>
            </w:pPr>
            <w:r>
              <w:rPr>
                <w:color w:val="auto"/>
              </w:rPr>
              <w:t>2.管线受热产生轴向位移，挤压阀门，造成阀门破裂。</w:t>
            </w:r>
          </w:p>
        </w:tc>
        <w:tc>
          <w:tcPr>
            <w:tcW w:w="755" w:type="dxa"/>
            <w:vAlign w:val="center"/>
          </w:tcPr>
          <w:p>
            <w:pPr>
              <w:pStyle w:val="344"/>
              <w:jc w:val="center"/>
              <w:rPr>
                <w:color w:val="auto"/>
              </w:rPr>
            </w:pPr>
            <w:r>
              <w:rPr>
                <w:color w:val="auto"/>
              </w:rPr>
              <w:t>漏气导致仪表停运</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color w:val="auto"/>
              </w:rPr>
              <w:t>应执行设计规范，厂区架空压缩</w:t>
            </w:r>
            <w:r>
              <w:rPr>
                <w:rFonts w:hint="eastAsia"/>
                <w:color w:val="auto"/>
              </w:rPr>
              <w:t>氮</w:t>
            </w:r>
            <w:r>
              <w:rPr>
                <w:color w:val="auto"/>
              </w:rPr>
              <w:t>气管道应设热补偿。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压缩机机体振动</w:t>
            </w:r>
          </w:p>
        </w:tc>
        <w:tc>
          <w:tcPr>
            <w:tcW w:w="706" w:type="dxa"/>
            <w:vAlign w:val="center"/>
          </w:tcPr>
          <w:p>
            <w:pPr>
              <w:pStyle w:val="344"/>
              <w:rPr>
                <w:color w:val="auto"/>
              </w:rPr>
            </w:pPr>
            <w:r>
              <w:rPr>
                <w:color w:val="auto"/>
              </w:rPr>
              <w:t>启动压缩机</w:t>
            </w:r>
          </w:p>
        </w:tc>
        <w:tc>
          <w:tcPr>
            <w:tcW w:w="2795" w:type="dxa"/>
            <w:vAlign w:val="center"/>
          </w:tcPr>
          <w:p>
            <w:pPr>
              <w:pStyle w:val="344"/>
              <w:jc w:val="both"/>
              <w:rPr>
                <w:color w:val="auto"/>
              </w:rPr>
            </w:pPr>
            <w:r>
              <w:rPr>
                <w:color w:val="auto"/>
              </w:rPr>
              <w:t>开车或负荷波动</w:t>
            </w:r>
            <w:r>
              <w:rPr>
                <w:rFonts w:hint="eastAsia"/>
                <w:color w:val="auto"/>
              </w:rPr>
              <w:t>：</w:t>
            </w:r>
            <w:r>
              <w:rPr>
                <w:color w:val="auto"/>
              </w:rPr>
              <w:t>1.离心式压缩机负荷低。</w:t>
            </w:r>
          </w:p>
          <w:p>
            <w:pPr>
              <w:pStyle w:val="344"/>
              <w:jc w:val="both"/>
              <w:rPr>
                <w:color w:val="auto"/>
              </w:rPr>
            </w:pPr>
            <w:r>
              <w:rPr>
                <w:color w:val="auto"/>
              </w:rPr>
              <w:t>2.离心式压缩机排气管的放空管上防喘振调节阀启闭失灵，未起到调节作用。</w:t>
            </w:r>
          </w:p>
          <w:p>
            <w:pPr>
              <w:pStyle w:val="344"/>
              <w:jc w:val="both"/>
              <w:rPr>
                <w:color w:val="auto"/>
              </w:rPr>
            </w:pPr>
            <w:r>
              <w:rPr>
                <w:color w:val="auto"/>
              </w:rPr>
              <w:t>3.安装质量差。</w:t>
            </w:r>
          </w:p>
          <w:p>
            <w:pPr>
              <w:pStyle w:val="344"/>
              <w:jc w:val="both"/>
              <w:rPr>
                <w:color w:val="auto"/>
              </w:rPr>
            </w:pPr>
            <w:r>
              <w:rPr>
                <w:color w:val="auto"/>
              </w:rPr>
              <w:t>4.进气口或过滤器不畅。</w:t>
            </w:r>
          </w:p>
        </w:tc>
        <w:tc>
          <w:tcPr>
            <w:tcW w:w="755" w:type="dxa"/>
            <w:vAlign w:val="center"/>
          </w:tcPr>
          <w:p>
            <w:pPr>
              <w:pStyle w:val="344"/>
              <w:jc w:val="center"/>
              <w:rPr>
                <w:color w:val="auto"/>
              </w:rPr>
            </w:pPr>
            <w:r>
              <w:rPr>
                <w:rFonts w:hint="eastAsia"/>
                <w:color w:val="auto"/>
              </w:rPr>
              <w:t>人员伤害</w:t>
            </w:r>
            <w:r>
              <w:rPr>
                <w:color w:val="auto"/>
              </w:rPr>
              <w:t>。压缩机振坏。</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color w:val="auto"/>
              </w:rPr>
              <w:t>1.吸气过滤器与压缩机之间应设进气量调节阀。</w:t>
            </w:r>
          </w:p>
          <w:p>
            <w:pPr>
              <w:pStyle w:val="344"/>
              <w:jc w:val="both"/>
              <w:rPr>
                <w:color w:val="auto"/>
              </w:rPr>
            </w:pPr>
            <w:r>
              <w:rPr>
                <w:color w:val="auto"/>
              </w:rPr>
              <w:t>2.排气管上的防喘振调节阀要经常检查动作是否灵便。及时检修。</w:t>
            </w:r>
          </w:p>
          <w:p>
            <w:pPr>
              <w:pStyle w:val="344"/>
              <w:jc w:val="both"/>
              <w:rPr>
                <w:color w:val="auto"/>
              </w:rPr>
            </w:pPr>
            <w:r>
              <w:rPr>
                <w:color w:val="auto"/>
              </w:rPr>
              <w:t>3.压缩机安装环境如较恶劣应经常清理过滤器。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压缩机抱轴或轴承损坏</w:t>
            </w:r>
          </w:p>
        </w:tc>
        <w:tc>
          <w:tcPr>
            <w:tcW w:w="706" w:type="dxa"/>
            <w:vAlign w:val="center"/>
          </w:tcPr>
          <w:p>
            <w:pPr>
              <w:pStyle w:val="344"/>
              <w:rPr>
                <w:color w:val="auto"/>
              </w:rPr>
            </w:pPr>
            <w:r>
              <w:rPr>
                <w:color w:val="auto"/>
              </w:rPr>
              <w:t>1.突然停电</w:t>
            </w:r>
          </w:p>
          <w:p>
            <w:pPr>
              <w:pStyle w:val="344"/>
              <w:rPr>
                <w:color w:val="auto"/>
              </w:rPr>
            </w:pPr>
            <w:r>
              <w:rPr>
                <w:color w:val="auto"/>
              </w:rPr>
              <w:t>2.运行中</w:t>
            </w:r>
          </w:p>
          <w:p>
            <w:pPr>
              <w:pStyle w:val="344"/>
              <w:rPr>
                <w:color w:val="auto"/>
              </w:rPr>
            </w:pPr>
          </w:p>
        </w:tc>
        <w:tc>
          <w:tcPr>
            <w:tcW w:w="2795" w:type="dxa"/>
            <w:vAlign w:val="center"/>
          </w:tcPr>
          <w:p>
            <w:pPr>
              <w:pStyle w:val="344"/>
              <w:jc w:val="both"/>
              <w:rPr>
                <w:color w:val="auto"/>
              </w:rPr>
            </w:pPr>
            <w:r>
              <w:rPr>
                <w:color w:val="auto"/>
              </w:rPr>
              <w:t>润滑油泵停运中断供油或供油不足</w:t>
            </w:r>
            <w:r>
              <w:rPr>
                <w:rFonts w:hint="eastAsia"/>
                <w:color w:val="auto"/>
              </w:rPr>
              <w:t>：</w:t>
            </w:r>
          </w:p>
          <w:p>
            <w:pPr>
              <w:pStyle w:val="344"/>
              <w:jc w:val="both"/>
              <w:rPr>
                <w:color w:val="auto"/>
              </w:rPr>
            </w:pPr>
            <w:r>
              <w:rPr>
                <w:color w:val="auto"/>
              </w:rPr>
              <w:t>1.高位油箱高度不够，压差小。停电时润滑油供量不足。</w:t>
            </w:r>
          </w:p>
          <w:p>
            <w:pPr>
              <w:pStyle w:val="344"/>
              <w:jc w:val="both"/>
              <w:rPr>
                <w:color w:val="auto"/>
              </w:rPr>
            </w:pPr>
            <w:r>
              <w:rPr>
                <w:color w:val="auto"/>
              </w:rPr>
              <w:t>2.压缩机双层布置时或主油泵由机组主轴带动，润滑油泵入口与油箱高度差不符合要求，造成吸入受阻。</w:t>
            </w:r>
          </w:p>
        </w:tc>
        <w:tc>
          <w:tcPr>
            <w:tcW w:w="755" w:type="dxa"/>
            <w:vAlign w:val="center"/>
          </w:tcPr>
          <w:p>
            <w:pPr>
              <w:pStyle w:val="344"/>
              <w:jc w:val="center"/>
              <w:rPr>
                <w:color w:val="auto"/>
              </w:rPr>
            </w:pPr>
            <w:r>
              <w:rPr>
                <w:color w:val="auto"/>
              </w:rPr>
              <w:t>压缩机严重损坏</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color w:val="auto"/>
              </w:rPr>
              <w:t>1.设置高位油箱，应高于压缩机水平中心线5m.</w:t>
            </w:r>
          </w:p>
          <w:p>
            <w:pPr>
              <w:pStyle w:val="344"/>
              <w:jc w:val="both"/>
              <w:rPr>
                <w:color w:val="auto"/>
              </w:rPr>
            </w:pPr>
            <w:r>
              <w:rPr>
                <w:color w:val="auto"/>
              </w:rPr>
              <w:t>2.空压站设双回路供电。</w:t>
            </w:r>
          </w:p>
          <w:p>
            <w:pPr>
              <w:pStyle w:val="344"/>
              <w:jc w:val="both"/>
              <w:rPr>
                <w:color w:val="auto"/>
              </w:rPr>
            </w:pPr>
            <w:r>
              <w:rPr>
                <w:color w:val="auto"/>
              </w:rPr>
              <w:t>3.润滑油供油装置布置在底层时，底盘与主油泵入口高差应符合主油泵吸油高度要求。</w:t>
            </w:r>
          </w:p>
          <w:p>
            <w:pPr>
              <w:pStyle w:val="344"/>
              <w:jc w:val="both"/>
              <w:rPr>
                <w:color w:val="auto"/>
              </w:rPr>
            </w:pPr>
            <w:r>
              <w:rPr>
                <w:color w:val="auto"/>
              </w:rPr>
              <w:t>4.随时巡检压缩机润滑情况。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电器电缆火灾</w:t>
            </w:r>
          </w:p>
        </w:tc>
        <w:tc>
          <w:tcPr>
            <w:tcW w:w="706" w:type="dxa"/>
            <w:vAlign w:val="center"/>
          </w:tcPr>
          <w:p>
            <w:pPr>
              <w:pStyle w:val="344"/>
              <w:rPr>
                <w:color w:val="auto"/>
              </w:rPr>
            </w:pPr>
            <w:r>
              <w:rPr>
                <w:color w:val="auto"/>
              </w:rPr>
              <w:t>停车后启动压缩机</w:t>
            </w:r>
          </w:p>
        </w:tc>
        <w:tc>
          <w:tcPr>
            <w:tcW w:w="2795" w:type="dxa"/>
            <w:vAlign w:val="center"/>
          </w:tcPr>
          <w:p>
            <w:pPr>
              <w:pStyle w:val="344"/>
              <w:jc w:val="both"/>
              <w:rPr>
                <w:color w:val="auto"/>
              </w:rPr>
            </w:pPr>
            <w:r>
              <w:rPr>
                <w:color w:val="auto"/>
              </w:rPr>
              <w:t>启动电流大电器或电缆过载发热打火</w:t>
            </w:r>
            <w:r>
              <w:rPr>
                <w:rFonts w:hint="eastAsia"/>
                <w:color w:val="auto"/>
              </w:rPr>
              <w:t>：</w:t>
            </w:r>
          </w:p>
          <w:p>
            <w:pPr>
              <w:pStyle w:val="344"/>
              <w:jc w:val="both"/>
              <w:rPr>
                <w:color w:val="auto"/>
              </w:rPr>
            </w:pPr>
            <w:r>
              <w:rPr>
                <w:color w:val="auto"/>
              </w:rPr>
              <w:t>1.压缩机润滑不好造成电机启动负荷加大。</w:t>
            </w:r>
          </w:p>
          <w:p>
            <w:pPr>
              <w:pStyle w:val="344"/>
              <w:jc w:val="both"/>
              <w:rPr>
                <w:color w:val="auto"/>
              </w:rPr>
            </w:pPr>
            <w:r>
              <w:rPr>
                <w:color w:val="auto"/>
              </w:rPr>
              <w:t>2.启动时未关闭压缩机与储气罐之间的切断阀，造成带负荷启动。</w:t>
            </w:r>
          </w:p>
          <w:p>
            <w:pPr>
              <w:pStyle w:val="344"/>
              <w:jc w:val="both"/>
              <w:rPr>
                <w:color w:val="auto"/>
              </w:rPr>
            </w:pPr>
            <w:r>
              <w:rPr>
                <w:color w:val="auto"/>
              </w:rPr>
              <w:t>3.线路保护层受损，引起短路打火。</w:t>
            </w:r>
          </w:p>
          <w:p>
            <w:pPr>
              <w:pStyle w:val="344"/>
              <w:jc w:val="both"/>
              <w:rPr>
                <w:color w:val="auto"/>
              </w:rPr>
            </w:pPr>
            <w:r>
              <w:rPr>
                <w:color w:val="auto"/>
              </w:rPr>
              <w:t>4.温度过热造成绝缘性能降低，发生击穿起火。</w:t>
            </w:r>
          </w:p>
          <w:p>
            <w:pPr>
              <w:pStyle w:val="344"/>
              <w:jc w:val="both"/>
              <w:rPr>
                <w:color w:val="auto"/>
              </w:rPr>
            </w:pPr>
            <w:r>
              <w:rPr>
                <w:color w:val="auto"/>
              </w:rPr>
              <w:t>5.夏季空气潮湿，控制系统积尘缺乏清扫而短路打火。</w:t>
            </w:r>
          </w:p>
        </w:tc>
        <w:tc>
          <w:tcPr>
            <w:tcW w:w="755" w:type="dxa"/>
            <w:vAlign w:val="center"/>
          </w:tcPr>
          <w:p>
            <w:pPr>
              <w:pStyle w:val="344"/>
              <w:jc w:val="center"/>
              <w:rPr>
                <w:color w:val="auto"/>
              </w:rPr>
            </w:pPr>
            <w:r>
              <w:rPr>
                <w:color w:val="auto"/>
              </w:rPr>
              <w:t>损坏供电设施人员受伤</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color w:val="auto"/>
              </w:rPr>
              <w:t>1.检查润滑系统然后启动压缩机。</w:t>
            </w:r>
          </w:p>
          <w:p>
            <w:pPr>
              <w:pStyle w:val="344"/>
              <w:jc w:val="both"/>
              <w:rPr>
                <w:color w:val="auto"/>
              </w:rPr>
            </w:pPr>
            <w:r>
              <w:rPr>
                <w:color w:val="auto"/>
              </w:rPr>
              <w:t>2.启动压缩机必须打开排空阀，待压缩机运转正常后关闭排空阀。</w:t>
            </w:r>
          </w:p>
          <w:p>
            <w:pPr>
              <w:pStyle w:val="344"/>
              <w:jc w:val="both"/>
              <w:rPr>
                <w:color w:val="auto"/>
              </w:rPr>
            </w:pPr>
            <w:r>
              <w:rPr>
                <w:color w:val="auto"/>
              </w:rPr>
              <w:t>3.线路设计必须满足最大负荷要求。</w:t>
            </w:r>
          </w:p>
          <w:p>
            <w:pPr>
              <w:pStyle w:val="344"/>
              <w:jc w:val="both"/>
              <w:rPr>
                <w:color w:val="auto"/>
              </w:rPr>
            </w:pPr>
            <w:r>
              <w:rPr>
                <w:color w:val="auto"/>
              </w:rPr>
              <w:t>4.注意控制柜环境温度，必要时采取降温措施。</w:t>
            </w:r>
          </w:p>
          <w:p>
            <w:pPr>
              <w:pStyle w:val="344"/>
              <w:jc w:val="both"/>
              <w:rPr>
                <w:color w:val="auto"/>
              </w:rPr>
            </w:pPr>
            <w:r>
              <w:rPr>
                <w:color w:val="auto"/>
              </w:rPr>
              <w:t>5.定期清扫配电柜积尘。</w:t>
            </w:r>
          </w:p>
          <w:p>
            <w:pPr>
              <w:pStyle w:val="344"/>
              <w:jc w:val="both"/>
              <w:rPr>
                <w:color w:val="auto"/>
              </w:rPr>
            </w:pPr>
            <w:r>
              <w:rPr>
                <w:color w:val="auto"/>
              </w:rPr>
              <w:t>6.动力电缆、控制电缆选用阻燃型，埋地应使用金属管保护。穿墙洞必须填堵。</w:t>
            </w:r>
          </w:p>
          <w:p>
            <w:pPr>
              <w:pStyle w:val="344"/>
              <w:jc w:val="both"/>
              <w:rPr>
                <w:color w:val="auto"/>
              </w:rPr>
            </w:pPr>
            <w:r>
              <w:rPr>
                <w:color w:val="auto"/>
              </w:rPr>
              <w:t>7.所有电器外壳及构架做可靠接地。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center"/>
          </w:tcPr>
          <w:p>
            <w:pPr>
              <w:pStyle w:val="344"/>
              <w:rPr>
                <w:color w:val="auto"/>
              </w:rPr>
            </w:pPr>
            <w:r>
              <w:rPr>
                <w:color w:val="auto"/>
              </w:rPr>
              <w:t>触电</w:t>
            </w:r>
          </w:p>
        </w:tc>
        <w:tc>
          <w:tcPr>
            <w:tcW w:w="706" w:type="dxa"/>
            <w:vAlign w:val="center"/>
          </w:tcPr>
          <w:p>
            <w:pPr>
              <w:pStyle w:val="344"/>
              <w:jc w:val="center"/>
              <w:rPr>
                <w:color w:val="auto"/>
              </w:rPr>
            </w:pPr>
            <w:r>
              <w:rPr>
                <w:color w:val="auto"/>
              </w:rPr>
              <w:t>检修中</w:t>
            </w:r>
          </w:p>
        </w:tc>
        <w:tc>
          <w:tcPr>
            <w:tcW w:w="2795" w:type="dxa"/>
          </w:tcPr>
          <w:p>
            <w:pPr>
              <w:pStyle w:val="344"/>
              <w:jc w:val="both"/>
              <w:rPr>
                <w:color w:val="auto"/>
              </w:rPr>
            </w:pPr>
            <w:r>
              <w:rPr>
                <w:color w:val="auto"/>
              </w:rPr>
              <w:t>1.电气工作不办理工作票、操作票，不执行安全监护制度。</w:t>
            </w:r>
          </w:p>
          <w:p>
            <w:pPr>
              <w:pStyle w:val="344"/>
              <w:jc w:val="both"/>
              <w:rPr>
                <w:color w:val="auto"/>
              </w:rPr>
            </w:pPr>
            <w:r>
              <w:rPr>
                <w:color w:val="auto"/>
              </w:rPr>
              <w:t>2.不使用或使用不合格的绝缘工具，工作前不验电。3.移动使用的配电箱、板及所用导线不符合要求，未使用漏电保护器，不戴绝缘手套。4.在电缆沟、金属结构架工作不使用安全电压。5.在潮湿、环境内工作不穿绝缘鞋，无绝缘垫，无监护人。6.乱接不符合要求的临时线。7.电气装置的绝缘或外壳损坏。8.检修电器设备工作人员擅自扩大工作范围。9.危险标志不明</w:t>
            </w:r>
          </w:p>
        </w:tc>
        <w:tc>
          <w:tcPr>
            <w:tcW w:w="755" w:type="dxa"/>
            <w:vAlign w:val="center"/>
          </w:tcPr>
          <w:p>
            <w:pPr>
              <w:pStyle w:val="344"/>
              <w:jc w:val="center"/>
              <w:rPr>
                <w:color w:val="auto"/>
              </w:rPr>
            </w:pPr>
            <w:r>
              <w:rPr>
                <w:color w:val="auto"/>
              </w:rPr>
              <w:t>人员伤亡</w:t>
            </w:r>
          </w:p>
        </w:tc>
        <w:tc>
          <w:tcPr>
            <w:tcW w:w="720" w:type="dxa"/>
            <w:vAlign w:val="center"/>
          </w:tcPr>
          <w:p>
            <w:pPr>
              <w:pStyle w:val="344"/>
              <w:jc w:val="center"/>
              <w:rPr>
                <w:color w:val="auto"/>
              </w:rPr>
            </w:pPr>
            <w:r>
              <w:rPr>
                <w:rFonts w:hint="eastAsia"/>
                <w:color w:val="auto"/>
              </w:rPr>
              <w:t>Ⅲ</w:t>
            </w:r>
          </w:p>
        </w:tc>
        <w:tc>
          <w:tcPr>
            <w:tcW w:w="3788" w:type="dxa"/>
            <w:vAlign w:val="center"/>
          </w:tcPr>
          <w:p>
            <w:pPr>
              <w:pStyle w:val="344"/>
              <w:jc w:val="both"/>
              <w:rPr>
                <w:color w:val="auto"/>
              </w:rPr>
            </w:pPr>
            <w:r>
              <w:rPr>
                <w:color w:val="auto"/>
              </w:rPr>
              <w:t>1.严格执行电气安全规程。</w:t>
            </w:r>
          </w:p>
          <w:p>
            <w:pPr>
              <w:pStyle w:val="344"/>
              <w:jc w:val="both"/>
              <w:rPr>
                <w:color w:val="auto"/>
              </w:rPr>
            </w:pPr>
            <w:r>
              <w:rPr>
                <w:color w:val="auto"/>
              </w:rPr>
              <w:t>2.移动使用的配电箱、板应采用完整的、带保护线的多股铜芯橡皮护套软电缆或护套软线作电源线，同时应装设漏电保护器。</w:t>
            </w:r>
          </w:p>
          <w:p>
            <w:pPr>
              <w:pStyle w:val="344"/>
              <w:jc w:val="both"/>
              <w:rPr>
                <w:color w:val="auto"/>
              </w:rPr>
            </w:pPr>
            <w:r>
              <w:rPr>
                <w:color w:val="auto"/>
              </w:rPr>
              <w:t>3.临时用电应经主管部门审查批准专人管理。</w:t>
            </w:r>
          </w:p>
          <w:p>
            <w:pPr>
              <w:pStyle w:val="344"/>
              <w:jc w:val="both"/>
              <w:rPr>
                <w:color w:val="auto"/>
              </w:rPr>
            </w:pPr>
            <w:r>
              <w:rPr>
                <w:color w:val="auto"/>
              </w:rPr>
              <w:t>4.设备外壳要进行接地或接零。</w:t>
            </w:r>
          </w:p>
          <w:p>
            <w:pPr>
              <w:pStyle w:val="344"/>
              <w:jc w:val="both"/>
              <w:rPr>
                <w:color w:val="auto"/>
              </w:rPr>
            </w:pPr>
            <w:r>
              <w:rPr>
                <w:color w:val="auto"/>
              </w:rPr>
              <w:t>5.电气设备要有良好的绝缘和机械强度。</w:t>
            </w:r>
          </w:p>
          <w:p>
            <w:pPr>
              <w:pStyle w:val="344"/>
              <w:jc w:val="both"/>
              <w:rPr>
                <w:color w:val="auto"/>
              </w:rPr>
            </w:pPr>
            <w:r>
              <w:rPr>
                <w:color w:val="auto"/>
              </w:rPr>
              <w:t>6 严禁非电工操作。</w:t>
            </w:r>
          </w:p>
          <w:p>
            <w:pPr>
              <w:pStyle w:val="344"/>
              <w:jc w:val="both"/>
              <w:rPr>
                <w:color w:val="auto"/>
              </w:rPr>
            </w:pPr>
            <w:r>
              <w:rPr>
                <w:color w:val="auto"/>
              </w:rPr>
              <w:t>7．电器检修要穿用绝缘防护用品。</w:t>
            </w:r>
          </w:p>
          <w:p>
            <w:pPr>
              <w:pStyle w:val="344"/>
              <w:jc w:val="both"/>
              <w:rPr>
                <w:color w:val="auto"/>
              </w:rPr>
            </w:pPr>
            <w:r>
              <w:rPr>
                <w:color w:val="auto"/>
              </w:rPr>
              <w:t>8.加强监护。</w:t>
            </w:r>
          </w:p>
        </w:tc>
      </w:tr>
    </w:tbl>
    <w:p>
      <w:pPr>
        <w:pStyle w:val="54"/>
        <w:ind w:firstLine="562"/>
        <w:rPr>
          <w:b/>
          <w:color w:val="auto"/>
        </w:rPr>
      </w:pPr>
      <w:r>
        <w:rPr>
          <w:rFonts w:hint="eastAsia"/>
          <w:b/>
          <w:color w:val="auto"/>
        </w:rPr>
        <w:t>2.评价小结</w:t>
      </w:r>
    </w:p>
    <w:p>
      <w:pPr>
        <w:pStyle w:val="54"/>
        <w:ind w:firstLine="560"/>
        <w:rPr>
          <w:color w:val="auto"/>
        </w:rPr>
      </w:pPr>
      <w:r>
        <w:rPr>
          <w:rFonts w:hint="eastAsia"/>
          <w:color w:val="auto"/>
        </w:rPr>
        <w:t>预先危险性分析空压制氮装置子单元存在的主要危险有害因素有：压缩空气、氮气管道阀门开裂、压缩机机体振动、压缩机抱轴或轴承损坏、电气电缆火灾及触电事故的危险等级为Ⅲ级，危险程度是危险的，会造成人员伤亡和系统损坏，必须采取防范对策措施。机械伤害的危险等级为Ⅱ级，危险程度是临界的，处于事故的边缘状态，暂时还不会造成人员伤亡、系统损坏降低系统性能，但应予排除或采取控制措施。</w:t>
      </w:r>
    </w:p>
    <w:p>
      <w:pPr>
        <w:pStyle w:val="3"/>
        <w:rPr>
          <w:color w:val="auto"/>
        </w:rPr>
      </w:pPr>
      <w:bookmarkStart w:id="1017" w:name="_Toc4982"/>
      <w:bookmarkStart w:id="1018" w:name="_Toc126586703"/>
      <w:bookmarkStart w:id="1019" w:name="_Toc20184"/>
      <w:bookmarkStart w:id="1020" w:name="_Toc16480"/>
      <w:bookmarkStart w:id="1021" w:name="_Toc2764"/>
      <w:bookmarkStart w:id="1022" w:name="_Toc31994"/>
      <w:bookmarkStart w:id="1023" w:name="_Toc96877140"/>
      <w:bookmarkStart w:id="1024" w:name="_Toc2107"/>
      <w:r>
        <w:rPr>
          <w:rFonts w:hint="eastAsia"/>
          <w:color w:val="auto"/>
        </w:rPr>
        <w:t>C</w:t>
      </w:r>
      <w:r>
        <w:rPr>
          <w:color w:val="auto"/>
        </w:rPr>
        <w:t xml:space="preserve">.5 </w:t>
      </w:r>
      <w:r>
        <w:rPr>
          <w:rFonts w:hint="eastAsia"/>
          <w:color w:val="auto"/>
        </w:rPr>
        <w:t>储运系统单元</w:t>
      </w:r>
      <w:bookmarkEnd w:id="1017"/>
      <w:bookmarkEnd w:id="1018"/>
      <w:bookmarkEnd w:id="1019"/>
      <w:bookmarkEnd w:id="1020"/>
      <w:bookmarkEnd w:id="1021"/>
      <w:bookmarkEnd w:id="1022"/>
      <w:bookmarkEnd w:id="1023"/>
      <w:bookmarkEnd w:id="1024"/>
    </w:p>
    <w:p>
      <w:pPr>
        <w:pStyle w:val="4"/>
        <w:ind w:firstLine="560"/>
        <w:rPr>
          <w:color w:val="auto"/>
        </w:rPr>
      </w:pPr>
      <w:bookmarkStart w:id="1025" w:name="_Toc126586704"/>
      <w:bookmarkStart w:id="1026" w:name="_Toc19206"/>
      <w:bookmarkStart w:id="1027" w:name="_Toc3238"/>
      <w:bookmarkStart w:id="1028" w:name="_Toc1736"/>
      <w:bookmarkStart w:id="1029" w:name="_Toc18670"/>
      <w:bookmarkStart w:id="1030" w:name="_Toc96877141"/>
      <w:bookmarkStart w:id="1031" w:name="_Toc23043"/>
      <w:bookmarkStart w:id="1032" w:name="_Toc9569"/>
      <w:r>
        <w:rPr>
          <w:color w:val="auto"/>
        </w:rPr>
        <w:t xml:space="preserve">C.5.1 </w:t>
      </w:r>
      <w:r>
        <w:rPr>
          <w:rFonts w:hint="eastAsia"/>
          <w:color w:val="auto"/>
        </w:rPr>
        <w:t>仓库子单元</w:t>
      </w:r>
      <w:bookmarkEnd w:id="1025"/>
      <w:bookmarkEnd w:id="1026"/>
      <w:bookmarkEnd w:id="1027"/>
      <w:bookmarkEnd w:id="1028"/>
      <w:bookmarkEnd w:id="1029"/>
      <w:bookmarkEnd w:id="1030"/>
      <w:bookmarkEnd w:id="1031"/>
      <w:bookmarkEnd w:id="1032"/>
    </w:p>
    <w:p>
      <w:pPr>
        <w:pStyle w:val="54"/>
        <w:ind w:firstLine="560"/>
        <w:rPr>
          <w:color w:val="auto"/>
        </w:rPr>
      </w:pPr>
      <w:r>
        <w:rPr>
          <w:rFonts w:hint="eastAsia"/>
          <w:color w:val="auto"/>
        </w:rPr>
        <w:t>该项目拟新建</w:t>
      </w:r>
      <w:r>
        <w:rPr>
          <w:color w:val="auto"/>
        </w:rPr>
        <w:t>20</w:t>
      </w:r>
      <w:r>
        <w:rPr>
          <w:rFonts w:hint="eastAsia"/>
          <w:color w:val="auto"/>
          <w:lang w:val="en-US" w:eastAsia="zh-CN"/>
        </w:rPr>
        <w:t>1甲</w:t>
      </w:r>
      <w:r>
        <w:rPr>
          <w:rFonts w:hint="eastAsia"/>
          <w:color w:val="auto"/>
        </w:rPr>
        <w:t>类仓库</w:t>
      </w:r>
      <w:r>
        <w:rPr>
          <w:rFonts w:hint="eastAsia"/>
          <w:color w:val="auto"/>
          <w:lang w:eastAsia="zh-CN"/>
        </w:rPr>
        <w:t>、</w:t>
      </w:r>
      <w:r>
        <w:rPr>
          <w:rFonts w:hint="eastAsia"/>
          <w:color w:val="auto"/>
          <w:lang w:val="en-US" w:eastAsia="zh-CN"/>
        </w:rPr>
        <w:t>202丙类仓库一、204丙类仓库二</w:t>
      </w:r>
      <w:r>
        <w:rPr>
          <w:rFonts w:hint="eastAsia"/>
          <w:color w:val="auto"/>
        </w:rPr>
        <w:t>；部分原辅材料、产品利用新建仓库进行储存，并且不同物料及相互禁忌的物料分隔间储存，拟按照规范的要求配备消火栓并有排风机进行强制通风，仓库的人员严格按公司的有关规定进行管理及操作，无关人员不得入内。库区注意防潮、防火、防爆，保持库区的干燥及通风。仓库内原料储存周期不低于</w:t>
      </w:r>
      <w:r>
        <w:rPr>
          <w:color w:val="auto"/>
        </w:rPr>
        <w:t>10</w:t>
      </w:r>
      <w:r>
        <w:rPr>
          <w:rFonts w:hint="eastAsia"/>
          <w:color w:val="auto"/>
        </w:rPr>
        <w:t>天，成品储存周期不高于60天。</w:t>
      </w:r>
    </w:p>
    <w:p>
      <w:pPr>
        <w:pStyle w:val="54"/>
        <w:ind w:firstLine="562"/>
        <w:rPr>
          <w:b/>
          <w:color w:val="auto"/>
        </w:rPr>
      </w:pPr>
      <w:r>
        <w:rPr>
          <w:b/>
          <w:color w:val="auto"/>
        </w:rPr>
        <w:t>1. 预先危险分析</w:t>
      </w:r>
    </w:p>
    <w:p>
      <w:pPr>
        <w:pStyle w:val="54"/>
        <w:ind w:firstLine="560"/>
        <w:rPr>
          <w:rFonts w:hint="eastAsia"/>
          <w:color w:val="auto"/>
        </w:rPr>
      </w:pPr>
      <w:r>
        <w:rPr>
          <w:color w:val="auto"/>
        </w:rPr>
        <w:t>采用预先危险分析法（PHA）对本子单元进行分析评价，具体情况见表C.5-1</w:t>
      </w:r>
      <w:r>
        <w:rPr>
          <w:rFonts w:hint="eastAsia"/>
          <w:color w:val="auto"/>
        </w:rPr>
        <w:t>。</w:t>
      </w:r>
    </w:p>
    <w:p>
      <w:pPr>
        <w:pStyle w:val="53"/>
        <w:rPr>
          <w:color w:val="auto"/>
        </w:rPr>
      </w:pPr>
      <w:r>
        <w:rPr>
          <w:rFonts w:hint="eastAsia"/>
          <w:color w:val="auto"/>
        </w:rPr>
        <w:t>表</w:t>
      </w:r>
      <w:r>
        <w:rPr>
          <w:color w:val="auto"/>
        </w:rPr>
        <w:t xml:space="preserve">C.5-1 </w:t>
      </w:r>
      <w:r>
        <w:rPr>
          <w:rFonts w:hint="eastAsia"/>
          <w:color w:val="auto"/>
        </w:rPr>
        <w:t xml:space="preserve"> </w:t>
      </w:r>
      <w:r>
        <w:rPr>
          <w:color w:val="auto"/>
        </w:rPr>
        <w:t>仓库</w:t>
      </w:r>
      <w:r>
        <w:rPr>
          <w:rFonts w:hint="eastAsia"/>
          <w:color w:val="auto"/>
        </w:rPr>
        <w:t>子</w:t>
      </w:r>
      <w:r>
        <w:rPr>
          <w:color w:val="auto"/>
        </w:rPr>
        <w:t>单元预先危险性分析评价表</w:t>
      </w:r>
    </w:p>
    <w:tbl>
      <w:tblPr>
        <w:tblStyle w:val="42"/>
        <w:tblW w:w="9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426"/>
        <w:gridCol w:w="3327"/>
        <w:gridCol w:w="716"/>
        <w:gridCol w:w="780"/>
        <w:gridCol w:w="3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344"/>
              <w:jc w:val="center"/>
              <w:rPr>
                <w:color w:val="auto"/>
              </w:rPr>
            </w:pPr>
            <w:r>
              <w:rPr>
                <w:rFonts w:hint="eastAsia"/>
                <w:color w:val="auto"/>
              </w:rPr>
              <w:t>事故</w:t>
            </w:r>
          </w:p>
        </w:tc>
        <w:tc>
          <w:tcPr>
            <w:tcW w:w="426" w:type="dxa"/>
            <w:vAlign w:val="center"/>
          </w:tcPr>
          <w:p>
            <w:pPr>
              <w:pStyle w:val="344"/>
              <w:jc w:val="center"/>
              <w:rPr>
                <w:color w:val="auto"/>
              </w:rPr>
            </w:pPr>
            <w:r>
              <w:rPr>
                <w:rFonts w:hint="eastAsia"/>
                <w:color w:val="auto"/>
              </w:rPr>
              <w:t>阶段</w:t>
            </w:r>
          </w:p>
        </w:tc>
        <w:tc>
          <w:tcPr>
            <w:tcW w:w="3327" w:type="dxa"/>
            <w:vAlign w:val="center"/>
          </w:tcPr>
          <w:p>
            <w:pPr>
              <w:pStyle w:val="344"/>
              <w:jc w:val="center"/>
              <w:rPr>
                <w:color w:val="auto"/>
              </w:rPr>
            </w:pPr>
            <w:r>
              <w:rPr>
                <w:rFonts w:hint="eastAsia"/>
                <w:color w:val="auto"/>
              </w:rPr>
              <w:t>原因</w:t>
            </w:r>
          </w:p>
        </w:tc>
        <w:tc>
          <w:tcPr>
            <w:tcW w:w="716" w:type="dxa"/>
            <w:vAlign w:val="center"/>
          </w:tcPr>
          <w:p>
            <w:pPr>
              <w:pStyle w:val="344"/>
              <w:jc w:val="center"/>
              <w:rPr>
                <w:color w:val="auto"/>
              </w:rPr>
            </w:pPr>
            <w:r>
              <w:rPr>
                <w:rFonts w:hint="eastAsia"/>
                <w:color w:val="auto"/>
              </w:rPr>
              <w:t>事故后果</w:t>
            </w:r>
          </w:p>
        </w:tc>
        <w:tc>
          <w:tcPr>
            <w:tcW w:w="780" w:type="dxa"/>
            <w:vAlign w:val="center"/>
          </w:tcPr>
          <w:p>
            <w:pPr>
              <w:pStyle w:val="344"/>
              <w:jc w:val="center"/>
              <w:rPr>
                <w:color w:val="auto"/>
              </w:rPr>
            </w:pPr>
            <w:r>
              <w:rPr>
                <w:rFonts w:hint="eastAsia"/>
                <w:color w:val="auto"/>
              </w:rPr>
              <w:t>危险等级</w:t>
            </w:r>
          </w:p>
        </w:tc>
        <w:tc>
          <w:tcPr>
            <w:tcW w:w="3516" w:type="dxa"/>
            <w:vAlign w:val="center"/>
          </w:tcPr>
          <w:p>
            <w:pPr>
              <w:pStyle w:val="344"/>
              <w:jc w:val="center"/>
              <w:rPr>
                <w:color w:val="auto"/>
              </w:rPr>
            </w:pPr>
            <w:r>
              <w:rPr>
                <w:rFonts w:hint="eastAsia"/>
                <w:color w:val="auto"/>
              </w:rPr>
              <w:t>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344"/>
              <w:jc w:val="center"/>
              <w:rPr>
                <w:color w:val="auto"/>
              </w:rPr>
            </w:pPr>
            <w:r>
              <w:rPr>
                <w:rFonts w:hint="eastAsia"/>
                <w:color w:val="auto"/>
              </w:rPr>
              <w:t>火灾、爆炸</w:t>
            </w:r>
          </w:p>
        </w:tc>
        <w:tc>
          <w:tcPr>
            <w:tcW w:w="426" w:type="dxa"/>
            <w:vAlign w:val="center"/>
          </w:tcPr>
          <w:p>
            <w:pPr>
              <w:pStyle w:val="344"/>
              <w:rPr>
                <w:color w:val="auto"/>
              </w:rPr>
            </w:pPr>
            <w:r>
              <w:rPr>
                <w:color w:val="auto"/>
              </w:rPr>
              <w:t>正常生产</w:t>
            </w:r>
          </w:p>
        </w:tc>
        <w:tc>
          <w:tcPr>
            <w:tcW w:w="3327" w:type="dxa"/>
            <w:vAlign w:val="center"/>
          </w:tcPr>
          <w:p>
            <w:pPr>
              <w:pStyle w:val="344"/>
              <w:jc w:val="both"/>
              <w:rPr>
                <w:color w:val="auto"/>
              </w:rPr>
            </w:pPr>
            <w:r>
              <w:rPr>
                <w:color w:val="auto"/>
              </w:rPr>
              <w:t>1</w:t>
            </w:r>
            <w:r>
              <w:rPr>
                <w:rFonts w:hint="eastAsia"/>
                <w:color w:val="auto"/>
              </w:rPr>
              <w:t>.</w:t>
            </w:r>
            <w:r>
              <w:rPr>
                <w:color w:val="auto"/>
              </w:rPr>
              <w:t>桶装</w:t>
            </w:r>
            <w:r>
              <w:rPr>
                <w:rFonts w:hint="eastAsia"/>
                <w:color w:val="auto"/>
              </w:rPr>
              <w:t>可燃</w:t>
            </w:r>
            <w:r>
              <w:rPr>
                <w:color w:val="auto"/>
              </w:rPr>
              <w:t>物质长期堆放，容器鼓包、损坏，发生泄漏；</w:t>
            </w:r>
          </w:p>
          <w:p>
            <w:pPr>
              <w:pStyle w:val="344"/>
              <w:jc w:val="both"/>
              <w:rPr>
                <w:color w:val="auto"/>
              </w:rPr>
            </w:pPr>
            <w:r>
              <w:rPr>
                <w:rFonts w:hint="eastAsia"/>
                <w:color w:val="auto"/>
              </w:rPr>
              <w:t>2</w:t>
            </w:r>
            <w:r>
              <w:rPr>
                <w:color w:val="auto"/>
              </w:rPr>
              <w:t>.可燃物料包装容器因搬运、装卸损坏泄漏，堆垛不规范倒塌造成包装容器损坏；</w:t>
            </w:r>
          </w:p>
          <w:p>
            <w:pPr>
              <w:pStyle w:val="344"/>
              <w:jc w:val="both"/>
              <w:rPr>
                <w:color w:val="auto"/>
              </w:rPr>
            </w:pPr>
            <w:r>
              <w:rPr>
                <w:rFonts w:hint="eastAsia"/>
                <w:color w:val="auto"/>
              </w:rPr>
              <w:t>3</w:t>
            </w:r>
            <w:r>
              <w:rPr>
                <w:color w:val="auto"/>
              </w:rPr>
              <w:t>.禁忌性物料未分开储存，泄漏接触发生反应引起着火；</w:t>
            </w:r>
          </w:p>
          <w:p>
            <w:pPr>
              <w:pStyle w:val="344"/>
              <w:jc w:val="both"/>
              <w:rPr>
                <w:color w:val="auto"/>
              </w:rPr>
            </w:pPr>
            <w:r>
              <w:rPr>
                <w:rFonts w:hint="eastAsia"/>
                <w:color w:val="auto"/>
              </w:rPr>
              <w:t>5</w:t>
            </w:r>
            <w:r>
              <w:rPr>
                <w:color w:val="auto"/>
              </w:rPr>
              <w:t>.仓库内温度过高，</w:t>
            </w:r>
            <w:r>
              <w:rPr>
                <w:rFonts w:hint="eastAsia"/>
                <w:color w:val="auto"/>
              </w:rPr>
              <w:t>导致溶液挥发加剧，压力增大引发桶装设备破裂泄漏；</w:t>
            </w:r>
          </w:p>
          <w:p>
            <w:pPr>
              <w:pStyle w:val="344"/>
              <w:jc w:val="both"/>
              <w:rPr>
                <w:color w:val="auto"/>
              </w:rPr>
            </w:pPr>
            <w:r>
              <w:rPr>
                <w:rFonts w:hint="eastAsia"/>
                <w:color w:val="auto"/>
              </w:rPr>
              <w:t>6.库房内电气设施不防爆或防爆级别不足。</w:t>
            </w:r>
          </w:p>
          <w:p>
            <w:pPr>
              <w:pStyle w:val="344"/>
              <w:jc w:val="both"/>
              <w:rPr>
                <w:color w:val="auto"/>
              </w:rPr>
            </w:pPr>
            <w:r>
              <w:rPr>
                <w:color w:val="auto"/>
              </w:rPr>
              <w:t>7.违章动火、电器火花。</w:t>
            </w:r>
          </w:p>
          <w:p>
            <w:pPr>
              <w:pStyle w:val="344"/>
              <w:jc w:val="both"/>
              <w:rPr>
                <w:color w:val="auto"/>
              </w:rPr>
            </w:pPr>
            <w:r>
              <w:rPr>
                <w:color w:val="auto"/>
              </w:rPr>
              <w:t>8</w:t>
            </w:r>
            <w:r>
              <w:rPr>
                <w:rFonts w:hint="eastAsia"/>
                <w:color w:val="auto"/>
              </w:rPr>
              <w:t>.</w:t>
            </w:r>
            <w:r>
              <w:rPr>
                <w:color w:val="auto"/>
              </w:rPr>
              <w:t>因建筑物火灾、电气设施着火或雷击造成容器损坏而着火、爆炸。</w:t>
            </w:r>
          </w:p>
        </w:tc>
        <w:tc>
          <w:tcPr>
            <w:tcW w:w="716" w:type="dxa"/>
            <w:vAlign w:val="center"/>
          </w:tcPr>
          <w:p>
            <w:pPr>
              <w:pStyle w:val="344"/>
              <w:jc w:val="center"/>
              <w:rPr>
                <w:color w:val="auto"/>
              </w:rPr>
            </w:pPr>
            <w:r>
              <w:rPr>
                <w:color w:val="auto"/>
              </w:rPr>
              <w:t>设备损坏</w:t>
            </w:r>
          </w:p>
          <w:p>
            <w:pPr>
              <w:pStyle w:val="344"/>
              <w:jc w:val="center"/>
              <w:rPr>
                <w:color w:val="auto"/>
              </w:rPr>
            </w:pPr>
            <w:r>
              <w:rPr>
                <w:color w:val="auto"/>
              </w:rPr>
              <w:t>人员伤亡</w:t>
            </w:r>
          </w:p>
        </w:tc>
        <w:tc>
          <w:tcPr>
            <w:tcW w:w="780" w:type="dxa"/>
            <w:vAlign w:val="center"/>
          </w:tcPr>
          <w:p>
            <w:pPr>
              <w:pStyle w:val="344"/>
              <w:jc w:val="center"/>
              <w:rPr>
                <w:color w:val="auto"/>
              </w:rPr>
            </w:pPr>
            <w:r>
              <w:rPr>
                <w:color w:val="auto"/>
              </w:rPr>
              <w:t>III</w:t>
            </w:r>
          </w:p>
        </w:tc>
        <w:tc>
          <w:tcPr>
            <w:tcW w:w="3516" w:type="dxa"/>
            <w:vAlign w:val="center"/>
          </w:tcPr>
          <w:p>
            <w:pPr>
              <w:pStyle w:val="344"/>
              <w:jc w:val="both"/>
              <w:rPr>
                <w:color w:val="auto"/>
              </w:rPr>
            </w:pPr>
            <w:r>
              <w:rPr>
                <w:color w:val="auto"/>
              </w:rPr>
              <w:t>1.使用有危险化学品包装物（容器）定点生产企业的包装容器；</w:t>
            </w:r>
          </w:p>
          <w:p>
            <w:pPr>
              <w:pStyle w:val="344"/>
              <w:jc w:val="both"/>
              <w:rPr>
                <w:color w:val="auto"/>
              </w:rPr>
            </w:pPr>
            <w:r>
              <w:rPr>
                <w:color w:val="auto"/>
              </w:rPr>
              <w:t>2.仓库内用防火墙设置防火分区，禁忌物分区存放；</w:t>
            </w:r>
          </w:p>
          <w:p>
            <w:pPr>
              <w:pStyle w:val="344"/>
              <w:jc w:val="both"/>
              <w:rPr>
                <w:color w:val="auto"/>
              </w:rPr>
            </w:pPr>
            <w:r>
              <w:rPr>
                <w:color w:val="auto"/>
              </w:rPr>
              <w:t>3.严格执行先进库的先出库的原则，控制物质的仓储量，尽量缩短仓储时间；</w:t>
            </w:r>
          </w:p>
          <w:p>
            <w:pPr>
              <w:pStyle w:val="344"/>
              <w:jc w:val="both"/>
              <w:rPr>
                <w:color w:val="auto"/>
              </w:rPr>
            </w:pPr>
            <w:r>
              <w:rPr>
                <w:color w:val="auto"/>
              </w:rPr>
              <w:t>4.严禁在仓库内开桶或进行分装作业；</w:t>
            </w:r>
          </w:p>
          <w:p>
            <w:pPr>
              <w:pStyle w:val="344"/>
              <w:jc w:val="both"/>
              <w:rPr>
                <w:color w:val="auto"/>
              </w:rPr>
            </w:pPr>
            <w:r>
              <w:rPr>
                <w:color w:val="auto"/>
              </w:rPr>
              <w:t>5.仓库设置</w:t>
            </w:r>
            <w:r>
              <w:rPr>
                <w:rFonts w:hint="eastAsia"/>
                <w:color w:val="auto"/>
              </w:rPr>
              <w:t>防爆型</w:t>
            </w:r>
            <w:r>
              <w:rPr>
                <w:color w:val="auto"/>
              </w:rPr>
              <w:t>机械通风设施等；</w:t>
            </w:r>
            <w:r>
              <w:rPr>
                <w:rFonts w:hint="eastAsia"/>
                <w:color w:val="auto"/>
              </w:rPr>
              <w:t>设置有效的可燃气体检测报警装置。</w:t>
            </w:r>
          </w:p>
          <w:p>
            <w:pPr>
              <w:pStyle w:val="344"/>
              <w:jc w:val="both"/>
              <w:rPr>
                <w:color w:val="auto"/>
              </w:rPr>
            </w:pPr>
            <w:r>
              <w:rPr>
                <w:color w:val="auto"/>
              </w:rPr>
              <w:t>6.搬运时轻装轻卸，防止损失包装容器。</w:t>
            </w:r>
          </w:p>
          <w:p>
            <w:pPr>
              <w:pStyle w:val="344"/>
              <w:jc w:val="both"/>
              <w:rPr>
                <w:color w:val="auto"/>
              </w:rPr>
            </w:pPr>
            <w:r>
              <w:rPr>
                <w:color w:val="auto"/>
              </w:rPr>
              <w:t>7.</w:t>
            </w:r>
            <w:r>
              <w:rPr>
                <w:rFonts w:hint="eastAsia"/>
                <w:color w:val="auto"/>
              </w:rPr>
              <w:t>仓库设置完善的防水设施，内地面应高于外地面30cm以上</w:t>
            </w:r>
            <w:r>
              <w:rPr>
                <w:color w:val="auto"/>
              </w:rPr>
              <w:t>；</w:t>
            </w:r>
          </w:p>
          <w:p>
            <w:pPr>
              <w:pStyle w:val="344"/>
              <w:jc w:val="both"/>
              <w:rPr>
                <w:color w:val="auto"/>
              </w:rPr>
            </w:pPr>
            <w:r>
              <w:rPr>
                <w:color w:val="auto"/>
              </w:rPr>
              <w:t>8.按二类防雷要求设置防雷设施；</w:t>
            </w:r>
          </w:p>
          <w:p>
            <w:pPr>
              <w:pStyle w:val="344"/>
              <w:jc w:val="both"/>
              <w:rPr>
                <w:color w:val="auto"/>
              </w:rPr>
            </w:pPr>
            <w:r>
              <w:rPr>
                <w:color w:val="auto"/>
              </w:rPr>
              <w:t>9.</w:t>
            </w:r>
            <w:r>
              <w:rPr>
                <w:rFonts w:hint="eastAsia"/>
                <w:color w:val="auto"/>
              </w:rPr>
              <w:t>库房内使用符合要求的防爆型电气；</w:t>
            </w:r>
          </w:p>
          <w:p>
            <w:pPr>
              <w:pStyle w:val="344"/>
              <w:jc w:val="both"/>
              <w:rPr>
                <w:color w:val="auto"/>
              </w:rPr>
            </w:pPr>
            <w:r>
              <w:rPr>
                <w:rFonts w:hint="eastAsia"/>
                <w:color w:val="auto"/>
              </w:rPr>
              <w:t>10</w:t>
            </w:r>
            <w:r>
              <w:rPr>
                <w:color w:val="auto"/>
              </w:rPr>
              <w:t>按要求配备灭火设施和灭火器材，定期检查消防设施和消防系统，并要保证消防通道的畅通；</w:t>
            </w:r>
          </w:p>
          <w:p>
            <w:pPr>
              <w:pStyle w:val="344"/>
              <w:jc w:val="both"/>
              <w:rPr>
                <w:color w:val="auto"/>
              </w:rPr>
            </w:pPr>
            <w:r>
              <w:rPr>
                <w:color w:val="auto"/>
              </w:rPr>
              <w:t>11.机动车辆禁止进入仓库区域</w:t>
            </w:r>
            <w:r>
              <w:rPr>
                <w:rFonts w:hint="eastAsia"/>
                <w:color w:val="auto"/>
              </w:rPr>
              <w:t>，并按章操作</w:t>
            </w:r>
            <w:r>
              <w:rPr>
                <w:color w:val="auto"/>
              </w:rPr>
              <w:t>；</w:t>
            </w:r>
          </w:p>
          <w:p>
            <w:pPr>
              <w:pStyle w:val="344"/>
              <w:jc w:val="both"/>
              <w:rPr>
                <w:color w:val="auto"/>
              </w:rPr>
            </w:pPr>
            <w:r>
              <w:rPr>
                <w:rFonts w:hint="eastAsia"/>
                <w:color w:val="auto"/>
              </w:rPr>
              <w:t>12..定期进行检查，严防泄漏。</w:t>
            </w:r>
          </w:p>
          <w:p>
            <w:pPr>
              <w:pStyle w:val="344"/>
              <w:jc w:val="both"/>
              <w:rPr>
                <w:color w:val="auto"/>
              </w:rPr>
            </w:pPr>
            <w:r>
              <w:rPr>
                <w:rFonts w:hint="eastAsia"/>
                <w:color w:val="auto"/>
              </w:rPr>
              <w:t>13.仓库内严格安装规程进行操作。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344"/>
              <w:jc w:val="center"/>
              <w:rPr>
                <w:color w:val="auto"/>
              </w:rPr>
            </w:pPr>
            <w:r>
              <w:rPr>
                <w:color w:val="auto"/>
              </w:rPr>
              <w:t>车辆伤害</w:t>
            </w:r>
          </w:p>
        </w:tc>
        <w:tc>
          <w:tcPr>
            <w:tcW w:w="426" w:type="dxa"/>
            <w:vAlign w:val="center"/>
          </w:tcPr>
          <w:p>
            <w:pPr>
              <w:pStyle w:val="344"/>
              <w:rPr>
                <w:color w:val="auto"/>
              </w:rPr>
            </w:pPr>
            <w:r>
              <w:rPr>
                <w:color w:val="auto"/>
              </w:rPr>
              <w:t>正常生产</w:t>
            </w:r>
          </w:p>
        </w:tc>
        <w:tc>
          <w:tcPr>
            <w:tcW w:w="3327" w:type="dxa"/>
            <w:vAlign w:val="center"/>
          </w:tcPr>
          <w:p>
            <w:pPr>
              <w:pStyle w:val="344"/>
              <w:jc w:val="both"/>
              <w:rPr>
                <w:color w:val="auto"/>
              </w:rPr>
            </w:pPr>
            <w:r>
              <w:rPr>
                <w:color w:val="auto"/>
              </w:rPr>
              <w:t>1、车辆未按规定路线行驶；</w:t>
            </w:r>
          </w:p>
          <w:p>
            <w:pPr>
              <w:pStyle w:val="344"/>
              <w:jc w:val="both"/>
              <w:rPr>
                <w:color w:val="auto"/>
              </w:rPr>
            </w:pPr>
            <w:r>
              <w:rPr>
                <w:color w:val="auto"/>
              </w:rPr>
              <w:t>2、车辆过快；</w:t>
            </w:r>
          </w:p>
          <w:p>
            <w:pPr>
              <w:pStyle w:val="344"/>
              <w:jc w:val="both"/>
              <w:rPr>
                <w:color w:val="auto"/>
              </w:rPr>
            </w:pPr>
            <w:r>
              <w:rPr>
                <w:color w:val="auto"/>
              </w:rPr>
              <w:t>3、车辆带病运行；</w:t>
            </w:r>
          </w:p>
          <w:p>
            <w:pPr>
              <w:pStyle w:val="344"/>
              <w:jc w:val="both"/>
              <w:rPr>
                <w:color w:val="auto"/>
              </w:rPr>
            </w:pPr>
            <w:r>
              <w:rPr>
                <w:color w:val="auto"/>
              </w:rPr>
              <w:t>4、进库中转的车辆撞击到堆垛造成倒塌，引起事故。</w:t>
            </w:r>
          </w:p>
        </w:tc>
        <w:tc>
          <w:tcPr>
            <w:tcW w:w="716" w:type="dxa"/>
            <w:vAlign w:val="center"/>
          </w:tcPr>
          <w:p>
            <w:pPr>
              <w:pStyle w:val="344"/>
              <w:jc w:val="center"/>
              <w:rPr>
                <w:color w:val="auto"/>
              </w:rPr>
            </w:pPr>
            <w:r>
              <w:rPr>
                <w:color w:val="auto"/>
              </w:rPr>
              <w:t>人员伤亡</w:t>
            </w:r>
          </w:p>
        </w:tc>
        <w:tc>
          <w:tcPr>
            <w:tcW w:w="780" w:type="dxa"/>
            <w:vAlign w:val="center"/>
          </w:tcPr>
          <w:p>
            <w:pPr>
              <w:pStyle w:val="344"/>
              <w:jc w:val="center"/>
              <w:rPr>
                <w:color w:val="auto"/>
              </w:rPr>
            </w:pPr>
            <w:r>
              <w:rPr>
                <w:rFonts w:hint="eastAsia"/>
                <w:color w:val="auto"/>
              </w:rPr>
              <w:t>Ⅲ</w:t>
            </w:r>
          </w:p>
        </w:tc>
        <w:tc>
          <w:tcPr>
            <w:tcW w:w="3516" w:type="dxa"/>
            <w:vAlign w:val="center"/>
          </w:tcPr>
          <w:p>
            <w:pPr>
              <w:pStyle w:val="344"/>
              <w:jc w:val="both"/>
              <w:rPr>
                <w:color w:val="auto"/>
              </w:rPr>
            </w:pPr>
            <w:r>
              <w:rPr>
                <w:color w:val="auto"/>
              </w:rPr>
              <w:t>1、仓库区域应限制机动车辆速度不超过5km/h；</w:t>
            </w:r>
          </w:p>
          <w:p>
            <w:pPr>
              <w:pStyle w:val="344"/>
              <w:jc w:val="both"/>
              <w:rPr>
                <w:color w:val="auto"/>
              </w:rPr>
            </w:pPr>
            <w:r>
              <w:rPr>
                <w:color w:val="auto"/>
              </w:rPr>
              <w:t>2、机动车辆应保持完好，按规定进行维护保养、检验；</w:t>
            </w:r>
          </w:p>
          <w:p>
            <w:pPr>
              <w:pStyle w:val="344"/>
              <w:jc w:val="both"/>
              <w:rPr>
                <w:color w:val="auto"/>
              </w:rPr>
            </w:pPr>
            <w:r>
              <w:rPr>
                <w:color w:val="auto"/>
              </w:rPr>
              <w:t>3、机动车辆不能进入仓库内；</w:t>
            </w:r>
          </w:p>
          <w:p>
            <w:pPr>
              <w:pStyle w:val="344"/>
              <w:jc w:val="both"/>
              <w:rPr>
                <w:color w:val="auto"/>
              </w:rPr>
            </w:pPr>
            <w:r>
              <w:rPr>
                <w:color w:val="auto"/>
              </w:rPr>
              <w:t>4、执行操作规程。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pPr>
              <w:pStyle w:val="344"/>
              <w:jc w:val="center"/>
              <w:rPr>
                <w:color w:val="auto"/>
              </w:rPr>
            </w:pPr>
            <w:r>
              <w:rPr>
                <w:rFonts w:hint="eastAsia"/>
                <w:color w:val="auto"/>
              </w:rPr>
              <w:t>中毒和窒息</w:t>
            </w:r>
          </w:p>
        </w:tc>
        <w:tc>
          <w:tcPr>
            <w:tcW w:w="426" w:type="dxa"/>
            <w:vAlign w:val="center"/>
          </w:tcPr>
          <w:p>
            <w:pPr>
              <w:pStyle w:val="344"/>
              <w:rPr>
                <w:color w:val="auto"/>
              </w:rPr>
            </w:pPr>
            <w:r>
              <w:rPr>
                <w:rFonts w:hint="eastAsia"/>
                <w:color w:val="auto"/>
              </w:rPr>
              <w:t>存储、生产</w:t>
            </w:r>
          </w:p>
        </w:tc>
        <w:tc>
          <w:tcPr>
            <w:tcW w:w="3327" w:type="dxa"/>
            <w:vAlign w:val="center"/>
          </w:tcPr>
          <w:p>
            <w:pPr>
              <w:pStyle w:val="344"/>
              <w:jc w:val="both"/>
              <w:rPr>
                <w:color w:val="auto"/>
              </w:rPr>
            </w:pPr>
            <w:r>
              <w:rPr>
                <w:color w:val="auto"/>
              </w:rPr>
              <w:t>1</w:t>
            </w:r>
            <w:r>
              <w:rPr>
                <w:rFonts w:hint="eastAsia"/>
                <w:color w:val="auto"/>
              </w:rPr>
              <w:t>.装卸过程</w:t>
            </w:r>
            <w:r>
              <w:rPr>
                <w:color w:val="auto"/>
              </w:rPr>
              <w:t>中的主要有毒有害物料发生泄漏；</w:t>
            </w:r>
          </w:p>
          <w:p>
            <w:pPr>
              <w:pStyle w:val="344"/>
              <w:jc w:val="both"/>
              <w:rPr>
                <w:color w:val="auto"/>
              </w:rPr>
            </w:pPr>
            <w:r>
              <w:rPr>
                <w:color w:val="auto"/>
              </w:rPr>
              <w:t>2</w:t>
            </w:r>
            <w:r>
              <w:rPr>
                <w:rFonts w:hint="eastAsia"/>
                <w:color w:val="auto"/>
              </w:rPr>
              <w:t>.</w:t>
            </w:r>
            <w:r>
              <w:rPr>
                <w:color w:val="auto"/>
              </w:rPr>
              <w:t>泄漏原因如同前面分析表火灾、爆炸触发事件泄漏所述；</w:t>
            </w:r>
          </w:p>
          <w:p>
            <w:pPr>
              <w:pStyle w:val="344"/>
              <w:jc w:val="both"/>
              <w:rPr>
                <w:color w:val="auto"/>
              </w:rPr>
            </w:pPr>
            <w:r>
              <w:rPr>
                <w:color w:val="auto"/>
              </w:rPr>
              <w:t>3</w:t>
            </w:r>
            <w:r>
              <w:rPr>
                <w:rFonts w:hint="eastAsia"/>
                <w:color w:val="auto"/>
              </w:rPr>
              <w:t>.</w:t>
            </w:r>
            <w:r>
              <w:rPr>
                <w:color w:val="auto"/>
              </w:rPr>
              <w:t>有毒性物质的泄漏到空间且有积聚；</w:t>
            </w:r>
          </w:p>
          <w:p>
            <w:pPr>
              <w:pStyle w:val="344"/>
              <w:jc w:val="both"/>
              <w:rPr>
                <w:color w:val="auto"/>
              </w:rPr>
            </w:pPr>
            <w:r>
              <w:rPr>
                <w:color w:val="auto"/>
              </w:rPr>
              <w:t>4.</w:t>
            </w:r>
            <w:r>
              <w:rPr>
                <w:rFonts w:hint="eastAsia"/>
                <w:color w:val="auto"/>
              </w:rPr>
              <w:t>防毒面具配备不够；</w:t>
            </w:r>
          </w:p>
          <w:p>
            <w:pPr>
              <w:pStyle w:val="344"/>
              <w:jc w:val="both"/>
              <w:rPr>
                <w:color w:val="auto"/>
              </w:rPr>
            </w:pPr>
            <w:r>
              <w:rPr>
                <w:rFonts w:hint="eastAsia"/>
                <w:color w:val="auto"/>
              </w:rPr>
              <w:t>5</w:t>
            </w:r>
            <w:r>
              <w:rPr>
                <w:color w:val="auto"/>
              </w:rPr>
              <w:t>.</w:t>
            </w:r>
            <w:r>
              <w:rPr>
                <w:rFonts w:hint="eastAsia"/>
                <w:color w:val="auto"/>
              </w:rPr>
              <w:t>防毒面具失效。</w:t>
            </w:r>
          </w:p>
        </w:tc>
        <w:tc>
          <w:tcPr>
            <w:tcW w:w="716" w:type="dxa"/>
            <w:vAlign w:val="center"/>
          </w:tcPr>
          <w:p>
            <w:pPr>
              <w:pStyle w:val="344"/>
              <w:jc w:val="center"/>
              <w:rPr>
                <w:color w:val="auto"/>
              </w:rPr>
            </w:pPr>
            <w:r>
              <w:rPr>
                <w:rFonts w:hint="eastAsia"/>
                <w:color w:val="auto"/>
              </w:rPr>
              <w:t>人员伤亡</w:t>
            </w:r>
          </w:p>
        </w:tc>
        <w:tc>
          <w:tcPr>
            <w:tcW w:w="780" w:type="dxa"/>
            <w:vAlign w:val="center"/>
          </w:tcPr>
          <w:p>
            <w:pPr>
              <w:pStyle w:val="344"/>
              <w:jc w:val="center"/>
              <w:rPr>
                <w:color w:val="auto"/>
              </w:rPr>
            </w:pPr>
            <w:r>
              <w:rPr>
                <w:rFonts w:hint="eastAsia"/>
                <w:color w:val="auto"/>
              </w:rPr>
              <w:t>Ⅲ</w:t>
            </w:r>
          </w:p>
        </w:tc>
        <w:tc>
          <w:tcPr>
            <w:tcW w:w="3516" w:type="dxa"/>
            <w:vAlign w:val="center"/>
          </w:tcPr>
          <w:p>
            <w:pPr>
              <w:pStyle w:val="344"/>
              <w:jc w:val="both"/>
              <w:rPr>
                <w:color w:val="auto"/>
              </w:rPr>
            </w:pPr>
            <w:r>
              <w:rPr>
                <w:rFonts w:hint="eastAsia"/>
                <w:color w:val="auto"/>
              </w:rPr>
              <w:t>1.按规范要求设置与泄漏检测报警装置的事故联锁；</w:t>
            </w:r>
          </w:p>
          <w:p>
            <w:pPr>
              <w:pStyle w:val="344"/>
              <w:jc w:val="both"/>
              <w:rPr>
                <w:color w:val="auto"/>
              </w:rPr>
            </w:pPr>
            <w:r>
              <w:rPr>
                <w:rFonts w:hint="eastAsia"/>
                <w:color w:val="auto"/>
              </w:rPr>
              <w:t>2．泄漏后应采取相应措施：</w:t>
            </w:r>
          </w:p>
          <w:p>
            <w:pPr>
              <w:pStyle w:val="344"/>
              <w:jc w:val="both"/>
              <w:rPr>
                <w:color w:val="auto"/>
              </w:rPr>
            </w:pPr>
            <w:r>
              <w:rPr>
                <w:rFonts w:hint="eastAsia"/>
                <w:color w:val="auto"/>
              </w:rPr>
              <w:t>①查明泄漏源点，消除泄漏源，及时报告；</w:t>
            </w:r>
          </w:p>
          <w:p>
            <w:pPr>
              <w:pStyle w:val="344"/>
              <w:jc w:val="both"/>
              <w:rPr>
                <w:color w:val="auto"/>
              </w:rPr>
            </w:pPr>
            <w:r>
              <w:rPr>
                <w:rFonts w:hint="eastAsia"/>
                <w:color w:val="auto"/>
              </w:rPr>
              <w:t>②如泄漏量大，应疏散有关人员至安全处。</w:t>
            </w:r>
          </w:p>
          <w:p>
            <w:pPr>
              <w:pStyle w:val="344"/>
              <w:jc w:val="both"/>
              <w:rPr>
                <w:color w:val="auto"/>
              </w:rPr>
            </w:pPr>
            <w:r>
              <w:rPr>
                <w:rFonts w:hint="eastAsia"/>
                <w:color w:val="auto"/>
              </w:rPr>
              <w:t>3．定期检修、维护保养，保持设备完好；检修时，应与其他设备或管道隔断，彻底清洗干净，并检测有毒有害物质浓度、含氧量（19.5～22%），合格后方可作业；作业时，穿戴劳动防护用品，有人监护并有抢救后备措施。</w:t>
            </w:r>
          </w:p>
          <w:p>
            <w:pPr>
              <w:pStyle w:val="344"/>
              <w:jc w:val="both"/>
              <w:rPr>
                <w:color w:val="auto"/>
              </w:rPr>
            </w:pPr>
            <w:r>
              <w:rPr>
                <w:rFonts w:hint="eastAsia"/>
                <w:color w:val="auto"/>
              </w:rPr>
              <w:t>4．加强仓库的通风；</w:t>
            </w:r>
          </w:p>
          <w:p>
            <w:pPr>
              <w:pStyle w:val="344"/>
              <w:jc w:val="both"/>
              <w:rPr>
                <w:color w:val="auto"/>
              </w:rPr>
            </w:pPr>
            <w:r>
              <w:rPr>
                <w:rFonts w:hint="eastAsia"/>
                <w:color w:val="auto"/>
              </w:rPr>
              <w:t>5．保证报警装置好用。</w:t>
            </w:r>
          </w:p>
          <w:p>
            <w:pPr>
              <w:pStyle w:val="344"/>
              <w:jc w:val="both"/>
              <w:rPr>
                <w:color w:val="auto"/>
              </w:rPr>
            </w:pPr>
            <w:r>
              <w:rPr>
                <w:rFonts w:hint="eastAsia"/>
                <w:color w:val="auto"/>
              </w:rPr>
              <w:t>6.要有应急预案，抢救时勿忘正确使用防毒面具及其它防护用品。</w:t>
            </w:r>
          </w:p>
          <w:p>
            <w:pPr>
              <w:pStyle w:val="344"/>
              <w:jc w:val="both"/>
              <w:rPr>
                <w:color w:val="auto"/>
              </w:rPr>
            </w:pPr>
            <w:r>
              <w:rPr>
                <w:rFonts w:hint="eastAsia"/>
                <w:color w:val="auto"/>
              </w:rPr>
              <w:t>7．组织管理措施</w:t>
            </w:r>
          </w:p>
          <w:p>
            <w:pPr>
              <w:pStyle w:val="344"/>
              <w:jc w:val="both"/>
              <w:rPr>
                <w:color w:val="auto"/>
              </w:rPr>
            </w:pPr>
            <w:r>
              <w:rPr>
                <w:rFonts w:hint="eastAsia"/>
                <w:color w:val="auto"/>
              </w:rPr>
              <w:t>①加强检查、检测有毒有害物质有否跑、冒、滴、漏；</w:t>
            </w:r>
          </w:p>
          <w:p>
            <w:pPr>
              <w:pStyle w:val="344"/>
              <w:jc w:val="both"/>
              <w:rPr>
                <w:color w:val="auto"/>
              </w:rPr>
            </w:pPr>
            <w:r>
              <w:rPr>
                <w:rFonts w:hint="eastAsia"/>
                <w:color w:val="auto"/>
              </w:rPr>
              <w:t>②教育、培训职工掌握有关毒物的毒性，预防中毒、窒息的方法及其急救法；</w:t>
            </w:r>
          </w:p>
          <w:p>
            <w:pPr>
              <w:pStyle w:val="344"/>
              <w:jc w:val="both"/>
              <w:rPr>
                <w:color w:val="auto"/>
              </w:rPr>
            </w:pPr>
            <w:r>
              <w:rPr>
                <w:rFonts w:hint="eastAsia"/>
                <w:color w:val="auto"/>
              </w:rPr>
              <w:t>③要求职工严格遵守各种规章制度、操作规程；</w:t>
            </w:r>
          </w:p>
          <w:p>
            <w:pPr>
              <w:pStyle w:val="344"/>
              <w:jc w:val="both"/>
              <w:rPr>
                <w:color w:val="auto"/>
              </w:rPr>
            </w:pPr>
            <w:r>
              <w:rPr>
                <w:rFonts w:hint="eastAsia"/>
                <w:color w:val="auto"/>
              </w:rPr>
              <w:t>④设立危险、有毒、窒息性标志；</w:t>
            </w:r>
          </w:p>
          <w:p>
            <w:pPr>
              <w:pStyle w:val="344"/>
              <w:jc w:val="both"/>
              <w:rPr>
                <w:color w:val="auto"/>
              </w:rPr>
            </w:pPr>
            <w:r>
              <w:rPr>
                <w:rFonts w:hint="eastAsia"/>
                <w:color w:val="auto"/>
              </w:rPr>
              <w:t>⑤设立急救点，配备相应的防护用品、急救药品、器材；</w:t>
            </w:r>
          </w:p>
          <w:p>
            <w:pPr>
              <w:pStyle w:val="344"/>
              <w:jc w:val="both"/>
              <w:rPr>
                <w:color w:val="auto"/>
              </w:rPr>
            </w:pPr>
            <w:r>
              <w:rPr>
                <w:rFonts w:hint="eastAsia"/>
                <w:color w:val="auto"/>
              </w:rPr>
              <w:t>⑥制作配备安全周知卡。</w:t>
            </w:r>
          </w:p>
          <w:p>
            <w:pPr>
              <w:pStyle w:val="344"/>
              <w:jc w:val="both"/>
              <w:rPr>
                <w:color w:val="auto"/>
              </w:rPr>
            </w:pPr>
            <w:r>
              <w:rPr>
                <w:rFonts w:hint="eastAsia"/>
                <w:color w:val="auto"/>
              </w:rPr>
              <w:t>8．巡检采取双人制，必要时佩戴防毒面具。</w:t>
            </w:r>
          </w:p>
          <w:p>
            <w:pPr>
              <w:pStyle w:val="344"/>
              <w:jc w:val="both"/>
              <w:rPr>
                <w:color w:val="auto"/>
              </w:rPr>
            </w:pPr>
            <w:r>
              <w:rPr>
                <w:rFonts w:hint="eastAsia"/>
                <w:color w:val="auto"/>
              </w:rPr>
              <w:t>9．事故状态下，有毒物料排放应有相应的处置措施。</w:t>
            </w:r>
          </w:p>
          <w:p>
            <w:pPr>
              <w:pStyle w:val="344"/>
              <w:jc w:val="both"/>
              <w:rPr>
                <w:color w:val="auto"/>
              </w:rPr>
            </w:pPr>
            <w:r>
              <w:rPr>
                <w:rFonts w:hint="eastAsia"/>
                <w:color w:val="auto"/>
              </w:rPr>
              <w:t>10.严格执行《安全生产法》和《危险化学品安全管理条例》中关于危险化学品储存和使用的规定。</w:t>
            </w:r>
          </w:p>
        </w:tc>
      </w:tr>
    </w:tbl>
    <w:p>
      <w:pPr>
        <w:pStyle w:val="54"/>
        <w:ind w:firstLine="562"/>
        <w:rPr>
          <w:b/>
          <w:color w:val="auto"/>
        </w:rPr>
      </w:pPr>
      <w:r>
        <w:rPr>
          <w:rFonts w:hint="eastAsia"/>
          <w:b/>
          <w:color w:val="auto"/>
        </w:rPr>
        <w:t>2.评价小结</w:t>
      </w:r>
    </w:p>
    <w:p>
      <w:pPr>
        <w:pStyle w:val="54"/>
        <w:ind w:firstLine="560"/>
        <w:rPr>
          <w:color w:val="auto"/>
        </w:rPr>
      </w:pPr>
      <w:r>
        <w:rPr>
          <w:color w:val="auto"/>
        </w:rPr>
        <w:t>通过预先危险分析，该项目仓库</w:t>
      </w:r>
      <w:r>
        <w:rPr>
          <w:rFonts w:hint="eastAsia"/>
          <w:color w:val="auto"/>
        </w:rPr>
        <w:t>子单元</w:t>
      </w:r>
      <w:r>
        <w:rPr>
          <w:color w:val="auto"/>
        </w:rPr>
        <w:t>主要危险、有害因素有：火灾、爆炸、车辆伤害为</w:t>
      </w:r>
      <w:r>
        <w:rPr>
          <w:rFonts w:hint="eastAsia"/>
          <w:color w:val="auto"/>
        </w:rPr>
        <w:t>Ⅲ</w:t>
      </w:r>
      <w:r>
        <w:rPr>
          <w:color w:val="auto"/>
        </w:rPr>
        <w:t>级（危险的）</w:t>
      </w:r>
      <w:r>
        <w:rPr>
          <w:rFonts w:hint="eastAsia"/>
          <w:color w:val="auto"/>
        </w:rPr>
        <w:t>，中毒和窒息</w:t>
      </w:r>
      <w:r>
        <w:rPr>
          <w:color w:val="auto"/>
        </w:rPr>
        <w:t>为</w:t>
      </w:r>
      <w:r>
        <w:rPr>
          <w:rFonts w:hint="eastAsia"/>
          <w:color w:val="auto"/>
        </w:rPr>
        <w:t>Ⅱ</w:t>
      </w:r>
      <w:r>
        <w:rPr>
          <w:color w:val="auto"/>
        </w:rPr>
        <w:t>级（</w:t>
      </w:r>
      <w:r>
        <w:rPr>
          <w:rFonts w:hint="eastAsia"/>
          <w:color w:val="auto"/>
        </w:rPr>
        <w:t>临界</w:t>
      </w:r>
      <w:r>
        <w:rPr>
          <w:color w:val="auto"/>
        </w:rPr>
        <w:t>的）</w:t>
      </w:r>
      <w:r>
        <w:rPr>
          <w:rFonts w:hint="eastAsia"/>
          <w:color w:val="auto"/>
        </w:rPr>
        <w:t>；Ⅲ</w:t>
      </w:r>
      <w:r>
        <w:rPr>
          <w:color w:val="auto"/>
        </w:rPr>
        <w:t>级是危险的，会造成人员伤亡和系统损坏，要立即采取防范对策措施</w:t>
      </w:r>
      <w:r>
        <w:rPr>
          <w:rFonts w:hint="eastAsia"/>
          <w:color w:val="auto"/>
        </w:rPr>
        <w:t>；Ⅱ级是临界的，处于事故的边缘状态，暂时还不会造成人员伤亡、系统损坏降低系统性能，但应予排除或采取控制措施。</w:t>
      </w:r>
    </w:p>
    <w:p>
      <w:pPr>
        <w:pStyle w:val="4"/>
        <w:ind w:firstLine="560"/>
        <w:rPr>
          <w:color w:val="auto"/>
        </w:rPr>
      </w:pPr>
      <w:bookmarkStart w:id="1033" w:name="_Toc9546"/>
      <w:bookmarkStart w:id="1034" w:name="_Toc25454"/>
      <w:bookmarkStart w:id="1035" w:name="_Toc96877142"/>
      <w:bookmarkStart w:id="1036" w:name="_Toc10977"/>
      <w:bookmarkStart w:id="1037" w:name="_Toc29286"/>
      <w:bookmarkStart w:id="1038" w:name="_Toc126586705"/>
      <w:bookmarkStart w:id="1039" w:name="_Toc3997"/>
      <w:bookmarkStart w:id="1040" w:name="_Toc31973"/>
      <w:r>
        <w:rPr>
          <w:color w:val="auto"/>
        </w:rPr>
        <w:t xml:space="preserve">C.5.2 </w:t>
      </w:r>
      <w:r>
        <w:rPr>
          <w:rFonts w:hint="eastAsia"/>
          <w:color w:val="auto"/>
        </w:rPr>
        <w:t>罐区子单元</w:t>
      </w:r>
      <w:bookmarkEnd w:id="1033"/>
      <w:bookmarkEnd w:id="1034"/>
      <w:bookmarkEnd w:id="1035"/>
      <w:bookmarkEnd w:id="1036"/>
      <w:bookmarkEnd w:id="1037"/>
      <w:bookmarkEnd w:id="1038"/>
      <w:bookmarkEnd w:id="1039"/>
      <w:bookmarkEnd w:id="1040"/>
    </w:p>
    <w:p>
      <w:pPr>
        <w:pStyle w:val="54"/>
        <w:ind w:firstLine="560"/>
        <w:rPr>
          <w:color w:val="auto"/>
        </w:rPr>
      </w:pPr>
      <w:r>
        <w:rPr>
          <w:rFonts w:hint="eastAsia"/>
          <w:color w:val="auto"/>
        </w:rPr>
        <w:t>该项目拟建</w:t>
      </w:r>
      <w:r>
        <w:rPr>
          <w:rFonts w:hint="eastAsia"/>
          <w:color w:val="auto"/>
          <w:lang w:val="en-US" w:eastAsia="zh-CN"/>
        </w:rPr>
        <w:t>203</w:t>
      </w:r>
      <w:r>
        <w:rPr>
          <w:rFonts w:hint="eastAsia"/>
          <w:color w:val="auto"/>
        </w:rPr>
        <w:t>罐区储存</w:t>
      </w:r>
      <w:r>
        <w:rPr>
          <w:rFonts w:hint="eastAsia"/>
          <w:color w:val="auto"/>
          <w:lang w:val="en-US" w:eastAsia="zh-CN"/>
        </w:rPr>
        <w:t>甲基丙烯酸甲酯精体、粗体以及残夜</w:t>
      </w:r>
      <w:r>
        <w:rPr>
          <w:rFonts w:hint="eastAsia"/>
          <w:color w:val="auto"/>
        </w:rPr>
        <w:t>物料，储罐均为常压储罐，甲类可燃液体储罐拟设置氮封保护。</w:t>
      </w:r>
    </w:p>
    <w:p>
      <w:pPr>
        <w:pStyle w:val="54"/>
        <w:ind w:firstLine="562"/>
        <w:rPr>
          <w:b/>
          <w:color w:val="auto"/>
        </w:rPr>
      </w:pPr>
      <w:r>
        <w:rPr>
          <w:rFonts w:hint="eastAsia"/>
          <w:b/>
          <w:color w:val="auto"/>
        </w:rPr>
        <w:t>1.预先危险分析</w:t>
      </w:r>
    </w:p>
    <w:p>
      <w:pPr>
        <w:pStyle w:val="54"/>
        <w:ind w:firstLine="560"/>
        <w:rPr>
          <w:color w:val="auto"/>
        </w:rPr>
      </w:pPr>
      <w:r>
        <w:rPr>
          <w:rFonts w:hint="eastAsia"/>
          <w:color w:val="auto"/>
        </w:rPr>
        <w:t>采用预先危险分析法（PHA）对本单元进行分析评价，具体情况见表C</w:t>
      </w:r>
      <w:r>
        <w:rPr>
          <w:color w:val="auto"/>
        </w:rPr>
        <w:t>.5-2</w:t>
      </w:r>
      <w:r>
        <w:rPr>
          <w:rFonts w:hint="eastAsia"/>
          <w:color w:val="auto"/>
        </w:rPr>
        <w:t>。</w:t>
      </w:r>
    </w:p>
    <w:p>
      <w:pPr>
        <w:pStyle w:val="53"/>
        <w:rPr>
          <w:color w:val="auto"/>
        </w:rPr>
      </w:pPr>
      <w:r>
        <w:rPr>
          <w:rFonts w:hint="eastAsia"/>
          <w:color w:val="auto"/>
        </w:rPr>
        <w:t>表C</w:t>
      </w:r>
      <w:r>
        <w:rPr>
          <w:color w:val="auto"/>
        </w:rPr>
        <w:t>.5-2</w:t>
      </w:r>
      <w:r>
        <w:rPr>
          <w:rFonts w:hint="eastAsia"/>
          <w:color w:val="auto"/>
        </w:rPr>
        <w:t xml:space="preserve">  罐区子单元预先危险分析</w:t>
      </w:r>
    </w:p>
    <w:tbl>
      <w:tblPr>
        <w:tblStyle w:val="42"/>
        <w:tblW w:w="9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696"/>
        <w:gridCol w:w="2849"/>
        <w:gridCol w:w="696"/>
        <w:gridCol w:w="799"/>
        <w:gridCol w:w="3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pStyle w:val="344"/>
              <w:spacing w:line="264" w:lineRule="exact"/>
              <w:rPr>
                <w:color w:val="auto"/>
              </w:rPr>
            </w:pPr>
            <w:r>
              <w:rPr>
                <w:rFonts w:hint="eastAsia"/>
                <w:color w:val="auto"/>
              </w:rPr>
              <w:t>事故</w:t>
            </w:r>
          </w:p>
        </w:tc>
        <w:tc>
          <w:tcPr>
            <w:tcW w:w="696" w:type="dxa"/>
            <w:vAlign w:val="center"/>
          </w:tcPr>
          <w:p>
            <w:pPr>
              <w:pStyle w:val="344"/>
              <w:spacing w:line="264" w:lineRule="exact"/>
              <w:rPr>
                <w:color w:val="auto"/>
              </w:rPr>
            </w:pPr>
            <w:r>
              <w:rPr>
                <w:rFonts w:hint="eastAsia"/>
                <w:bCs/>
                <w:color w:val="auto"/>
              </w:rPr>
              <w:t>触发事件</w:t>
            </w:r>
          </w:p>
        </w:tc>
        <w:tc>
          <w:tcPr>
            <w:tcW w:w="2849" w:type="dxa"/>
            <w:vAlign w:val="center"/>
          </w:tcPr>
          <w:p>
            <w:pPr>
              <w:pStyle w:val="344"/>
              <w:spacing w:line="264" w:lineRule="exact"/>
              <w:rPr>
                <w:color w:val="auto"/>
              </w:rPr>
            </w:pPr>
            <w:r>
              <w:rPr>
                <w:rFonts w:hint="eastAsia"/>
                <w:color w:val="auto"/>
              </w:rPr>
              <w:t>事故原因</w:t>
            </w:r>
          </w:p>
        </w:tc>
        <w:tc>
          <w:tcPr>
            <w:tcW w:w="696" w:type="dxa"/>
            <w:vAlign w:val="center"/>
          </w:tcPr>
          <w:p>
            <w:pPr>
              <w:pStyle w:val="344"/>
              <w:spacing w:line="264" w:lineRule="exact"/>
              <w:rPr>
                <w:color w:val="auto"/>
              </w:rPr>
            </w:pPr>
            <w:r>
              <w:rPr>
                <w:rFonts w:hint="eastAsia"/>
                <w:color w:val="auto"/>
              </w:rPr>
              <w:t>事故后果</w:t>
            </w:r>
          </w:p>
        </w:tc>
        <w:tc>
          <w:tcPr>
            <w:tcW w:w="799" w:type="dxa"/>
            <w:vAlign w:val="center"/>
          </w:tcPr>
          <w:p>
            <w:pPr>
              <w:pStyle w:val="344"/>
              <w:spacing w:line="264" w:lineRule="exact"/>
              <w:rPr>
                <w:color w:val="auto"/>
              </w:rPr>
            </w:pPr>
            <w:r>
              <w:rPr>
                <w:rFonts w:hint="eastAsia"/>
                <w:color w:val="auto"/>
              </w:rPr>
              <w:t>危险等级</w:t>
            </w:r>
          </w:p>
        </w:tc>
        <w:tc>
          <w:tcPr>
            <w:tcW w:w="3839" w:type="dxa"/>
            <w:vAlign w:val="center"/>
          </w:tcPr>
          <w:p>
            <w:pPr>
              <w:pStyle w:val="344"/>
              <w:spacing w:line="264" w:lineRule="exact"/>
              <w:rPr>
                <w:color w:val="auto"/>
              </w:rPr>
            </w:pPr>
            <w:r>
              <w:rPr>
                <w:rFonts w:hint="eastAsia"/>
                <w:color w:val="auto"/>
              </w:rPr>
              <w:t>措施建议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pStyle w:val="344"/>
              <w:spacing w:line="264" w:lineRule="exact"/>
              <w:rPr>
                <w:color w:val="auto"/>
              </w:rPr>
            </w:pPr>
            <w:r>
              <w:rPr>
                <w:rFonts w:hint="eastAsia"/>
                <w:color w:val="auto"/>
              </w:rPr>
              <w:t>火灾、爆炸</w:t>
            </w:r>
          </w:p>
        </w:tc>
        <w:tc>
          <w:tcPr>
            <w:tcW w:w="696" w:type="dxa"/>
            <w:vAlign w:val="center"/>
          </w:tcPr>
          <w:p>
            <w:pPr>
              <w:pStyle w:val="344"/>
              <w:spacing w:line="264" w:lineRule="exact"/>
              <w:rPr>
                <w:color w:val="auto"/>
              </w:rPr>
            </w:pPr>
            <w:r>
              <w:rPr>
                <w:rFonts w:hint="eastAsia"/>
                <w:bCs/>
                <w:color w:val="auto"/>
              </w:rPr>
              <w:t>可燃物质</w:t>
            </w:r>
            <w:r>
              <w:rPr>
                <w:rFonts w:hint="eastAsia"/>
                <w:color w:val="auto"/>
              </w:rPr>
              <w:t>泄漏，遇火源发火灾爆炸事故</w:t>
            </w:r>
          </w:p>
        </w:tc>
        <w:tc>
          <w:tcPr>
            <w:tcW w:w="2849" w:type="dxa"/>
            <w:vAlign w:val="center"/>
          </w:tcPr>
          <w:p>
            <w:pPr>
              <w:pStyle w:val="344"/>
              <w:spacing w:line="264" w:lineRule="exact"/>
              <w:jc w:val="both"/>
              <w:rPr>
                <w:color w:val="auto"/>
              </w:rPr>
            </w:pPr>
            <w:r>
              <w:rPr>
                <w:rFonts w:hint="eastAsia"/>
                <w:color w:val="auto"/>
              </w:rPr>
              <w:t xml:space="preserve">1.设备设计不合理，设备、管道等材质选用不当；设备、管道、阀门材质不符合或有缺陷； </w:t>
            </w:r>
          </w:p>
          <w:p>
            <w:pPr>
              <w:pStyle w:val="344"/>
              <w:spacing w:line="264" w:lineRule="exact"/>
              <w:jc w:val="both"/>
              <w:rPr>
                <w:color w:val="auto"/>
                <w:lang w:val="zh-CN"/>
              </w:rPr>
            </w:pPr>
            <w:r>
              <w:rPr>
                <w:rFonts w:hint="eastAsia"/>
                <w:color w:val="auto"/>
                <w:lang w:val="zh-CN"/>
              </w:rPr>
              <w:t>2．</w:t>
            </w:r>
            <w:r>
              <w:rPr>
                <w:color w:val="auto"/>
                <w:lang w:val="zh-CN"/>
              </w:rPr>
              <w:t>故障泄漏</w:t>
            </w:r>
          </w:p>
          <w:p>
            <w:pPr>
              <w:pStyle w:val="344"/>
              <w:spacing w:line="264" w:lineRule="exact"/>
              <w:jc w:val="both"/>
              <w:rPr>
                <w:color w:val="auto"/>
                <w:lang w:val="zh-CN"/>
              </w:rPr>
            </w:pPr>
            <w:r>
              <w:rPr>
                <w:rFonts w:hint="eastAsia" w:ascii="宋体" w:hAnsi="宋体" w:cs="宋体"/>
                <w:color w:val="auto"/>
                <w:lang w:val="zh-CN"/>
              </w:rPr>
              <w:t>①</w:t>
            </w:r>
            <w:r>
              <w:rPr>
                <w:color w:val="auto"/>
                <w:lang w:val="zh-CN"/>
              </w:rPr>
              <w:t>设备、</w:t>
            </w:r>
            <w:r>
              <w:rPr>
                <w:rFonts w:hint="eastAsia"/>
                <w:color w:val="auto"/>
                <w:lang w:val="zh-CN"/>
              </w:rPr>
              <w:t>机泵</w:t>
            </w:r>
            <w:r>
              <w:rPr>
                <w:color w:val="auto"/>
                <w:lang w:val="zh-CN"/>
              </w:rPr>
              <w:t>、管线、阀门、法兰等垫子</w:t>
            </w:r>
            <w:r>
              <w:rPr>
                <w:rFonts w:hint="eastAsia"/>
                <w:color w:val="auto"/>
                <w:lang w:val="zh-CN"/>
              </w:rPr>
              <w:t>选型不当或</w:t>
            </w:r>
            <w:r>
              <w:rPr>
                <w:color w:val="auto"/>
                <w:lang w:val="zh-CN"/>
              </w:rPr>
              <w:t>破损、泄漏；</w:t>
            </w:r>
          </w:p>
          <w:p>
            <w:pPr>
              <w:pStyle w:val="344"/>
              <w:spacing w:line="264" w:lineRule="exact"/>
              <w:jc w:val="both"/>
              <w:rPr>
                <w:color w:val="auto"/>
                <w:lang w:val="zh-CN"/>
              </w:rPr>
            </w:pPr>
            <w:r>
              <w:rPr>
                <w:rFonts w:hint="eastAsia" w:ascii="宋体" w:hAnsi="宋体" w:cs="宋体"/>
                <w:color w:val="auto"/>
                <w:lang w:val="zh-CN"/>
              </w:rPr>
              <w:t>②</w:t>
            </w:r>
            <w:r>
              <w:rPr>
                <w:color w:val="auto"/>
                <w:lang w:val="zh-CN"/>
              </w:rPr>
              <w:t>管、阀等连接处泄漏，转动设备密封处泄漏；</w:t>
            </w:r>
          </w:p>
          <w:p>
            <w:pPr>
              <w:pStyle w:val="344"/>
              <w:spacing w:line="264" w:lineRule="exact"/>
              <w:jc w:val="both"/>
              <w:rPr>
                <w:color w:val="auto"/>
                <w:lang w:val="zh-CN"/>
              </w:rPr>
            </w:pPr>
            <w:r>
              <w:rPr>
                <w:rFonts w:hint="eastAsia" w:ascii="宋体" w:hAnsi="宋体" w:cs="宋体"/>
                <w:color w:val="auto"/>
                <w:lang w:val="zh-CN"/>
              </w:rPr>
              <w:t>③</w:t>
            </w:r>
            <w:r>
              <w:rPr>
                <w:rFonts w:hint="eastAsia"/>
                <w:color w:val="auto"/>
                <w:lang w:val="zh-CN"/>
              </w:rPr>
              <w:t>储罐、</w:t>
            </w:r>
            <w:r>
              <w:rPr>
                <w:color w:val="auto"/>
                <w:lang w:val="zh-CN"/>
              </w:rPr>
              <w:t>管、阀等因加工、材质、焊接等质量不好或安装不当而泄漏；</w:t>
            </w:r>
          </w:p>
          <w:p>
            <w:pPr>
              <w:pStyle w:val="344"/>
              <w:spacing w:line="264" w:lineRule="exact"/>
              <w:jc w:val="both"/>
              <w:rPr>
                <w:color w:val="auto"/>
                <w:lang w:val="zh-CN"/>
              </w:rPr>
            </w:pPr>
            <w:r>
              <w:rPr>
                <w:rFonts w:hint="eastAsia" w:ascii="宋体" w:hAnsi="宋体" w:cs="宋体"/>
                <w:color w:val="auto"/>
                <w:lang w:val="zh-CN"/>
              </w:rPr>
              <w:t>④</w:t>
            </w:r>
            <w:r>
              <w:rPr>
                <w:color w:val="auto"/>
                <w:lang w:val="zh-CN"/>
              </w:rPr>
              <w:t>人为损坏造成</w:t>
            </w:r>
            <w:r>
              <w:rPr>
                <w:rFonts w:hint="eastAsia"/>
                <w:color w:val="auto"/>
                <w:lang w:val="zh-CN"/>
              </w:rPr>
              <w:t>储罐、设备</w:t>
            </w:r>
            <w:r>
              <w:rPr>
                <w:color w:val="auto"/>
                <w:lang w:val="zh-CN"/>
              </w:rPr>
              <w:t>、管道泄漏；</w:t>
            </w:r>
          </w:p>
          <w:p>
            <w:pPr>
              <w:pStyle w:val="344"/>
              <w:spacing w:line="264" w:lineRule="exact"/>
              <w:jc w:val="both"/>
              <w:rPr>
                <w:color w:val="auto"/>
                <w:lang w:val="zh-CN"/>
              </w:rPr>
            </w:pPr>
            <w:r>
              <w:rPr>
                <w:rFonts w:hint="eastAsia"/>
                <w:color w:val="auto"/>
                <w:lang w:val="zh-CN"/>
              </w:rPr>
              <w:t>3．</w:t>
            </w:r>
            <w:r>
              <w:rPr>
                <w:color w:val="auto"/>
                <w:lang w:val="zh-CN"/>
              </w:rPr>
              <w:t>运行泄漏、设备故障</w:t>
            </w:r>
          </w:p>
          <w:p>
            <w:pPr>
              <w:pStyle w:val="344"/>
              <w:spacing w:line="264" w:lineRule="exact"/>
              <w:jc w:val="both"/>
              <w:rPr>
                <w:color w:val="auto"/>
                <w:lang w:val="zh-CN"/>
              </w:rPr>
            </w:pPr>
            <w:r>
              <w:rPr>
                <w:rFonts w:hint="eastAsia" w:ascii="宋体" w:hAnsi="宋体" w:cs="宋体"/>
                <w:color w:val="auto"/>
                <w:lang w:val="zh-CN"/>
              </w:rPr>
              <w:t>①</w:t>
            </w:r>
            <w:r>
              <w:rPr>
                <w:color w:val="auto"/>
                <w:lang w:val="zh-CN"/>
              </w:rPr>
              <w:t>垫片撕裂造成泄漏；</w:t>
            </w:r>
          </w:p>
          <w:p>
            <w:pPr>
              <w:pStyle w:val="344"/>
              <w:spacing w:line="264" w:lineRule="exact"/>
              <w:jc w:val="both"/>
              <w:rPr>
                <w:color w:val="auto"/>
                <w:lang w:val="zh-CN"/>
              </w:rPr>
            </w:pPr>
            <w:r>
              <w:rPr>
                <w:rFonts w:hint="eastAsia" w:ascii="宋体" w:hAnsi="宋体" w:cs="宋体"/>
                <w:color w:val="auto"/>
                <w:lang w:val="zh-CN"/>
              </w:rPr>
              <w:t>②</w:t>
            </w:r>
            <w:r>
              <w:rPr>
                <w:rFonts w:hint="eastAsia"/>
                <w:color w:val="auto"/>
                <w:lang w:val="zh-CN"/>
              </w:rPr>
              <w:t>储罐、设备及输送泵、管线阀门受腐蚀</w:t>
            </w:r>
            <w:r>
              <w:rPr>
                <w:color w:val="auto"/>
                <w:lang w:val="zh-CN"/>
              </w:rPr>
              <w:t>、维护管理不周。未按有关规定及操作规程操作；</w:t>
            </w:r>
          </w:p>
          <w:p>
            <w:pPr>
              <w:pStyle w:val="344"/>
              <w:spacing w:line="264" w:lineRule="exact"/>
              <w:jc w:val="both"/>
              <w:rPr>
                <w:color w:val="auto"/>
                <w:lang w:val="zh-CN"/>
              </w:rPr>
            </w:pPr>
            <w:r>
              <w:rPr>
                <w:rFonts w:hint="eastAsia"/>
                <w:color w:val="auto"/>
                <w:lang w:val="zh-CN"/>
              </w:rPr>
              <w:t>3．违章操作</w:t>
            </w:r>
          </w:p>
          <w:p>
            <w:pPr>
              <w:pStyle w:val="344"/>
              <w:spacing w:line="264" w:lineRule="exact"/>
              <w:jc w:val="both"/>
              <w:rPr>
                <w:color w:val="auto"/>
                <w:lang w:val="zh-CN"/>
              </w:rPr>
            </w:pPr>
            <w:r>
              <w:rPr>
                <w:rFonts w:hint="eastAsia"/>
                <w:color w:val="auto"/>
                <w:lang w:val="zh-CN"/>
              </w:rPr>
              <w:t>4．管道、设备因雷电、静电等引起着火、爆炸。</w:t>
            </w:r>
          </w:p>
          <w:p>
            <w:pPr>
              <w:pStyle w:val="344"/>
              <w:spacing w:line="264" w:lineRule="exact"/>
              <w:jc w:val="both"/>
              <w:rPr>
                <w:color w:val="auto"/>
              </w:rPr>
            </w:pPr>
            <w:r>
              <w:rPr>
                <w:rFonts w:hint="eastAsia"/>
                <w:color w:val="auto"/>
              </w:rPr>
              <w:t>5．无静电跨接接地装置或失效.</w:t>
            </w:r>
          </w:p>
          <w:p>
            <w:pPr>
              <w:pStyle w:val="344"/>
              <w:spacing w:line="264" w:lineRule="exact"/>
              <w:jc w:val="both"/>
              <w:rPr>
                <w:color w:val="auto"/>
              </w:rPr>
            </w:pPr>
            <w:r>
              <w:rPr>
                <w:rFonts w:hint="eastAsia"/>
                <w:color w:val="auto"/>
              </w:rPr>
              <w:t>6.控制控制系统失效，导致物料溢出或将储罐吸瘪破裂。</w:t>
            </w:r>
          </w:p>
          <w:p>
            <w:pPr>
              <w:pStyle w:val="344"/>
              <w:spacing w:line="264" w:lineRule="exact"/>
              <w:jc w:val="both"/>
              <w:rPr>
                <w:color w:val="auto"/>
              </w:rPr>
            </w:pPr>
            <w:r>
              <w:rPr>
                <w:rFonts w:hint="eastAsia"/>
                <w:color w:val="auto"/>
              </w:rPr>
              <w:t>7.防爆区域内未使用防爆电器或选型不当。</w:t>
            </w:r>
          </w:p>
        </w:tc>
        <w:tc>
          <w:tcPr>
            <w:tcW w:w="696" w:type="dxa"/>
            <w:vAlign w:val="center"/>
          </w:tcPr>
          <w:p>
            <w:pPr>
              <w:pStyle w:val="344"/>
              <w:spacing w:line="264" w:lineRule="exact"/>
              <w:rPr>
                <w:color w:val="auto"/>
              </w:rPr>
            </w:pPr>
            <w:r>
              <w:rPr>
                <w:rFonts w:hint="eastAsia"/>
                <w:color w:val="auto"/>
              </w:rPr>
              <w:t>财产损失、人员伤亡、停产、造成严重经济损失</w:t>
            </w:r>
          </w:p>
        </w:tc>
        <w:tc>
          <w:tcPr>
            <w:tcW w:w="799" w:type="dxa"/>
            <w:vAlign w:val="center"/>
          </w:tcPr>
          <w:p>
            <w:pPr>
              <w:pStyle w:val="344"/>
              <w:spacing w:line="264" w:lineRule="exact"/>
              <w:jc w:val="center"/>
              <w:rPr>
                <w:color w:val="auto"/>
              </w:rPr>
            </w:pPr>
            <w:r>
              <w:rPr>
                <w:rFonts w:hint="eastAsia"/>
                <w:color w:val="auto"/>
              </w:rPr>
              <w:t>Ⅲ</w:t>
            </w:r>
          </w:p>
        </w:tc>
        <w:tc>
          <w:tcPr>
            <w:tcW w:w="3839" w:type="dxa"/>
            <w:vAlign w:val="center"/>
          </w:tcPr>
          <w:p>
            <w:pPr>
              <w:pStyle w:val="344"/>
              <w:spacing w:line="264" w:lineRule="exact"/>
              <w:jc w:val="both"/>
              <w:rPr>
                <w:color w:val="auto"/>
              </w:rPr>
            </w:pPr>
            <w:r>
              <w:rPr>
                <w:rFonts w:hint="eastAsia"/>
                <w:color w:val="auto"/>
              </w:rPr>
              <w:t>1.设备的工程设计、专业制造厂及施工、安装、检修单位必须具有相应的资质及许可证；施工、安装、检修完毕，应做好安全、质量检查和验收交接；施工完成后必须进行无损伤检测。</w:t>
            </w:r>
          </w:p>
          <w:p>
            <w:pPr>
              <w:pStyle w:val="344"/>
              <w:spacing w:line="264" w:lineRule="exact"/>
              <w:jc w:val="both"/>
              <w:rPr>
                <w:color w:val="auto"/>
              </w:rPr>
            </w:pPr>
            <w:r>
              <w:rPr>
                <w:rFonts w:hint="eastAsia"/>
                <w:color w:val="auto"/>
              </w:rPr>
              <w:t>2．</w:t>
            </w:r>
            <w:r>
              <w:rPr>
                <w:color w:val="auto"/>
              </w:rPr>
              <w:t>加强现场</w:t>
            </w:r>
            <w:r>
              <w:rPr>
                <w:rFonts w:hint="eastAsia"/>
                <w:color w:val="auto"/>
              </w:rPr>
              <w:t>检查维护</w:t>
            </w:r>
            <w:r>
              <w:rPr>
                <w:color w:val="auto"/>
              </w:rPr>
              <w:t>，</w:t>
            </w:r>
            <w:r>
              <w:rPr>
                <w:rFonts w:hint="eastAsia"/>
                <w:color w:val="auto"/>
              </w:rPr>
              <w:t>减缓</w:t>
            </w:r>
            <w:r>
              <w:rPr>
                <w:color w:val="auto"/>
              </w:rPr>
              <w:t>设备或管</w:t>
            </w:r>
            <w:r>
              <w:rPr>
                <w:rFonts w:hint="eastAsia"/>
                <w:color w:val="auto"/>
              </w:rPr>
              <w:t>道、密封件等</w:t>
            </w:r>
            <w:r>
              <w:rPr>
                <w:color w:val="auto"/>
              </w:rPr>
              <w:t>腐蚀</w:t>
            </w:r>
            <w:r>
              <w:rPr>
                <w:rFonts w:hint="eastAsia"/>
                <w:color w:val="auto"/>
              </w:rPr>
              <w:t>、老化程度</w:t>
            </w:r>
            <w:r>
              <w:rPr>
                <w:color w:val="auto"/>
              </w:rPr>
              <w:t>；</w:t>
            </w:r>
          </w:p>
          <w:p>
            <w:pPr>
              <w:pStyle w:val="344"/>
              <w:spacing w:line="264" w:lineRule="exact"/>
              <w:jc w:val="both"/>
              <w:rPr>
                <w:color w:val="auto"/>
                <w:lang w:val="zh-CN"/>
              </w:rPr>
            </w:pPr>
            <w:r>
              <w:rPr>
                <w:rFonts w:hint="eastAsia"/>
                <w:color w:val="auto"/>
              </w:rPr>
              <w:t>3.</w:t>
            </w:r>
            <w:r>
              <w:rPr>
                <w:color w:val="auto"/>
                <w:lang w:val="zh-CN"/>
              </w:rPr>
              <w:t>加强管理，严禁吸烟、火种和穿带钉皮鞋；严禁钢质工具敲击、抛掷，不使用产生火花工具；</w:t>
            </w:r>
          </w:p>
          <w:p>
            <w:pPr>
              <w:pStyle w:val="344"/>
              <w:spacing w:line="264" w:lineRule="exact"/>
              <w:jc w:val="both"/>
              <w:rPr>
                <w:color w:val="auto"/>
                <w:lang w:val="zh-CN"/>
              </w:rPr>
            </w:pPr>
            <w:r>
              <w:rPr>
                <w:rFonts w:hint="eastAsia"/>
                <w:color w:val="auto"/>
                <w:lang w:val="zh-CN"/>
              </w:rPr>
              <w:t>4.</w:t>
            </w:r>
            <w:r>
              <w:rPr>
                <w:color w:val="auto"/>
                <w:lang w:val="zh-CN"/>
              </w:rPr>
              <w:t>严格执行动火证制度，并加强防范措施；</w:t>
            </w:r>
          </w:p>
          <w:p>
            <w:pPr>
              <w:pStyle w:val="344"/>
              <w:spacing w:line="264" w:lineRule="exact"/>
              <w:jc w:val="both"/>
              <w:rPr>
                <w:color w:val="auto"/>
                <w:lang w:val="zh-CN"/>
              </w:rPr>
            </w:pPr>
            <w:r>
              <w:rPr>
                <w:rFonts w:hint="eastAsia"/>
                <w:color w:val="auto"/>
                <w:lang w:val="zh-CN"/>
              </w:rPr>
              <w:t>5.</w:t>
            </w:r>
            <w:r>
              <w:rPr>
                <w:color w:val="auto"/>
                <w:lang w:val="zh-CN"/>
              </w:rPr>
              <w:t>按标准</w:t>
            </w:r>
            <w:r>
              <w:rPr>
                <w:rFonts w:hint="eastAsia"/>
                <w:color w:val="auto"/>
                <w:lang w:val="zh-CN"/>
              </w:rPr>
              <w:t>配</w:t>
            </w:r>
            <w:r>
              <w:rPr>
                <w:color w:val="auto"/>
                <w:lang w:val="zh-CN"/>
              </w:rPr>
              <w:t>置避雷及静电接地设施，并定期检查；</w:t>
            </w:r>
          </w:p>
          <w:p>
            <w:pPr>
              <w:pStyle w:val="344"/>
              <w:spacing w:line="264" w:lineRule="exact"/>
              <w:jc w:val="both"/>
              <w:rPr>
                <w:color w:val="auto"/>
                <w:lang w:val="zh-CN"/>
              </w:rPr>
            </w:pPr>
            <w:r>
              <w:rPr>
                <w:rFonts w:hint="eastAsia"/>
                <w:color w:val="auto"/>
                <w:lang w:val="zh-CN"/>
              </w:rPr>
              <w:t>6.按照规范要求设置相应组别和级别的防爆电气。</w:t>
            </w:r>
          </w:p>
          <w:p>
            <w:pPr>
              <w:pStyle w:val="344"/>
              <w:spacing w:line="264" w:lineRule="exact"/>
              <w:jc w:val="both"/>
              <w:rPr>
                <w:color w:val="auto"/>
              </w:rPr>
            </w:pPr>
            <w:r>
              <w:rPr>
                <w:rFonts w:hint="eastAsia"/>
                <w:color w:val="auto"/>
              </w:rPr>
              <w:t>7.严格按标准制造；严格按要求安装；.焊接按操作规程进行；</w:t>
            </w:r>
          </w:p>
          <w:p>
            <w:pPr>
              <w:pStyle w:val="344"/>
              <w:spacing w:line="264" w:lineRule="exact"/>
              <w:jc w:val="both"/>
              <w:rPr>
                <w:color w:val="auto"/>
                <w:lang w:val="zh-CN"/>
              </w:rPr>
            </w:pPr>
            <w:r>
              <w:rPr>
                <w:rFonts w:hint="eastAsia"/>
                <w:color w:val="auto"/>
                <w:lang w:val="zh-CN"/>
              </w:rPr>
              <w:t>8.</w:t>
            </w:r>
            <w:r>
              <w:rPr>
                <w:color w:val="auto"/>
                <w:lang w:val="zh-CN"/>
              </w:rPr>
              <w:t xml:space="preserve"> 设置相应的检测报警及联锁；</w:t>
            </w:r>
            <w:r>
              <w:rPr>
                <w:rFonts w:hint="eastAsia"/>
                <w:color w:val="auto"/>
                <w:lang w:val="zh-CN"/>
              </w:rPr>
              <w:t>并定期维护，确保有效性；</w:t>
            </w:r>
            <w:r>
              <w:rPr>
                <w:color w:val="auto"/>
                <w:lang w:val="zh-CN"/>
              </w:rPr>
              <w:t>仪表</w:t>
            </w:r>
            <w:r>
              <w:rPr>
                <w:rFonts w:hint="eastAsia"/>
                <w:color w:val="auto"/>
                <w:lang w:val="zh-CN"/>
              </w:rPr>
              <w:t>、控制系统</w:t>
            </w:r>
            <w:r>
              <w:rPr>
                <w:color w:val="auto"/>
                <w:lang w:val="zh-CN"/>
              </w:rPr>
              <w:t>要定期检验、检测；</w:t>
            </w:r>
          </w:p>
          <w:p>
            <w:pPr>
              <w:pStyle w:val="344"/>
              <w:spacing w:line="264" w:lineRule="exact"/>
              <w:jc w:val="both"/>
              <w:rPr>
                <w:color w:val="auto"/>
                <w:lang w:val="zh-CN"/>
              </w:rPr>
            </w:pPr>
            <w:r>
              <w:rPr>
                <w:rFonts w:hint="eastAsia"/>
                <w:color w:val="auto"/>
                <w:lang w:val="zh-CN"/>
              </w:rPr>
              <w:t>9.</w:t>
            </w:r>
            <w:r>
              <w:rPr>
                <w:color w:val="auto"/>
                <w:lang w:val="zh-CN"/>
              </w:rPr>
              <w:t>对设备、管线、泵、阀、报警器监测</w:t>
            </w:r>
            <w:r>
              <w:rPr>
                <w:rFonts w:hint="eastAsia"/>
                <w:color w:val="auto"/>
                <w:lang w:val="zh-CN"/>
              </w:rPr>
              <w:t>、</w:t>
            </w:r>
            <w:r>
              <w:rPr>
                <w:color w:val="auto"/>
                <w:lang w:val="zh-CN"/>
              </w:rPr>
              <w:t>仪表定期检、保、修；</w:t>
            </w:r>
          </w:p>
          <w:p>
            <w:pPr>
              <w:pStyle w:val="344"/>
              <w:spacing w:line="264" w:lineRule="exact"/>
              <w:jc w:val="both"/>
              <w:rPr>
                <w:color w:val="auto"/>
                <w:lang w:val="zh-CN"/>
              </w:rPr>
            </w:pPr>
            <w:r>
              <w:rPr>
                <w:rFonts w:hint="eastAsia"/>
                <w:color w:val="auto"/>
                <w:lang w:val="zh-CN"/>
              </w:rPr>
              <w:t>10..</w:t>
            </w:r>
            <w:r>
              <w:rPr>
                <w:color w:val="auto"/>
                <w:lang w:val="zh-CN"/>
              </w:rPr>
              <w:t>杜绝“三违”（违章作业、违章指挥、违反劳纪）；坚持巡回检查，发现问题及时处理；</w:t>
            </w:r>
          </w:p>
          <w:p>
            <w:pPr>
              <w:pStyle w:val="344"/>
              <w:spacing w:line="264" w:lineRule="exact"/>
              <w:jc w:val="both"/>
              <w:rPr>
                <w:color w:val="auto"/>
              </w:rPr>
            </w:pPr>
            <w:r>
              <w:rPr>
                <w:rFonts w:hint="eastAsia"/>
                <w:color w:val="auto"/>
              </w:rPr>
              <w:t>11.</w:t>
            </w:r>
            <w:r>
              <w:rPr>
                <w:color w:val="auto"/>
              </w:rPr>
              <w:t>进出口管道两端设立闸阀和快速切断阀或采用先进的检测控制手段在发生故障时立即自动切断管线中的物料供应。</w:t>
            </w:r>
          </w:p>
          <w:p>
            <w:pPr>
              <w:pStyle w:val="344"/>
              <w:spacing w:line="264" w:lineRule="exact"/>
              <w:jc w:val="both"/>
              <w:rPr>
                <w:color w:val="auto"/>
              </w:rPr>
            </w:pPr>
            <w:r>
              <w:rPr>
                <w:rFonts w:hint="eastAsia"/>
                <w:color w:val="auto"/>
              </w:rPr>
              <w:t>12.设置液面计、压力计、温度计、安全阀等安全附件；设置温度、压力、液位报警、联锁等设施</w:t>
            </w:r>
          </w:p>
          <w:p>
            <w:pPr>
              <w:pStyle w:val="344"/>
              <w:spacing w:line="264" w:lineRule="exact"/>
              <w:jc w:val="both"/>
              <w:rPr>
                <w:color w:val="auto"/>
              </w:rPr>
            </w:pPr>
            <w:r>
              <w:rPr>
                <w:rFonts w:hint="eastAsia"/>
                <w:color w:val="auto"/>
              </w:rPr>
              <w:t>13.储槽等不应设置玻璃管液位计等易破损设施。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pStyle w:val="344"/>
              <w:spacing w:line="264" w:lineRule="exact"/>
              <w:rPr>
                <w:color w:val="auto"/>
              </w:rPr>
            </w:pPr>
            <w:r>
              <w:rPr>
                <w:rFonts w:hint="eastAsia"/>
                <w:color w:val="auto"/>
              </w:rPr>
              <w:t>中毒和窒息</w:t>
            </w:r>
          </w:p>
        </w:tc>
        <w:tc>
          <w:tcPr>
            <w:tcW w:w="696" w:type="dxa"/>
            <w:vAlign w:val="center"/>
          </w:tcPr>
          <w:p>
            <w:pPr>
              <w:pStyle w:val="344"/>
              <w:spacing w:line="264" w:lineRule="exact"/>
              <w:rPr>
                <w:color w:val="auto"/>
              </w:rPr>
            </w:pPr>
            <w:r>
              <w:rPr>
                <w:rFonts w:hint="eastAsia"/>
                <w:bCs/>
                <w:color w:val="auto"/>
              </w:rPr>
              <w:t>生产过程中有毒窒息性气体泄漏</w:t>
            </w:r>
          </w:p>
        </w:tc>
        <w:tc>
          <w:tcPr>
            <w:tcW w:w="2849" w:type="dxa"/>
            <w:vAlign w:val="center"/>
          </w:tcPr>
          <w:p>
            <w:pPr>
              <w:pStyle w:val="344"/>
              <w:spacing w:line="264" w:lineRule="exact"/>
              <w:jc w:val="both"/>
              <w:rPr>
                <w:color w:val="auto"/>
              </w:rPr>
            </w:pPr>
            <w:r>
              <w:rPr>
                <w:rFonts w:hint="eastAsia"/>
                <w:color w:val="auto"/>
              </w:rPr>
              <w:t>一、运行泄漏：</w:t>
            </w:r>
          </w:p>
          <w:p>
            <w:pPr>
              <w:pStyle w:val="344"/>
              <w:spacing w:line="264" w:lineRule="exact"/>
              <w:jc w:val="both"/>
              <w:rPr>
                <w:color w:val="auto"/>
                <w:lang w:val="zh-CN"/>
              </w:rPr>
            </w:pPr>
            <w:r>
              <w:rPr>
                <w:color w:val="auto"/>
                <w:lang w:val="zh-CN"/>
              </w:rPr>
              <w:t>1</w:t>
            </w:r>
            <w:r>
              <w:rPr>
                <w:rFonts w:hint="eastAsia"/>
                <w:color w:val="auto"/>
                <w:lang w:val="zh-CN"/>
              </w:rPr>
              <w:t>.装卸过程</w:t>
            </w:r>
            <w:r>
              <w:rPr>
                <w:color w:val="auto"/>
                <w:lang w:val="zh-CN"/>
              </w:rPr>
              <w:t>中的主要有毒有害物料发生泄漏；</w:t>
            </w:r>
          </w:p>
          <w:p>
            <w:pPr>
              <w:pStyle w:val="344"/>
              <w:spacing w:line="264" w:lineRule="exact"/>
              <w:jc w:val="both"/>
              <w:rPr>
                <w:color w:val="auto"/>
                <w:lang w:val="zh-CN"/>
              </w:rPr>
            </w:pPr>
            <w:r>
              <w:rPr>
                <w:color w:val="auto"/>
                <w:lang w:val="zh-CN"/>
              </w:rPr>
              <w:t>2</w:t>
            </w:r>
            <w:r>
              <w:rPr>
                <w:rFonts w:hint="eastAsia"/>
                <w:color w:val="auto"/>
                <w:lang w:val="zh-CN"/>
              </w:rPr>
              <w:t>.</w:t>
            </w:r>
            <w:r>
              <w:rPr>
                <w:color w:val="auto"/>
                <w:lang w:val="zh-CN"/>
              </w:rPr>
              <w:t>泄漏原因如同前面分析表火灾、爆炸触发事件泄漏所述；</w:t>
            </w:r>
          </w:p>
          <w:p>
            <w:pPr>
              <w:pStyle w:val="344"/>
              <w:spacing w:line="264" w:lineRule="exact"/>
              <w:jc w:val="both"/>
              <w:rPr>
                <w:color w:val="auto"/>
                <w:lang w:val="zh-CN"/>
              </w:rPr>
            </w:pPr>
            <w:r>
              <w:rPr>
                <w:color w:val="auto"/>
                <w:lang w:val="zh-CN"/>
              </w:rPr>
              <w:t>3</w:t>
            </w:r>
            <w:r>
              <w:rPr>
                <w:rFonts w:hint="eastAsia"/>
                <w:color w:val="auto"/>
                <w:lang w:val="zh-CN"/>
              </w:rPr>
              <w:t>.</w:t>
            </w:r>
            <w:r>
              <w:rPr>
                <w:color w:val="auto"/>
                <w:lang w:val="zh-CN"/>
              </w:rPr>
              <w:t>维修、抢修时，罐、管、阀等中的有毒有害物料未彻底清洗干净，未采取有效的隔绝措施；</w:t>
            </w:r>
          </w:p>
          <w:p>
            <w:pPr>
              <w:pStyle w:val="344"/>
              <w:spacing w:line="264" w:lineRule="exact"/>
              <w:jc w:val="both"/>
              <w:rPr>
                <w:color w:val="auto"/>
                <w:lang w:val="zh-CN"/>
              </w:rPr>
            </w:pPr>
            <w:r>
              <w:rPr>
                <w:rFonts w:hint="eastAsia"/>
                <w:color w:val="auto"/>
                <w:lang w:val="zh-CN"/>
              </w:rPr>
              <w:t>4.</w:t>
            </w:r>
            <w:r>
              <w:rPr>
                <w:color w:val="auto"/>
                <w:lang w:val="zh-CN"/>
              </w:rPr>
              <w:t>有毒</w:t>
            </w:r>
            <w:r>
              <w:rPr>
                <w:rFonts w:hint="eastAsia"/>
                <w:color w:val="auto"/>
                <w:lang w:val="zh-CN"/>
              </w:rPr>
              <w:t>有害</w:t>
            </w:r>
            <w:r>
              <w:rPr>
                <w:color w:val="auto"/>
                <w:lang w:val="zh-CN"/>
              </w:rPr>
              <w:t>性物质的泄漏到空间且有积聚；</w:t>
            </w:r>
          </w:p>
          <w:p>
            <w:pPr>
              <w:pStyle w:val="344"/>
              <w:spacing w:line="264" w:lineRule="exact"/>
              <w:jc w:val="both"/>
              <w:rPr>
                <w:color w:val="auto"/>
              </w:rPr>
            </w:pPr>
            <w:r>
              <w:rPr>
                <w:color w:val="auto"/>
              </w:rPr>
              <w:t>5</w:t>
            </w:r>
            <w:r>
              <w:rPr>
                <w:rFonts w:hint="eastAsia"/>
                <w:color w:val="auto"/>
              </w:rPr>
              <w:t>.</w:t>
            </w:r>
            <w:r>
              <w:rPr>
                <w:color w:val="auto"/>
              </w:rPr>
              <w:t>在容器内作业时缺氧；</w:t>
            </w:r>
          </w:p>
          <w:p>
            <w:pPr>
              <w:pStyle w:val="344"/>
              <w:spacing w:line="264" w:lineRule="exact"/>
              <w:jc w:val="both"/>
              <w:rPr>
                <w:color w:val="auto"/>
              </w:rPr>
            </w:pPr>
            <w:r>
              <w:rPr>
                <w:rFonts w:hint="eastAsia"/>
                <w:color w:val="auto"/>
              </w:rPr>
              <w:t>二、未戴防毒面具：</w:t>
            </w:r>
          </w:p>
          <w:p>
            <w:pPr>
              <w:pStyle w:val="344"/>
              <w:spacing w:line="264" w:lineRule="exact"/>
              <w:jc w:val="both"/>
              <w:rPr>
                <w:color w:val="auto"/>
              </w:rPr>
            </w:pPr>
            <w:r>
              <w:rPr>
                <w:rFonts w:hint="eastAsia"/>
                <w:color w:val="auto"/>
              </w:rPr>
              <w:t>1、防毒面具配备不够</w:t>
            </w:r>
          </w:p>
          <w:p>
            <w:pPr>
              <w:pStyle w:val="344"/>
              <w:spacing w:line="264" w:lineRule="exact"/>
              <w:jc w:val="both"/>
              <w:rPr>
                <w:color w:val="auto"/>
              </w:rPr>
            </w:pPr>
            <w:r>
              <w:rPr>
                <w:rFonts w:hint="eastAsia"/>
                <w:color w:val="auto"/>
              </w:rPr>
              <w:t>2、取用不便</w:t>
            </w:r>
          </w:p>
          <w:p>
            <w:pPr>
              <w:pStyle w:val="344"/>
              <w:spacing w:line="264" w:lineRule="exact"/>
              <w:jc w:val="both"/>
              <w:rPr>
                <w:color w:val="auto"/>
              </w:rPr>
            </w:pPr>
            <w:r>
              <w:rPr>
                <w:rFonts w:hint="eastAsia"/>
                <w:color w:val="auto"/>
              </w:rPr>
              <w:t>3、因故未戴</w:t>
            </w:r>
          </w:p>
          <w:p>
            <w:pPr>
              <w:pStyle w:val="344"/>
              <w:spacing w:line="264" w:lineRule="exact"/>
              <w:jc w:val="both"/>
              <w:rPr>
                <w:color w:val="auto"/>
              </w:rPr>
            </w:pPr>
            <w:r>
              <w:rPr>
                <w:rFonts w:hint="eastAsia"/>
                <w:color w:val="auto"/>
              </w:rPr>
              <w:t>三、防毒面具失效：</w:t>
            </w:r>
          </w:p>
          <w:p>
            <w:pPr>
              <w:pStyle w:val="344"/>
              <w:spacing w:line="264" w:lineRule="exact"/>
              <w:jc w:val="both"/>
              <w:rPr>
                <w:color w:val="auto"/>
              </w:rPr>
            </w:pPr>
            <w:r>
              <w:rPr>
                <w:rFonts w:hint="eastAsia"/>
                <w:color w:val="auto"/>
              </w:rPr>
              <w:t>1、面具破损、失效</w:t>
            </w:r>
          </w:p>
          <w:p>
            <w:pPr>
              <w:pStyle w:val="344"/>
              <w:spacing w:line="264" w:lineRule="exact"/>
              <w:jc w:val="both"/>
              <w:rPr>
                <w:color w:val="auto"/>
              </w:rPr>
            </w:pPr>
            <w:r>
              <w:rPr>
                <w:rFonts w:hint="eastAsia"/>
                <w:color w:val="auto"/>
              </w:rPr>
              <w:t>2、面具选型不对</w:t>
            </w:r>
          </w:p>
          <w:p>
            <w:pPr>
              <w:pStyle w:val="344"/>
              <w:spacing w:line="264" w:lineRule="exact"/>
              <w:jc w:val="both"/>
              <w:rPr>
                <w:color w:val="auto"/>
              </w:rPr>
            </w:pPr>
            <w:r>
              <w:rPr>
                <w:rFonts w:hint="eastAsia"/>
                <w:color w:val="auto"/>
              </w:rPr>
              <w:t>3、使用不当</w:t>
            </w:r>
          </w:p>
        </w:tc>
        <w:tc>
          <w:tcPr>
            <w:tcW w:w="696" w:type="dxa"/>
            <w:vAlign w:val="center"/>
          </w:tcPr>
          <w:p>
            <w:pPr>
              <w:pStyle w:val="344"/>
              <w:spacing w:line="264" w:lineRule="exact"/>
              <w:rPr>
                <w:color w:val="auto"/>
              </w:rPr>
            </w:pPr>
            <w:r>
              <w:rPr>
                <w:rFonts w:hint="eastAsia"/>
                <w:color w:val="auto"/>
              </w:rPr>
              <w:t>导致人员中毒</w:t>
            </w:r>
          </w:p>
        </w:tc>
        <w:tc>
          <w:tcPr>
            <w:tcW w:w="799" w:type="dxa"/>
            <w:vAlign w:val="center"/>
          </w:tcPr>
          <w:p>
            <w:pPr>
              <w:pStyle w:val="344"/>
              <w:spacing w:line="264" w:lineRule="exact"/>
              <w:jc w:val="center"/>
              <w:rPr>
                <w:color w:val="auto"/>
              </w:rPr>
            </w:pPr>
            <w:r>
              <w:rPr>
                <w:rFonts w:hint="eastAsia"/>
                <w:color w:val="auto"/>
              </w:rPr>
              <w:t>Ⅱ</w:t>
            </w:r>
          </w:p>
        </w:tc>
        <w:tc>
          <w:tcPr>
            <w:tcW w:w="3839" w:type="dxa"/>
            <w:vAlign w:val="center"/>
          </w:tcPr>
          <w:p>
            <w:pPr>
              <w:pStyle w:val="344"/>
              <w:spacing w:line="264" w:lineRule="exact"/>
              <w:jc w:val="both"/>
              <w:rPr>
                <w:color w:val="auto"/>
                <w:lang w:val="zh-CN"/>
              </w:rPr>
            </w:pPr>
            <w:r>
              <w:rPr>
                <w:rFonts w:hint="eastAsia"/>
                <w:color w:val="auto"/>
                <w:lang w:val="zh-CN"/>
              </w:rPr>
              <w:t>1.按规范要求设置与泄漏检测报警装置的事故联锁，</w:t>
            </w:r>
          </w:p>
          <w:p>
            <w:pPr>
              <w:pStyle w:val="344"/>
              <w:spacing w:line="264" w:lineRule="exact"/>
              <w:jc w:val="both"/>
              <w:rPr>
                <w:color w:val="auto"/>
                <w:lang w:val="zh-CN"/>
              </w:rPr>
            </w:pPr>
            <w:r>
              <w:rPr>
                <w:rFonts w:hint="eastAsia"/>
                <w:color w:val="auto"/>
                <w:lang w:val="zh-CN"/>
              </w:rPr>
              <w:t>2．</w:t>
            </w:r>
            <w:r>
              <w:rPr>
                <w:color w:val="auto"/>
                <w:lang w:val="zh-CN"/>
              </w:rPr>
              <w:t>泄漏后应采取相应措施。</w:t>
            </w:r>
          </w:p>
          <w:p>
            <w:pPr>
              <w:pStyle w:val="344"/>
              <w:spacing w:line="264" w:lineRule="exact"/>
              <w:jc w:val="both"/>
              <w:rPr>
                <w:color w:val="auto"/>
                <w:lang w:val="zh-CN"/>
              </w:rPr>
            </w:pPr>
            <w:r>
              <w:rPr>
                <w:rFonts w:hint="eastAsia" w:ascii="宋体" w:hAnsi="宋体" w:cs="宋体"/>
                <w:color w:val="auto"/>
                <w:lang w:val="zh-CN"/>
              </w:rPr>
              <w:t>①</w:t>
            </w:r>
            <w:r>
              <w:rPr>
                <w:color w:val="auto"/>
                <w:lang w:val="zh-CN"/>
              </w:rPr>
              <w:t>查明泄漏源点，切断相关阀门，消除泄漏源，及时报告；</w:t>
            </w:r>
          </w:p>
          <w:p>
            <w:pPr>
              <w:pStyle w:val="344"/>
              <w:spacing w:line="264" w:lineRule="exact"/>
              <w:jc w:val="both"/>
              <w:rPr>
                <w:color w:val="auto"/>
                <w:lang w:val="zh-CN"/>
              </w:rPr>
            </w:pPr>
            <w:r>
              <w:rPr>
                <w:rFonts w:hint="eastAsia" w:ascii="宋体" w:hAnsi="宋体" w:cs="宋体"/>
                <w:color w:val="auto"/>
                <w:lang w:val="zh-CN"/>
              </w:rPr>
              <w:t>②</w:t>
            </w:r>
            <w:r>
              <w:rPr>
                <w:color w:val="auto"/>
                <w:lang w:val="zh-CN"/>
              </w:rPr>
              <w:t>如泄漏量大，应疏散有关人员至安全处。</w:t>
            </w:r>
          </w:p>
          <w:p>
            <w:pPr>
              <w:pStyle w:val="344"/>
              <w:spacing w:line="264" w:lineRule="exact"/>
              <w:jc w:val="both"/>
              <w:rPr>
                <w:color w:val="auto"/>
                <w:lang w:val="zh-CN"/>
              </w:rPr>
            </w:pPr>
            <w:r>
              <w:rPr>
                <w:rFonts w:hint="eastAsia"/>
                <w:color w:val="auto"/>
                <w:lang w:val="zh-CN"/>
              </w:rPr>
              <w:t>3．</w:t>
            </w:r>
            <w:r>
              <w:rPr>
                <w:color w:val="auto"/>
                <w:lang w:val="zh-CN"/>
              </w:rPr>
              <w:t>定期检修、维护保养，保持设备完好；检修时，应与其他设备或管道隔断，彻底清洗干净，并检测有毒有害物质浓度、含氧量（19.5～22%），合格后方可作业；作业时，穿戴劳动防护用品，有人监护并有抢救后备措施。</w:t>
            </w:r>
          </w:p>
          <w:p>
            <w:pPr>
              <w:pStyle w:val="344"/>
              <w:spacing w:line="264" w:lineRule="exact"/>
              <w:jc w:val="both"/>
              <w:rPr>
                <w:color w:val="auto"/>
              </w:rPr>
            </w:pPr>
            <w:r>
              <w:rPr>
                <w:rFonts w:hint="eastAsia"/>
                <w:color w:val="auto"/>
              </w:rPr>
              <w:t>4．加强作业场所的通风；</w:t>
            </w:r>
          </w:p>
          <w:p>
            <w:pPr>
              <w:pStyle w:val="344"/>
              <w:spacing w:line="264" w:lineRule="exact"/>
              <w:jc w:val="both"/>
              <w:rPr>
                <w:color w:val="auto"/>
                <w:lang w:val="zh-CN"/>
              </w:rPr>
            </w:pPr>
            <w:r>
              <w:rPr>
                <w:rFonts w:hint="eastAsia"/>
                <w:color w:val="auto"/>
                <w:lang w:val="zh-CN"/>
              </w:rPr>
              <w:t>5</w:t>
            </w:r>
            <w:r>
              <w:rPr>
                <w:color w:val="auto"/>
                <w:lang w:val="zh-CN"/>
              </w:rPr>
              <w:t>．</w:t>
            </w:r>
            <w:r>
              <w:rPr>
                <w:rFonts w:hint="eastAsia"/>
                <w:color w:val="auto"/>
                <w:lang w:val="zh-CN"/>
              </w:rPr>
              <w:t>保证</w:t>
            </w:r>
            <w:r>
              <w:rPr>
                <w:color w:val="auto"/>
                <w:lang w:val="zh-CN"/>
              </w:rPr>
              <w:t>报警装置</w:t>
            </w:r>
            <w:r>
              <w:rPr>
                <w:rFonts w:hint="eastAsia"/>
                <w:color w:val="auto"/>
                <w:lang w:val="zh-CN"/>
              </w:rPr>
              <w:t>好用</w:t>
            </w:r>
            <w:r>
              <w:rPr>
                <w:color w:val="auto"/>
                <w:lang w:val="zh-CN"/>
              </w:rPr>
              <w:t>。</w:t>
            </w:r>
          </w:p>
          <w:p>
            <w:pPr>
              <w:pStyle w:val="344"/>
              <w:spacing w:line="264" w:lineRule="exact"/>
              <w:jc w:val="both"/>
              <w:rPr>
                <w:color w:val="auto"/>
                <w:lang w:val="zh-CN"/>
              </w:rPr>
            </w:pPr>
            <w:r>
              <w:rPr>
                <w:rFonts w:hint="eastAsia"/>
                <w:color w:val="auto"/>
                <w:lang w:val="zh-CN"/>
              </w:rPr>
              <w:t>6.</w:t>
            </w:r>
            <w:r>
              <w:rPr>
                <w:color w:val="auto"/>
                <w:lang w:val="zh-CN"/>
              </w:rPr>
              <w:t>要有应急预案，抢救时勿忘正确使用防毒面具及其它防护用品。</w:t>
            </w:r>
          </w:p>
          <w:p>
            <w:pPr>
              <w:pStyle w:val="344"/>
              <w:spacing w:line="264" w:lineRule="exact"/>
              <w:jc w:val="both"/>
              <w:rPr>
                <w:color w:val="auto"/>
                <w:lang w:val="zh-CN"/>
              </w:rPr>
            </w:pPr>
            <w:r>
              <w:rPr>
                <w:rFonts w:hint="eastAsia"/>
                <w:color w:val="auto"/>
                <w:lang w:val="zh-CN"/>
              </w:rPr>
              <w:t>7．</w:t>
            </w:r>
            <w:r>
              <w:rPr>
                <w:color w:val="auto"/>
                <w:lang w:val="zh-CN"/>
              </w:rPr>
              <w:t>组织管理措施</w:t>
            </w:r>
          </w:p>
          <w:p>
            <w:pPr>
              <w:pStyle w:val="344"/>
              <w:spacing w:line="264" w:lineRule="exact"/>
              <w:jc w:val="both"/>
              <w:rPr>
                <w:color w:val="auto"/>
                <w:lang w:val="zh-CN"/>
              </w:rPr>
            </w:pPr>
            <w:r>
              <w:rPr>
                <w:rFonts w:hint="eastAsia" w:ascii="宋体" w:hAnsi="宋体" w:cs="宋体"/>
                <w:color w:val="auto"/>
                <w:lang w:val="zh-CN"/>
              </w:rPr>
              <w:t>①</w:t>
            </w:r>
            <w:r>
              <w:rPr>
                <w:color w:val="auto"/>
                <w:lang w:val="zh-CN"/>
              </w:rPr>
              <w:t>加强检查、检测有毒有害物质有否跑、冒、滴、漏；</w:t>
            </w:r>
          </w:p>
          <w:p>
            <w:pPr>
              <w:pStyle w:val="344"/>
              <w:spacing w:line="264" w:lineRule="exact"/>
              <w:jc w:val="both"/>
              <w:rPr>
                <w:color w:val="auto"/>
                <w:lang w:val="zh-CN"/>
              </w:rPr>
            </w:pPr>
            <w:r>
              <w:rPr>
                <w:rFonts w:hint="eastAsia" w:ascii="宋体" w:hAnsi="宋体" w:cs="宋体"/>
                <w:color w:val="auto"/>
                <w:lang w:val="zh-CN"/>
              </w:rPr>
              <w:t>②</w:t>
            </w:r>
            <w:r>
              <w:rPr>
                <w:color w:val="auto"/>
                <w:lang w:val="zh-CN"/>
              </w:rPr>
              <w:t>教育、培训职工掌握有关毒物的毒性，预防中毒、窒息的方法及其急救法；</w:t>
            </w:r>
          </w:p>
          <w:p>
            <w:pPr>
              <w:pStyle w:val="344"/>
              <w:spacing w:line="264" w:lineRule="exact"/>
              <w:jc w:val="both"/>
              <w:rPr>
                <w:color w:val="auto"/>
                <w:lang w:val="zh-CN"/>
              </w:rPr>
            </w:pPr>
            <w:r>
              <w:rPr>
                <w:rFonts w:hint="eastAsia" w:ascii="宋体" w:hAnsi="宋体" w:cs="宋体"/>
                <w:color w:val="auto"/>
                <w:lang w:val="zh-CN"/>
              </w:rPr>
              <w:t>③</w:t>
            </w:r>
            <w:r>
              <w:rPr>
                <w:color w:val="auto"/>
                <w:lang w:val="zh-CN"/>
              </w:rPr>
              <w:t>要求职工严格遵守各种规章制度、操作规程；</w:t>
            </w:r>
          </w:p>
          <w:p>
            <w:pPr>
              <w:pStyle w:val="344"/>
              <w:spacing w:line="264" w:lineRule="exact"/>
              <w:jc w:val="both"/>
              <w:rPr>
                <w:color w:val="auto"/>
                <w:lang w:val="zh-CN"/>
              </w:rPr>
            </w:pPr>
            <w:r>
              <w:rPr>
                <w:rFonts w:hint="eastAsia" w:ascii="宋体" w:hAnsi="宋体" w:cs="宋体"/>
                <w:color w:val="auto"/>
                <w:lang w:val="zh-CN"/>
              </w:rPr>
              <w:t>④</w:t>
            </w:r>
            <w:r>
              <w:rPr>
                <w:color w:val="auto"/>
                <w:lang w:val="zh-CN"/>
              </w:rPr>
              <w:t>设立危险、有毒、窒息性标志；</w:t>
            </w:r>
          </w:p>
          <w:p>
            <w:pPr>
              <w:pStyle w:val="344"/>
              <w:spacing w:line="264" w:lineRule="exact"/>
              <w:jc w:val="both"/>
              <w:rPr>
                <w:color w:val="auto"/>
                <w:lang w:val="zh-CN"/>
              </w:rPr>
            </w:pPr>
            <w:r>
              <w:rPr>
                <w:rFonts w:hint="eastAsia" w:ascii="宋体" w:hAnsi="宋体" w:cs="宋体"/>
                <w:color w:val="auto"/>
                <w:lang w:val="zh-CN"/>
              </w:rPr>
              <w:t>⑤</w:t>
            </w:r>
            <w:r>
              <w:rPr>
                <w:color w:val="auto"/>
                <w:lang w:val="zh-CN"/>
              </w:rPr>
              <w:t>设立急救点，配备相应的防护用品、急救药品、器材；</w:t>
            </w:r>
          </w:p>
          <w:p>
            <w:pPr>
              <w:pStyle w:val="344"/>
              <w:spacing w:line="264" w:lineRule="exact"/>
              <w:jc w:val="both"/>
              <w:rPr>
                <w:color w:val="auto"/>
                <w:lang w:val="zh-CN"/>
              </w:rPr>
            </w:pPr>
            <w:r>
              <w:rPr>
                <w:rFonts w:hint="eastAsia" w:ascii="宋体" w:hAnsi="宋体" w:cs="宋体"/>
                <w:color w:val="auto"/>
                <w:lang w:val="zh-CN"/>
              </w:rPr>
              <w:t>⑥</w:t>
            </w:r>
            <w:r>
              <w:rPr>
                <w:color w:val="auto"/>
                <w:lang w:val="zh-CN"/>
              </w:rPr>
              <w:t>制作配备安全周知卡。</w:t>
            </w:r>
          </w:p>
          <w:p>
            <w:pPr>
              <w:pStyle w:val="344"/>
              <w:spacing w:line="264" w:lineRule="exact"/>
              <w:jc w:val="both"/>
              <w:rPr>
                <w:color w:val="auto"/>
                <w:lang w:val="zh-CN"/>
              </w:rPr>
            </w:pPr>
            <w:r>
              <w:rPr>
                <w:rFonts w:hint="eastAsia"/>
                <w:color w:val="auto"/>
                <w:lang w:val="zh-CN"/>
              </w:rPr>
              <w:t>8．</w:t>
            </w:r>
            <w:r>
              <w:rPr>
                <w:color w:val="auto"/>
                <w:lang w:val="zh-CN"/>
              </w:rPr>
              <w:t>巡检采取双人制，必要时佩戴防毒面具。</w:t>
            </w:r>
          </w:p>
          <w:p>
            <w:pPr>
              <w:pStyle w:val="344"/>
              <w:spacing w:line="264" w:lineRule="exact"/>
              <w:jc w:val="both"/>
              <w:rPr>
                <w:color w:val="auto"/>
              </w:rPr>
            </w:pPr>
            <w:r>
              <w:rPr>
                <w:rFonts w:hint="eastAsia"/>
                <w:color w:val="auto"/>
              </w:rPr>
              <w:t>9．事故状态下，有毒物料排放应有相应的处置措施。</w:t>
            </w:r>
          </w:p>
          <w:p>
            <w:pPr>
              <w:pStyle w:val="344"/>
              <w:spacing w:line="264" w:lineRule="exact"/>
              <w:jc w:val="both"/>
              <w:rPr>
                <w:color w:val="auto"/>
              </w:rPr>
            </w:pPr>
            <w:r>
              <w:rPr>
                <w:rFonts w:hint="eastAsia"/>
                <w:color w:val="auto"/>
              </w:rPr>
              <w:t>10.</w:t>
            </w:r>
            <w:r>
              <w:rPr>
                <w:color w:val="auto"/>
              </w:rPr>
              <w:t>严格执行《安全生产法》和《危险化学品安全管理条例》中关于危险化学品储存和使用的规定。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vAlign w:val="center"/>
          </w:tcPr>
          <w:p>
            <w:pPr>
              <w:pStyle w:val="344"/>
              <w:spacing w:line="264" w:lineRule="exact"/>
              <w:rPr>
                <w:color w:val="auto"/>
              </w:rPr>
            </w:pPr>
            <w:r>
              <w:rPr>
                <w:rFonts w:hint="eastAsia"/>
                <w:color w:val="auto"/>
              </w:rPr>
              <w:t>高处坠落</w:t>
            </w:r>
          </w:p>
        </w:tc>
        <w:tc>
          <w:tcPr>
            <w:tcW w:w="696" w:type="dxa"/>
            <w:vAlign w:val="center"/>
          </w:tcPr>
          <w:p>
            <w:pPr>
              <w:pStyle w:val="344"/>
              <w:spacing w:line="264" w:lineRule="exact"/>
              <w:rPr>
                <w:color w:val="auto"/>
              </w:rPr>
            </w:pPr>
            <w:r>
              <w:rPr>
                <w:rFonts w:hint="eastAsia"/>
                <w:color w:val="auto"/>
              </w:rPr>
              <w:t>人员从高处坠落</w:t>
            </w:r>
          </w:p>
        </w:tc>
        <w:tc>
          <w:tcPr>
            <w:tcW w:w="2849" w:type="dxa"/>
            <w:vAlign w:val="center"/>
          </w:tcPr>
          <w:p>
            <w:pPr>
              <w:pStyle w:val="344"/>
              <w:spacing w:line="264" w:lineRule="exact"/>
              <w:jc w:val="both"/>
              <w:rPr>
                <w:color w:val="auto"/>
              </w:rPr>
            </w:pPr>
            <w:r>
              <w:rPr>
                <w:rFonts w:hint="eastAsia"/>
                <w:color w:val="auto"/>
              </w:rPr>
              <w:t>1</w:t>
            </w:r>
            <w:r>
              <w:rPr>
                <w:color w:val="auto"/>
              </w:rPr>
              <w:t>.</w:t>
            </w:r>
            <w:r>
              <w:rPr>
                <w:rFonts w:hint="eastAsia"/>
                <w:color w:val="auto"/>
              </w:rPr>
              <w:t>储罐罐顶、扶梯的栏杆不符合安全要求，临时拆除栏杆后没有防护措施，不设警告标志；</w:t>
            </w:r>
          </w:p>
          <w:p>
            <w:pPr>
              <w:pStyle w:val="344"/>
              <w:spacing w:line="264" w:lineRule="exact"/>
              <w:jc w:val="both"/>
              <w:rPr>
                <w:color w:val="auto"/>
              </w:rPr>
            </w:pPr>
            <w:r>
              <w:rPr>
                <w:color w:val="auto"/>
              </w:rPr>
              <w:t>2.</w:t>
            </w:r>
            <w:r>
              <w:rPr>
                <w:rFonts w:hint="eastAsia"/>
                <w:color w:val="auto"/>
              </w:rPr>
              <w:t>高处作业不挂安全带、不戴安全帽、不挂安全网；不采取任何安全措施，在不坚固的结构上作业；</w:t>
            </w:r>
          </w:p>
          <w:p>
            <w:pPr>
              <w:pStyle w:val="344"/>
              <w:spacing w:line="264" w:lineRule="exact"/>
              <w:jc w:val="both"/>
              <w:rPr>
                <w:color w:val="auto"/>
              </w:rPr>
            </w:pPr>
            <w:r>
              <w:rPr>
                <w:color w:val="auto"/>
              </w:rPr>
              <w:t>3.</w:t>
            </w:r>
            <w:r>
              <w:rPr>
                <w:rFonts w:hint="eastAsia"/>
                <w:color w:val="auto"/>
              </w:rPr>
              <w:t>梯子使用不当或梯子不符合安全要求；</w:t>
            </w:r>
          </w:p>
          <w:p>
            <w:pPr>
              <w:pStyle w:val="344"/>
              <w:spacing w:line="264" w:lineRule="exact"/>
              <w:jc w:val="both"/>
              <w:rPr>
                <w:color w:val="auto"/>
              </w:rPr>
            </w:pPr>
            <w:r>
              <w:rPr>
                <w:color w:val="auto"/>
              </w:rPr>
              <w:t>4.</w:t>
            </w:r>
            <w:r>
              <w:rPr>
                <w:rFonts w:hint="eastAsia"/>
                <w:color w:val="auto"/>
              </w:rPr>
              <w:t>脚手架有缺陷；高处作业用力不当、重心失稳；</w:t>
            </w:r>
          </w:p>
          <w:p>
            <w:pPr>
              <w:pStyle w:val="344"/>
              <w:spacing w:line="264" w:lineRule="exact"/>
              <w:jc w:val="both"/>
              <w:rPr>
                <w:color w:val="auto"/>
              </w:rPr>
            </w:pPr>
            <w:r>
              <w:rPr>
                <w:color w:val="auto"/>
              </w:rPr>
              <w:t>5.</w:t>
            </w:r>
            <w:r>
              <w:rPr>
                <w:rFonts w:hint="eastAsia"/>
                <w:color w:val="auto"/>
              </w:rPr>
              <w:t>作业附近对电网设防不妥触电坠落等。</w:t>
            </w:r>
          </w:p>
        </w:tc>
        <w:tc>
          <w:tcPr>
            <w:tcW w:w="696" w:type="dxa"/>
            <w:vAlign w:val="center"/>
          </w:tcPr>
          <w:p>
            <w:pPr>
              <w:pStyle w:val="344"/>
              <w:spacing w:line="264" w:lineRule="exact"/>
              <w:rPr>
                <w:color w:val="auto"/>
              </w:rPr>
            </w:pPr>
            <w:r>
              <w:rPr>
                <w:rFonts w:hint="eastAsia"/>
                <w:color w:val="auto"/>
              </w:rPr>
              <w:t>人员伤亡</w:t>
            </w:r>
          </w:p>
        </w:tc>
        <w:tc>
          <w:tcPr>
            <w:tcW w:w="799" w:type="dxa"/>
            <w:vAlign w:val="center"/>
          </w:tcPr>
          <w:p>
            <w:pPr>
              <w:pStyle w:val="344"/>
              <w:spacing w:line="264" w:lineRule="exact"/>
              <w:jc w:val="center"/>
              <w:rPr>
                <w:color w:val="auto"/>
              </w:rPr>
            </w:pPr>
            <w:r>
              <w:rPr>
                <w:color w:val="auto"/>
              </w:rPr>
              <w:t>Ⅱ</w:t>
            </w:r>
          </w:p>
        </w:tc>
        <w:tc>
          <w:tcPr>
            <w:tcW w:w="3839" w:type="dxa"/>
            <w:vAlign w:val="center"/>
          </w:tcPr>
          <w:p>
            <w:pPr>
              <w:pStyle w:val="344"/>
              <w:spacing w:line="264" w:lineRule="exact"/>
              <w:jc w:val="both"/>
              <w:rPr>
                <w:color w:val="auto"/>
              </w:rPr>
            </w:pPr>
            <w:r>
              <w:rPr>
                <w:rFonts w:hint="eastAsia"/>
                <w:color w:val="auto"/>
              </w:rPr>
              <w:t>1</w:t>
            </w:r>
            <w:r>
              <w:rPr>
                <w:color w:val="auto"/>
              </w:rPr>
              <w:t>.</w:t>
            </w:r>
            <w:r>
              <w:rPr>
                <w:rFonts w:hint="eastAsia"/>
                <w:color w:val="auto"/>
              </w:rPr>
              <w:t>检修后安全设施应复位；按要求对储罐罐顶、扶梯设置防护栏；</w:t>
            </w:r>
          </w:p>
          <w:p>
            <w:pPr>
              <w:pStyle w:val="344"/>
              <w:spacing w:line="264" w:lineRule="exact"/>
              <w:jc w:val="both"/>
              <w:rPr>
                <w:color w:val="auto"/>
              </w:rPr>
            </w:pPr>
            <w:r>
              <w:rPr>
                <w:color w:val="auto"/>
              </w:rPr>
              <w:t>2.</w:t>
            </w:r>
            <w:r>
              <w:rPr>
                <w:rFonts w:hint="eastAsia"/>
                <w:color w:val="auto"/>
              </w:rPr>
              <w:t>高处作业时严格遵循作业规程，佩戴安全帽，挂安全带；</w:t>
            </w:r>
          </w:p>
          <w:p>
            <w:pPr>
              <w:pStyle w:val="344"/>
              <w:spacing w:line="264" w:lineRule="exact"/>
              <w:jc w:val="both"/>
              <w:rPr>
                <w:color w:val="auto"/>
              </w:rPr>
            </w:pPr>
            <w:r>
              <w:rPr>
                <w:color w:val="auto"/>
              </w:rPr>
              <w:t>3.</w:t>
            </w:r>
            <w:r>
              <w:rPr>
                <w:rFonts w:hint="eastAsia"/>
                <w:color w:val="auto"/>
              </w:rPr>
              <w:t>使用梯子时应固定牢靠；</w:t>
            </w:r>
          </w:p>
          <w:p>
            <w:pPr>
              <w:pStyle w:val="344"/>
              <w:spacing w:line="264" w:lineRule="exact"/>
              <w:jc w:val="both"/>
              <w:rPr>
                <w:color w:val="auto"/>
              </w:rPr>
            </w:pPr>
            <w:r>
              <w:rPr>
                <w:color w:val="auto"/>
              </w:rPr>
              <w:t>4.</w:t>
            </w:r>
            <w:r>
              <w:rPr>
                <w:rFonts w:hint="eastAsia"/>
                <w:color w:val="auto"/>
              </w:rPr>
              <w:t>使用质量可靠的脚手架</w:t>
            </w:r>
          </w:p>
          <w:p>
            <w:pPr>
              <w:pStyle w:val="344"/>
              <w:spacing w:line="264" w:lineRule="exact"/>
              <w:jc w:val="both"/>
              <w:rPr>
                <w:color w:val="auto"/>
              </w:rPr>
            </w:pPr>
            <w:r>
              <w:rPr>
                <w:color w:val="auto"/>
              </w:rPr>
              <w:t>5.</w:t>
            </w:r>
            <w:r>
              <w:rPr>
                <w:rFonts w:hint="eastAsia"/>
                <w:color w:val="auto"/>
              </w:rPr>
              <w:t>靠近电网的高处作业应采取防触电措施。</w:t>
            </w:r>
          </w:p>
        </w:tc>
      </w:tr>
    </w:tbl>
    <w:p>
      <w:pPr>
        <w:pStyle w:val="54"/>
        <w:ind w:firstLine="562"/>
        <w:rPr>
          <w:b/>
          <w:color w:val="auto"/>
        </w:rPr>
      </w:pPr>
      <w:r>
        <w:rPr>
          <w:rFonts w:hint="eastAsia"/>
          <w:b/>
          <w:color w:val="auto"/>
        </w:rPr>
        <w:t>评价小结</w:t>
      </w:r>
    </w:p>
    <w:p>
      <w:pPr>
        <w:pStyle w:val="54"/>
        <w:ind w:firstLine="560"/>
        <w:rPr>
          <w:color w:val="auto"/>
        </w:rPr>
      </w:pPr>
      <w:r>
        <w:rPr>
          <w:rFonts w:hint="eastAsia"/>
          <w:color w:val="auto"/>
        </w:rPr>
        <w:t>通过预先危险分析，罐区子单元主要危险、有害因素为：火灾、爆炸危险程度为Ⅲ级（危险的），会造成人员伤亡和系统损坏，要立即采取防范对策措施；中毒和窒息、灼烫、高处坠落危险程度为Ⅱ级（临界的），处于事故的边缘状态，暂时还不会造成人员伤亡、系统损坏降低系统性能，但应予排除或采取控制措施。</w:t>
      </w:r>
    </w:p>
    <w:p>
      <w:pPr>
        <w:pStyle w:val="54"/>
        <w:ind w:firstLine="562"/>
        <w:rPr>
          <w:b/>
          <w:color w:val="auto"/>
        </w:rPr>
      </w:pPr>
      <w:r>
        <w:rPr>
          <w:rFonts w:hint="eastAsia"/>
          <w:b/>
          <w:color w:val="auto"/>
        </w:rPr>
        <w:t>2.危险度分析</w:t>
      </w:r>
    </w:p>
    <w:p>
      <w:pPr>
        <w:pStyle w:val="54"/>
        <w:ind w:firstLine="560"/>
        <w:rPr>
          <w:color w:val="auto"/>
        </w:rPr>
      </w:pPr>
      <w:r>
        <w:rPr>
          <w:rFonts w:hint="eastAsia"/>
          <w:color w:val="auto"/>
        </w:rPr>
        <w:t>依据该单位提供的生产设备设施的规格型号和在生产操作规程中规定的温度、压力及操作等参数数值，选出危险性较大的设备作为该方法评价的设备；同时参考其它类似企业的生产数据，按照5.3节评价方法简介中“危险度评价法”提供的方法，得到该项目主要生产设备设施的危险度分级表见下表。作业场所固有危险程度等级以场所内设备最高危险程度等级为准，建设项目总的固有危险程度等级以项目内最高场所危险程度等级为准。</w:t>
      </w:r>
    </w:p>
    <w:p>
      <w:pPr>
        <w:pStyle w:val="53"/>
        <w:rPr>
          <w:color w:val="auto"/>
        </w:rPr>
      </w:pPr>
      <w:r>
        <w:rPr>
          <w:rFonts w:hint="eastAsia"/>
          <w:color w:val="auto"/>
        </w:rPr>
        <w:t>表</w:t>
      </w:r>
      <w:r>
        <w:rPr>
          <w:color w:val="auto"/>
        </w:rPr>
        <w:t xml:space="preserve">C.5-3  </w:t>
      </w:r>
      <w:r>
        <w:rPr>
          <w:rFonts w:hint="eastAsia"/>
          <w:color w:val="auto"/>
        </w:rPr>
        <w:t>罐区作业场所固有危险程度分析表</w:t>
      </w:r>
    </w:p>
    <w:tbl>
      <w:tblPr>
        <w:tblStyle w:val="42"/>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42"/>
        <w:gridCol w:w="426"/>
        <w:gridCol w:w="808"/>
        <w:gridCol w:w="525"/>
        <w:gridCol w:w="793"/>
        <w:gridCol w:w="425"/>
        <w:gridCol w:w="709"/>
        <w:gridCol w:w="425"/>
        <w:gridCol w:w="528"/>
        <w:gridCol w:w="480"/>
        <w:gridCol w:w="60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96" w:type="dxa"/>
            <w:vMerge w:val="restart"/>
            <w:vAlign w:val="center"/>
          </w:tcPr>
          <w:p>
            <w:pPr>
              <w:pStyle w:val="344"/>
              <w:jc w:val="center"/>
              <w:rPr>
                <w:bCs/>
                <w:color w:val="auto"/>
              </w:rPr>
            </w:pPr>
            <w:r>
              <w:rPr>
                <w:rFonts w:hint="eastAsia"/>
                <w:color w:val="auto"/>
              </w:rPr>
              <w:t>装置名称</w:t>
            </w:r>
          </w:p>
        </w:tc>
        <w:tc>
          <w:tcPr>
            <w:tcW w:w="1568" w:type="dxa"/>
            <w:gridSpan w:val="2"/>
            <w:vAlign w:val="center"/>
          </w:tcPr>
          <w:p>
            <w:pPr>
              <w:pStyle w:val="344"/>
              <w:jc w:val="center"/>
              <w:rPr>
                <w:bCs/>
                <w:color w:val="auto"/>
              </w:rPr>
            </w:pPr>
            <w:r>
              <w:rPr>
                <w:rFonts w:hint="eastAsia"/>
                <w:color w:val="auto"/>
              </w:rPr>
              <w:t>主要介质</w:t>
            </w:r>
          </w:p>
        </w:tc>
        <w:tc>
          <w:tcPr>
            <w:tcW w:w="1333" w:type="dxa"/>
            <w:gridSpan w:val="2"/>
            <w:vAlign w:val="center"/>
          </w:tcPr>
          <w:p>
            <w:pPr>
              <w:pStyle w:val="344"/>
              <w:jc w:val="center"/>
              <w:rPr>
                <w:bCs/>
                <w:color w:val="auto"/>
              </w:rPr>
            </w:pPr>
            <w:r>
              <w:rPr>
                <w:rFonts w:hint="eastAsia"/>
                <w:color w:val="auto"/>
              </w:rPr>
              <w:t>物料容量</w:t>
            </w:r>
          </w:p>
        </w:tc>
        <w:tc>
          <w:tcPr>
            <w:tcW w:w="1218" w:type="dxa"/>
            <w:gridSpan w:val="2"/>
            <w:vAlign w:val="center"/>
          </w:tcPr>
          <w:p>
            <w:pPr>
              <w:pStyle w:val="344"/>
              <w:jc w:val="center"/>
              <w:rPr>
                <w:color w:val="auto"/>
              </w:rPr>
            </w:pPr>
            <w:r>
              <w:rPr>
                <w:rFonts w:hint="eastAsia"/>
                <w:color w:val="auto"/>
              </w:rPr>
              <w:t>温度</w:t>
            </w:r>
          </w:p>
        </w:tc>
        <w:tc>
          <w:tcPr>
            <w:tcW w:w="1134" w:type="dxa"/>
            <w:gridSpan w:val="2"/>
            <w:vAlign w:val="center"/>
          </w:tcPr>
          <w:p>
            <w:pPr>
              <w:pStyle w:val="344"/>
              <w:jc w:val="center"/>
              <w:rPr>
                <w:bCs/>
                <w:color w:val="auto"/>
              </w:rPr>
            </w:pPr>
            <w:r>
              <w:rPr>
                <w:rFonts w:hint="eastAsia"/>
                <w:color w:val="auto"/>
              </w:rPr>
              <w:t>压力</w:t>
            </w:r>
          </w:p>
        </w:tc>
        <w:tc>
          <w:tcPr>
            <w:tcW w:w="528" w:type="dxa"/>
            <w:vAlign w:val="center"/>
          </w:tcPr>
          <w:p>
            <w:pPr>
              <w:pStyle w:val="344"/>
              <w:jc w:val="center"/>
              <w:rPr>
                <w:bCs/>
                <w:color w:val="auto"/>
              </w:rPr>
            </w:pPr>
            <w:r>
              <w:rPr>
                <w:rFonts w:hint="eastAsia"/>
                <w:color w:val="auto"/>
              </w:rPr>
              <w:t>操作</w:t>
            </w:r>
          </w:p>
        </w:tc>
        <w:tc>
          <w:tcPr>
            <w:tcW w:w="480" w:type="dxa"/>
            <w:vMerge w:val="restart"/>
            <w:vAlign w:val="center"/>
          </w:tcPr>
          <w:p>
            <w:pPr>
              <w:pStyle w:val="344"/>
              <w:rPr>
                <w:color w:val="auto"/>
              </w:rPr>
            </w:pPr>
            <w:r>
              <w:rPr>
                <w:rFonts w:hint="eastAsia"/>
                <w:color w:val="auto"/>
              </w:rPr>
              <w:t>总分</w:t>
            </w:r>
          </w:p>
        </w:tc>
        <w:tc>
          <w:tcPr>
            <w:tcW w:w="600" w:type="dxa"/>
            <w:vMerge w:val="restart"/>
            <w:vAlign w:val="center"/>
          </w:tcPr>
          <w:p>
            <w:pPr>
              <w:pStyle w:val="344"/>
              <w:jc w:val="center"/>
              <w:rPr>
                <w:color w:val="auto"/>
              </w:rPr>
            </w:pPr>
            <w:r>
              <w:rPr>
                <w:rFonts w:hint="eastAsia"/>
                <w:color w:val="auto"/>
              </w:rPr>
              <w:t>危险等级</w:t>
            </w:r>
          </w:p>
        </w:tc>
        <w:tc>
          <w:tcPr>
            <w:tcW w:w="600" w:type="dxa"/>
            <w:vMerge w:val="restart"/>
            <w:vAlign w:val="center"/>
          </w:tcPr>
          <w:p>
            <w:pPr>
              <w:pStyle w:val="344"/>
              <w:jc w:val="center"/>
              <w:rPr>
                <w:color w:val="auto"/>
              </w:rPr>
            </w:pPr>
            <w:r>
              <w:rPr>
                <w:rFonts w:hint="eastAsia"/>
                <w:color w:val="auto"/>
              </w:rPr>
              <w:t>装置</w:t>
            </w:r>
          </w:p>
          <w:p>
            <w:pPr>
              <w:pStyle w:val="344"/>
              <w:jc w:val="center"/>
              <w:rPr>
                <w:color w:val="auto"/>
              </w:rPr>
            </w:pPr>
            <w:r>
              <w:rPr>
                <w:rFonts w:hint="eastAsia"/>
                <w:color w:val="auto"/>
              </w:rPr>
              <w:t>危险度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pStyle w:val="344"/>
              <w:rPr>
                <w:bCs/>
                <w:color w:val="auto"/>
              </w:rPr>
            </w:pPr>
          </w:p>
        </w:tc>
        <w:tc>
          <w:tcPr>
            <w:tcW w:w="1142" w:type="dxa"/>
            <w:vAlign w:val="center"/>
          </w:tcPr>
          <w:p>
            <w:pPr>
              <w:pStyle w:val="344"/>
              <w:jc w:val="center"/>
              <w:rPr>
                <w:color w:val="auto"/>
              </w:rPr>
            </w:pPr>
            <w:r>
              <w:rPr>
                <w:rFonts w:hint="eastAsia"/>
                <w:color w:val="auto"/>
              </w:rPr>
              <w:t>名称</w:t>
            </w:r>
          </w:p>
        </w:tc>
        <w:tc>
          <w:tcPr>
            <w:tcW w:w="426" w:type="dxa"/>
            <w:vAlign w:val="center"/>
          </w:tcPr>
          <w:p>
            <w:pPr>
              <w:pStyle w:val="344"/>
              <w:rPr>
                <w:color w:val="auto"/>
              </w:rPr>
            </w:pPr>
            <w:r>
              <w:rPr>
                <w:rFonts w:hint="eastAsia"/>
                <w:color w:val="auto"/>
              </w:rPr>
              <w:t>分数</w:t>
            </w:r>
          </w:p>
        </w:tc>
        <w:tc>
          <w:tcPr>
            <w:tcW w:w="808" w:type="dxa"/>
            <w:vAlign w:val="center"/>
          </w:tcPr>
          <w:p>
            <w:pPr>
              <w:pStyle w:val="344"/>
              <w:jc w:val="center"/>
              <w:rPr>
                <w:color w:val="auto"/>
              </w:rPr>
            </w:pPr>
            <w:r>
              <w:rPr>
                <w:rFonts w:hint="eastAsia"/>
                <w:color w:val="auto"/>
              </w:rPr>
              <w:t>m</w:t>
            </w:r>
            <w:r>
              <w:rPr>
                <w:rFonts w:hint="eastAsia"/>
                <w:color w:val="auto"/>
                <w:vertAlign w:val="superscript"/>
              </w:rPr>
              <w:t>3</w:t>
            </w:r>
          </w:p>
        </w:tc>
        <w:tc>
          <w:tcPr>
            <w:tcW w:w="525" w:type="dxa"/>
            <w:vAlign w:val="center"/>
          </w:tcPr>
          <w:p>
            <w:pPr>
              <w:pStyle w:val="344"/>
              <w:jc w:val="center"/>
              <w:rPr>
                <w:color w:val="auto"/>
              </w:rPr>
            </w:pPr>
            <w:r>
              <w:rPr>
                <w:rFonts w:hint="eastAsia"/>
                <w:color w:val="auto"/>
              </w:rPr>
              <w:t>分数</w:t>
            </w:r>
          </w:p>
        </w:tc>
        <w:tc>
          <w:tcPr>
            <w:tcW w:w="793" w:type="dxa"/>
            <w:vAlign w:val="center"/>
          </w:tcPr>
          <w:p>
            <w:pPr>
              <w:pStyle w:val="344"/>
              <w:jc w:val="center"/>
              <w:rPr>
                <w:color w:val="auto"/>
              </w:rPr>
            </w:pPr>
            <w:r>
              <w:rPr>
                <w:rFonts w:hint="eastAsia"/>
                <w:color w:val="auto"/>
              </w:rPr>
              <w:t>℃</w:t>
            </w:r>
          </w:p>
        </w:tc>
        <w:tc>
          <w:tcPr>
            <w:tcW w:w="425" w:type="dxa"/>
            <w:vAlign w:val="center"/>
          </w:tcPr>
          <w:p>
            <w:pPr>
              <w:pStyle w:val="344"/>
              <w:jc w:val="center"/>
              <w:rPr>
                <w:color w:val="auto"/>
              </w:rPr>
            </w:pPr>
            <w:r>
              <w:rPr>
                <w:rFonts w:hint="eastAsia"/>
                <w:color w:val="auto"/>
              </w:rPr>
              <w:t>分数</w:t>
            </w:r>
          </w:p>
        </w:tc>
        <w:tc>
          <w:tcPr>
            <w:tcW w:w="709" w:type="dxa"/>
            <w:vAlign w:val="center"/>
          </w:tcPr>
          <w:p>
            <w:pPr>
              <w:pStyle w:val="344"/>
              <w:jc w:val="center"/>
              <w:rPr>
                <w:color w:val="auto"/>
              </w:rPr>
            </w:pPr>
            <w:r>
              <w:rPr>
                <w:rFonts w:hint="eastAsia"/>
                <w:color w:val="auto"/>
              </w:rPr>
              <w:t>MPa</w:t>
            </w:r>
          </w:p>
        </w:tc>
        <w:tc>
          <w:tcPr>
            <w:tcW w:w="425" w:type="dxa"/>
            <w:vAlign w:val="center"/>
          </w:tcPr>
          <w:p>
            <w:pPr>
              <w:pStyle w:val="344"/>
              <w:jc w:val="center"/>
              <w:rPr>
                <w:color w:val="auto"/>
              </w:rPr>
            </w:pPr>
            <w:r>
              <w:rPr>
                <w:rFonts w:hint="eastAsia"/>
                <w:color w:val="auto"/>
              </w:rPr>
              <w:t>分数</w:t>
            </w:r>
          </w:p>
        </w:tc>
        <w:tc>
          <w:tcPr>
            <w:tcW w:w="528" w:type="dxa"/>
            <w:vAlign w:val="center"/>
          </w:tcPr>
          <w:p>
            <w:pPr>
              <w:pStyle w:val="344"/>
              <w:jc w:val="center"/>
              <w:rPr>
                <w:color w:val="auto"/>
              </w:rPr>
            </w:pPr>
            <w:r>
              <w:rPr>
                <w:rFonts w:hint="eastAsia"/>
                <w:color w:val="auto"/>
              </w:rPr>
              <w:t>分数</w:t>
            </w:r>
          </w:p>
        </w:tc>
        <w:tc>
          <w:tcPr>
            <w:tcW w:w="480" w:type="dxa"/>
            <w:vMerge w:val="continue"/>
            <w:vAlign w:val="center"/>
          </w:tcPr>
          <w:p>
            <w:pPr>
              <w:pStyle w:val="344"/>
              <w:jc w:val="center"/>
              <w:rPr>
                <w:bCs/>
                <w:color w:val="auto"/>
              </w:rPr>
            </w:pPr>
          </w:p>
        </w:tc>
        <w:tc>
          <w:tcPr>
            <w:tcW w:w="600" w:type="dxa"/>
            <w:vMerge w:val="continue"/>
            <w:vAlign w:val="center"/>
          </w:tcPr>
          <w:p>
            <w:pPr>
              <w:pStyle w:val="344"/>
              <w:jc w:val="center"/>
              <w:rPr>
                <w:bCs/>
                <w:color w:val="auto"/>
              </w:rPr>
            </w:pPr>
          </w:p>
        </w:tc>
        <w:tc>
          <w:tcPr>
            <w:tcW w:w="600" w:type="dxa"/>
            <w:vMerge w:val="continue"/>
            <w:vAlign w:val="center"/>
          </w:tcPr>
          <w:p>
            <w:pPr>
              <w:pStyle w:val="344"/>
              <w:rPr>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Align w:val="center"/>
          </w:tcPr>
          <w:p>
            <w:pPr>
              <w:pStyle w:val="344"/>
              <w:rPr>
                <w:color w:val="auto"/>
              </w:rPr>
            </w:pPr>
            <w:r>
              <w:rPr>
                <w:rFonts w:hint="eastAsia"/>
                <w:color w:val="auto"/>
                <w:lang w:val="en-US" w:eastAsia="zh-CN"/>
              </w:rPr>
              <w:t>甲基丙烯酸甲酯粗体</w:t>
            </w:r>
            <w:r>
              <w:rPr>
                <w:rFonts w:hint="eastAsia"/>
                <w:color w:val="auto"/>
              </w:rPr>
              <w:t>罐</w:t>
            </w:r>
          </w:p>
        </w:tc>
        <w:tc>
          <w:tcPr>
            <w:tcW w:w="1142" w:type="dxa"/>
            <w:vAlign w:val="center"/>
          </w:tcPr>
          <w:p>
            <w:pPr>
              <w:pStyle w:val="344"/>
              <w:rPr>
                <w:rFonts w:hint="eastAsia" w:eastAsia="宋体"/>
                <w:color w:val="auto"/>
                <w:lang w:eastAsia="zh-CN"/>
              </w:rPr>
            </w:pPr>
            <w:r>
              <w:rPr>
                <w:rFonts w:hint="eastAsia"/>
                <w:color w:val="auto"/>
                <w:lang w:val="en-US" w:eastAsia="zh-CN"/>
              </w:rPr>
              <w:t>甲基丙烯酸甲酯</w:t>
            </w:r>
          </w:p>
        </w:tc>
        <w:tc>
          <w:tcPr>
            <w:tcW w:w="426" w:type="dxa"/>
            <w:vAlign w:val="center"/>
          </w:tcPr>
          <w:p>
            <w:pPr>
              <w:pStyle w:val="344"/>
              <w:jc w:val="center"/>
              <w:rPr>
                <w:color w:val="auto"/>
              </w:rPr>
            </w:pPr>
            <w:r>
              <w:rPr>
                <w:rFonts w:hint="eastAsia"/>
                <w:color w:val="auto"/>
              </w:rPr>
              <w:t>5</w:t>
            </w:r>
          </w:p>
        </w:tc>
        <w:tc>
          <w:tcPr>
            <w:tcW w:w="808" w:type="dxa"/>
            <w:vAlign w:val="center"/>
          </w:tcPr>
          <w:p>
            <w:pPr>
              <w:pStyle w:val="344"/>
              <w:jc w:val="center"/>
              <w:rPr>
                <w:rFonts w:hint="default" w:eastAsia="宋体"/>
                <w:color w:val="auto"/>
                <w:lang w:val="en-US" w:eastAsia="zh-CN"/>
              </w:rPr>
            </w:pPr>
            <w:r>
              <w:rPr>
                <w:rFonts w:hint="eastAsia"/>
                <w:color w:val="auto"/>
                <w:lang w:val="en-US" w:eastAsia="zh-CN"/>
              </w:rPr>
              <w:t>240</w:t>
            </w:r>
          </w:p>
        </w:tc>
        <w:tc>
          <w:tcPr>
            <w:tcW w:w="525" w:type="dxa"/>
            <w:vAlign w:val="center"/>
          </w:tcPr>
          <w:p>
            <w:pPr>
              <w:pStyle w:val="344"/>
              <w:jc w:val="center"/>
              <w:rPr>
                <w:color w:val="auto"/>
              </w:rPr>
            </w:pPr>
            <w:r>
              <w:rPr>
                <w:color w:val="auto"/>
              </w:rPr>
              <w:t>10</w:t>
            </w:r>
          </w:p>
        </w:tc>
        <w:tc>
          <w:tcPr>
            <w:tcW w:w="793" w:type="dxa"/>
            <w:vAlign w:val="center"/>
          </w:tcPr>
          <w:p>
            <w:pPr>
              <w:pStyle w:val="344"/>
              <w:jc w:val="center"/>
              <w:rPr>
                <w:color w:val="auto"/>
              </w:rPr>
            </w:pPr>
            <w:r>
              <w:rPr>
                <w:rFonts w:hint="eastAsia"/>
                <w:color w:val="auto"/>
              </w:rPr>
              <w:t>常温</w:t>
            </w:r>
          </w:p>
        </w:tc>
        <w:tc>
          <w:tcPr>
            <w:tcW w:w="425" w:type="dxa"/>
            <w:vAlign w:val="center"/>
          </w:tcPr>
          <w:p>
            <w:pPr>
              <w:pStyle w:val="344"/>
              <w:jc w:val="center"/>
              <w:rPr>
                <w:color w:val="auto"/>
              </w:rPr>
            </w:pPr>
            <w:r>
              <w:rPr>
                <w:rFonts w:hint="eastAsia"/>
                <w:color w:val="auto"/>
              </w:rPr>
              <w:t>0</w:t>
            </w:r>
          </w:p>
        </w:tc>
        <w:tc>
          <w:tcPr>
            <w:tcW w:w="709" w:type="dxa"/>
            <w:vAlign w:val="center"/>
          </w:tcPr>
          <w:p>
            <w:pPr>
              <w:pStyle w:val="344"/>
              <w:jc w:val="center"/>
              <w:rPr>
                <w:color w:val="auto"/>
              </w:rPr>
            </w:pPr>
            <w:r>
              <w:rPr>
                <w:rFonts w:hint="eastAsia"/>
                <w:color w:val="auto"/>
              </w:rPr>
              <w:t>常压</w:t>
            </w:r>
          </w:p>
        </w:tc>
        <w:tc>
          <w:tcPr>
            <w:tcW w:w="425" w:type="dxa"/>
            <w:vAlign w:val="center"/>
          </w:tcPr>
          <w:p>
            <w:pPr>
              <w:pStyle w:val="344"/>
              <w:jc w:val="center"/>
              <w:rPr>
                <w:color w:val="auto"/>
              </w:rPr>
            </w:pPr>
            <w:r>
              <w:rPr>
                <w:rFonts w:hint="eastAsia"/>
                <w:color w:val="auto"/>
              </w:rPr>
              <w:t>0</w:t>
            </w:r>
          </w:p>
        </w:tc>
        <w:tc>
          <w:tcPr>
            <w:tcW w:w="528" w:type="dxa"/>
            <w:vAlign w:val="center"/>
          </w:tcPr>
          <w:p>
            <w:pPr>
              <w:pStyle w:val="344"/>
              <w:jc w:val="center"/>
              <w:rPr>
                <w:color w:val="auto"/>
              </w:rPr>
            </w:pPr>
            <w:r>
              <w:rPr>
                <w:rFonts w:hint="eastAsia"/>
                <w:color w:val="auto"/>
              </w:rPr>
              <w:t>2</w:t>
            </w:r>
          </w:p>
        </w:tc>
        <w:tc>
          <w:tcPr>
            <w:tcW w:w="480" w:type="dxa"/>
            <w:vAlign w:val="center"/>
          </w:tcPr>
          <w:p>
            <w:pPr>
              <w:pStyle w:val="344"/>
              <w:jc w:val="center"/>
              <w:rPr>
                <w:color w:val="auto"/>
              </w:rPr>
            </w:pPr>
            <w:r>
              <w:rPr>
                <w:rFonts w:hint="eastAsia"/>
                <w:color w:val="auto"/>
              </w:rPr>
              <w:t>1</w:t>
            </w:r>
            <w:r>
              <w:rPr>
                <w:color w:val="auto"/>
              </w:rPr>
              <w:t>7</w:t>
            </w:r>
          </w:p>
        </w:tc>
        <w:tc>
          <w:tcPr>
            <w:tcW w:w="600" w:type="dxa"/>
            <w:vAlign w:val="center"/>
          </w:tcPr>
          <w:p>
            <w:pPr>
              <w:pStyle w:val="344"/>
              <w:jc w:val="center"/>
              <w:rPr>
                <w:color w:val="auto"/>
              </w:rPr>
            </w:pPr>
            <w:r>
              <w:rPr>
                <w:rFonts w:hint="eastAsia"/>
                <w:color w:val="auto"/>
              </w:rPr>
              <w:t>Ⅰ</w:t>
            </w:r>
          </w:p>
        </w:tc>
        <w:tc>
          <w:tcPr>
            <w:tcW w:w="600" w:type="dxa"/>
            <w:vMerge w:val="restart"/>
            <w:vAlign w:val="center"/>
          </w:tcPr>
          <w:p>
            <w:pPr>
              <w:pStyle w:val="344"/>
              <w:jc w:val="center"/>
              <w:rPr>
                <w:color w:val="auto"/>
              </w:rPr>
            </w:pPr>
            <w:r>
              <w:rPr>
                <w:rFonts w:hint="eastAsia"/>
                <w:color w:val="auto"/>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Align w:val="center"/>
          </w:tcPr>
          <w:p>
            <w:pPr>
              <w:pStyle w:val="344"/>
              <w:rPr>
                <w:color w:val="auto"/>
              </w:rPr>
            </w:pPr>
            <w:r>
              <w:rPr>
                <w:rFonts w:hint="eastAsia"/>
                <w:color w:val="auto"/>
                <w:lang w:val="en-US" w:eastAsia="zh-CN"/>
              </w:rPr>
              <w:t>甲基丙烯酸甲酯精体</w:t>
            </w:r>
            <w:r>
              <w:rPr>
                <w:rFonts w:hint="eastAsia"/>
                <w:color w:val="auto"/>
              </w:rPr>
              <w:t>罐</w:t>
            </w:r>
          </w:p>
        </w:tc>
        <w:tc>
          <w:tcPr>
            <w:tcW w:w="1142" w:type="dxa"/>
            <w:vAlign w:val="center"/>
          </w:tcPr>
          <w:p>
            <w:pPr>
              <w:pStyle w:val="344"/>
              <w:rPr>
                <w:color w:val="auto"/>
              </w:rPr>
            </w:pPr>
            <w:r>
              <w:rPr>
                <w:rFonts w:hint="eastAsia"/>
                <w:color w:val="auto"/>
                <w:lang w:val="en-US" w:eastAsia="zh-CN"/>
              </w:rPr>
              <w:t>甲基丙烯酸甲酯</w:t>
            </w:r>
          </w:p>
        </w:tc>
        <w:tc>
          <w:tcPr>
            <w:tcW w:w="426" w:type="dxa"/>
            <w:vAlign w:val="center"/>
          </w:tcPr>
          <w:p>
            <w:pPr>
              <w:pStyle w:val="344"/>
              <w:jc w:val="center"/>
              <w:rPr>
                <w:rFonts w:hint="eastAsia" w:eastAsia="宋体"/>
                <w:color w:val="auto"/>
                <w:lang w:eastAsia="zh-CN"/>
              </w:rPr>
            </w:pPr>
            <w:r>
              <w:rPr>
                <w:rFonts w:hint="eastAsia"/>
                <w:color w:val="auto"/>
                <w:lang w:val="en-US" w:eastAsia="zh-CN"/>
              </w:rPr>
              <w:t>5</w:t>
            </w:r>
          </w:p>
        </w:tc>
        <w:tc>
          <w:tcPr>
            <w:tcW w:w="808" w:type="dxa"/>
            <w:vAlign w:val="center"/>
          </w:tcPr>
          <w:p>
            <w:pPr>
              <w:pStyle w:val="344"/>
              <w:jc w:val="center"/>
              <w:rPr>
                <w:rFonts w:hint="default" w:eastAsia="宋体"/>
                <w:color w:val="auto"/>
                <w:lang w:val="en-US" w:eastAsia="zh-CN"/>
              </w:rPr>
            </w:pPr>
            <w:r>
              <w:rPr>
                <w:rFonts w:hint="eastAsia"/>
                <w:color w:val="auto"/>
                <w:lang w:val="en-US" w:eastAsia="zh-CN"/>
              </w:rPr>
              <w:t>160</w:t>
            </w:r>
          </w:p>
        </w:tc>
        <w:tc>
          <w:tcPr>
            <w:tcW w:w="525" w:type="dxa"/>
            <w:vAlign w:val="center"/>
          </w:tcPr>
          <w:p>
            <w:pPr>
              <w:pStyle w:val="344"/>
              <w:jc w:val="center"/>
              <w:rPr>
                <w:color w:val="auto"/>
              </w:rPr>
            </w:pPr>
            <w:r>
              <w:rPr>
                <w:color w:val="auto"/>
              </w:rPr>
              <w:t>10</w:t>
            </w:r>
          </w:p>
        </w:tc>
        <w:tc>
          <w:tcPr>
            <w:tcW w:w="793" w:type="dxa"/>
            <w:vAlign w:val="center"/>
          </w:tcPr>
          <w:p>
            <w:pPr>
              <w:pStyle w:val="344"/>
              <w:jc w:val="center"/>
              <w:rPr>
                <w:color w:val="auto"/>
              </w:rPr>
            </w:pPr>
            <w:r>
              <w:rPr>
                <w:rFonts w:hint="eastAsia"/>
                <w:color w:val="auto"/>
              </w:rPr>
              <w:t>常温</w:t>
            </w:r>
          </w:p>
        </w:tc>
        <w:tc>
          <w:tcPr>
            <w:tcW w:w="425" w:type="dxa"/>
            <w:vAlign w:val="center"/>
          </w:tcPr>
          <w:p>
            <w:pPr>
              <w:pStyle w:val="344"/>
              <w:jc w:val="center"/>
              <w:rPr>
                <w:color w:val="auto"/>
              </w:rPr>
            </w:pPr>
            <w:r>
              <w:rPr>
                <w:rFonts w:hint="eastAsia"/>
                <w:color w:val="auto"/>
              </w:rPr>
              <w:t>0</w:t>
            </w:r>
          </w:p>
        </w:tc>
        <w:tc>
          <w:tcPr>
            <w:tcW w:w="709" w:type="dxa"/>
            <w:vAlign w:val="center"/>
          </w:tcPr>
          <w:p>
            <w:pPr>
              <w:pStyle w:val="344"/>
              <w:jc w:val="center"/>
              <w:rPr>
                <w:color w:val="auto"/>
              </w:rPr>
            </w:pPr>
            <w:r>
              <w:rPr>
                <w:rFonts w:hint="eastAsia"/>
                <w:color w:val="auto"/>
              </w:rPr>
              <w:t>常压</w:t>
            </w:r>
          </w:p>
        </w:tc>
        <w:tc>
          <w:tcPr>
            <w:tcW w:w="425" w:type="dxa"/>
            <w:vAlign w:val="center"/>
          </w:tcPr>
          <w:p>
            <w:pPr>
              <w:pStyle w:val="344"/>
              <w:jc w:val="center"/>
              <w:rPr>
                <w:color w:val="auto"/>
              </w:rPr>
            </w:pPr>
            <w:r>
              <w:rPr>
                <w:rFonts w:hint="eastAsia"/>
                <w:color w:val="auto"/>
              </w:rPr>
              <w:t>0</w:t>
            </w:r>
          </w:p>
        </w:tc>
        <w:tc>
          <w:tcPr>
            <w:tcW w:w="528" w:type="dxa"/>
            <w:vAlign w:val="center"/>
          </w:tcPr>
          <w:p>
            <w:pPr>
              <w:pStyle w:val="344"/>
              <w:jc w:val="center"/>
              <w:rPr>
                <w:color w:val="auto"/>
              </w:rPr>
            </w:pPr>
            <w:r>
              <w:rPr>
                <w:rFonts w:hint="eastAsia"/>
                <w:color w:val="auto"/>
              </w:rPr>
              <w:t>2</w:t>
            </w:r>
          </w:p>
        </w:tc>
        <w:tc>
          <w:tcPr>
            <w:tcW w:w="480" w:type="dxa"/>
            <w:vAlign w:val="center"/>
          </w:tcPr>
          <w:p>
            <w:pPr>
              <w:pStyle w:val="344"/>
              <w:jc w:val="center"/>
              <w:rPr>
                <w:rFonts w:hint="eastAsia" w:eastAsia="宋体"/>
                <w:color w:val="auto"/>
                <w:lang w:eastAsia="zh-CN"/>
              </w:rPr>
            </w:pPr>
            <w:r>
              <w:rPr>
                <w:rFonts w:hint="eastAsia"/>
                <w:color w:val="auto"/>
              </w:rPr>
              <w:t>1</w:t>
            </w:r>
            <w:r>
              <w:rPr>
                <w:rFonts w:hint="eastAsia"/>
                <w:color w:val="auto"/>
                <w:lang w:val="en-US" w:eastAsia="zh-CN"/>
              </w:rPr>
              <w:t>7</w:t>
            </w:r>
          </w:p>
        </w:tc>
        <w:tc>
          <w:tcPr>
            <w:tcW w:w="600" w:type="dxa"/>
            <w:vAlign w:val="center"/>
          </w:tcPr>
          <w:p>
            <w:pPr>
              <w:pStyle w:val="344"/>
              <w:jc w:val="center"/>
              <w:rPr>
                <w:color w:val="auto"/>
              </w:rPr>
            </w:pPr>
            <w:r>
              <w:rPr>
                <w:rFonts w:hint="eastAsia"/>
                <w:color w:val="auto"/>
              </w:rPr>
              <w:t>Ⅰ</w:t>
            </w:r>
          </w:p>
        </w:tc>
        <w:tc>
          <w:tcPr>
            <w:tcW w:w="600" w:type="dxa"/>
            <w:vMerge w:val="continue"/>
            <w:vAlign w:val="center"/>
          </w:tcPr>
          <w:p>
            <w:pPr>
              <w:pStyle w:val="344"/>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96" w:type="dxa"/>
            <w:vAlign w:val="center"/>
          </w:tcPr>
          <w:p>
            <w:pPr>
              <w:pStyle w:val="344"/>
              <w:rPr>
                <w:color w:val="auto"/>
              </w:rPr>
            </w:pPr>
            <w:r>
              <w:rPr>
                <w:rFonts w:hint="eastAsia"/>
                <w:color w:val="auto"/>
                <w:lang w:val="en-US" w:eastAsia="zh-CN"/>
              </w:rPr>
              <w:t>甲基丙烯酸甲酯残夜</w:t>
            </w:r>
            <w:r>
              <w:rPr>
                <w:rFonts w:hint="eastAsia"/>
                <w:color w:val="auto"/>
              </w:rPr>
              <w:t>罐</w:t>
            </w:r>
          </w:p>
        </w:tc>
        <w:tc>
          <w:tcPr>
            <w:tcW w:w="1142" w:type="dxa"/>
            <w:vAlign w:val="center"/>
          </w:tcPr>
          <w:p>
            <w:pPr>
              <w:pStyle w:val="344"/>
              <w:rPr>
                <w:rFonts w:hint="eastAsia" w:eastAsia="宋体"/>
                <w:color w:val="auto"/>
                <w:highlight w:val="none"/>
                <w:lang w:eastAsia="zh-CN"/>
              </w:rPr>
            </w:pPr>
            <w:r>
              <w:rPr>
                <w:rFonts w:hint="eastAsia"/>
                <w:color w:val="auto"/>
                <w:highlight w:val="none"/>
                <w:lang w:val="en-US" w:eastAsia="zh-CN"/>
              </w:rPr>
              <w:t>聚甲基丙烯酸甲酯</w:t>
            </w:r>
          </w:p>
        </w:tc>
        <w:tc>
          <w:tcPr>
            <w:tcW w:w="426" w:type="dxa"/>
            <w:vAlign w:val="center"/>
          </w:tcPr>
          <w:p>
            <w:pPr>
              <w:pStyle w:val="344"/>
              <w:jc w:val="center"/>
              <w:rPr>
                <w:color w:val="auto"/>
                <w:highlight w:val="none"/>
              </w:rPr>
            </w:pPr>
            <w:r>
              <w:rPr>
                <w:rFonts w:hint="eastAsia"/>
                <w:color w:val="auto"/>
                <w:highlight w:val="none"/>
              </w:rPr>
              <w:t>2</w:t>
            </w:r>
          </w:p>
        </w:tc>
        <w:tc>
          <w:tcPr>
            <w:tcW w:w="808" w:type="dxa"/>
            <w:vAlign w:val="center"/>
          </w:tcPr>
          <w:p>
            <w:pPr>
              <w:pStyle w:val="344"/>
              <w:jc w:val="center"/>
              <w:rPr>
                <w:rFonts w:hint="default" w:eastAsia="宋体"/>
                <w:color w:val="auto"/>
                <w:highlight w:val="none"/>
                <w:lang w:val="en-US" w:eastAsia="zh-CN"/>
              </w:rPr>
            </w:pPr>
            <w:r>
              <w:rPr>
                <w:rFonts w:hint="eastAsia"/>
                <w:color w:val="auto"/>
                <w:highlight w:val="none"/>
                <w:lang w:val="en-US" w:eastAsia="zh-CN"/>
              </w:rPr>
              <w:t>80</w:t>
            </w:r>
          </w:p>
        </w:tc>
        <w:tc>
          <w:tcPr>
            <w:tcW w:w="525" w:type="dxa"/>
            <w:vAlign w:val="center"/>
          </w:tcPr>
          <w:p>
            <w:pPr>
              <w:pStyle w:val="344"/>
              <w:jc w:val="center"/>
              <w:rPr>
                <w:rFonts w:hint="eastAsia" w:eastAsia="宋体"/>
                <w:color w:val="auto"/>
                <w:highlight w:val="none"/>
                <w:lang w:eastAsia="zh-CN"/>
              </w:rPr>
            </w:pPr>
            <w:r>
              <w:rPr>
                <w:rFonts w:hint="eastAsia"/>
                <w:color w:val="auto"/>
                <w:highlight w:val="none"/>
                <w:lang w:val="en-US" w:eastAsia="zh-CN"/>
              </w:rPr>
              <w:t>5</w:t>
            </w:r>
          </w:p>
        </w:tc>
        <w:tc>
          <w:tcPr>
            <w:tcW w:w="793" w:type="dxa"/>
            <w:vAlign w:val="center"/>
          </w:tcPr>
          <w:p>
            <w:pPr>
              <w:pStyle w:val="344"/>
              <w:jc w:val="center"/>
              <w:rPr>
                <w:color w:val="auto"/>
                <w:highlight w:val="none"/>
              </w:rPr>
            </w:pPr>
            <w:r>
              <w:rPr>
                <w:rFonts w:hint="eastAsia"/>
                <w:color w:val="auto"/>
                <w:highlight w:val="none"/>
              </w:rPr>
              <w:t>常温</w:t>
            </w:r>
          </w:p>
        </w:tc>
        <w:tc>
          <w:tcPr>
            <w:tcW w:w="425" w:type="dxa"/>
            <w:vAlign w:val="center"/>
          </w:tcPr>
          <w:p>
            <w:pPr>
              <w:pStyle w:val="344"/>
              <w:jc w:val="center"/>
              <w:rPr>
                <w:color w:val="auto"/>
                <w:highlight w:val="none"/>
              </w:rPr>
            </w:pPr>
            <w:r>
              <w:rPr>
                <w:rFonts w:hint="eastAsia"/>
                <w:color w:val="auto"/>
                <w:highlight w:val="none"/>
              </w:rPr>
              <w:t>0</w:t>
            </w:r>
          </w:p>
        </w:tc>
        <w:tc>
          <w:tcPr>
            <w:tcW w:w="709" w:type="dxa"/>
            <w:vAlign w:val="center"/>
          </w:tcPr>
          <w:p>
            <w:pPr>
              <w:pStyle w:val="344"/>
              <w:jc w:val="center"/>
              <w:rPr>
                <w:color w:val="auto"/>
                <w:highlight w:val="none"/>
              </w:rPr>
            </w:pPr>
            <w:r>
              <w:rPr>
                <w:rFonts w:hint="eastAsia"/>
                <w:color w:val="auto"/>
                <w:highlight w:val="none"/>
              </w:rPr>
              <w:t>常压</w:t>
            </w:r>
          </w:p>
        </w:tc>
        <w:tc>
          <w:tcPr>
            <w:tcW w:w="425" w:type="dxa"/>
            <w:vAlign w:val="center"/>
          </w:tcPr>
          <w:p>
            <w:pPr>
              <w:pStyle w:val="344"/>
              <w:jc w:val="center"/>
              <w:rPr>
                <w:color w:val="auto"/>
                <w:highlight w:val="none"/>
              </w:rPr>
            </w:pPr>
            <w:r>
              <w:rPr>
                <w:rFonts w:hint="eastAsia"/>
                <w:color w:val="auto"/>
                <w:highlight w:val="none"/>
              </w:rPr>
              <w:t>0</w:t>
            </w:r>
          </w:p>
        </w:tc>
        <w:tc>
          <w:tcPr>
            <w:tcW w:w="528" w:type="dxa"/>
            <w:vAlign w:val="center"/>
          </w:tcPr>
          <w:p>
            <w:pPr>
              <w:pStyle w:val="344"/>
              <w:jc w:val="center"/>
              <w:rPr>
                <w:color w:val="auto"/>
                <w:highlight w:val="none"/>
              </w:rPr>
            </w:pPr>
            <w:r>
              <w:rPr>
                <w:rFonts w:hint="eastAsia"/>
                <w:color w:val="auto"/>
                <w:highlight w:val="none"/>
              </w:rPr>
              <w:t>2</w:t>
            </w:r>
          </w:p>
        </w:tc>
        <w:tc>
          <w:tcPr>
            <w:tcW w:w="480" w:type="dxa"/>
            <w:vAlign w:val="center"/>
          </w:tcPr>
          <w:p>
            <w:pPr>
              <w:pStyle w:val="344"/>
              <w:jc w:val="center"/>
              <w:rPr>
                <w:rFonts w:hint="eastAsia" w:eastAsia="宋体"/>
                <w:color w:val="auto"/>
                <w:highlight w:val="none"/>
                <w:lang w:eastAsia="zh-CN"/>
              </w:rPr>
            </w:pPr>
            <w:r>
              <w:rPr>
                <w:rFonts w:hint="eastAsia"/>
                <w:color w:val="auto"/>
                <w:highlight w:val="none"/>
                <w:lang w:val="en-US" w:eastAsia="zh-CN"/>
              </w:rPr>
              <w:t>9</w:t>
            </w:r>
          </w:p>
        </w:tc>
        <w:tc>
          <w:tcPr>
            <w:tcW w:w="600" w:type="dxa"/>
            <w:vAlign w:val="center"/>
          </w:tcPr>
          <w:p>
            <w:pPr>
              <w:pStyle w:val="344"/>
              <w:jc w:val="center"/>
              <w:rPr>
                <w:rFonts w:hint="eastAsia" w:eastAsia="宋体"/>
                <w:color w:val="auto"/>
                <w:highlight w:val="none"/>
                <w:lang w:val="en-US" w:eastAsia="zh-CN"/>
              </w:rPr>
            </w:pPr>
            <w:r>
              <w:rPr>
                <w:rFonts w:hint="eastAsia"/>
                <w:color w:val="auto"/>
                <w:highlight w:val="none"/>
                <w:lang w:val="en-US" w:eastAsia="zh-CN"/>
              </w:rPr>
              <w:t>Ⅲ</w:t>
            </w:r>
          </w:p>
        </w:tc>
        <w:tc>
          <w:tcPr>
            <w:tcW w:w="600" w:type="dxa"/>
            <w:vMerge w:val="continue"/>
            <w:vAlign w:val="center"/>
          </w:tcPr>
          <w:p>
            <w:pPr>
              <w:pStyle w:val="344"/>
              <w:rPr>
                <w:color w:val="auto"/>
              </w:rPr>
            </w:pPr>
          </w:p>
        </w:tc>
      </w:tr>
    </w:tbl>
    <w:p>
      <w:pPr>
        <w:pStyle w:val="54"/>
        <w:ind w:firstLine="560"/>
        <w:rPr>
          <w:color w:val="auto"/>
        </w:rPr>
      </w:pPr>
      <w:r>
        <w:rPr>
          <w:rFonts w:hint="eastAsia"/>
          <w:color w:val="auto"/>
        </w:rPr>
        <w:t>评价小结：由上表分析得知，罐区子单元固有危险程度等级为Ⅰ级；危险度等级为Ⅰ级属于高度危险，在公司的生产管理中应确认为危险目标，从</w:t>
      </w:r>
      <w:r>
        <w:rPr>
          <w:rFonts w:hint="eastAsia"/>
          <w:color w:val="auto"/>
          <w:spacing w:val="-6"/>
          <w:sz w:val="28"/>
        </w:rPr>
        <w:t>安全技术措施及管理措施方面加强对其的管理，降低危险程度，防止事故发生</w:t>
      </w:r>
      <w:r>
        <w:rPr>
          <w:rFonts w:hint="eastAsia"/>
          <w:color w:val="auto"/>
        </w:rPr>
        <w:t>。</w:t>
      </w:r>
    </w:p>
    <w:p>
      <w:pPr>
        <w:pStyle w:val="4"/>
        <w:ind w:firstLine="560"/>
        <w:rPr>
          <w:color w:val="auto"/>
        </w:rPr>
      </w:pPr>
      <w:bookmarkStart w:id="1041" w:name="_Toc126586706"/>
      <w:bookmarkStart w:id="1042" w:name="_Toc21706"/>
      <w:bookmarkStart w:id="1043" w:name="_Toc20105"/>
      <w:bookmarkStart w:id="1044" w:name="_Toc30720"/>
      <w:bookmarkStart w:id="1045" w:name="_Toc24536"/>
      <w:bookmarkStart w:id="1046" w:name="_Toc96877143"/>
      <w:bookmarkStart w:id="1047" w:name="_Toc13228"/>
      <w:bookmarkStart w:id="1048" w:name="_Toc23107"/>
      <w:r>
        <w:rPr>
          <w:color w:val="auto"/>
        </w:rPr>
        <w:t xml:space="preserve">C.5.3 </w:t>
      </w:r>
      <w:r>
        <w:rPr>
          <w:rFonts w:hint="eastAsia"/>
          <w:color w:val="auto"/>
        </w:rPr>
        <w:t>装卸子单元</w:t>
      </w:r>
      <w:bookmarkEnd w:id="1041"/>
      <w:bookmarkEnd w:id="1042"/>
      <w:bookmarkEnd w:id="1043"/>
      <w:bookmarkEnd w:id="1044"/>
      <w:bookmarkEnd w:id="1045"/>
      <w:bookmarkEnd w:id="1046"/>
      <w:bookmarkEnd w:id="1047"/>
      <w:bookmarkEnd w:id="1048"/>
    </w:p>
    <w:p>
      <w:pPr>
        <w:pStyle w:val="54"/>
        <w:ind w:firstLine="560"/>
        <w:rPr>
          <w:color w:val="auto"/>
        </w:rPr>
      </w:pPr>
      <w:r>
        <w:rPr>
          <w:rFonts w:hint="eastAsia"/>
          <w:color w:val="auto"/>
        </w:rPr>
        <w:t>该项目拟设置泵区、鹤位，用于液体物料的装卸。生产的液体产品用管道输送到罐区，进入对应的</w:t>
      </w:r>
      <w:r>
        <w:rPr>
          <w:rFonts w:hint="eastAsia"/>
          <w:color w:val="auto"/>
          <w:lang w:val="en-US" w:eastAsia="zh-CN"/>
        </w:rPr>
        <w:t>储</w:t>
      </w:r>
      <w:r>
        <w:rPr>
          <w:rFonts w:hint="eastAsia"/>
          <w:color w:val="auto"/>
        </w:rPr>
        <w:t>罐，再经输送泵将产品抽出，经鹤管装入槽车外运。</w:t>
      </w:r>
    </w:p>
    <w:p>
      <w:pPr>
        <w:pStyle w:val="53"/>
        <w:rPr>
          <w:color w:val="auto"/>
        </w:rPr>
      </w:pPr>
      <w:r>
        <w:rPr>
          <w:rFonts w:hint="eastAsia"/>
          <w:color w:val="auto"/>
        </w:rPr>
        <w:t>表C.5-</w:t>
      </w:r>
      <w:r>
        <w:rPr>
          <w:color w:val="auto"/>
        </w:rPr>
        <w:t>4</w:t>
      </w:r>
      <w:r>
        <w:rPr>
          <w:rFonts w:hint="eastAsia"/>
          <w:color w:val="auto"/>
        </w:rPr>
        <w:t xml:space="preserve">  装卸子单元预先危险分析表</w:t>
      </w:r>
    </w:p>
    <w:tbl>
      <w:tblPr>
        <w:tblStyle w:val="42"/>
        <w:tblW w:w="91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677"/>
        <w:gridCol w:w="146"/>
        <w:gridCol w:w="3114"/>
        <w:gridCol w:w="709"/>
        <w:gridCol w:w="708"/>
        <w:gridCol w:w="3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9" w:type="dxa"/>
            <w:vAlign w:val="center"/>
          </w:tcPr>
          <w:p>
            <w:pPr>
              <w:pStyle w:val="344"/>
              <w:jc w:val="center"/>
              <w:rPr>
                <w:color w:val="auto"/>
              </w:rPr>
            </w:pPr>
            <w:r>
              <w:rPr>
                <w:rFonts w:hint="eastAsia"/>
                <w:color w:val="auto"/>
              </w:rPr>
              <w:t>事故</w:t>
            </w:r>
          </w:p>
        </w:tc>
        <w:tc>
          <w:tcPr>
            <w:tcW w:w="823" w:type="dxa"/>
            <w:gridSpan w:val="2"/>
            <w:vAlign w:val="center"/>
          </w:tcPr>
          <w:p>
            <w:pPr>
              <w:pStyle w:val="344"/>
              <w:jc w:val="center"/>
              <w:rPr>
                <w:color w:val="auto"/>
              </w:rPr>
            </w:pPr>
            <w:r>
              <w:rPr>
                <w:rFonts w:hint="eastAsia"/>
                <w:color w:val="auto"/>
              </w:rPr>
              <w:t>触发事件</w:t>
            </w:r>
          </w:p>
        </w:tc>
        <w:tc>
          <w:tcPr>
            <w:tcW w:w="3114" w:type="dxa"/>
            <w:vAlign w:val="center"/>
          </w:tcPr>
          <w:p>
            <w:pPr>
              <w:pStyle w:val="344"/>
              <w:jc w:val="center"/>
              <w:rPr>
                <w:color w:val="auto"/>
              </w:rPr>
            </w:pPr>
            <w:r>
              <w:rPr>
                <w:rFonts w:hint="eastAsia"/>
                <w:color w:val="auto"/>
              </w:rPr>
              <w:t>形成事故原因事件</w:t>
            </w:r>
          </w:p>
        </w:tc>
        <w:tc>
          <w:tcPr>
            <w:tcW w:w="709" w:type="dxa"/>
            <w:vAlign w:val="center"/>
          </w:tcPr>
          <w:p>
            <w:pPr>
              <w:pStyle w:val="344"/>
              <w:jc w:val="center"/>
              <w:rPr>
                <w:color w:val="auto"/>
              </w:rPr>
            </w:pPr>
            <w:r>
              <w:rPr>
                <w:rFonts w:hint="eastAsia"/>
                <w:color w:val="auto"/>
              </w:rPr>
              <w:t>事故后果</w:t>
            </w:r>
          </w:p>
        </w:tc>
        <w:tc>
          <w:tcPr>
            <w:tcW w:w="708" w:type="dxa"/>
            <w:vAlign w:val="center"/>
          </w:tcPr>
          <w:p>
            <w:pPr>
              <w:pStyle w:val="344"/>
              <w:jc w:val="center"/>
              <w:rPr>
                <w:color w:val="auto"/>
              </w:rPr>
            </w:pPr>
            <w:r>
              <w:rPr>
                <w:rFonts w:hint="eastAsia"/>
                <w:color w:val="auto"/>
              </w:rPr>
              <w:t>危险等级</w:t>
            </w:r>
          </w:p>
        </w:tc>
        <w:tc>
          <w:tcPr>
            <w:tcW w:w="3002" w:type="dxa"/>
            <w:vAlign w:val="center"/>
          </w:tcPr>
          <w:p>
            <w:pPr>
              <w:pStyle w:val="344"/>
              <w:jc w:val="center"/>
              <w:rPr>
                <w:color w:val="auto"/>
              </w:rPr>
            </w:pPr>
            <w:r>
              <w:rPr>
                <w:rFonts w:hint="eastAsia"/>
                <w:color w:val="auto"/>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dxa"/>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火灾、爆炸</w:t>
            </w:r>
          </w:p>
        </w:tc>
        <w:tc>
          <w:tcPr>
            <w:tcW w:w="677" w:type="dxa"/>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易燃易爆物料泄漏</w:t>
            </w:r>
          </w:p>
        </w:tc>
        <w:tc>
          <w:tcPr>
            <w:tcW w:w="3260" w:type="dxa"/>
            <w:gridSpan w:val="2"/>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1.操作不当；</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2.机具故障；</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3.静电排除不净；</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4.机泵部件损坏、密封损坏；</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5.容器、包装破损泄漏；</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6.装卸点泄漏处存在可燃物、氧化剂等禁忌类物品；</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7.</w:t>
            </w:r>
            <w:r>
              <w:rPr>
                <w:color w:val="auto"/>
              </w:rPr>
              <w:t>输送过程中流速过快产生静电</w:t>
            </w:r>
            <w:r>
              <w:rPr>
                <w:rFonts w:hint="eastAsia"/>
                <w:color w:val="auto"/>
              </w:rPr>
              <w:t>；</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color w:val="auto"/>
              </w:rPr>
              <w:t>8</w:t>
            </w:r>
            <w:r>
              <w:rPr>
                <w:rFonts w:hint="eastAsia"/>
                <w:color w:val="auto"/>
              </w:rPr>
              <w:t>.雷雨天作业；</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color w:val="auto"/>
              </w:rPr>
              <w:t>9</w:t>
            </w:r>
            <w:r>
              <w:rPr>
                <w:rFonts w:hint="eastAsia"/>
                <w:color w:val="auto"/>
              </w:rPr>
              <w:t>.装卸车过程中车辆未熄火等。</w:t>
            </w:r>
          </w:p>
        </w:tc>
        <w:tc>
          <w:tcPr>
            <w:tcW w:w="709" w:type="dxa"/>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人员伤亡、设备损坏</w:t>
            </w:r>
          </w:p>
        </w:tc>
        <w:tc>
          <w:tcPr>
            <w:tcW w:w="708" w:type="dxa"/>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center"/>
              <w:textAlignment w:val="auto"/>
              <w:rPr>
                <w:color w:val="auto"/>
              </w:rPr>
            </w:pPr>
            <w:r>
              <w:rPr>
                <w:rFonts w:hint="eastAsia"/>
                <w:color w:val="auto"/>
              </w:rPr>
              <w:t>Ⅲ</w:t>
            </w:r>
          </w:p>
        </w:tc>
        <w:tc>
          <w:tcPr>
            <w:tcW w:w="3002" w:type="dxa"/>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1.严格按操作规程进行装卸车操作；2.定期对机具维护，发现损坏及时维修或更换；3.加强对外单位车辆管理及对相关人员的安全教育；4.每次装车前，检查安全设施的可靠性。5. 发现机泵运行异常，及时检修处理；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dxa"/>
            <w:vAlign w:val="center"/>
          </w:tcPr>
          <w:p>
            <w:pPr>
              <w:pStyle w:val="344"/>
              <w:rPr>
                <w:color w:val="auto"/>
              </w:rPr>
            </w:pPr>
            <w:r>
              <w:rPr>
                <w:rFonts w:hint="eastAsia"/>
                <w:color w:val="auto"/>
              </w:rPr>
              <w:t>车辆伤害</w:t>
            </w:r>
          </w:p>
        </w:tc>
        <w:tc>
          <w:tcPr>
            <w:tcW w:w="677" w:type="dxa"/>
            <w:vAlign w:val="center"/>
          </w:tcPr>
          <w:p>
            <w:pPr>
              <w:pStyle w:val="344"/>
              <w:rPr>
                <w:color w:val="auto"/>
              </w:rPr>
            </w:pPr>
            <w:r>
              <w:rPr>
                <w:rFonts w:hint="eastAsia"/>
                <w:color w:val="auto"/>
              </w:rPr>
              <w:t>正常生产</w:t>
            </w:r>
          </w:p>
        </w:tc>
        <w:tc>
          <w:tcPr>
            <w:tcW w:w="3260" w:type="dxa"/>
            <w:gridSpan w:val="2"/>
            <w:vAlign w:val="center"/>
          </w:tcPr>
          <w:p>
            <w:pPr>
              <w:pStyle w:val="344"/>
              <w:jc w:val="both"/>
              <w:rPr>
                <w:color w:val="auto"/>
              </w:rPr>
            </w:pPr>
            <w:r>
              <w:rPr>
                <w:color w:val="auto"/>
              </w:rPr>
              <w:t>1</w:t>
            </w:r>
            <w:r>
              <w:rPr>
                <w:rFonts w:hint="eastAsia"/>
                <w:color w:val="auto"/>
              </w:rPr>
              <w:t>.汽车撞人、撞物；</w:t>
            </w:r>
          </w:p>
          <w:p>
            <w:pPr>
              <w:pStyle w:val="344"/>
              <w:jc w:val="both"/>
              <w:rPr>
                <w:color w:val="auto"/>
              </w:rPr>
            </w:pPr>
            <w:r>
              <w:rPr>
                <w:rFonts w:hint="eastAsia"/>
                <w:color w:val="auto"/>
              </w:rPr>
              <w:t>2.</w:t>
            </w:r>
            <w:r>
              <w:rPr>
                <w:color w:val="auto"/>
              </w:rPr>
              <w:t>卸车时倒车撞人、撞物</w:t>
            </w:r>
            <w:r>
              <w:rPr>
                <w:rFonts w:hint="eastAsia"/>
                <w:color w:val="auto"/>
              </w:rPr>
              <w:t>；</w:t>
            </w:r>
            <w:r>
              <w:rPr>
                <w:color w:val="auto"/>
              </w:rPr>
              <w:t>撞人、撞物；</w:t>
            </w:r>
          </w:p>
          <w:p>
            <w:pPr>
              <w:pStyle w:val="344"/>
              <w:jc w:val="both"/>
              <w:rPr>
                <w:color w:val="auto"/>
              </w:rPr>
            </w:pPr>
            <w:r>
              <w:rPr>
                <w:rFonts w:hint="eastAsia"/>
                <w:color w:val="auto"/>
              </w:rPr>
              <w:t>(1）车况不好，刹车失灵；</w:t>
            </w:r>
          </w:p>
          <w:p>
            <w:pPr>
              <w:pStyle w:val="344"/>
              <w:jc w:val="both"/>
              <w:rPr>
                <w:color w:val="auto"/>
              </w:rPr>
            </w:pPr>
            <w:r>
              <w:rPr>
                <w:rFonts w:hint="eastAsia"/>
                <w:color w:val="auto"/>
              </w:rPr>
              <w:t>(2）路况不好，路面斜度过大；</w:t>
            </w:r>
          </w:p>
          <w:p>
            <w:pPr>
              <w:pStyle w:val="344"/>
              <w:jc w:val="both"/>
              <w:rPr>
                <w:color w:val="auto"/>
              </w:rPr>
            </w:pPr>
            <w:r>
              <w:rPr>
                <w:rFonts w:hint="eastAsia"/>
                <w:color w:val="auto"/>
              </w:rPr>
              <w:t>(3）司机素质不高，违章驾驶；</w:t>
            </w:r>
          </w:p>
          <w:p>
            <w:pPr>
              <w:pStyle w:val="344"/>
              <w:jc w:val="both"/>
              <w:rPr>
                <w:color w:val="auto"/>
              </w:rPr>
            </w:pPr>
            <w:r>
              <w:rPr>
                <w:rFonts w:hint="eastAsia"/>
                <w:color w:val="auto"/>
              </w:rPr>
              <w:t>(4）司机驾驶技能差；</w:t>
            </w:r>
          </w:p>
          <w:p>
            <w:pPr>
              <w:pStyle w:val="344"/>
              <w:jc w:val="both"/>
              <w:rPr>
                <w:color w:val="auto"/>
              </w:rPr>
            </w:pPr>
            <w:r>
              <w:rPr>
                <w:rFonts w:hint="eastAsia"/>
                <w:color w:val="auto"/>
              </w:rPr>
              <w:t>(5）酒后开车；</w:t>
            </w:r>
          </w:p>
          <w:p>
            <w:pPr>
              <w:pStyle w:val="344"/>
              <w:jc w:val="both"/>
              <w:rPr>
                <w:color w:val="auto"/>
              </w:rPr>
            </w:pPr>
            <w:r>
              <w:rPr>
                <w:rFonts w:hint="eastAsia"/>
                <w:color w:val="auto"/>
              </w:rPr>
              <w:t>(6）信号出现问题，造成误会；</w:t>
            </w:r>
          </w:p>
          <w:p>
            <w:pPr>
              <w:pStyle w:val="344"/>
              <w:jc w:val="both"/>
              <w:rPr>
                <w:color w:val="auto"/>
              </w:rPr>
            </w:pPr>
            <w:r>
              <w:rPr>
                <w:rFonts w:hint="eastAsia"/>
                <w:color w:val="auto"/>
              </w:rPr>
              <w:t>(7）受害者精神紧张过度或其它身体原因，对车没有进行有效躲闪；</w:t>
            </w:r>
          </w:p>
          <w:p>
            <w:pPr>
              <w:pStyle w:val="344"/>
              <w:jc w:val="both"/>
              <w:rPr>
                <w:color w:val="auto"/>
              </w:rPr>
            </w:pPr>
            <w:r>
              <w:rPr>
                <w:rFonts w:hint="eastAsia"/>
                <w:color w:val="auto"/>
              </w:rPr>
              <w:t>(8）车辆超速；</w:t>
            </w:r>
          </w:p>
        </w:tc>
        <w:tc>
          <w:tcPr>
            <w:tcW w:w="709" w:type="dxa"/>
            <w:vAlign w:val="center"/>
          </w:tcPr>
          <w:p>
            <w:pPr>
              <w:pStyle w:val="344"/>
              <w:rPr>
                <w:color w:val="auto"/>
              </w:rPr>
            </w:pPr>
            <w:r>
              <w:rPr>
                <w:rFonts w:hint="eastAsia"/>
                <w:color w:val="auto"/>
              </w:rPr>
              <w:t>人员</w:t>
            </w:r>
          </w:p>
          <w:p>
            <w:pPr>
              <w:pStyle w:val="344"/>
              <w:rPr>
                <w:color w:val="auto"/>
              </w:rPr>
            </w:pPr>
            <w:r>
              <w:rPr>
                <w:rFonts w:hint="eastAsia"/>
                <w:color w:val="auto"/>
              </w:rPr>
              <w:t>伤亡</w:t>
            </w:r>
          </w:p>
        </w:tc>
        <w:tc>
          <w:tcPr>
            <w:tcW w:w="708" w:type="dxa"/>
            <w:vAlign w:val="center"/>
          </w:tcPr>
          <w:p>
            <w:pPr>
              <w:pStyle w:val="344"/>
              <w:jc w:val="center"/>
              <w:rPr>
                <w:color w:val="auto"/>
              </w:rPr>
            </w:pPr>
            <w:r>
              <w:rPr>
                <w:rFonts w:hint="eastAsia"/>
                <w:color w:val="auto"/>
              </w:rPr>
              <w:t>Ⅱ</w:t>
            </w:r>
          </w:p>
        </w:tc>
        <w:tc>
          <w:tcPr>
            <w:tcW w:w="3002" w:type="dxa"/>
            <w:vAlign w:val="center"/>
          </w:tcPr>
          <w:p>
            <w:pPr>
              <w:pStyle w:val="344"/>
              <w:jc w:val="both"/>
              <w:rPr>
                <w:color w:val="auto"/>
              </w:rPr>
            </w:pPr>
            <w:r>
              <w:rPr>
                <w:rFonts w:hint="eastAsia"/>
                <w:color w:val="auto"/>
              </w:rPr>
              <w:t>1.加强管理。</w:t>
            </w:r>
          </w:p>
          <w:p>
            <w:pPr>
              <w:pStyle w:val="344"/>
              <w:jc w:val="both"/>
              <w:rPr>
                <w:color w:val="auto"/>
              </w:rPr>
            </w:pPr>
            <w:r>
              <w:rPr>
                <w:rFonts w:hint="eastAsia"/>
                <w:color w:val="auto"/>
              </w:rPr>
              <w:t>2.提高防范意识。</w:t>
            </w:r>
          </w:p>
          <w:p>
            <w:pPr>
              <w:pStyle w:val="344"/>
              <w:jc w:val="both"/>
              <w:rPr>
                <w:color w:val="auto"/>
              </w:rPr>
            </w:pPr>
            <w:r>
              <w:rPr>
                <w:rFonts w:hint="eastAsia"/>
                <w:color w:val="auto"/>
              </w:rPr>
              <w:t>3.厂内设置限载、限速标识。</w:t>
            </w:r>
          </w:p>
        </w:tc>
      </w:tr>
    </w:tbl>
    <w:p>
      <w:pPr>
        <w:pStyle w:val="54"/>
        <w:ind w:firstLine="562"/>
        <w:rPr>
          <w:b/>
          <w:color w:val="auto"/>
        </w:rPr>
      </w:pPr>
      <w:r>
        <w:rPr>
          <w:rFonts w:hint="eastAsia"/>
          <w:b/>
          <w:color w:val="auto"/>
        </w:rPr>
        <w:t>评价小结：</w:t>
      </w:r>
    </w:p>
    <w:p>
      <w:pPr>
        <w:pStyle w:val="54"/>
        <w:ind w:firstLine="560"/>
        <w:rPr>
          <w:color w:val="auto"/>
        </w:rPr>
      </w:pPr>
      <w:r>
        <w:rPr>
          <w:rFonts w:hint="eastAsia"/>
          <w:color w:val="auto"/>
        </w:rPr>
        <w:t>通过预先危险分析，装卸子单元主要危险、有害因素为：火灾、爆炸危险程度为Ⅲ级（危险的）会造成人员伤亡和系统损坏，要立即采取防范对策措施；车辆伤害危险程度为Ⅱ级（临界的），处于事故的边缘状态，暂时还不会造成人员伤亡、系统损坏降低系统性能，但应予排除或采取控制措施。</w:t>
      </w:r>
    </w:p>
    <w:p>
      <w:pPr>
        <w:pStyle w:val="3"/>
        <w:rPr>
          <w:color w:val="auto"/>
        </w:rPr>
      </w:pPr>
      <w:bookmarkStart w:id="1049" w:name="_Toc19171"/>
      <w:bookmarkStart w:id="1050" w:name="_Toc2678"/>
      <w:bookmarkStart w:id="1051" w:name="_Toc19155"/>
      <w:bookmarkStart w:id="1052" w:name="_Toc126586707"/>
      <w:bookmarkStart w:id="1053" w:name="_Toc799"/>
      <w:bookmarkStart w:id="1054" w:name="_Toc19910"/>
      <w:bookmarkStart w:id="1055" w:name="_Toc19260"/>
      <w:bookmarkStart w:id="1056" w:name="_Toc96877144"/>
      <w:r>
        <w:rPr>
          <w:rFonts w:hint="eastAsia"/>
          <w:color w:val="auto"/>
        </w:rPr>
        <w:t>C</w:t>
      </w:r>
      <w:r>
        <w:rPr>
          <w:color w:val="auto"/>
        </w:rPr>
        <w:t xml:space="preserve">.6 </w:t>
      </w:r>
      <w:r>
        <w:rPr>
          <w:rFonts w:hint="eastAsia"/>
          <w:color w:val="auto"/>
        </w:rPr>
        <w:t>特种设备单元</w:t>
      </w:r>
      <w:bookmarkEnd w:id="1049"/>
      <w:bookmarkEnd w:id="1050"/>
      <w:bookmarkEnd w:id="1051"/>
      <w:bookmarkEnd w:id="1052"/>
      <w:bookmarkEnd w:id="1053"/>
      <w:bookmarkEnd w:id="1054"/>
      <w:bookmarkEnd w:id="1055"/>
      <w:bookmarkEnd w:id="1056"/>
    </w:p>
    <w:p>
      <w:pPr>
        <w:pStyle w:val="54"/>
        <w:ind w:firstLine="560"/>
        <w:rPr>
          <w:color w:val="auto"/>
        </w:rPr>
      </w:pPr>
      <w:r>
        <w:rPr>
          <w:rFonts w:hint="eastAsia"/>
          <w:color w:val="auto"/>
        </w:rPr>
        <w:t>特种设备单元主要包括压力容器、压力管道、叉车等设备、设施。</w:t>
      </w:r>
    </w:p>
    <w:p>
      <w:pPr>
        <w:pStyle w:val="54"/>
        <w:ind w:firstLine="562"/>
        <w:rPr>
          <w:b/>
          <w:color w:val="auto"/>
        </w:rPr>
      </w:pPr>
      <w:r>
        <w:rPr>
          <w:rFonts w:hint="eastAsia"/>
          <w:b/>
          <w:color w:val="auto"/>
        </w:rPr>
        <w:t>1.预先危险分析</w:t>
      </w:r>
    </w:p>
    <w:p>
      <w:pPr>
        <w:pStyle w:val="54"/>
        <w:ind w:firstLine="560"/>
        <w:rPr>
          <w:color w:val="auto"/>
        </w:rPr>
      </w:pPr>
      <w:r>
        <w:rPr>
          <w:rFonts w:hint="eastAsia"/>
          <w:color w:val="auto"/>
        </w:rPr>
        <w:t>该单元采用预先危险分析法进行评价，预先危险分析法见表</w:t>
      </w:r>
      <w:r>
        <w:rPr>
          <w:color w:val="auto"/>
        </w:rPr>
        <w:t>C.6-1</w:t>
      </w:r>
      <w:r>
        <w:rPr>
          <w:rFonts w:hint="eastAsia"/>
          <w:color w:val="auto"/>
        </w:rPr>
        <w:t>。</w:t>
      </w:r>
    </w:p>
    <w:p>
      <w:pPr>
        <w:pStyle w:val="53"/>
        <w:rPr>
          <w:color w:val="auto"/>
        </w:rPr>
      </w:pPr>
      <w:r>
        <w:rPr>
          <w:rFonts w:hint="eastAsia"/>
          <w:color w:val="auto"/>
        </w:rPr>
        <w:t>表</w:t>
      </w:r>
      <w:r>
        <w:rPr>
          <w:color w:val="auto"/>
        </w:rPr>
        <w:t xml:space="preserve">C.6-1  </w:t>
      </w:r>
      <w:r>
        <w:rPr>
          <w:rFonts w:hint="eastAsia"/>
          <w:color w:val="auto"/>
        </w:rPr>
        <w:t>特种设备单元预先危险分析表</w:t>
      </w:r>
    </w:p>
    <w:tbl>
      <w:tblPr>
        <w:tblStyle w:val="42"/>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527"/>
        <w:gridCol w:w="2844"/>
        <w:gridCol w:w="709"/>
        <w:gridCol w:w="709"/>
        <w:gridCol w:w="3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pStyle w:val="344"/>
              <w:rPr>
                <w:color w:val="auto"/>
              </w:rPr>
            </w:pPr>
            <w:r>
              <w:rPr>
                <w:rFonts w:hint="eastAsia"/>
                <w:color w:val="auto"/>
              </w:rPr>
              <w:t>事故</w:t>
            </w:r>
          </w:p>
        </w:tc>
        <w:tc>
          <w:tcPr>
            <w:tcW w:w="527" w:type="dxa"/>
            <w:vAlign w:val="center"/>
          </w:tcPr>
          <w:p>
            <w:pPr>
              <w:pStyle w:val="344"/>
              <w:jc w:val="center"/>
              <w:rPr>
                <w:color w:val="auto"/>
              </w:rPr>
            </w:pPr>
            <w:r>
              <w:rPr>
                <w:rFonts w:hint="eastAsia"/>
                <w:color w:val="auto"/>
              </w:rPr>
              <w:t>阶段</w:t>
            </w:r>
          </w:p>
        </w:tc>
        <w:tc>
          <w:tcPr>
            <w:tcW w:w="2844" w:type="dxa"/>
            <w:vAlign w:val="center"/>
          </w:tcPr>
          <w:p>
            <w:pPr>
              <w:pStyle w:val="344"/>
              <w:rPr>
                <w:color w:val="auto"/>
              </w:rPr>
            </w:pPr>
            <w:r>
              <w:rPr>
                <w:rFonts w:hint="eastAsia"/>
                <w:color w:val="auto"/>
              </w:rPr>
              <w:t>形成事故原因事件</w:t>
            </w:r>
          </w:p>
        </w:tc>
        <w:tc>
          <w:tcPr>
            <w:tcW w:w="709" w:type="dxa"/>
            <w:vAlign w:val="center"/>
          </w:tcPr>
          <w:p>
            <w:pPr>
              <w:pStyle w:val="344"/>
              <w:rPr>
                <w:color w:val="auto"/>
              </w:rPr>
            </w:pPr>
            <w:r>
              <w:rPr>
                <w:rFonts w:hint="eastAsia"/>
                <w:color w:val="auto"/>
              </w:rPr>
              <w:t>事故后果</w:t>
            </w:r>
          </w:p>
        </w:tc>
        <w:tc>
          <w:tcPr>
            <w:tcW w:w="709" w:type="dxa"/>
            <w:vAlign w:val="center"/>
          </w:tcPr>
          <w:p>
            <w:pPr>
              <w:pStyle w:val="344"/>
              <w:jc w:val="center"/>
              <w:rPr>
                <w:color w:val="auto"/>
              </w:rPr>
            </w:pPr>
            <w:r>
              <w:rPr>
                <w:rFonts w:hint="eastAsia"/>
                <w:color w:val="auto"/>
              </w:rPr>
              <w:t>危险等级</w:t>
            </w:r>
          </w:p>
        </w:tc>
        <w:tc>
          <w:tcPr>
            <w:tcW w:w="3932" w:type="dxa"/>
            <w:vAlign w:val="center"/>
          </w:tcPr>
          <w:p>
            <w:pPr>
              <w:pStyle w:val="344"/>
              <w:rPr>
                <w:color w:val="auto"/>
              </w:rPr>
            </w:pPr>
            <w:r>
              <w:rPr>
                <w:rFonts w:hint="eastAsia"/>
                <w:color w:val="auto"/>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pStyle w:val="344"/>
              <w:rPr>
                <w:color w:val="auto"/>
              </w:rPr>
            </w:pPr>
            <w:r>
              <w:rPr>
                <w:rFonts w:hint="eastAsia"/>
                <w:color w:val="auto"/>
              </w:rPr>
              <w:t>容器</w:t>
            </w:r>
            <w:r>
              <w:rPr>
                <w:color w:val="auto"/>
              </w:rPr>
              <w:t>爆炸</w:t>
            </w:r>
          </w:p>
        </w:tc>
        <w:tc>
          <w:tcPr>
            <w:tcW w:w="527" w:type="dxa"/>
            <w:vAlign w:val="center"/>
          </w:tcPr>
          <w:p>
            <w:pPr>
              <w:pStyle w:val="344"/>
              <w:jc w:val="center"/>
              <w:rPr>
                <w:color w:val="auto"/>
              </w:rPr>
            </w:pPr>
            <w:r>
              <w:rPr>
                <w:rFonts w:hint="eastAsia"/>
                <w:color w:val="auto"/>
              </w:rPr>
              <w:t>超压</w:t>
            </w:r>
          </w:p>
        </w:tc>
        <w:tc>
          <w:tcPr>
            <w:tcW w:w="2844" w:type="dxa"/>
            <w:vAlign w:val="center"/>
          </w:tcPr>
          <w:p>
            <w:pPr>
              <w:pStyle w:val="344"/>
              <w:jc w:val="both"/>
              <w:rPr>
                <w:color w:val="auto"/>
              </w:rPr>
            </w:pPr>
            <w:r>
              <w:rPr>
                <w:color w:val="auto"/>
              </w:rPr>
              <w:t>1.</w:t>
            </w:r>
            <w:r>
              <w:rPr>
                <w:rFonts w:hint="eastAsia"/>
                <w:color w:val="auto"/>
              </w:rPr>
              <w:t>系统超压运行；</w:t>
            </w:r>
          </w:p>
          <w:p>
            <w:pPr>
              <w:pStyle w:val="344"/>
              <w:jc w:val="both"/>
              <w:rPr>
                <w:color w:val="auto"/>
              </w:rPr>
            </w:pPr>
            <w:r>
              <w:rPr>
                <w:rFonts w:hint="eastAsia"/>
                <w:color w:val="auto"/>
              </w:rPr>
              <w:t>2.压力容器未定期进行检测；</w:t>
            </w:r>
          </w:p>
          <w:p>
            <w:pPr>
              <w:pStyle w:val="344"/>
              <w:jc w:val="both"/>
              <w:rPr>
                <w:color w:val="auto"/>
              </w:rPr>
            </w:pPr>
            <w:r>
              <w:rPr>
                <w:rFonts w:hint="eastAsia"/>
                <w:color w:val="auto"/>
              </w:rPr>
              <w:t>3</w:t>
            </w:r>
            <w:r>
              <w:rPr>
                <w:color w:val="auto"/>
              </w:rPr>
              <w:t>.</w:t>
            </w:r>
            <w:r>
              <w:rPr>
                <w:rFonts w:hint="eastAsia"/>
                <w:color w:val="auto"/>
              </w:rPr>
              <w:t>安全</w:t>
            </w:r>
            <w:r>
              <w:rPr>
                <w:color w:val="auto"/>
              </w:rPr>
              <w:t>阀损坏</w:t>
            </w:r>
            <w:r>
              <w:rPr>
                <w:rFonts w:hint="eastAsia"/>
                <w:color w:val="auto"/>
              </w:rPr>
              <w:t>或整定值不合格；</w:t>
            </w:r>
          </w:p>
          <w:p>
            <w:pPr>
              <w:pStyle w:val="344"/>
              <w:jc w:val="both"/>
              <w:rPr>
                <w:color w:val="auto"/>
              </w:rPr>
            </w:pPr>
            <w:r>
              <w:rPr>
                <w:rFonts w:hint="eastAsia"/>
                <w:color w:val="auto"/>
              </w:rPr>
              <w:t>4</w:t>
            </w:r>
            <w:r>
              <w:rPr>
                <w:color w:val="auto"/>
              </w:rPr>
              <w:t>.设备或管</w:t>
            </w:r>
            <w:r>
              <w:rPr>
                <w:rFonts w:hint="eastAsia"/>
                <w:color w:val="auto"/>
              </w:rPr>
              <w:t>道遭</w:t>
            </w:r>
            <w:r>
              <w:rPr>
                <w:color w:val="auto"/>
              </w:rPr>
              <w:t>受腐蚀</w:t>
            </w:r>
            <w:r>
              <w:rPr>
                <w:rFonts w:hint="eastAsia"/>
                <w:color w:val="auto"/>
              </w:rPr>
              <w:t>强度下降</w:t>
            </w:r>
            <w:r>
              <w:rPr>
                <w:color w:val="auto"/>
              </w:rPr>
              <w:t>；</w:t>
            </w:r>
          </w:p>
          <w:p>
            <w:pPr>
              <w:pStyle w:val="344"/>
              <w:jc w:val="both"/>
              <w:rPr>
                <w:color w:val="auto"/>
              </w:rPr>
            </w:pPr>
            <w:r>
              <w:rPr>
                <w:rFonts w:hint="eastAsia"/>
                <w:color w:val="auto"/>
              </w:rPr>
              <w:t>5</w:t>
            </w:r>
            <w:r>
              <w:rPr>
                <w:color w:val="auto"/>
              </w:rPr>
              <w:t>.</w:t>
            </w:r>
            <w:r>
              <w:rPr>
                <w:rFonts w:hint="eastAsia"/>
                <w:color w:val="auto"/>
              </w:rPr>
              <w:t>遭受外力撞击过大</w:t>
            </w:r>
            <w:r>
              <w:rPr>
                <w:color w:val="auto"/>
              </w:rPr>
              <w:t>。</w:t>
            </w:r>
          </w:p>
        </w:tc>
        <w:tc>
          <w:tcPr>
            <w:tcW w:w="709" w:type="dxa"/>
            <w:vAlign w:val="center"/>
          </w:tcPr>
          <w:p>
            <w:pPr>
              <w:pStyle w:val="344"/>
              <w:rPr>
                <w:color w:val="auto"/>
              </w:rPr>
            </w:pPr>
            <w:r>
              <w:rPr>
                <w:color w:val="auto"/>
              </w:rPr>
              <w:t>人员伤亡财产损失</w:t>
            </w:r>
          </w:p>
        </w:tc>
        <w:tc>
          <w:tcPr>
            <w:tcW w:w="709" w:type="dxa"/>
            <w:vAlign w:val="center"/>
          </w:tcPr>
          <w:p>
            <w:pPr>
              <w:pStyle w:val="344"/>
              <w:jc w:val="center"/>
              <w:rPr>
                <w:color w:val="auto"/>
              </w:rPr>
            </w:pPr>
            <w:r>
              <w:rPr>
                <w:rFonts w:hint="eastAsia"/>
                <w:color w:val="auto"/>
              </w:rPr>
              <w:t>Ⅲ</w:t>
            </w:r>
          </w:p>
        </w:tc>
        <w:tc>
          <w:tcPr>
            <w:tcW w:w="3932" w:type="dxa"/>
            <w:vAlign w:val="center"/>
          </w:tcPr>
          <w:p>
            <w:pPr>
              <w:pStyle w:val="344"/>
              <w:jc w:val="both"/>
              <w:rPr>
                <w:color w:val="auto"/>
              </w:rPr>
            </w:pPr>
            <w:r>
              <w:rPr>
                <w:color w:val="auto"/>
              </w:rPr>
              <w:t>1.</w:t>
            </w:r>
            <w:r>
              <w:rPr>
                <w:rFonts w:hint="eastAsia"/>
                <w:color w:val="auto"/>
              </w:rPr>
              <w:t>严格执行安全操作规程，禁止违章作业</w:t>
            </w:r>
            <w:r>
              <w:rPr>
                <w:color w:val="auto"/>
              </w:rPr>
              <w:t>；</w:t>
            </w:r>
          </w:p>
          <w:p>
            <w:pPr>
              <w:pStyle w:val="344"/>
              <w:jc w:val="both"/>
              <w:rPr>
                <w:color w:val="auto"/>
              </w:rPr>
            </w:pPr>
            <w:r>
              <w:rPr>
                <w:color w:val="auto"/>
              </w:rPr>
              <w:t>2.</w:t>
            </w:r>
            <w:r>
              <w:rPr>
                <w:rFonts w:hint="eastAsia"/>
                <w:color w:val="auto"/>
              </w:rPr>
              <w:t>压力容器和安全阀应定期检测，合格后使用；</w:t>
            </w:r>
          </w:p>
          <w:p>
            <w:pPr>
              <w:pStyle w:val="344"/>
              <w:jc w:val="both"/>
              <w:rPr>
                <w:color w:val="auto"/>
              </w:rPr>
            </w:pPr>
            <w:r>
              <w:rPr>
                <w:color w:val="auto"/>
              </w:rPr>
              <w:t>3.</w:t>
            </w:r>
            <w:r>
              <w:rPr>
                <w:rFonts w:hint="eastAsia"/>
                <w:color w:val="auto"/>
              </w:rPr>
              <w:t>危险性较大的压力容器应采用2个安全阀；</w:t>
            </w:r>
          </w:p>
          <w:p>
            <w:pPr>
              <w:pStyle w:val="344"/>
              <w:jc w:val="both"/>
              <w:rPr>
                <w:color w:val="auto"/>
              </w:rPr>
            </w:pPr>
            <w:r>
              <w:rPr>
                <w:color w:val="auto"/>
              </w:rPr>
              <w:t>4.加强现场</w:t>
            </w:r>
            <w:r>
              <w:rPr>
                <w:rFonts w:hint="eastAsia"/>
                <w:color w:val="auto"/>
              </w:rPr>
              <w:t>检查维护</w:t>
            </w:r>
            <w:r>
              <w:rPr>
                <w:color w:val="auto"/>
              </w:rPr>
              <w:t>，</w:t>
            </w:r>
            <w:r>
              <w:rPr>
                <w:rFonts w:hint="eastAsia"/>
                <w:color w:val="auto"/>
              </w:rPr>
              <w:t>减缓</w:t>
            </w:r>
            <w:r>
              <w:rPr>
                <w:color w:val="auto"/>
              </w:rPr>
              <w:t>设备或管</w:t>
            </w:r>
            <w:r>
              <w:rPr>
                <w:rFonts w:hint="eastAsia"/>
                <w:color w:val="auto"/>
              </w:rPr>
              <w:t>道</w:t>
            </w:r>
            <w:r>
              <w:rPr>
                <w:color w:val="auto"/>
              </w:rPr>
              <w:t>腐蚀；</w:t>
            </w:r>
          </w:p>
          <w:p>
            <w:pPr>
              <w:pStyle w:val="344"/>
              <w:jc w:val="both"/>
              <w:rPr>
                <w:color w:val="auto"/>
              </w:rPr>
            </w:pPr>
            <w:r>
              <w:rPr>
                <w:color w:val="auto"/>
              </w:rPr>
              <w:t>5.防止</w:t>
            </w:r>
            <w:r>
              <w:rPr>
                <w:rFonts w:hint="eastAsia"/>
                <w:color w:val="auto"/>
              </w:rPr>
              <w:t>外来物体</w:t>
            </w:r>
            <w:r>
              <w:rPr>
                <w:color w:val="auto"/>
              </w:rPr>
              <w:t>撞击</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pStyle w:val="344"/>
              <w:rPr>
                <w:color w:val="auto"/>
              </w:rPr>
            </w:pPr>
            <w:r>
              <w:rPr>
                <w:rFonts w:hint="eastAsia"/>
                <w:color w:val="auto"/>
              </w:rPr>
              <w:t>起重伤害</w:t>
            </w:r>
          </w:p>
        </w:tc>
        <w:tc>
          <w:tcPr>
            <w:tcW w:w="527" w:type="dxa"/>
            <w:vAlign w:val="center"/>
          </w:tcPr>
          <w:p>
            <w:pPr>
              <w:pStyle w:val="344"/>
              <w:jc w:val="center"/>
              <w:rPr>
                <w:color w:val="auto"/>
              </w:rPr>
            </w:pPr>
            <w:r>
              <w:rPr>
                <w:rFonts w:hint="eastAsia"/>
                <w:color w:val="auto"/>
              </w:rPr>
              <w:t>违规吊装作业</w:t>
            </w:r>
          </w:p>
        </w:tc>
        <w:tc>
          <w:tcPr>
            <w:tcW w:w="2844" w:type="dxa"/>
            <w:vAlign w:val="center"/>
          </w:tcPr>
          <w:p>
            <w:pPr>
              <w:pStyle w:val="344"/>
              <w:jc w:val="both"/>
              <w:rPr>
                <w:color w:val="auto"/>
              </w:rPr>
            </w:pPr>
            <w:r>
              <w:rPr>
                <w:rFonts w:hint="eastAsia"/>
                <w:color w:val="auto"/>
              </w:rPr>
              <w:t>1、悬挂装置的破断；曳引轮上曳引绳失控滑移；辅助绳、链和带的所有连接的破断和松弛；参与对制动轮或盘制动的机电制动器机械零部件之一失效；与主驱动机组和曳引轮有关零部件的失效。</w:t>
            </w:r>
          </w:p>
          <w:p>
            <w:pPr>
              <w:pStyle w:val="344"/>
              <w:jc w:val="both"/>
              <w:rPr>
                <w:color w:val="auto"/>
              </w:rPr>
            </w:pPr>
            <w:r>
              <w:rPr>
                <w:color w:val="auto"/>
              </w:rPr>
              <w:t>2.</w:t>
            </w:r>
            <w:r>
              <w:rPr>
                <w:rFonts w:hint="eastAsia"/>
                <w:color w:val="auto"/>
              </w:rPr>
              <w:t>违章进行吊装作业。</w:t>
            </w:r>
          </w:p>
        </w:tc>
        <w:tc>
          <w:tcPr>
            <w:tcW w:w="709" w:type="dxa"/>
            <w:vAlign w:val="center"/>
          </w:tcPr>
          <w:p>
            <w:pPr>
              <w:pStyle w:val="344"/>
              <w:rPr>
                <w:color w:val="auto"/>
              </w:rPr>
            </w:pPr>
            <w:r>
              <w:rPr>
                <w:rFonts w:hint="eastAsia"/>
                <w:color w:val="auto"/>
              </w:rPr>
              <w:t>人员伤亡</w:t>
            </w:r>
          </w:p>
        </w:tc>
        <w:tc>
          <w:tcPr>
            <w:tcW w:w="709" w:type="dxa"/>
            <w:vAlign w:val="center"/>
          </w:tcPr>
          <w:p>
            <w:pPr>
              <w:pStyle w:val="344"/>
              <w:jc w:val="center"/>
              <w:rPr>
                <w:color w:val="auto"/>
              </w:rPr>
            </w:pPr>
            <w:r>
              <w:rPr>
                <w:color w:val="auto"/>
              </w:rPr>
              <w:t>Ⅱ</w:t>
            </w:r>
          </w:p>
        </w:tc>
        <w:tc>
          <w:tcPr>
            <w:tcW w:w="3932" w:type="dxa"/>
            <w:vAlign w:val="center"/>
          </w:tcPr>
          <w:p>
            <w:pPr>
              <w:pStyle w:val="344"/>
              <w:jc w:val="both"/>
              <w:rPr>
                <w:color w:val="auto"/>
              </w:rPr>
            </w:pPr>
            <w:r>
              <w:rPr>
                <w:color w:val="auto"/>
              </w:rPr>
              <w:t>1、起重设备按规定进行检查、检测、保持完好状态；</w:t>
            </w:r>
          </w:p>
          <w:p>
            <w:pPr>
              <w:pStyle w:val="344"/>
              <w:jc w:val="both"/>
              <w:rPr>
                <w:color w:val="auto"/>
              </w:rPr>
            </w:pPr>
            <w:r>
              <w:rPr>
                <w:color w:val="auto"/>
              </w:rPr>
              <w:t>2、起重作业人员持证上岗，严格遵守“十不吊”</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pStyle w:val="344"/>
              <w:rPr>
                <w:color w:val="auto"/>
              </w:rPr>
            </w:pPr>
            <w:r>
              <w:rPr>
                <w:rFonts w:hint="eastAsia"/>
                <w:color w:val="auto"/>
              </w:rPr>
              <w:t>高处坠落</w:t>
            </w:r>
          </w:p>
        </w:tc>
        <w:tc>
          <w:tcPr>
            <w:tcW w:w="527" w:type="dxa"/>
            <w:vAlign w:val="center"/>
          </w:tcPr>
          <w:p>
            <w:pPr>
              <w:pStyle w:val="344"/>
              <w:jc w:val="center"/>
              <w:rPr>
                <w:color w:val="auto"/>
              </w:rPr>
            </w:pPr>
            <w:r>
              <w:rPr>
                <w:rFonts w:hint="eastAsia"/>
                <w:color w:val="auto"/>
              </w:rPr>
              <w:t>检修</w:t>
            </w:r>
          </w:p>
        </w:tc>
        <w:tc>
          <w:tcPr>
            <w:tcW w:w="2844" w:type="dxa"/>
            <w:vAlign w:val="center"/>
          </w:tcPr>
          <w:p>
            <w:pPr>
              <w:pStyle w:val="344"/>
              <w:jc w:val="both"/>
              <w:rPr>
                <w:color w:val="auto"/>
              </w:rPr>
            </w:pPr>
            <w:r>
              <w:rPr>
                <w:rFonts w:hint="eastAsia"/>
                <w:color w:val="auto"/>
              </w:rPr>
              <w:t>1.安全防护设施损坏或不牢固。</w:t>
            </w:r>
          </w:p>
          <w:p>
            <w:pPr>
              <w:pStyle w:val="344"/>
              <w:jc w:val="both"/>
              <w:rPr>
                <w:color w:val="auto"/>
              </w:rPr>
            </w:pPr>
            <w:r>
              <w:rPr>
                <w:rFonts w:hint="eastAsia"/>
                <w:color w:val="auto"/>
              </w:rPr>
              <w:t>2.作业人员高处作业未使用安全带等防护用品，注意力不集中。</w:t>
            </w:r>
          </w:p>
        </w:tc>
        <w:tc>
          <w:tcPr>
            <w:tcW w:w="709" w:type="dxa"/>
            <w:vAlign w:val="center"/>
          </w:tcPr>
          <w:p>
            <w:pPr>
              <w:pStyle w:val="344"/>
              <w:rPr>
                <w:color w:val="auto"/>
              </w:rPr>
            </w:pPr>
            <w:r>
              <w:rPr>
                <w:rFonts w:hint="eastAsia"/>
                <w:color w:val="auto"/>
              </w:rPr>
              <w:t>人员伤害</w:t>
            </w:r>
          </w:p>
        </w:tc>
        <w:tc>
          <w:tcPr>
            <w:tcW w:w="709" w:type="dxa"/>
            <w:vAlign w:val="center"/>
          </w:tcPr>
          <w:p>
            <w:pPr>
              <w:pStyle w:val="344"/>
              <w:jc w:val="center"/>
              <w:rPr>
                <w:color w:val="auto"/>
              </w:rPr>
            </w:pPr>
            <w:r>
              <w:rPr>
                <w:rFonts w:hint="eastAsia"/>
                <w:color w:val="auto"/>
              </w:rPr>
              <w:t>Ⅱ</w:t>
            </w:r>
          </w:p>
        </w:tc>
        <w:tc>
          <w:tcPr>
            <w:tcW w:w="3932" w:type="dxa"/>
            <w:vAlign w:val="center"/>
          </w:tcPr>
          <w:p>
            <w:pPr>
              <w:pStyle w:val="344"/>
              <w:jc w:val="both"/>
              <w:rPr>
                <w:color w:val="auto"/>
              </w:rPr>
            </w:pPr>
            <w:r>
              <w:rPr>
                <w:rFonts w:hint="eastAsia"/>
                <w:color w:val="auto"/>
              </w:rPr>
              <w:t>1.定期检查维护安全防护设施，确保安全牢固。</w:t>
            </w:r>
          </w:p>
          <w:p>
            <w:pPr>
              <w:pStyle w:val="344"/>
              <w:jc w:val="both"/>
              <w:rPr>
                <w:color w:val="auto"/>
              </w:rPr>
            </w:pPr>
            <w:r>
              <w:rPr>
                <w:rFonts w:hint="eastAsia"/>
                <w:color w:val="auto"/>
              </w:rPr>
              <w:t>2.加强作业人员安全教育，提高安全意识及技术素质，禁止违章作业。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pStyle w:val="344"/>
              <w:rPr>
                <w:color w:val="auto"/>
              </w:rPr>
            </w:pPr>
            <w:r>
              <w:rPr>
                <w:rFonts w:hint="eastAsia"/>
                <w:color w:val="auto"/>
              </w:rPr>
              <w:t>车辆伤害</w:t>
            </w:r>
          </w:p>
        </w:tc>
        <w:tc>
          <w:tcPr>
            <w:tcW w:w="527" w:type="dxa"/>
            <w:vAlign w:val="center"/>
          </w:tcPr>
          <w:p>
            <w:pPr>
              <w:pStyle w:val="344"/>
              <w:jc w:val="center"/>
              <w:rPr>
                <w:color w:val="auto"/>
              </w:rPr>
            </w:pPr>
            <w:r>
              <w:rPr>
                <w:rFonts w:hint="eastAsia"/>
                <w:color w:val="auto"/>
              </w:rPr>
              <w:t>正常生产</w:t>
            </w:r>
          </w:p>
        </w:tc>
        <w:tc>
          <w:tcPr>
            <w:tcW w:w="2844" w:type="dxa"/>
            <w:vAlign w:val="center"/>
          </w:tcPr>
          <w:p>
            <w:pPr>
              <w:pStyle w:val="344"/>
              <w:jc w:val="both"/>
              <w:rPr>
                <w:color w:val="auto"/>
              </w:rPr>
            </w:pPr>
            <w:r>
              <w:rPr>
                <w:color w:val="auto"/>
              </w:rPr>
              <w:t>1</w:t>
            </w:r>
            <w:r>
              <w:rPr>
                <w:rFonts w:hint="eastAsia"/>
                <w:color w:val="auto"/>
              </w:rPr>
              <w:t>.叉车撞人、撞物；</w:t>
            </w:r>
          </w:p>
          <w:p>
            <w:pPr>
              <w:pStyle w:val="344"/>
              <w:jc w:val="both"/>
              <w:rPr>
                <w:color w:val="auto"/>
              </w:rPr>
            </w:pPr>
            <w:r>
              <w:rPr>
                <w:rFonts w:hint="eastAsia"/>
                <w:color w:val="auto"/>
              </w:rPr>
              <w:t>2.</w:t>
            </w:r>
            <w:r>
              <w:rPr>
                <w:color w:val="auto"/>
              </w:rPr>
              <w:t>卸车时倒车撞人、撞物</w:t>
            </w:r>
            <w:r>
              <w:rPr>
                <w:rFonts w:hint="eastAsia"/>
                <w:color w:val="auto"/>
              </w:rPr>
              <w:t>；</w:t>
            </w:r>
            <w:r>
              <w:rPr>
                <w:color w:val="auto"/>
              </w:rPr>
              <w:t>撞人、撞物；</w:t>
            </w:r>
          </w:p>
          <w:p>
            <w:pPr>
              <w:pStyle w:val="344"/>
              <w:jc w:val="both"/>
              <w:rPr>
                <w:color w:val="auto"/>
              </w:rPr>
            </w:pPr>
            <w:r>
              <w:rPr>
                <w:rFonts w:hint="eastAsia"/>
                <w:color w:val="auto"/>
              </w:rPr>
              <w:t>(1）车况不好，刹车失灵；</w:t>
            </w:r>
          </w:p>
          <w:p>
            <w:pPr>
              <w:pStyle w:val="344"/>
              <w:jc w:val="both"/>
              <w:rPr>
                <w:color w:val="auto"/>
              </w:rPr>
            </w:pPr>
            <w:r>
              <w:rPr>
                <w:rFonts w:hint="eastAsia"/>
                <w:color w:val="auto"/>
              </w:rPr>
              <w:t>(2）路况不好，路面斜度过大；</w:t>
            </w:r>
          </w:p>
          <w:p>
            <w:pPr>
              <w:pStyle w:val="344"/>
              <w:jc w:val="both"/>
              <w:rPr>
                <w:color w:val="auto"/>
              </w:rPr>
            </w:pPr>
            <w:r>
              <w:rPr>
                <w:rFonts w:hint="eastAsia"/>
                <w:color w:val="auto"/>
              </w:rPr>
              <w:t>(3）司机素质不高，违章驾驶；</w:t>
            </w:r>
          </w:p>
          <w:p>
            <w:pPr>
              <w:pStyle w:val="344"/>
              <w:jc w:val="both"/>
              <w:rPr>
                <w:color w:val="auto"/>
              </w:rPr>
            </w:pPr>
            <w:r>
              <w:rPr>
                <w:rFonts w:hint="eastAsia"/>
                <w:color w:val="auto"/>
              </w:rPr>
              <w:t>(4）司机驾驶技能差；</w:t>
            </w:r>
          </w:p>
          <w:p>
            <w:pPr>
              <w:pStyle w:val="344"/>
              <w:jc w:val="both"/>
              <w:rPr>
                <w:color w:val="auto"/>
              </w:rPr>
            </w:pPr>
            <w:r>
              <w:rPr>
                <w:rFonts w:hint="eastAsia"/>
                <w:color w:val="auto"/>
              </w:rPr>
              <w:t>(5）酒后开车；</w:t>
            </w:r>
          </w:p>
          <w:p>
            <w:pPr>
              <w:pStyle w:val="344"/>
              <w:jc w:val="both"/>
              <w:rPr>
                <w:color w:val="auto"/>
              </w:rPr>
            </w:pPr>
            <w:r>
              <w:rPr>
                <w:rFonts w:hint="eastAsia"/>
                <w:color w:val="auto"/>
              </w:rPr>
              <w:t>(6）信号出现问题，造成误会；</w:t>
            </w:r>
          </w:p>
          <w:p>
            <w:pPr>
              <w:pStyle w:val="344"/>
              <w:jc w:val="both"/>
              <w:rPr>
                <w:color w:val="auto"/>
              </w:rPr>
            </w:pPr>
            <w:r>
              <w:rPr>
                <w:rFonts w:hint="eastAsia"/>
                <w:color w:val="auto"/>
              </w:rPr>
              <w:t>(7）受害者精神紧张过度或其它身体原因，对车没有进行有效躲闪；</w:t>
            </w:r>
          </w:p>
          <w:p>
            <w:pPr>
              <w:pStyle w:val="344"/>
              <w:jc w:val="both"/>
              <w:rPr>
                <w:color w:val="auto"/>
              </w:rPr>
            </w:pPr>
            <w:r>
              <w:rPr>
                <w:rFonts w:hint="eastAsia"/>
                <w:color w:val="auto"/>
              </w:rPr>
              <w:t>(8）叉车超速；</w:t>
            </w:r>
          </w:p>
        </w:tc>
        <w:tc>
          <w:tcPr>
            <w:tcW w:w="709" w:type="dxa"/>
            <w:vAlign w:val="center"/>
          </w:tcPr>
          <w:p>
            <w:pPr>
              <w:pStyle w:val="344"/>
              <w:rPr>
                <w:color w:val="auto"/>
              </w:rPr>
            </w:pPr>
            <w:r>
              <w:rPr>
                <w:rFonts w:hint="eastAsia"/>
                <w:color w:val="auto"/>
              </w:rPr>
              <w:t>人员</w:t>
            </w:r>
          </w:p>
          <w:p>
            <w:pPr>
              <w:pStyle w:val="344"/>
              <w:rPr>
                <w:color w:val="auto"/>
              </w:rPr>
            </w:pPr>
            <w:r>
              <w:rPr>
                <w:rFonts w:hint="eastAsia"/>
                <w:color w:val="auto"/>
              </w:rPr>
              <w:t>伤亡</w:t>
            </w:r>
          </w:p>
        </w:tc>
        <w:tc>
          <w:tcPr>
            <w:tcW w:w="709" w:type="dxa"/>
            <w:vAlign w:val="center"/>
          </w:tcPr>
          <w:p>
            <w:pPr>
              <w:pStyle w:val="344"/>
              <w:jc w:val="center"/>
              <w:rPr>
                <w:color w:val="auto"/>
              </w:rPr>
            </w:pPr>
            <w:r>
              <w:rPr>
                <w:rFonts w:hint="eastAsia"/>
                <w:color w:val="auto"/>
              </w:rPr>
              <w:t>Ⅱ</w:t>
            </w:r>
          </w:p>
        </w:tc>
        <w:tc>
          <w:tcPr>
            <w:tcW w:w="3932" w:type="dxa"/>
            <w:vAlign w:val="center"/>
          </w:tcPr>
          <w:p>
            <w:pPr>
              <w:pStyle w:val="344"/>
              <w:jc w:val="both"/>
              <w:rPr>
                <w:color w:val="auto"/>
              </w:rPr>
            </w:pPr>
            <w:r>
              <w:rPr>
                <w:rFonts w:hint="eastAsia"/>
                <w:color w:val="auto"/>
              </w:rPr>
              <w:t>1.加强管理。</w:t>
            </w:r>
          </w:p>
          <w:p>
            <w:pPr>
              <w:pStyle w:val="344"/>
              <w:jc w:val="both"/>
              <w:rPr>
                <w:color w:val="auto"/>
              </w:rPr>
            </w:pPr>
            <w:r>
              <w:rPr>
                <w:rFonts w:hint="eastAsia"/>
                <w:color w:val="auto"/>
              </w:rPr>
              <w:t>2.提高防范意识。</w:t>
            </w:r>
          </w:p>
          <w:p>
            <w:pPr>
              <w:pStyle w:val="344"/>
              <w:jc w:val="both"/>
              <w:rPr>
                <w:color w:val="auto"/>
              </w:rPr>
            </w:pPr>
            <w:r>
              <w:rPr>
                <w:rFonts w:hint="eastAsia"/>
                <w:color w:val="auto"/>
              </w:rPr>
              <w:t>3.厂内设置限载、限速标识。</w:t>
            </w:r>
          </w:p>
          <w:p>
            <w:pPr>
              <w:pStyle w:val="344"/>
              <w:jc w:val="both"/>
              <w:rPr>
                <w:color w:val="auto"/>
              </w:rPr>
            </w:pPr>
            <w:r>
              <w:rPr>
                <w:rFonts w:hint="eastAsia"/>
                <w:color w:val="auto"/>
              </w:rPr>
              <w:t>4</w:t>
            </w:r>
            <w:r>
              <w:rPr>
                <w:color w:val="auto"/>
              </w:rPr>
              <w:t>.</w:t>
            </w:r>
            <w:r>
              <w:rPr>
                <w:rFonts w:hint="eastAsia"/>
                <w:color w:val="auto"/>
              </w:rPr>
              <w:t>规范驾驶叉车。</w:t>
            </w:r>
          </w:p>
        </w:tc>
      </w:tr>
    </w:tbl>
    <w:p>
      <w:pPr>
        <w:pStyle w:val="54"/>
        <w:ind w:firstLine="562"/>
        <w:rPr>
          <w:color w:val="auto"/>
        </w:rPr>
      </w:pPr>
      <w:r>
        <w:rPr>
          <w:rFonts w:hint="eastAsia"/>
          <w:b/>
          <w:color w:val="auto"/>
        </w:rPr>
        <w:t>评价小结：</w:t>
      </w:r>
      <w:r>
        <w:rPr>
          <w:rFonts w:hint="eastAsia"/>
          <w:color w:val="auto"/>
        </w:rPr>
        <w:t>通过采用预先危险分析法对特种设备单元进行评价可知，特种设备单元可能发生的事故有：容器爆炸、起重伤害、高处坠落、车辆伤害等。其中容器爆炸的</w:t>
      </w:r>
      <w:r>
        <w:rPr>
          <w:color w:val="auto"/>
        </w:rPr>
        <w:t>危险等级为</w:t>
      </w:r>
      <w:r>
        <w:rPr>
          <w:rFonts w:hint="eastAsia"/>
          <w:color w:val="auto"/>
        </w:rPr>
        <w:t>Ⅲ</w:t>
      </w:r>
      <w:r>
        <w:rPr>
          <w:color w:val="auto"/>
        </w:rPr>
        <w:t>级</w:t>
      </w:r>
      <w:r>
        <w:rPr>
          <w:rFonts w:hint="eastAsia"/>
          <w:color w:val="auto"/>
        </w:rPr>
        <w:t>，</w:t>
      </w:r>
      <w:r>
        <w:rPr>
          <w:color w:val="auto"/>
        </w:rPr>
        <w:t>危险程度是危险的</w:t>
      </w:r>
      <w:r>
        <w:rPr>
          <w:rFonts w:hint="eastAsia"/>
          <w:color w:val="auto"/>
        </w:rPr>
        <w:t>，</w:t>
      </w:r>
      <w:r>
        <w:rPr>
          <w:color w:val="auto"/>
        </w:rPr>
        <w:t>会造成人员伤亡和系统损坏，要立即采取防范对策措施</w:t>
      </w:r>
      <w:r>
        <w:rPr>
          <w:rFonts w:hint="eastAsia"/>
          <w:color w:val="auto"/>
        </w:rPr>
        <w:t>。起重伤害、高处坠落、车辆伤害的</w:t>
      </w:r>
      <w:r>
        <w:rPr>
          <w:color w:val="auto"/>
        </w:rPr>
        <w:t>危险等级为</w:t>
      </w:r>
      <w:r>
        <w:rPr>
          <w:rFonts w:hint="eastAsia"/>
          <w:color w:val="auto"/>
        </w:rPr>
        <w:t>Ⅱ</w:t>
      </w:r>
      <w:r>
        <w:rPr>
          <w:color w:val="auto"/>
        </w:rPr>
        <w:t>级，危险程度是临界的，处于事故的边缘状态，暂时还不会造成人员伤亡、</w:t>
      </w:r>
      <w:r>
        <w:rPr>
          <w:rFonts w:hint="eastAsia"/>
          <w:color w:val="auto"/>
        </w:rPr>
        <w:t>系统</w:t>
      </w:r>
      <w:r>
        <w:rPr>
          <w:color w:val="auto"/>
        </w:rPr>
        <w:t>损坏降低系统性能，但应予排除或采取控制措施</w:t>
      </w:r>
      <w:r>
        <w:rPr>
          <w:rFonts w:hint="eastAsia"/>
          <w:color w:val="auto"/>
        </w:rPr>
        <w:t>。</w:t>
      </w:r>
    </w:p>
    <w:p>
      <w:pPr>
        <w:pStyle w:val="3"/>
        <w:rPr>
          <w:color w:val="auto"/>
        </w:rPr>
      </w:pPr>
      <w:bookmarkStart w:id="1057" w:name="_Toc31396"/>
      <w:bookmarkStart w:id="1058" w:name="_Toc23155"/>
      <w:bookmarkStart w:id="1059" w:name="_Toc126586708"/>
      <w:bookmarkStart w:id="1060" w:name="_Toc96877145"/>
      <w:bookmarkStart w:id="1061" w:name="_Toc13759"/>
      <w:bookmarkStart w:id="1062" w:name="_Toc8552"/>
      <w:bookmarkStart w:id="1063" w:name="_Toc25312"/>
      <w:bookmarkStart w:id="1064" w:name="_Toc8450"/>
      <w:r>
        <w:rPr>
          <w:color w:val="auto"/>
        </w:rPr>
        <w:t>C</w:t>
      </w:r>
      <w:r>
        <w:rPr>
          <w:rFonts w:hint="eastAsia"/>
          <w:color w:val="auto"/>
        </w:rPr>
        <w:t>.7</w:t>
      </w:r>
      <w:r>
        <w:rPr>
          <w:color w:val="auto"/>
        </w:rPr>
        <w:t xml:space="preserve"> </w:t>
      </w:r>
      <w:r>
        <w:rPr>
          <w:rFonts w:hint="eastAsia"/>
          <w:color w:val="auto"/>
        </w:rPr>
        <w:t>消防单元</w:t>
      </w:r>
      <w:bookmarkEnd w:id="1057"/>
      <w:bookmarkEnd w:id="1058"/>
      <w:bookmarkEnd w:id="1059"/>
      <w:bookmarkEnd w:id="1060"/>
      <w:bookmarkEnd w:id="1061"/>
      <w:bookmarkEnd w:id="1062"/>
      <w:bookmarkEnd w:id="1063"/>
      <w:bookmarkEnd w:id="1064"/>
    </w:p>
    <w:p>
      <w:pPr>
        <w:pStyle w:val="54"/>
        <w:ind w:firstLine="560"/>
        <w:rPr>
          <w:color w:val="auto"/>
        </w:rPr>
      </w:pPr>
      <w:r>
        <w:rPr>
          <w:rFonts w:hint="eastAsia"/>
          <w:color w:val="auto"/>
        </w:rPr>
        <w:t>该项目消防水供应系统利用在建项目消防设施，拟建消防水管网；消防设施基于厂区内同一时间内只发生一次火灾的原则进行设计室外设地上式消火栓，沿道路设置，消火栓间距60~</w:t>
      </w:r>
      <w:r>
        <w:rPr>
          <w:color w:val="auto"/>
        </w:rPr>
        <w:t>120</w:t>
      </w:r>
      <w:r>
        <w:rPr>
          <w:rFonts w:hint="eastAsia"/>
          <w:color w:val="auto"/>
        </w:rPr>
        <w:t>m，厂区管网呈环状布置，干管管径为DN200；厂房内均按规范要求设置室内消火栓；根据火灾类别及配置场所的不同，按照《建筑灭火器配置设计规范》的规定设置灭火器。</w:t>
      </w:r>
    </w:p>
    <w:p>
      <w:pPr>
        <w:pStyle w:val="54"/>
        <w:ind w:firstLine="562"/>
        <w:rPr>
          <w:b/>
          <w:color w:val="auto"/>
        </w:rPr>
      </w:pPr>
      <w:r>
        <w:rPr>
          <w:rFonts w:hint="eastAsia"/>
          <w:b/>
          <w:color w:val="auto"/>
        </w:rPr>
        <w:t>1.安全检查表法分析评价</w:t>
      </w:r>
    </w:p>
    <w:p>
      <w:pPr>
        <w:pStyle w:val="54"/>
        <w:ind w:firstLine="560"/>
        <w:rPr>
          <w:color w:val="auto"/>
        </w:rPr>
      </w:pPr>
      <w:r>
        <w:rPr>
          <w:rFonts w:hint="eastAsia"/>
          <w:color w:val="auto"/>
        </w:rPr>
        <w:t>评价组依据《中华人民共和国消防法》《建筑设计防火规范》《消防给水及消火栓系统技术规范》《精细化工企业工程设计防火标准》对该项目的消防设施等是否符合规范、标准的要求进行评价。检查内容见表</w:t>
      </w:r>
      <w:r>
        <w:rPr>
          <w:color w:val="auto"/>
        </w:rPr>
        <w:t>C.7-1</w:t>
      </w:r>
      <w:r>
        <w:rPr>
          <w:rFonts w:hint="eastAsia"/>
          <w:color w:val="auto"/>
        </w:rPr>
        <w:t>。</w:t>
      </w:r>
    </w:p>
    <w:p>
      <w:pPr>
        <w:pStyle w:val="53"/>
        <w:rPr>
          <w:color w:val="auto"/>
        </w:rPr>
      </w:pPr>
      <w:r>
        <w:rPr>
          <w:rFonts w:hint="eastAsia"/>
          <w:color w:val="auto"/>
        </w:rPr>
        <w:t>表</w:t>
      </w:r>
      <w:r>
        <w:rPr>
          <w:color w:val="auto"/>
        </w:rPr>
        <w:t xml:space="preserve">C.7-1 </w:t>
      </w:r>
      <w:r>
        <w:rPr>
          <w:rFonts w:hint="eastAsia"/>
          <w:color w:val="auto"/>
        </w:rPr>
        <w:t xml:space="preserve"> 消防单元安全检查表</w:t>
      </w: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2"/>
        <w:gridCol w:w="4706"/>
        <w:gridCol w:w="696"/>
        <w:gridCol w:w="1532"/>
        <w:gridCol w:w="2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jc w:val="center"/>
              <w:rPr>
                <w:color w:val="auto"/>
              </w:rPr>
            </w:pPr>
            <w:r>
              <w:rPr>
                <w:color w:val="auto"/>
              </w:rPr>
              <w:t>序号</w:t>
            </w:r>
          </w:p>
        </w:tc>
        <w:tc>
          <w:tcPr>
            <w:tcW w:w="2503" w:type="pct"/>
            <w:vAlign w:val="center"/>
          </w:tcPr>
          <w:p>
            <w:pPr>
              <w:pStyle w:val="344"/>
              <w:jc w:val="center"/>
              <w:rPr>
                <w:color w:val="auto"/>
              </w:rPr>
            </w:pPr>
            <w:r>
              <w:rPr>
                <w:color w:val="auto"/>
              </w:rPr>
              <w:t>检查</w:t>
            </w:r>
            <w:r>
              <w:rPr>
                <w:rFonts w:hint="eastAsia"/>
                <w:color w:val="auto"/>
              </w:rPr>
              <w:t>项目和</w:t>
            </w:r>
            <w:r>
              <w:rPr>
                <w:color w:val="auto"/>
              </w:rPr>
              <w:t>内容</w:t>
            </w:r>
          </w:p>
        </w:tc>
        <w:tc>
          <w:tcPr>
            <w:tcW w:w="370" w:type="pct"/>
            <w:vAlign w:val="center"/>
          </w:tcPr>
          <w:p>
            <w:pPr>
              <w:pStyle w:val="344"/>
              <w:jc w:val="center"/>
              <w:rPr>
                <w:color w:val="auto"/>
              </w:rPr>
            </w:pPr>
            <w:r>
              <w:rPr>
                <w:color w:val="auto"/>
              </w:rPr>
              <w:t>检查结果</w:t>
            </w:r>
          </w:p>
        </w:tc>
        <w:tc>
          <w:tcPr>
            <w:tcW w:w="815" w:type="pct"/>
            <w:vAlign w:val="center"/>
          </w:tcPr>
          <w:p>
            <w:pPr>
              <w:pStyle w:val="344"/>
              <w:jc w:val="center"/>
              <w:rPr>
                <w:color w:val="auto"/>
              </w:rPr>
            </w:pPr>
            <w:r>
              <w:rPr>
                <w:color w:val="auto"/>
              </w:rPr>
              <w:t>检查依据</w:t>
            </w:r>
          </w:p>
        </w:tc>
        <w:tc>
          <w:tcPr>
            <w:tcW w:w="1093" w:type="pct"/>
            <w:vAlign w:val="center"/>
          </w:tcPr>
          <w:p>
            <w:pPr>
              <w:pStyle w:val="344"/>
              <w:jc w:val="center"/>
              <w:rPr>
                <w:color w:val="auto"/>
              </w:rPr>
            </w:pPr>
            <w:r>
              <w:rPr>
                <w:rFonts w:hint="eastAsia"/>
                <w:color w:val="auto"/>
              </w:rPr>
              <w:t>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生产、储存、经营易燃易爆危险品的场所不得与居住场所设置在同一建筑物内，并应当与居住场所保持安全距离。</w:t>
            </w:r>
            <w:r>
              <w:rPr>
                <w:color w:val="auto"/>
              </w:rPr>
              <w:t>生产、储存、经营其他物品的场所与居住场所设置在同一建筑物内的，应当符合国家工程建设消防技术标准。</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《中华人民共和国消防法》第十九条</w:t>
            </w:r>
          </w:p>
        </w:tc>
        <w:tc>
          <w:tcPr>
            <w:tcW w:w="1093" w:type="pct"/>
            <w:vAlign w:val="center"/>
          </w:tcPr>
          <w:p>
            <w:pPr>
              <w:pStyle w:val="344"/>
              <w:jc w:val="both"/>
              <w:rPr>
                <w:color w:val="auto"/>
              </w:rPr>
            </w:pPr>
            <w:r>
              <w:rPr>
                <w:rFonts w:hint="eastAsia"/>
                <w:color w:val="auto"/>
              </w:rPr>
              <w:t>该项目生产区内没有设员工宿舍。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工厂、仓库区内应设置消防车道。</w:t>
            </w:r>
          </w:p>
          <w:p>
            <w:pPr>
              <w:pStyle w:val="344"/>
              <w:jc w:val="both"/>
              <w:rPr>
                <w:color w:val="auto"/>
              </w:rPr>
            </w:pPr>
            <w:r>
              <w:rPr>
                <w:rFonts w:hint="eastAsia"/>
                <w:color w:val="auto"/>
              </w:rPr>
              <w:t>高层厂房，占地面积大于3000m2的甲、乙、丙类厂房和占地面积大于1500m2的乙、丙类仓库，应设置环形消防车道，确有困难时，应沿建筑物的两个长边设置消防车道。</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《建筑设计防火规范》7.1.3</w:t>
            </w:r>
          </w:p>
        </w:tc>
        <w:tc>
          <w:tcPr>
            <w:tcW w:w="1093" w:type="pct"/>
            <w:vAlign w:val="center"/>
          </w:tcPr>
          <w:p>
            <w:pPr>
              <w:pStyle w:val="344"/>
              <w:jc w:val="both"/>
              <w:rPr>
                <w:color w:val="auto"/>
              </w:rPr>
            </w:pPr>
            <w:r>
              <w:rPr>
                <w:rFonts w:hint="eastAsia"/>
                <w:color w:val="auto"/>
              </w:rPr>
              <w:t>该项目厂区拟设置环形消防车道。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可燃材料露天堆场区，液化石油气储罐区，甲、乙、丙类液体储罐区和可燃气体储罐区，应设置消防车道。</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《建筑设计防火规范》7.1.6</w:t>
            </w:r>
          </w:p>
        </w:tc>
        <w:tc>
          <w:tcPr>
            <w:tcW w:w="1093" w:type="pct"/>
            <w:vAlign w:val="center"/>
          </w:tcPr>
          <w:p>
            <w:pPr>
              <w:pStyle w:val="344"/>
              <w:jc w:val="both"/>
              <w:rPr>
                <w:color w:val="auto"/>
              </w:rPr>
            </w:pPr>
            <w:r>
              <w:rPr>
                <w:rFonts w:hint="eastAsia"/>
                <w:color w:val="auto"/>
              </w:rPr>
              <w:t>罐区拟设置消防车道。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消防车道应符合下列要求：</w:t>
            </w:r>
          </w:p>
          <w:p>
            <w:pPr>
              <w:pStyle w:val="344"/>
              <w:jc w:val="both"/>
              <w:rPr>
                <w:color w:val="auto"/>
              </w:rPr>
            </w:pPr>
            <w:r>
              <w:rPr>
                <w:rFonts w:hint="eastAsia"/>
                <w:color w:val="auto"/>
              </w:rPr>
              <w:t>1 车道的净宽度和净空高度均不应小于4.0m；</w:t>
            </w:r>
          </w:p>
          <w:p>
            <w:pPr>
              <w:pStyle w:val="344"/>
              <w:jc w:val="both"/>
              <w:rPr>
                <w:color w:val="auto"/>
              </w:rPr>
            </w:pPr>
            <w:r>
              <w:rPr>
                <w:rFonts w:hint="eastAsia"/>
                <w:color w:val="auto"/>
              </w:rPr>
              <w:t>2 转弯半径应满足消防车转弯的要求；</w:t>
            </w:r>
          </w:p>
          <w:p>
            <w:pPr>
              <w:pStyle w:val="344"/>
              <w:jc w:val="both"/>
              <w:rPr>
                <w:color w:val="auto"/>
              </w:rPr>
            </w:pPr>
            <w:r>
              <w:rPr>
                <w:rFonts w:hint="eastAsia"/>
                <w:color w:val="auto"/>
              </w:rPr>
              <w:t>3 消防车道与建筑之间不应设置妨碍消防车操作的树木、架空管线等障碍物；</w:t>
            </w:r>
          </w:p>
          <w:p>
            <w:pPr>
              <w:pStyle w:val="344"/>
              <w:jc w:val="both"/>
              <w:rPr>
                <w:color w:val="auto"/>
              </w:rPr>
            </w:pPr>
            <w:r>
              <w:rPr>
                <w:rFonts w:hint="eastAsia"/>
                <w:color w:val="auto"/>
              </w:rPr>
              <w:t>4 消防车道靠建筑外墙一侧的边缘距离建筑外墙不宜小于5m；</w:t>
            </w:r>
          </w:p>
          <w:p>
            <w:pPr>
              <w:pStyle w:val="344"/>
              <w:jc w:val="both"/>
              <w:rPr>
                <w:color w:val="auto"/>
              </w:rPr>
            </w:pPr>
            <w:r>
              <w:rPr>
                <w:rFonts w:hint="eastAsia"/>
                <w:color w:val="auto"/>
              </w:rPr>
              <w:t>5 消防车道的坡度不宜大于8%。</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《建筑设计防火规范》7.1.8</w:t>
            </w:r>
          </w:p>
        </w:tc>
        <w:tc>
          <w:tcPr>
            <w:tcW w:w="1093" w:type="pct"/>
            <w:vAlign w:val="center"/>
          </w:tcPr>
          <w:p>
            <w:pPr>
              <w:pStyle w:val="344"/>
              <w:jc w:val="both"/>
              <w:rPr>
                <w:color w:val="auto"/>
              </w:rPr>
            </w:pPr>
            <w:r>
              <w:rPr>
                <w:rFonts w:hint="eastAsia"/>
                <w:color w:val="auto"/>
              </w:rPr>
              <w:t>消防车道净宽度和净空高度均不小于4.0m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环形消防车道至少应有两处与其他车道连通。尽头式消防车道应设置回车道或回车场，回车场的面积不应小于12m×12m；对于高层建筑，不宜小于l5m×l5m；供重型消防车使用时，不宜小于18m×18m。</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《建筑设计防火规范》7.1.9</w:t>
            </w:r>
          </w:p>
        </w:tc>
        <w:tc>
          <w:tcPr>
            <w:tcW w:w="1093" w:type="pct"/>
            <w:vAlign w:val="center"/>
          </w:tcPr>
          <w:p>
            <w:pPr>
              <w:pStyle w:val="344"/>
              <w:jc w:val="both"/>
              <w:rPr>
                <w:color w:val="auto"/>
              </w:rPr>
            </w:pPr>
            <w:r>
              <w:rPr>
                <w:rFonts w:hint="eastAsia"/>
                <w:color w:val="auto"/>
              </w:rPr>
              <w:t>环形消防车道至少有两处与其他车道连通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厂房、仓库、储罐（区）和堆场，应设置灭火器。</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《建筑设计防火规范》8</w:t>
            </w:r>
            <w:r>
              <w:rPr>
                <w:color w:val="auto"/>
              </w:rPr>
              <w:t>.1.10</w:t>
            </w:r>
          </w:p>
        </w:tc>
        <w:tc>
          <w:tcPr>
            <w:tcW w:w="1093" w:type="pct"/>
            <w:vAlign w:val="center"/>
          </w:tcPr>
          <w:p>
            <w:pPr>
              <w:pStyle w:val="344"/>
              <w:jc w:val="both"/>
              <w:rPr>
                <w:color w:val="auto"/>
              </w:rPr>
            </w:pPr>
            <w:r>
              <w:rPr>
                <w:rFonts w:hint="eastAsia"/>
                <w:color w:val="auto"/>
              </w:rPr>
              <w:t>厂房、仓库、储罐（区）均拟设置灭火器。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下列建筑或场所应设置室内消火栓系统：1 建筑占地面积大于 300m</w:t>
            </w:r>
            <w:r>
              <w:rPr>
                <w:rFonts w:hint="eastAsia"/>
                <w:color w:val="auto"/>
                <w:vertAlign w:val="superscript"/>
              </w:rPr>
              <w:t>2</w:t>
            </w:r>
            <w:r>
              <w:rPr>
                <w:rFonts w:hint="eastAsia"/>
                <w:color w:val="auto"/>
              </w:rPr>
              <w:t>的厂房和仓库；</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《建筑设计防火规范》8.2.1</w:t>
            </w:r>
          </w:p>
        </w:tc>
        <w:tc>
          <w:tcPr>
            <w:tcW w:w="1093" w:type="pct"/>
            <w:vAlign w:val="center"/>
          </w:tcPr>
          <w:p>
            <w:pPr>
              <w:pStyle w:val="344"/>
              <w:jc w:val="both"/>
              <w:rPr>
                <w:color w:val="auto"/>
              </w:rPr>
            </w:pPr>
            <w:r>
              <w:rPr>
                <w:rFonts w:hint="eastAsia"/>
                <w:color w:val="auto"/>
              </w:rPr>
              <w:t>拟设置室内消火栓系统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甲、乙、丙类液体储罐的灭火系统设置应符合下列规定：</w:t>
            </w:r>
          </w:p>
          <w:p>
            <w:pPr>
              <w:pStyle w:val="344"/>
              <w:jc w:val="both"/>
              <w:rPr>
                <w:color w:val="auto"/>
              </w:rPr>
            </w:pPr>
            <w:r>
              <w:rPr>
                <w:rFonts w:hint="eastAsia"/>
                <w:color w:val="auto"/>
              </w:rPr>
              <w:t>1</w:t>
            </w:r>
            <w:r>
              <w:rPr>
                <w:color w:val="auto"/>
              </w:rPr>
              <w:t>.</w:t>
            </w:r>
            <w:r>
              <w:rPr>
                <w:rFonts w:hint="eastAsia"/>
                <w:color w:val="auto"/>
              </w:rPr>
              <w:t>单罐容量大于1000m³的固定顶罐应设置固定式泡沫灭火系统；</w:t>
            </w:r>
          </w:p>
          <w:p>
            <w:pPr>
              <w:pStyle w:val="344"/>
              <w:jc w:val="both"/>
              <w:rPr>
                <w:color w:val="auto"/>
              </w:rPr>
            </w:pPr>
            <w:r>
              <w:rPr>
                <w:rFonts w:hint="eastAsia"/>
                <w:color w:val="auto"/>
              </w:rPr>
              <w:t>2</w:t>
            </w:r>
            <w:r>
              <w:rPr>
                <w:color w:val="auto"/>
              </w:rPr>
              <w:t>.</w:t>
            </w:r>
            <w:r>
              <w:rPr>
                <w:rFonts w:hint="eastAsia"/>
                <w:color w:val="auto"/>
              </w:rPr>
              <w:t>罐壁高度小于7m或容量不大于200m³的储罐可采用移动式泡沫灭火系统；</w:t>
            </w:r>
          </w:p>
          <w:p>
            <w:pPr>
              <w:pStyle w:val="344"/>
              <w:jc w:val="both"/>
              <w:rPr>
                <w:color w:val="auto"/>
              </w:rPr>
            </w:pPr>
            <w:r>
              <w:rPr>
                <w:rFonts w:hint="eastAsia"/>
                <w:color w:val="auto"/>
              </w:rPr>
              <w:t>3</w:t>
            </w:r>
            <w:r>
              <w:rPr>
                <w:color w:val="auto"/>
              </w:rPr>
              <w:t>.</w:t>
            </w:r>
            <w:r>
              <w:rPr>
                <w:rFonts w:hint="eastAsia"/>
                <w:color w:val="auto"/>
              </w:rPr>
              <w:t>其他储罐宜采用半固定式泡沫灭火系统；</w:t>
            </w:r>
          </w:p>
          <w:p>
            <w:pPr>
              <w:pStyle w:val="344"/>
              <w:jc w:val="both"/>
              <w:rPr>
                <w:color w:val="auto"/>
              </w:rPr>
            </w:pPr>
            <w:r>
              <w:rPr>
                <w:rFonts w:hint="eastAsia"/>
                <w:color w:val="auto"/>
              </w:rPr>
              <w:t>4</w:t>
            </w:r>
            <w:r>
              <w:rPr>
                <w:color w:val="auto"/>
              </w:rPr>
              <w:t>.</w:t>
            </w:r>
            <w:r>
              <w:rPr>
                <w:rFonts w:hint="eastAsia"/>
                <w:color w:val="auto"/>
              </w:rPr>
              <w:t>石油库、石油化工、石油天然气工程中甲、乙、丙类液体储罐的灭火系统设置，应符合现行国家标准《石油库设计规范》GB 50074等标准的规定。</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《建筑设计防火规范》8.</w:t>
            </w:r>
            <w:r>
              <w:rPr>
                <w:color w:val="auto"/>
              </w:rPr>
              <w:t>3.10</w:t>
            </w:r>
          </w:p>
        </w:tc>
        <w:tc>
          <w:tcPr>
            <w:tcW w:w="1093" w:type="pct"/>
            <w:vAlign w:val="center"/>
          </w:tcPr>
          <w:p>
            <w:pPr>
              <w:pStyle w:val="344"/>
              <w:jc w:val="both"/>
              <w:rPr>
                <w:color w:val="auto"/>
              </w:rPr>
            </w:pPr>
            <w:r>
              <w:rPr>
                <w:rFonts w:hint="eastAsia"/>
                <w:color w:val="auto"/>
              </w:rPr>
              <w:t>拟采用半固定式泡沫灭火系统。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一起火灾灭火所需消防用水的设计流量应由建筑的室外消火栓系统、室内消火栓系统、自动喷水灭火系统、泡沫灭火系统、水喷雾灭火系统、固定消防炮灭火系统、固定冷却水系统等需要同时作用的各种水灭火系统的设计流量组成，并应符合下列规定：</w:t>
            </w:r>
          </w:p>
          <w:p>
            <w:pPr>
              <w:pStyle w:val="344"/>
              <w:jc w:val="both"/>
              <w:rPr>
                <w:color w:val="auto"/>
              </w:rPr>
            </w:pPr>
            <w:r>
              <w:rPr>
                <w:rFonts w:hint="eastAsia"/>
                <w:color w:val="auto"/>
              </w:rPr>
              <w:t>1 应按需要同时作用的各种水灭火系统最大设计流量之和确定；</w:t>
            </w:r>
          </w:p>
          <w:p>
            <w:pPr>
              <w:pStyle w:val="344"/>
              <w:jc w:val="both"/>
              <w:rPr>
                <w:color w:val="auto"/>
              </w:rPr>
            </w:pPr>
            <w:r>
              <w:rPr>
                <w:rFonts w:hint="eastAsia"/>
                <w:color w:val="auto"/>
              </w:rPr>
              <w:t>2 两座及以上建筑合用消防给水系统时，应按其中一座设计流量最大者确定；</w:t>
            </w:r>
          </w:p>
          <w:p>
            <w:pPr>
              <w:pStyle w:val="344"/>
              <w:jc w:val="both"/>
              <w:rPr>
                <w:color w:val="auto"/>
              </w:rPr>
            </w:pPr>
            <w:r>
              <w:rPr>
                <w:rFonts w:hint="eastAsia"/>
                <w:color w:val="auto"/>
              </w:rPr>
              <w:t>3 当消防给水与生活、生产给水合用时，合用系统的给水设计流量应为消防给水设计流量与生活、生产用水最大小时流量之和。计算生活用水最大小时流量时，淋浴用水量宜按15%计，浇洒及洗刷等火灾时能停用的用水量可不计。</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《消防给水及消火栓系统技术规范》3.</w:t>
            </w:r>
            <w:r>
              <w:rPr>
                <w:color w:val="auto"/>
              </w:rPr>
              <w:t>1</w:t>
            </w:r>
            <w:r>
              <w:rPr>
                <w:rFonts w:hint="eastAsia"/>
                <w:color w:val="auto"/>
              </w:rPr>
              <w:t>.2</w:t>
            </w:r>
          </w:p>
        </w:tc>
        <w:tc>
          <w:tcPr>
            <w:tcW w:w="1093" w:type="pct"/>
            <w:vAlign w:val="center"/>
          </w:tcPr>
          <w:p>
            <w:pPr>
              <w:pStyle w:val="344"/>
              <w:jc w:val="both"/>
              <w:rPr>
                <w:color w:val="auto"/>
              </w:rPr>
            </w:pPr>
            <w:r>
              <w:rPr>
                <w:rFonts w:hint="eastAsia"/>
                <w:color w:val="auto"/>
              </w:rPr>
              <w:t>拟设置2台工作流量</w:t>
            </w:r>
            <w:r>
              <w:rPr>
                <w:rFonts w:hint="eastAsia"/>
                <w:color w:val="auto"/>
                <w:lang w:val="en-US" w:eastAsia="zh-CN"/>
              </w:rPr>
              <w:t>50</w:t>
            </w:r>
            <w:r>
              <w:rPr>
                <w:color w:val="auto"/>
              </w:rPr>
              <w:t>L/</w:t>
            </w:r>
            <w:r>
              <w:rPr>
                <w:rFonts w:hint="eastAsia"/>
                <w:color w:val="auto"/>
              </w:rPr>
              <w:t>s消防泵，一用一备。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不同场所消火栓系统和固定冷却水系统的火灾延续时间不应小于表 3.6.2 的规定</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《消防给水及消火栓系统技术规范》3.6.2</w:t>
            </w:r>
          </w:p>
        </w:tc>
        <w:tc>
          <w:tcPr>
            <w:tcW w:w="1093" w:type="pct"/>
            <w:vAlign w:val="center"/>
          </w:tcPr>
          <w:p>
            <w:pPr>
              <w:pStyle w:val="344"/>
              <w:jc w:val="both"/>
              <w:rPr>
                <w:color w:val="auto"/>
              </w:rPr>
            </w:pPr>
            <w:r>
              <w:rPr>
                <w:rFonts w:hint="eastAsia"/>
                <w:color w:val="auto"/>
              </w:rPr>
              <w:t>拟按规范要求设置。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室内消火栓宜按行走距离计算其布置间距，并应符合下列规定：</w:t>
            </w:r>
          </w:p>
          <w:p>
            <w:pPr>
              <w:pStyle w:val="344"/>
              <w:jc w:val="both"/>
              <w:rPr>
                <w:color w:val="auto"/>
              </w:rPr>
            </w:pPr>
            <w:r>
              <w:rPr>
                <w:rFonts w:hint="eastAsia"/>
                <w:color w:val="auto"/>
              </w:rPr>
              <w:t>1 消火栓按 2 支消防水枪的 2 股充实水柱布置的高层建筑、高架仓库、甲乙类工业厂房等场所，消火栓的布置间距不应大于 30m；</w:t>
            </w:r>
          </w:p>
          <w:p>
            <w:pPr>
              <w:pStyle w:val="344"/>
              <w:jc w:val="both"/>
              <w:rPr>
                <w:color w:val="auto"/>
              </w:rPr>
            </w:pPr>
            <w:r>
              <w:rPr>
                <w:rFonts w:hint="eastAsia"/>
                <w:color w:val="auto"/>
              </w:rPr>
              <w:t>2 消火栓按 1 支消防水枪的一股充实水柱布置的的建筑物，消火栓的布置间距不应大于 50m。</w:t>
            </w:r>
          </w:p>
        </w:tc>
        <w:tc>
          <w:tcPr>
            <w:tcW w:w="370" w:type="pct"/>
            <w:vAlign w:val="center"/>
          </w:tcPr>
          <w:p>
            <w:pPr>
              <w:pStyle w:val="344"/>
              <w:rPr>
                <w:color w:val="auto"/>
              </w:rPr>
            </w:pPr>
            <w:r>
              <w:rPr>
                <w:rFonts w:hint="eastAsia"/>
                <w:color w:val="auto"/>
              </w:rPr>
              <w:t>符合要求</w:t>
            </w:r>
          </w:p>
        </w:tc>
        <w:tc>
          <w:tcPr>
            <w:tcW w:w="815" w:type="pct"/>
            <w:vAlign w:val="center"/>
          </w:tcPr>
          <w:p>
            <w:pPr>
              <w:pStyle w:val="344"/>
              <w:rPr>
                <w:color w:val="auto"/>
              </w:rPr>
            </w:pPr>
            <w:r>
              <w:rPr>
                <w:rFonts w:hint="eastAsia"/>
                <w:color w:val="auto"/>
              </w:rPr>
              <w:t>《消防给水及消火栓系统技术规范》7.4.10</w:t>
            </w:r>
          </w:p>
        </w:tc>
        <w:tc>
          <w:tcPr>
            <w:tcW w:w="1093" w:type="pct"/>
            <w:vAlign w:val="center"/>
          </w:tcPr>
          <w:p>
            <w:pPr>
              <w:pStyle w:val="344"/>
              <w:jc w:val="both"/>
              <w:rPr>
                <w:color w:val="auto"/>
              </w:rPr>
            </w:pPr>
            <w:r>
              <w:rPr>
                <w:rFonts w:hint="eastAsia"/>
                <w:color w:val="auto"/>
              </w:rPr>
              <w:t>按间距不大于30m设置室内消火栓。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生产、储存或使用有毒有害等危害土壤和水体生态环境的场所，应设置消防</w:t>
            </w:r>
            <w:r>
              <w:rPr>
                <w:rFonts w:hint="eastAsia"/>
                <w:color w:val="auto"/>
                <w:lang w:eastAsia="zh-CN"/>
              </w:rPr>
              <w:t>事故应急池</w:t>
            </w:r>
            <w:r>
              <w:rPr>
                <w:rFonts w:hint="eastAsia"/>
                <w:color w:val="auto"/>
              </w:rPr>
              <w:t>。</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符合要求</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《消防给水及消火栓系统技术规范》9.1.2</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设置消防</w:t>
            </w:r>
            <w:r>
              <w:rPr>
                <w:rFonts w:hint="eastAsia"/>
                <w:color w:val="auto"/>
                <w:lang w:eastAsia="zh-CN"/>
              </w:rPr>
              <w:t>事故应急池</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有毒有害危险场所应采取消防排水收集、储存措施。</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符合要求</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《消防给水及消火栓系统技术规范》9.3.1</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采取消防排水收集、储存措施。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当市政（园区）供水管网、供水水源不能满足企业消防用水水量、水压和火灾延续时间内消防总用水量要求时，应设消防水池（罐）及消防水泵房。</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符合要求</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《消防给水及消火栓系统技术规范》9.3.</w:t>
            </w:r>
            <w:r>
              <w:rPr>
                <w:color w:val="auto"/>
              </w:rPr>
              <w:t>3</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设置消防水</w:t>
            </w:r>
            <w:r>
              <w:rPr>
                <w:rFonts w:hint="eastAsia"/>
                <w:color w:val="auto"/>
                <w:lang w:val="en-US" w:eastAsia="zh-CN"/>
              </w:rPr>
              <w:t>罐</w:t>
            </w:r>
            <w:r>
              <w:rPr>
                <w:rFonts w:hint="eastAsia"/>
                <w:color w:val="auto"/>
              </w:rPr>
              <w:t>及消防水泵房。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消防用水水源可由市政（工业园区）给水管网以及企业自备水源等供给。</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符合要求</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《精细化工企业工程设计防火标准》9</w:t>
            </w:r>
            <w:r>
              <w:rPr>
                <w:color w:val="auto"/>
              </w:rPr>
              <w:t>.3.1</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采用园区给水管网引至消防水</w:t>
            </w:r>
            <w:r>
              <w:rPr>
                <w:rFonts w:hint="eastAsia"/>
                <w:color w:val="auto"/>
                <w:lang w:val="en-US" w:eastAsia="zh-CN"/>
              </w:rPr>
              <w:t>罐</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消防泵的供电应符合下列规定：</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1 不需设置消防备用泵的消防泵，可按一个动力源设置；</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2 室外消防设计水量大于25L/s的厂房（仓库）、储罐区等应按两个动力源设置；</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3 设有自动喷水灭火系统或固定泡沫灭火系统的消防泵，应按两个独立动力源设置：一级负荷供电或备用泵宜采用柴油机泵。</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符合要求</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《精细化工企业工程设计防火标准》9</w:t>
            </w:r>
            <w:r>
              <w:rPr>
                <w:color w:val="auto"/>
              </w:rPr>
              <w:t>.3.7</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室外消防设计水量大于25L/s，厂区拟设置柴油发电机。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甲、乙、丙类液体储罐（区）采用低倍数泡沫灭火系统应符合现行国家标准《建筑设计防火规范》GB50016、《泡沫灭火系统设计规范》GB50151的规定。储罐区泡沫站设置应符合下列规定：</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1 应布置在防火堤外的非爆炸危险区；</w:t>
            </w:r>
          </w:p>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2 与可燃液体储罐的防火间距不应小于20m。</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设计时应考虑</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《精细化工企业工程设计防火标准》9</w:t>
            </w:r>
            <w:r>
              <w:rPr>
                <w:color w:val="auto"/>
              </w:rPr>
              <w:t>.3.11</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该项目可研中未提及。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火灾发生时应正常工作的房间，消防作业面的最低照度不应低于正常照明的照度，连续供电时间应满足火灾时工作的需要，且不应少于3.0h。</w:t>
            </w:r>
          </w:p>
        </w:tc>
        <w:tc>
          <w:tcPr>
            <w:tcW w:w="370"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设计时应考虑</w:t>
            </w:r>
          </w:p>
        </w:tc>
        <w:tc>
          <w:tcPr>
            <w:tcW w:w="815"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textAlignment w:val="auto"/>
              <w:rPr>
                <w:color w:val="auto"/>
              </w:rPr>
            </w:pPr>
            <w:r>
              <w:rPr>
                <w:rFonts w:hint="eastAsia"/>
                <w:color w:val="auto"/>
              </w:rPr>
              <w:t>《精细化工企业工程设计防火标准》11.3.2</w:t>
            </w:r>
          </w:p>
        </w:tc>
        <w:tc>
          <w:tcPr>
            <w:tcW w:w="1093" w:type="pct"/>
            <w:vAlign w:val="center"/>
          </w:tcPr>
          <w:p>
            <w:pPr>
              <w:pStyle w:val="344"/>
              <w:keepNext w:val="0"/>
              <w:keepLines w:val="0"/>
              <w:pageBreakBefore w:val="0"/>
              <w:widowControl/>
              <w:kinsoku/>
              <w:wordWrap/>
              <w:overflowPunct/>
              <w:topLinePunct w:val="0"/>
              <w:autoSpaceDE/>
              <w:autoSpaceDN/>
              <w:bidi w:val="0"/>
              <w:adjustRightInd/>
              <w:snapToGrid/>
              <w:spacing w:line="340" w:lineRule="exact"/>
              <w:jc w:val="both"/>
              <w:textAlignment w:val="auto"/>
              <w:rPr>
                <w:color w:val="auto"/>
              </w:rPr>
            </w:pPr>
            <w:r>
              <w:rPr>
                <w:rFonts w:hint="eastAsia"/>
                <w:color w:val="auto"/>
              </w:rPr>
              <w:t>该项目可研中未提及。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 w:type="pct"/>
            <w:vAlign w:val="center"/>
          </w:tcPr>
          <w:p>
            <w:pPr>
              <w:pStyle w:val="344"/>
              <w:numPr>
                <w:ilvl w:val="0"/>
                <w:numId w:val="14"/>
              </w:numPr>
              <w:rPr>
                <w:color w:val="auto"/>
              </w:rPr>
            </w:pPr>
          </w:p>
        </w:tc>
        <w:tc>
          <w:tcPr>
            <w:tcW w:w="2503" w:type="pct"/>
            <w:vAlign w:val="center"/>
          </w:tcPr>
          <w:p>
            <w:pPr>
              <w:pStyle w:val="344"/>
              <w:jc w:val="both"/>
              <w:rPr>
                <w:color w:val="auto"/>
              </w:rPr>
            </w:pPr>
            <w:r>
              <w:rPr>
                <w:rFonts w:hint="eastAsia"/>
                <w:color w:val="auto"/>
              </w:rPr>
              <w:t>消防应急照明在主要通道地面上的最低水平照度值不应低于11x，消防应急照明灯具和疏散指示标志灯具的蓄电池连续供电时间不应少于90min。</w:t>
            </w:r>
          </w:p>
        </w:tc>
        <w:tc>
          <w:tcPr>
            <w:tcW w:w="370" w:type="pct"/>
            <w:vAlign w:val="center"/>
          </w:tcPr>
          <w:p>
            <w:pPr>
              <w:pStyle w:val="344"/>
              <w:rPr>
                <w:color w:val="auto"/>
              </w:rPr>
            </w:pPr>
            <w:r>
              <w:rPr>
                <w:rFonts w:hint="eastAsia"/>
                <w:color w:val="auto"/>
              </w:rPr>
              <w:t>设计时应考虑</w:t>
            </w:r>
          </w:p>
        </w:tc>
        <w:tc>
          <w:tcPr>
            <w:tcW w:w="815" w:type="pct"/>
            <w:vAlign w:val="center"/>
          </w:tcPr>
          <w:p>
            <w:pPr>
              <w:pStyle w:val="344"/>
              <w:rPr>
                <w:color w:val="auto"/>
              </w:rPr>
            </w:pPr>
            <w:r>
              <w:rPr>
                <w:rFonts w:hint="eastAsia"/>
                <w:color w:val="auto"/>
              </w:rPr>
              <w:t>《精细化工企业工程设计防火标准》11.3.3</w:t>
            </w:r>
          </w:p>
        </w:tc>
        <w:tc>
          <w:tcPr>
            <w:tcW w:w="1093" w:type="pct"/>
            <w:vAlign w:val="center"/>
          </w:tcPr>
          <w:p>
            <w:pPr>
              <w:pStyle w:val="344"/>
              <w:jc w:val="both"/>
              <w:rPr>
                <w:color w:val="auto"/>
              </w:rPr>
            </w:pPr>
            <w:r>
              <w:rPr>
                <w:rFonts w:hint="eastAsia"/>
                <w:color w:val="auto"/>
              </w:rPr>
              <w:t>该项目可研中未提及。</w:t>
            </w:r>
          </w:p>
        </w:tc>
      </w:tr>
    </w:tbl>
    <w:p>
      <w:pPr>
        <w:pStyle w:val="54"/>
        <w:ind w:firstLine="562"/>
        <w:rPr>
          <w:b/>
          <w:color w:val="auto"/>
        </w:rPr>
      </w:pPr>
      <w:r>
        <w:rPr>
          <w:rFonts w:hint="eastAsia"/>
          <w:b/>
          <w:color w:val="auto"/>
        </w:rPr>
        <w:t>2.评价小结</w:t>
      </w:r>
    </w:p>
    <w:p>
      <w:pPr>
        <w:pStyle w:val="54"/>
        <w:ind w:firstLine="560"/>
        <w:rPr>
          <w:color w:val="auto"/>
        </w:rPr>
      </w:pPr>
      <w:r>
        <w:rPr>
          <w:rFonts w:hint="eastAsia"/>
          <w:color w:val="auto"/>
        </w:rPr>
        <w:t>1）该项目建、构筑物耐火级别达到二级。生产区内没有设员工宿舍。</w:t>
      </w:r>
    </w:p>
    <w:p>
      <w:pPr>
        <w:pStyle w:val="54"/>
        <w:ind w:firstLine="560"/>
        <w:rPr>
          <w:color w:val="auto"/>
        </w:rPr>
      </w:pPr>
      <w:r>
        <w:rPr>
          <w:rFonts w:hint="eastAsia"/>
          <w:color w:val="auto"/>
        </w:rPr>
        <w:t>2）依据《可研》，该项目消防供水系统利用在建项目，拟按规范设置室内、外消火栓系统；拟建消防水泵流量能满足项目消防水需求；拟按规定设置小型灭火器材。</w:t>
      </w:r>
    </w:p>
    <w:p>
      <w:pPr>
        <w:pStyle w:val="54"/>
        <w:ind w:firstLine="560"/>
        <w:rPr>
          <w:color w:val="auto"/>
        </w:rPr>
      </w:pPr>
      <w:r>
        <w:rPr>
          <w:rFonts w:hint="eastAsia"/>
          <w:color w:val="auto"/>
        </w:rPr>
        <w:t>3）依据总平面布置图，设置环形消防车道，消防车道至少有两处与其它车道相连。</w:t>
      </w:r>
    </w:p>
    <w:p>
      <w:pPr>
        <w:pStyle w:val="54"/>
        <w:ind w:firstLine="560"/>
        <w:rPr>
          <w:color w:val="auto"/>
        </w:rPr>
      </w:pPr>
      <w:r>
        <w:rPr>
          <w:rFonts w:hint="eastAsia"/>
          <w:color w:val="auto"/>
        </w:rPr>
        <w:t>4）</w:t>
      </w:r>
      <w:r>
        <w:rPr>
          <w:color w:val="auto"/>
        </w:rPr>
        <w:t>对</w:t>
      </w:r>
      <w:r>
        <w:rPr>
          <w:rFonts w:hint="eastAsia"/>
          <w:color w:val="auto"/>
        </w:rPr>
        <w:t>该</w:t>
      </w:r>
      <w:r>
        <w:rPr>
          <w:color w:val="auto"/>
        </w:rPr>
        <w:t>单元采用检查表法分析，共进行了19项内容的检查分析，</w:t>
      </w:r>
      <w:r>
        <w:rPr>
          <w:rFonts w:hint="eastAsia"/>
          <w:color w:val="auto"/>
        </w:rPr>
        <w:t>其中</w:t>
      </w:r>
      <w:r>
        <w:rPr>
          <w:color w:val="auto"/>
        </w:rPr>
        <w:t>3</w:t>
      </w:r>
      <w:r>
        <w:rPr>
          <w:rFonts w:hint="eastAsia"/>
          <w:color w:val="auto"/>
        </w:rPr>
        <w:t>项在设计时应考虑：</w:t>
      </w:r>
    </w:p>
    <w:p>
      <w:pPr>
        <w:pStyle w:val="54"/>
        <w:ind w:firstLine="560"/>
        <w:rPr>
          <w:color w:val="auto"/>
        </w:rPr>
      </w:pPr>
      <w:r>
        <w:rPr>
          <w:rFonts w:hint="eastAsia"/>
          <w:color w:val="auto"/>
        </w:rPr>
        <w:t>（1）储罐区泡沫站应布置在防火堤外的非爆炸危险区；与可燃液体储罐的防火间距不应小于20m。</w:t>
      </w:r>
    </w:p>
    <w:p>
      <w:pPr>
        <w:pStyle w:val="54"/>
        <w:ind w:firstLine="560"/>
        <w:rPr>
          <w:color w:val="auto"/>
        </w:rPr>
      </w:pPr>
      <w:r>
        <w:rPr>
          <w:rFonts w:hint="eastAsia"/>
          <w:color w:val="auto"/>
        </w:rPr>
        <w:t>（2）火灾发生时应正常工作的房间，消防作业面的最低照度不应低于正常照明的照度，连续供电时间应满足火灾时工作的需要，且不应少于3.0h。</w:t>
      </w:r>
    </w:p>
    <w:p>
      <w:pPr>
        <w:pStyle w:val="54"/>
        <w:spacing w:line="520" w:lineRule="exact"/>
        <w:ind w:firstLine="560"/>
        <w:rPr>
          <w:rFonts w:hint="eastAsia"/>
          <w:color w:val="auto"/>
        </w:rPr>
      </w:pPr>
      <w:r>
        <w:rPr>
          <w:rFonts w:hint="eastAsia"/>
          <w:color w:val="auto"/>
        </w:rPr>
        <w:t>（3）消防应急照明在主要通道地面上的最低水平照度值不应低于11x，消防应急照明灯具和疏散指示标志灯具的蓄电池连续供电时间不应少于90min。</w:t>
      </w:r>
    </w:p>
    <w:p>
      <w:pPr>
        <w:pStyle w:val="54"/>
        <w:spacing w:line="520" w:lineRule="exact"/>
        <w:ind w:firstLine="560"/>
        <w:rPr>
          <w:rFonts w:hint="eastAsia"/>
          <w:color w:val="auto"/>
        </w:rPr>
      </w:pPr>
    </w:p>
    <w:p>
      <w:pPr>
        <w:pStyle w:val="54"/>
        <w:spacing w:line="520" w:lineRule="exact"/>
        <w:ind w:firstLine="560"/>
        <w:rPr>
          <w:rFonts w:hint="eastAsia"/>
          <w:color w:val="auto"/>
        </w:rPr>
      </w:pPr>
    </w:p>
    <w:p>
      <w:pPr>
        <w:pStyle w:val="54"/>
        <w:spacing w:line="520" w:lineRule="exact"/>
        <w:ind w:firstLine="560"/>
        <w:rPr>
          <w:rFonts w:hint="eastAsia"/>
          <w:color w:val="auto"/>
        </w:rPr>
      </w:pPr>
    </w:p>
    <w:p>
      <w:pPr>
        <w:pStyle w:val="54"/>
        <w:spacing w:line="520" w:lineRule="exact"/>
        <w:ind w:firstLine="560"/>
        <w:rPr>
          <w:rFonts w:hint="eastAsia"/>
          <w:color w:val="auto"/>
        </w:rPr>
      </w:pPr>
    </w:p>
    <w:p>
      <w:pPr>
        <w:pStyle w:val="2"/>
        <w:bidi w:val="0"/>
        <w:rPr>
          <w:rFonts w:hint="eastAsia"/>
          <w:color w:val="auto"/>
          <w:lang w:val="en-US" w:eastAsia="zh-CN"/>
        </w:rPr>
      </w:pPr>
      <w:bookmarkStart w:id="1065" w:name="_Toc21527"/>
      <w:bookmarkStart w:id="1066" w:name="_Toc17975"/>
      <w:bookmarkStart w:id="1067" w:name="_Toc12513"/>
      <w:bookmarkStart w:id="1068" w:name="_Toc126586709"/>
      <w:bookmarkStart w:id="1069" w:name="_Toc27329"/>
      <w:bookmarkStart w:id="1070" w:name="_Toc23692"/>
      <w:bookmarkStart w:id="1071" w:name="_Toc4172"/>
      <w:r>
        <w:rPr>
          <w:rFonts w:hint="eastAsia"/>
          <w:color w:val="auto"/>
        </w:rPr>
        <w:t>附录D</w:t>
      </w:r>
      <w:r>
        <w:rPr>
          <w:color w:val="auto"/>
        </w:rPr>
        <w:t xml:space="preserve"> </w:t>
      </w:r>
      <w:r>
        <w:rPr>
          <w:rFonts w:hint="eastAsia"/>
          <w:color w:val="auto"/>
        </w:rPr>
        <w:t>危险化学品危险特性表</w:t>
      </w:r>
      <w:bookmarkEnd w:id="1065"/>
      <w:bookmarkEnd w:id="1066"/>
      <w:bookmarkEnd w:id="1067"/>
      <w:bookmarkEnd w:id="1068"/>
      <w:bookmarkEnd w:id="1069"/>
      <w:bookmarkEnd w:id="1070"/>
      <w:bookmarkEnd w:id="1071"/>
    </w:p>
    <w:p>
      <w:pPr>
        <w:pStyle w:val="53"/>
        <w:bidi w:val="0"/>
        <w:rPr>
          <w:color w:val="auto"/>
        </w:rPr>
      </w:pPr>
      <w:r>
        <w:rPr>
          <w:rFonts w:hint="eastAsia"/>
          <w:color w:val="auto"/>
          <w:lang w:val="en-US" w:eastAsia="zh-CN"/>
        </w:rPr>
        <w:t>1、</w:t>
      </w:r>
      <w:r>
        <w:rPr>
          <w:rFonts w:hint="eastAsia"/>
          <w:color w:val="auto"/>
        </w:rPr>
        <w:t>甲基丙烯酸甲酯（MMA）</w:t>
      </w:r>
    </w:p>
    <w:tbl>
      <w:tblPr>
        <w:tblStyle w:val="42"/>
        <w:tblW w:w="5108" w:type="pct"/>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2344"/>
        <w:gridCol w:w="1195"/>
        <w:gridCol w:w="2036"/>
        <w:gridCol w:w="1462"/>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blHeader/>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品</w:t>
            </w:r>
            <w:r>
              <w:rPr>
                <w:b/>
                <w:bCs/>
                <w:color w:val="auto"/>
                <w:sz w:val="21"/>
                <w:szCs w:val="21"/>
              </w:rPr>
              <w:t xml:space="preserve">    </w:t>
            </w:r>
            <w:r>
              <w:rPr>
                <w:rFonts w:hAnsi="宋体"/>
                <w:b/>
                <w:bCs/>
                <w:color w:val="auto"/>
                <w:sz w:val="21"/>
                <w:szCs w:val="21"/>
              </w:rPr>
              <w:t>名</w:t>
            </w:r>
          </w:p>
        </w:tc>
        <w:tc>
          <w:tcPr>
            <w:tcW w:w="1220"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color w:val="auto"/>
                <w:sz w:val="21"/>
                <w:szCs w:val="21"/>
              </w:rPr>
            </w:pPr>
            <w:r>
              <w:rPr>
                <w:rFonts w:hint="eastAsia"/>
                <w:color w:val="auto"/>
                <w:sz w:val="21"/>
                <w:szCs w:val="21"/>
              </w:rPr>
              <w:t>甲基丙烯酸甲酯</w:t>
            </w:r>
          </w:p>
        </w:tc>
        <w:tc>
          <w:tcPr>
            <w:tcW w:w="622"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别</w:t>
            </w:r>
            <w:r>
              <w:rPr>
                <w:b/>
                <w:bCs/>
                <w:color w:val="auto"/>
                <w:sz w:val="21"/>
                <w:szCs w:val="21"/>
              </w:rPr>
              <w:t xml:space="preserve">   </w:t>
            </w:r>
            <w:r>
              <w:rPr>
                <w:rFonts w:hAnsi="宋体"/>
                <w:b/>
                <w:bCs/>
                <w:color w:val="auto"/>
                <w:sz w:val="21"/>
                <w:szCs w:val="21"/>
              </w:rPr>
              <w:t>名</w:t>
            </w:r>
          </w:p>
        </w:tc>
        <w:tc>
          <w:tcPr>
            <w:tcW w:w="1060"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color w:val="auto"/>
                <w:sz w:val="21"/>
                <w:szCs w:val="21"/>
              </w:rPr>
            </w:pPr>
            <w:r>
              <w:rPr>
                <w:rFonts w:hint="eastAsia" w:hAnsi="宋体"/>
                <w:color w:val="auto"/>
                <w:sz w:val="21"/>
                <w:szCs w:val="21"/>
              </w:rPr>
              <w:t>α-甲基丙烯酸甲酯</w:t>
            </w:r>
          </w:p>
        </w:tc>
        <w:tc>
          <w:tcPr>
            <w:tcW w:w="76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宋体"/>
                <w:b/>
                <w:bCs/>
                <w:color w:val="auto"/>
                <w:sz w:val="21"/>
                <w:szCs w:val="21"/>
                <w:lang w:val="en-US" w:eastAsia="zh-CN"/>
              </w:rPr>
            </w:pPr>
            <w:r>
              <w:rPr>
                <w:rFonts w:hint="eastAsia" w:hAnsi="宋体"/>
                <w:b/>
                <w:bCs/>
                <w:color w:val="auto"/>
                <w:sz w:val="21"/>
                <w:szCs w:val="21"/>
              </w:rPr>
              <w:t>CAS</w:t>
            </w:r>
            <w:r>
              <w:rPr>
                <w:rFonts w:hAnsi="宋体"/>
                <w:b/>
                <w:bCs/>
                <w:color w:val="auto"/>
                <w:sz w:val="21"/>
                <w:szCs w:val="21"/>
              </w:rPr>
              <w:t>号</w:t>
            </w:r>
          </w:p>
        </w:tc>
        <w:tc>
          <w:tcPr>
            <w:tcW w:w="657"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color w:val="auto"/>
                <w:sz w:val="21"/>
                <w:szCs w:val="21"/>
              </w:rPr>
            </w:pPr>
            <w:r>
              <w:rPr>
                <w:color w:val="auto"/>
                <w:kern w:val="0"/>
                <w:sz w:val="21"/>
                <w:szCs w:val="21"/>
              </w:rPr>
              <w:t>80-62-6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blHeader/>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英文名称</w:t>
            </w:r>
          </w:p>
        </w:tc>
        <w:tc>
          <w:tcPr>
            <w:tcW w:w="1220"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color w:val="auto"/>
                <w:sz w:val="21"/>
                <w:szCs w:val="21"/>
              </w:rPr>
            </w:pPr>
            <w:r>
              <w:rPr>
                <w:color w:val="auto"/>
                <w:sz w:val="21"/>
                <w:szCs w:val="21"/>
              </w:rPr>
              <w:t xml:space="preserve">methyl methacrylate </w:t>
            </w:r>
          </w:p>
        </w:tc>
        <w:tc>
          <w:tcPr>
            <w:tcW w:w="622"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b/>
                <w:bCs/>
                <w:color w:val="auto"/>
                <w:sz w:val="21"/>
                <w:szCs w:val="21"/>
              </w:rPr>
              <w:t>分 子 式</w:t>
            </w:r>
          </w:p>
        </w:tc>
        <w:tc>
          <w:tcPr>
            <w:tcW w:w="1060"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color w:val="auto"/>
                <w:sz w:val="21"/>
                <w:szCs w:val="21"/>
              </w:rPr>
            </w:pPr>
            <w:r>
              <w:rPr>
                <w:color w:val="auto"/>
                <w:sz w:val="21"/>
                <w:szCs w:val="21"/>
              </w:rPr>
              <w:t>C</w:t>
            </w:r>
            <w:r>
              <w:rPr>
                <w:rFonts w:hint="eastAsia"/>
                <w:color w:val="auto"/>
                <w:sz w:val="21"/>
                <w:szCs w:val="21"/>
                <w:vertAlign w:val="subscript"/>
              </w:rPr>
              <w:t>3</w:t>
            </w:r>
            <w:r>
              <w:rPr>
                <w:color w:val="auto"/>
                <w:sz w:val="21"/>
                <w:szCs w:val="21"/>
              </w:rPr>
              <w:t>H</w:t>
            </w:r>
            <w:r>
              <w:rPr>
                <w:rFonts w:hint="eastAsia"/>
                <w:color w:val="auto"/>
                <w:sz w:val="21"/>
                <w:szCs w:val="21"/>
                <w:vertAlign w:val="subscript"/>
              </w:rPr>
              <w:t>8</w:t>
            </w:r>
            <w:r>
              <w:rPr>
                <w:rFonts w:hint="eastAsia"/>
                <w:color w:val="auto"/>
                <w:sz w:val="21"/>
                <w:szCs w:val="21"/>
              </w:rPr>
              <w:t>O</w:t>
            </w:r>
            <w:r>
              <w:rPr>
                <w:rFonts w:hint="eastAsia"/>
                <w:color w:val="auto"/>
                <w:sz w:val="21"/>
                <w:szCs w:val="21"/>
                <w:vertAlign w:val="subscript"/>
              </w:rPr>
              <w:t>2</w:t>
            </w:r>
          </w:p>
        </w:tc>
        <w:tc>
          <w:tcPr>
            <w:tcW w:w="761" w:type="pct"/>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211" w:firstLineChars="100"/>
              <w:rPr>
                <w:b/>
                <w:bCs/>
                <w:color w:val="auto"/>
                <w:sz w:val="21"/>
                <w:szCs w:val="21"/>
              </w:rPr>
            </w:pPr>
            <w:r>
              <w:rPr>
                <w:rFonts w:hAnsi="宋体"/>
                <w:b/>
                <w:bCs/>
                <w:color w:val="auto"/>
                <w:sz w:val="21"/>
                <w:szCs w:val="21"/>
              </w:rPr>
              <w:t>分</w:t>
            </w:r>
            <w:r>
              <w:rPr>
                <w:b/>
                <w:bCs/>
                <w:color w:val="auto"/>
                <w:sz w:val="21"/>
                <w:szCs w:val="21"/>
              </w:rPr>
              <w:t xml:space="preserve"> </w:t>
            </w:r>
            <w:r>
              <w:rPr>
                <w:rFonts w:hAnsi="宋体"/>
                <w:b/>
                <w:bCs/>
                <w:color w:val="auto"/>
                <w:sz w:val="21"/>
                <w:szCs w:val="21"/>
              </w:rPr>
              <w:t>子</w:t>
            </w:r>
            <w:r>
              <w:rPr>
                <w:b/>
                <w:bCs/>
                <w:color w:val="auto"/>
                <w:sz w:val="21"/>
                <w:szCs w:val="21"/>
              </w:rPr>
              <w:t xml:space="preserve"> </w:t>
            </w:r>
            <w:r>
              <w:rPr>
                <w:rFonts w:hAnsi="宋体"/>
                <w:b/>
                <w:bCs/>
                <w:color w:val="auto"/>
                <w:sz w:val="21"/>
                <w:szCs w:val="21"/>
              </w:rPr>
              <w:t>量</w:t>
            </w:r>
          </w:p>
        </w:tc>
        <w:tc>
          <w:tcPr>
            <w:tcW w:w="6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jc w:val="center"/>
              <w:textAlignment w:val="auto"/>
              <w:rPr>
                <w:color w:val="auto"/>
                <w:sz w:val="21"/>
                <w:szCs w:val="21"/>
              </w:rPr>
            </w:pPr>
            <w:r>
              <w:rPr>
                <w:rFonts w:hint="eastAsia"/>
                <w:color w:val="auto"/>
                <w:sz w:val="21"/>
                <w:szCs w:val="21"/>
              </w:rPr>
              <w:t>100.12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7"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理</w:t>
            </w:r>
          </w:p>
          <w:p>
            <w:pPr>
              <w:spacing w:line="240" w:lineRule="auto"/>
              <w:jc w:val="center"/>
              <w:rPr>
                <w:b/>
                <w:bCs/>
                <w:color w:val="auto"/>
                <w:sz w:val="21"/>
                <w:szCs w:val="21"/>
              </w:rPr>
            </w:pPr>
            <w:r>
              <w:rPr>
                <w:rFonts w:hAnsi="宋体"/>
                <w:b/>
                <w:bCs/>
                <w:color w:val="auto"/>
                <w:sz w:val="21"/>
                <w:szCs w:val="21"/>
              </w:rPr>
              <w:t>化</w:t>
            </w:r>
          </w:p>
          <w:p>
            <w:pPr>
              <w:spacing w:line="240" w:lineRule="auto"/>
              <w:jc w:val="center"/>
              <w:rPr>
                <w:b/>
                <w:bCs/>
                <w:color w:val="auto"/>
                <w:sz w:val="21"/>
                <w:szCs w:val="21"/>
              </w:rPr>
            </w:pPr>
            <w:r>
              <w:rPr>
                <w:rFonts w:hAnsi="宋体"/>
                <w:b/>
                <w:bCs/>
                <w:color w:val="auto"/>
                <w:sz w:val="21"/>
                <w:szCs w:val="21"/>
              </w:rPr>
              <w:t>性</w:t>
            </w:r>
          </w:p>
          <w:p>
            <w:pPr>
              <w:spacing w:line="240" w:lineRule="auto"/>
              <w:jc w:val="center"/>
              <w:rPr>
                <w:b/>
                <w:bCs/>
                <w:color w:val="auto"/>
                <w:sz w:val="21"/>
                <w:szCs w:val="21"/>
              </w:rPr>
            </w:pPr>
            <w:r>
              <w:rPr>
                <w:rFonts w:hAnsi="宋体"/>
                <w:b/>
                <w:bCs/>
                <w:color w:val="auto"/>
                <w:sz w:val="21"/>
                <w:szCs w:val="21"/>
              </w:rPr>
              <w:t>质</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color w:val="auto"/>
                <w:sz w:val="21"/>
                <w:szCs w:val="21"/>
              </w:rPr>
            </w:pPr>
            <w:r>
              <w:rPr>
                <w:rFonts w:hAnsi="宋体"/>
                <w:color w:val="auto"/>
                <w:sz w:val="21"/>
                <w:szCs w:val="21"/>
              </w:rPr>
              <w:t>外观与性状：</w:t>
            </w:r>
            <w:r>
              <w:rPr>
                <w:rFonts w:hint="eastAsia" w:hAnsi="宋体"/>
                <w:color w:val="auto"/>
                <w:sz w:val="21"/>
                <w:szCs w:val="21"/>
              </w:rPr>
              <w:t>无色易挥发液体， 并具有强辣味。</w:t>
            </w:r>
            <w:r>
              <w:rPr>
                <w:color w:val="auto"/>
                <w:sz w:val="21"/>
                <w:szCs w:val="21"/>
              </w:rPr>
              <w:t xml:space="preserve"> </w:t>
            </w:r>
          </w:p>
          <w:p>
            <w:pPr>
              <w:spacing w:line="240" w:lineRule="auto"/>
              <w:jc w:val="left"/>
              <w:rPr>
                <w:rFonts w:hint="eastAsia" w:hAnsi="宋体"/>
                <w:color w:val="auto"/>
                <w:sz w:val="21"/>
                <w:szCs w:val="21"/>
              </w:rPr>
            </w:pPr>
            <w:r>
              <w:rPr>
                <w:rFonts w:hAnsi="宋体"/>
                <w:color w:val="auto"/>
                <w:sz w:val="21"/>
                <w:szCs w:val="21"/>
              </w:rPr>
              <w:t>主要用途：</w:t>
            </w:r>
            <w:r>
              <w:rPr>
                <w:rFonts w:hint="eastAsia" w:hAnsi="宋体"/>
                <w:color w:val="auto"/>
                <w:sz w:val="21"/>
                <w:szCs w:val="21"/>
              </w:rPr>
              <w:t>用作有机玻璃的单体， 也用于制造其他树脂、塑料、涂料、粘合剂、润滑剂、木材和软木的浸润剂、纸张上光剂等。</w:t>
            </w:r>
          </w:p>
          <w:p>
            <w:pPr>
              <w:spacing w:line="240" w:lineRule="auto"/>
              <w:jc w:val="left"/>
              <w:rPr>
                <w:color w:val="auto"/>
                <w:sz w:val="21"/>
                <w:szCs w:val="21"/>
              </w:rPr>
            </w:pPr>
            <w:r>
              <w:rPr>
                <w:color w:val="auto"/>
                <w:sz w:val="21"/>
                <w:szCs w:val="21"/>
              </w:rPr>
              <w:t>熔点（</w:t>
            </w:r>
            <w:r>
              <w:rPr>
                <w:rFonts w:hAnsi="宋体"/>
                <w:color w:val="auto"/>
                <w:sz w:val="21"/>
                <w:szCs w:val="21"/>
              </w:rPr>
              <w:t>℃</w:t>
            </w:r>
            <w:r>
              <w:rPr>
                <w:color w:val="auto"/>
                <w:sz w:val="21"/>
                <w:szCs w:val="21"/>
              </w:rPr>
              <w:t>）：-</w:t>
            </w:r>
            <w:r>
              <w:rPr>
                <w:rFonts w:hint="eastAsia"/>
                <w:color w:val="auto"/>
                <w:sz w:val="21"/>
                <w:szCs w:val="21"/>
                <w:lang w:val="en-US" w:eastAsia="zh-CN"/>
              </w:rPr>
              <w:t>48</w:t>
            </w:r>
            <w:r>
              <w:rPr>
                <w:color w:val="auto"/>
                <w:sz w:val="21"/>
                <w:szCs w:val="21"/>
              </w:rPr>
              <w:t xml:space="preserve">        沸点（</w:t>
            </w:r>
            <w:r>
              <w:rPr>
                <w:rFonts w:hAnsi="宋体"/>
                <w:color w:val="auto"/>
                <w:sz w:val="21"/>
                <w:szCs w:val="21"/>
              </w:rPr>
              <w:t>℃</w:t>
            </w:r>
            <w:r>
              <w:rPr>
                <w:color w:val="auto"/>
                <w:sz w:val="21"/>
                <w:szCs w:val="21"/>
              </w:rPr>
              <w:t>）：</w:t>
            </w:r>
            <w:r>
              <w:rPr>
                <w:rFonts w:hint="eastAsia"/>
                <w:color w:val="auto"/>
                <w:sz w:val="21"/>
                <w:szCs w:val="21"/>
              </w:rPr>
              <w:t>101</w:t>
            </w:r>
            <w:r>
              <w:rPr>
                <w:color w:val="auto"/>
                <w:sz w:val="21"/>
                <w:szCs w:val="21"/>
              </w:rPr>
              <w:t xml:space="preserve">       相对密度（水=1）：</w:t>
            </w:r>
            <w:r>
              <w:rPr>
                <w:rFonts w:hint="eastAsia"/>
                <w:color w:val="auto"/>
                <w:sz w:val="21"/>
                <w:szCs w:val="21"/>
              </w:rPr>
              <w:t>0.94</w:t>
            </w:r>
            <w:r>
              <w:rPr>
                <w:color w:val="auto"/>
                <w:sz w:val="21"/>
                <w:szCs w:val="21"/>
              </w:rPr>
              <w:t>（20</w:t>
            </w:r>
            <w:r>
              <w:rPr>
                <w:rFonts w:hAnsi="宋体"/>
                <w:color w:val="auto"/>
                <w:sz w:val="21"/>
                <w:szCs w:val="21"/>
              </w:rPr>
              <w:t>℃</w:t>
            </w:r>
            <w:r>
              <w:rPr>
                <w:color w:val="auto"/>
                <w:sz w:val="21"/>
                <w:szCs w:val="21"/>
              </w:rPr>
              <w:t>）</w:t>
            </w:r>
          </w:p>
          <w:p>
            <w:pPr>
              <w:spacing w:line="240" w:lineRule="auto"/>
              <w:rPr>
                <w:color w:val="auto"/>
                <w:sz w:val="21"/>
                <w:szCs w:val="21"/>
              </w:rPr>
            </w:pPr>
            <w:r>
              <w:rPr>
                <w:color w:val="auto"/>
                <w:sz w:val="21"/>
                <w:szCs w:val="21"/>
              </w:rPr>
              <w:t>相对蒸气密度（空气=1）：</w:t>
            </w:r>
            <w:r>
              <w:rPr>
                <w:rFonts w:hint="eastAsia"/>
                <w:color w:val="auto"/>
                <w:sz w:val="21"/>
                <w:szCs w:val="21"/>
                <w:lang w:val="en-US" w:eastAsia="zh-CN"/>
              </w:rPr>
              <w:t>3.45</w:t>
            </w:r>
            <w:r>
              <w:rPr>
                <w:color w:val="auto"/>
                <w:sz w:val="21"/>
                <w:szCs w:val="21"/>
              </w:rPr>
              <w:t xml:space="preserve">           饱和蒸气压（kPA）：</w:t>
            </w:r>
            <w:r>
              <w:rPr>
                <w:rFonts w:hint="eastAsia"/>
                <w:color w:val="auto"/>
                <w:sz w:val="21"/>
                <w:szCs w:val="21"/>
              </w:rPr>
              <w:t>5.33</w:t>
            </w:r>
            <w:r>
              <w:rPr>
                <w:color w:val="auto"/>
                <w:sz w:val="21"/>
                <w:szCs w:val="21"/>
              </w:rPr>
              <w:t>（2</w:t>
            </w:r>
            <w:r>
              <w:rPr>
                <w:rFonts w:hint="eastAsia"/>
                <w:color w:val="auto"/>
                <w:sz w:val="21"/>
                <w:szCs w:val="21"/>
              </w:rPr>
              <w:t>5</w:t>
            </w:r>
            <w:r>
              <w:rPr>
                <w:rFonts w:hAnsi="宋体"/>
                <w:color w:val="auto"/>
                <w:sz w:val="21"/>
                <w:szCs w:val="21"/>
              </w:rPr>
              <w:t>℃</w:t>
            </w:r>
            <w:r>
              <w:rPr>
                <w:color w:val="auto"/>
                <w:sz w:val="21"/>
                <w:szCs w:val="21"/>
              </w:rPr>
              <w:t>）</w:t>
            </w:r>
          </w:p>
          <w:p>
            <w:pPr>
              <w:spacing w:line="240" w:lineRule="auto"/>
              <w:jc w:val="left"/>
              <w:rPr>
                <w:color w:val="auto"/>
                <w:sz w:val="21"/>
                <w:szCs w:val="21"/>
              </w:rPr>
            </w:pPr>
            <w:r>
              <w:rPr>
                <w:rFonts w:hint="eastAsia"/>
                <w:color w:val="auto"/>
                <w:sz w:val="21"/>
                <w:szCs w:val="21"/>
              </w:rPr>
              <w:t>溶解性：微溶于水，溶于乙醇等。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9"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燃</w:t>
            </w:r>
          </w:p>
          <w:p>
            <w:pPr>
              <w:spacing w:line="240" w:lineRule="auto"/>
              <w:jc w:val="center"/>
              <w:rPr>
                <w:b/>
                <w:bCs/>
                <w:color w:val="auto"/>
                <w:sz w:val="21"/>
                <w:szCs w:val="21"/>
              </w:rPr>
            </w:pPr>
            <w:r>
              <w:rPr>
                <w:rFonts w:hAnsi="宋体"/>
                <w:b/>
                <w:bCs/>
                <w:color w:val="auto"/>
                <w:sz w:val="21"/>
                <w:szCs w:val="21"/>
              </w:rPr>
              <w:t>烧</w:t>
            </w:r>
          </w:p>
          <w:p>
            <w:pPr>
              <w:spacing w:line="240" w:lineRule="auto"/>
              <w:jc w:val="center"/>
              <w:rPr>
                <w:b/>
                <w:bCs/>
                <w:color w:val="auto"/>
                <w:sz w:val="21"/>
                <w:szCs w:val="21"/>
              </w:rPr>
            </w:pPr>
            <w:r>
              <w:rPr>
                <w:rFonts w:hAnsi="宋体"/>
                <w:b/>
                <w:bCs/>
                <w:color w:val="auto"/>
                <w:sz w:val="21"/>
                <w:szCs w:val="21"/>
              </w:rPr>
              <w:t>爆</w:t>
            </w:r>
          </w:p>
          <w:p>
            <w:pPr>
              <w:spacing w:line="240" w:lineRule="auto"/>
              <w:jc w:val="center"/>
              <w:rPr>
                <w:b/>
                <w:bCs/>
                <w:color w:val="auto"/>
                <w:sz w:val="21"/>
                <w:szCs w:val="21"/>
              </w:rPr>
            </w:pPr>
            <w:r>
              <w:rPr>
                <w:rFonts w:hAnsi="宋体"/>
                <w:b/>
                <w:bCs/>
                <w:color w:val="auto"/>
                <w:sz w:val="21"/>
                <w:szCs w:val="21"/>
              </w:rPr>
              <w:t>炸</w:t>
            </w:r>
          </w:p>
          <w:p>
            <w:pPr>
              <w:spacing w:line="240" w:lineRule="auto"/>
              <w:jc w:val="center"/>
              <w:rPr>
                <w:b/>
                <w:bCs/>
                <w:color w:val="auto"/>
                <w:sz w:val="21"/>
                <w:szCs w:val="21"/>
              </w:rPr>
            </w:pPr>
            <w:r>
              <w:rPr>
                <w:rFonts w:hAnsi="宋体"/>
                <w:b/>
                <w:bCs/>
                <w:color w:val="auto"/>
                <w:sz w:val="21"/>
                <w:szCs w:val="21"/>
              </w:rPr>
              <w:t>危</w:t>
            </w:r>
          </w:p>
          <w:p>
            <w:pPr>
              <w:spacing w:line="240" w:lineRule="auto"/>
              <w:jc w:val="center"/>
              <w:rPr>
                <w:b/>
                <w:bCs/>
                <w:color w:val="auto"/>
                <w:sz w:val="21"/>
                <w:szCs w:val="21"/>
              </w:rPr>
            </w:pPr>
            <w:r>
              <w:rPr>
                <w:rFonts w:hAnsi="宋体"/>
                <w:b/>
                <w:bCs/>
                <w:color w:val="auto"/>
                <w:sz w:val="21"/>
                <w:szCs w:val="21"/>
              </w:rPr>
              <w:t>险</w:t>
            </w:r>
          </w:p>
          <w:p>
            <w:pPr>
              <w:spacing w:line="240" w:lineRule="auto"/>
              <w:jc w:val="center"/>
              <w:rPr>
                <w:b/>
                <w:bCs/>
                <w:color w:val="auto"/>
                <w:sz w:val="21"/>
                <w:szCs w:val="21"/>
              </w:rPr>
            </w:pPr>
            <w:r>
              <w:rPr>
                <w:rFonts w:hAnsi="宋体"/>
                <w:b/>
                <w:bCs/>
                <w:color w:val="auto"/>
                <w:sz w:val="21"/>
                <w:szCs w:val="21"/>
              </w:rPr>
              <w:t>性</w:t>
            </w:r>
          </w:p>
        </w:tc>
        <w:tc>
          <w:tcPr>
            <w:tcW w:w="4323" w:type="pct"/>
            <w:gridSpan w:val="5"/>
            <w:tcBorders>
              <w:top w:val="single" w:color="auto" w:sz="4" w:space="0"/>
              <w:left w:val="single" w:color="auto" w:sz="4" w:space="0"/>
              <w:bottom w:val="single" w:color="auto" w:sz="4" w:space="0"/>
              <w:right w:val="single" w:color="auto" w:sz="4" w:space="0"/>
            </w:tcBorders>
            <w:noWrap w:val="0"/>
            <w:vAlign w:val="top"/>
          </w:tcPr>
          <w:p>
            <w:pPr>
              <w:spacing w:line="240" w:lineRule="auto"/>
              <w:rPr>
                <w:color w:val="auto"/>
                <w:sz w:val="21"/>
                <w:szCs w:val="21"/>
              </w:rPr>
            </w:pPr>
            <w:r>
              <w:rPr>
                <w:rFonts w:hAnsi="宋体"/>
                <w:color w:val="auto"/>
                <w:sz w:val="21"/>
                <w:szCs w:val="21"/>
              </w:rPr>
              <w:t>燃烧性：</w:t>
            </w:r>
            <w:r>
              <w:rPr>
                <w:rFonts w:hint="eastAsia" w:hAnsi="宋体"/>
                <w:color w:val="auto"/>
                <w:sz w:val="21"/>
                <w:szCs w:val="21"/>
              </w:rPr>
              <w:t>易</w:t>
            </w:r>
            <w:r>
              <w:rPr>
                <w:rFonts w:hAnsi="宋体"/>
                <w:color w:val="auto"/>
                <w:sz w:val="21"/>
                <w:szCs w:val="21"/>
              </w:rPr>
              <w:t>燃</w:t>
            </w:r>
            <w:r>
              <w:rPr>
                <w:color w:val="auto"/>
                <w:sz w:val="21"/>
                <w:szCs w:val="21"/>
              </w:rPr>
              <w:t xml:space="preserve">     </w:t>
            </w:r>
            <w:r>
              <w:rPr>
                <w:rFonts w:hint="eastAsia"/>
                <w:color w:val="auto"/>
                <w:sz w:val="21"/>
                <w:szCs w:val="21"/>
              </w:rPr>
              <w:t xml:space="preserve">       </w:t>
            </w:r>
            <w:r>
              <w:rPr>
                <w:rFonts w:hAnsi="宋体"/>
                <w:color w:val="auto"/>
                <w:sz w:val="21"/>
                <w:szCs w:val="21"/>
              </w:rPr>
              <w:t>建规火险等级：</w:t>
            </w:r>
            <w:r>
              <w:rPr>
                <w:rFonts w:hint="eastAsia" w:hAnsi="宋体"/>
                <w:color w:val="auto"/>
                <w:sz w:val="21"/>
                <w:szCs w:val="21"/>
              </w:rPr>
              <w:t>甲</w:t>
            </w:r>
          </w:p>
          <w:p>
            <w:pPr>
              <w:spacing w:line="240" w:lineRule="auto"/>
              <w:rPr>
                <w:color w:val="auto"/>
                <w:sz w:val="21"/>
                <w:szCs w:val="21"/>
              </w:rPr>
            </w:pPr>
            <w:r>
              <w:rPr>
                <w:rFonts w:hAnsi="宋体"/>
                <w:color w:val="auto"/>
                <w:sz w:val="21"/>
                <w:szCs w:val="21"/>
              </w:rPr>
              <w:t>闪点</w:t>
            </w:r>
            <w:r>
              <w:rPr>
                <w:rFonts w:hint="eastAsia" w:hAnsi="宋体"/>
                <w:color w:val="auto"/>
                <w:sz w:val="21"/>
                <w:szCs w:val="21"/>
              </w:rPr>
              <w:t>（</w:t>
            </w:r>
            <w:r>
              <w:rPr>
                <w:rFonts w:hAnsi="宋体"/>
                <w:color w:val="auto"/>
                <w:sz w:val="21"/>
                <w:szCs w:val="21"/>
              </w:rPr>
              <w:t>℃</w:t>
            </w:r>
            <w:r>
              <w:rPr>
                <w:rFonts w:hint="eastAsia" w:hAnsi="宋体"/>
                <w:color w:val="auto"/>
                <w:sz w:val="21"/>
                <w:szCs w:val="21"/>
              </w:rPr>
              <w:t>）</w:t>
            </w:r>
            <w:r>
              <w:rPr>
                <w:rFonts w:hAnsi="宋体"/>
                <w:color w:val="auto"/>
                <w:sz w:val="21"/>
                <w:szCs w:val="21"/>
              </w:rPr>
              <w:t>：</w:t>
            </w:r>
            <w:r>
              <w:rPr>
                <w:rFonts w:hint="eastAsia"/>
                <w:color w:val="auto"/>
                <w:sz w:val="21"/>
                <w:szCs w:val="21"/>
              </w:rPr>
              <w:t>10</w:t>
            </w:r>
            <w:r>
              <w:rPr>
                <w:color w:val="auto"/>
                <w:sz w:val="21"/>
                <w:szCs w:val="21"/>
              </w:rPr>
              <w:t xml:space="preserve">     </w:t>
            </w:r>
            <w:r>
              <w:rPr>
                <w:rFonts w:hint="eastAsia"/>
                <w:color w:val="auto"/>
                <w:sz w:val="21"/>
                <w:szCs w:val="21"/>
              </w:rPr>
              <w:t xml:space="preserve">   </w:t>
            </w:r>
            <w:r>
              <w:rPr>
                <w:rFonts w:hAnsi="宋体"/>
                <w:color w:val="auto"/>
                <w:sz w:val="21"/>
                <w:szCs w:val="21"/>
              </w:rPr>
              <w:t>爆炸性（</w:t>
            </w:r>
            <w:r>
              <w:rPr>
                <w:i/>
                <w:iCs/>
                <w:color w:val="auto"/>
                <w:sz w:val="21"/>
                <w:szCs w:val="21"/>
              </w:rPr>
              <w:t>V</w:t>
            </w:r>
            <w:r>
              <w:rPr>
                <w:color w:val="auto"/>
                <w:sz w:val="21"/>
                <w:szCs w:val="21"/>
              </w:rPr>
              <w:t>%</w:t>
            </w:r>
            <w:r>
              <w:rPr>
                <w:rFonts w:hAnsi="宋体"/>
                <w:color w:val="auto"/>
                <w:sz w:val="21"/>
                <w:szCs w:val="21"/>
              </w:rPr>
              <w:t>）：</w:t>
            </w:r>
            <w:r>
              <w:rPr>
                <w:rFonts w:hint="eastAsia" w:hAnsi="宋体"/>
                <w:color w:val="auto"/>
                <w:sz w:val="21"/>
                <w:szCs w:val="21"/>
              </w:rPr>
              <w:t xml:space="preserve">2.12/12.5 </w:t>
            </w:r>
            <w:r>
              <w:rPr>
                <w:color w:val="auto"/>
                <w:sz w:val="21"/>
                <w:szCs w:val="21"/>
              </w:rPr>
              <w:t xml:space="preserve">    </w:t>
            </w:r>
            <w:r>
              <w:rPr>
                <w:rFonts w:hint="eastAsia" w:hAnsi="宋体"/>
                <w:color w:val="auto"/>
                <w:sz w:val="21"/>
                <w:szCs w:val="21"/>
                <w:lang w:val="en-US" w:eastAsia="zh-CN"/>
              </w:rPr>
              <w:t>自</w:t>
            </w:r>
            <w:r>
              <w:rPr>
                <w:rFonts w:hAnsi="宋体"/>
                <w:color w:val="auto"/>
                <w:sz w:val="21"/>
                <w:szCs w:val="21"/>
              </w:rPr>
              <w:t>燃温度</w:t>
            </w:r>
            <w:r>
              <w:rPr>
                <w:rFonts w:hint="eastAsia" w:hAnsi="宋体"/>
                <w:color w:val="auto"/>
                <w:sz w:val="21"/>
                <w:szCs w:val="21"/>
              </w:rPr>
              <w:t>（</w:t>
            </w:r>
            <w:r>
              <w:rPr>
                <w:rFonts w:hAnsi="宋体"/>
                <w:color w:val="auto"/>
                <w:sz w:val="21"/>
                <w:szCs w:val="21"/>
              </w:rPr>
              <w:t>℃</w:t>
            </w:r>
            <w:r>
              <w:rPr>
                <w:rFonts w:hint="eastAsia" w:hAnsi="宋体"/>
                <w:color w:val="auto"/>
                <w:sz w:val="21"/>
                <w:szCs w:val="21"/>
              </w:rPr>
              <w:t>）</w:t>
            </w:r>
            <w:r>
              <w:rPr>
                <w:rFonts w:hAnsi="宋体"/>
                <w:color w:val="auto"/>
                <w:sz w:val="21"/>
                <w:szCs w:val="21"/>
              </w:rPr>
              <w:t>：</w:t>
            </w:r>
            <w:r>
              <w:rPr>
                <w:rFonts w:hint="eastAsia" w:hAnsi="宋体"/>
                <w:color w:val="auto"/>
                <w:sz w:val="21"/>
                <w:szCs w:val="21"/>
              </w:rPr>
              <w:t>435</w:t>
            </w:r>
          </w:p>
          <w:p>
            <w:pPr>
              <w:spacing w:line="240" w:lineRule="auto"/>
              <w:rPr>
                <w:rFonts w:hint="eastAsia" w:hAnsi="宋体"/>
                <w:color w:val="auto"/>
                <w:sz w:val="21"/>
                <w:szCs w:val="21"/>
              </w:rPr>
            </w:pPr>
            <w:r>
              <w:rPr>
                <w:rFonts w:hAnsi="宋体"/>
                <w:color w:val="auto"/>
                <w:sz w:val="21"/>
                <w:szCs w:val="21"/>
              </w:rPr>
              <w:t>危险特性：</w:t>
            </w:r>
            <w:r>
              <w:rPr>
                <w:rFonts w:hint="eastAsia" w:hAnsi="宋体"/>
                <w:color w:val="auto"/>
                <w:sz w:val="21"/>
                <w:szCs w:val="21"/>
              </w:rPr>
              <w:t>易燃，其蒸气与空气可形成爆炸性混合物，遇明火、高热能引起燃烧爆炸。在受热、光和紫外线的作用下易发生聚合，粘度逐渐增加，严重时整个容器的单体可全部发生不规则爆发性聚合。其蒸气比空气重，能在较低处扩散到相当远的地方，遇火源会着火回燃。</w:t>
            </w:r>
          </w:p>
          <w:p>
            <w:pPr>
              <w:spacing w:line="240" w:lineRule="auto"/>
              <w:rPr>
                <w:color w:val="auto"/>
                <w:sz w:val="21"/>
                <w:szCs w:val="21"/>
              </w:rPr>
            </w:pPr>
            <w:r>
              <w:rPr>
                <w:rFonts w:hint="eastAsia" w:hAnsi="宋体"/>
                <w:color w:val="auto"/>
                <w:sz w:val="21"/>
                <w:szCs w:val="21"/>
              </w:rPr>
              <w:t>燃烧（分解）产物：</w:t>
            </w:r>
            <w:r>
              <w:rPr>
                <w:rFonts w:hint="eastAsia"/>
                <w:color w:val="auto"/>
                <w:sz w:val="21"/>
                <w:szCs w:val="21"/>
              </w:rPr>
              <w:t>一氧化碳、二氧化碳。</w:t>
            </w:r>
          </w:p>
          <w:p>
            <w:pPr>
              <w:spacing w:line="240" w:lineRule="auto"/>
              <w:rPr>
                <w:rFonts w:hint="eastAsia"/>
                <w:color w:val="auto"/>
                <w:sz w:val="21"/>
                <w:szCs w:val="21"/>
              </w:rPr>
            </w:pPr>
            <w:r>
              <w:rPr>
                <w:rFonts w:hAnsi="宋体"/>
                <w:color w:val="auto"/>
                <w:sz w:val="21"/>
                <w:szCs w:val="21"/>
              </w:rPr>
              <w:t>稳定性：</w:t>
            </w:r>
            <w:r>
              <w:rPr>
                <w:rFonts w:hint="eastAsia" w:hAnsi="宋体"/>
                <w:color w:val="auto"/>
                <w:sz w:val="21"/>
                <w:szCs w:val="21"/>
              </w:rPr>
              <w:t xml:space="preserve"> </w:t>
            </w:r>
            <w:r>
              <w:rPr>
                <w:color w:val="auto"/>
                <w:sz w:val="21"/>
                <w:szCs w:val="21"/>
              </w:rPr>
              <w:t xml:space="preserve">     </w:t>
            </w:r>
            <w:r>
              <w:rPr>
                <w:rFonts w:hint="eastAsia"/>
                <w:color w:val="auto"/>
                <w:sz w:val="21"/>
                <w:szCs w:val="21"/>
              </w:rPr>
              <w:t xml:space="preserve">     </w:t>
            </w:r>
            <w:r>
              <w:rPr>
                <w:rFonts w:hAnsi="宋体"/>
                <w:color w:val="auto"/>
                <w:sz w:val="21"/>
                <w:szCs w:val="21"/>
              </w:rPr>
              <w:t>避免接触的条件：</w:t>
            </w:r>
            <w:r>
              <w:rPr>
                <w:rFonts w:hint="eastAsia" w:hAnsi="宋体"/>
                <w:color w:val="auto"/>
                <w:sz w:val="21"/>
                <w:szCs w:val="21"/>
              </w:rPr>
              <w:t xml:space="preserve">光照易聚合                 </w:t>
            </w:r>
            <w:r>
              <w:rPr>
                <w:color w:val="auto"/>
                <w:sz w:val="21"/>
                <w:szCs w:val="21"/>
              </w:rPr>
              <w:t xml:space="preserve"> </w:t>
            </w:r>
            <w:r>
              <w:rPr>
                <w:rFonts w:hint="eastAsia"/>
                <w:color w:val="auto"/>
                <w:sz w:val="21"/>
                <w:szCs w:val="21"/>
              </w:rPr>
              <w:t xml:space="preserve"> </w:t>
            </w:r>
            <w:r>
              <w:rPr>
                <w:rFonts w:hAnsi="宋体"/>
                <w:color w:val="auto"/>
                <w:sz w:val="21"/>
                <w:szCs w:val="21"/>
              </w:rPr>
              <w:t>聚合危害：</w:t>
            </w:r>
            <w:r>
              <w:rPr>
                <w:rFonts w:hint="eastAsia" w:hAnsi="宋体"/>
                <w:color w:val="auto"/>
                <w:sz w:val="21"/>
                <w:szCs w:val="21"/>
              </w:rPr>
              <w:t xml:space="preserve"> </w:t>
            </w:r>
            <w:r>
              <w:rPr>
                <w:color w:val="auto"/>
                <w:sz w:val="21"/>
                <w:szCs w:val="21"/>
              </w:rPr>
              <w:t xml:space="preserve"> </w:t>
            </w:r>
          </w:p>
          <w:p>
            <w:pPr>
              <w:spacing w:line="240" w:lineRule="auto"/>
              <w:rPr>
                <w:color w:val="auto"/>
                <w:sz w:val="21"/>
                <w:szCs w:val="21"/>
              </w:rPr>
            </w:pPr>
            <w:r>
              <w:rPr>
                <w:rFonts w:hAnsi="宋体"/>
                <w:color w:val="auto"/>
                <w:sz w:val="21"/>
                <w:szCs w:val="21"/>
              </w:rPr>
              <w:t>禁忌物：</w:t>
            </w:r>
            <w:r>
              <w:rPr>
                <w:rFonts w:hint="eastAsia" w:hAnsi="宋体"/>
                <w:color w:val="auto"/>
                <w:sz w:val="21"/>
                <w:szCs w:val="21"/>
              </w:rPr>
              <w:t>氧化剂、酸类、碱类、还原剂、过氧化物、胺类、卤素。</w:t>
            </w:r>
            <w:r>
              <w:rPr>
                <w:rFonts w:hAnsi="宋体"/>
                <w:color w:val="auto"/>
                <w:sz w:val="21"/>
                <w:szCs w:val="21"/>
              </w:rPr>
              <w:t>灭火方法：</w:t>
            </w:r>
            <w:r>
              <w:rPr>
                <w:rFonts w:hint="eastAsia" w:hAnsi="宋体"/>
                <w:color w:val="auto"/>
                <w:sz w:val="21"/>
                <w:szCs w:val="21"/>
              </w:rPr>
              <w:t>消防人员必须穿全身防火防毒服，在上风向灭火。遇大火，消防人员须在有防护掩蔽处操作。灭火剂：抗溶性泡沫、二氧化碳、干粉、砂土。用水灭火无效，但可用水保持火场中容器冷却。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hAnsi="宋体"/>
                <w:b/>
                <w:bCs/>
                <w:color w:val="auto"/>
                <w:sz w:val="21"/>
                <w:szCs w:val="21"/>
              </w:rPr>
            </w:pPr>
            <w:r>
              <w:rPr>
                <w:rFonts w:hAnsi="宋体"/>
                <w:b/>
                <w:bCs/>
                <w:color w:val="auto"/>
                <w:sz w:val="21"/>
                <w:szCs w:val="21"/>
              </w:rPr>
              <w:t>包</w:t>
            </w:r>
          </w:p>
          <w:p>
            <w:pPr>
              <w:spacing w:line="240" w:lineRule="auto"/>
              <w:jc w:val="center"/>
              <w:rPr>
                <w:b/>
                <w:bCs/>
                <w:color w:val="auto"/>
                <w:sz w:val="21"/>
                <w:szCs w:val="21"/>
              </w:rPr>
            </w:pPr>
            <w:r>
              <w:rPr>
                <w:rFonts w:hAnsi="宋体"/>
                <w:b/>
                <w:bCs/>
                <w:color w:val="auto"/>
                <w:sz w:val="21"/>
                <w:szCs w:val="21"/>
              </w:rPr>
              <w:t>装</w:t>
            </w:r>
          </w:p>
          <w:p>
            <w:pPr>
              <w:spacing w:line="240" w:lineRule="auto"/>
              <w:jc w:val="center"/>
              <w:rPr>
                <w:b/>
                <w:bCs/>
                <w:color w:val="auto"/>
                <w:sz w:val="21"/>
                <w:szCs w:val="21"/>
              </w:rPr>
            </w:pPr>
            <w:r>
              <w:rPr>
                <w:rFonts w:hAnsi="宋体"/>
                <w:b/>
                <w:bCs/>
                <w:color w:val="auto"/>
                <w:sz w:val="21"/>
                <w:szCs w:val="21"/>
              </w:rPr>
              <w:t>与</w:t>
            </w:r>
          </w:p>
          <w:p>
            <w:pPr>
              <w:spacing w:line="240" w:lineRule="auto"/>
              <w:jc w:val="center"/>
              <w:rPr>
                <w:rFonts w:hint="eastAsia" w:hAnsi="宋体"/>
                <w:b/>
                <w:bCs/>
                <w:color w:val="auto"/>
                <w:sz w:val="21"/>
                <w:szCs w:val="21"/>
              </w:rPr>
            </w:pPr>
            <w:r>
              <w:rPr>
                <w:rFonts w:hAnsi="宋体"/>
                <w:b/>
                <w:bCs/>
                <w:color w:val="auto"/>
                <w:sz w:val="21"/>
                <w:szCs w:val="21"/>
              </w:rPr>
              <w:t>储</w:t>
            </w:r>
          </w:p>
          <w:p>
            <w:pPr>
              <w:spacing w:line="240" w:lineRule="auto"/>
              <w:jc w:val="center"/>
              <w:rPr>
                <w:b/>
                <w:bCs/>
                <w:color w:val="auto"/>
                <w:sz w:val="21"/>
                <w:szCs w:val="21"/>
              </w:rPr>
            </w:pPr>
            <w:r>
              <w:rPr>
                <w:rFonts w:hAnsi="宋体"/>
                <w:b/>
                <w:bCs/>
                <w:color w:val="auto"/>
                <w:sz w:val="21"/>
                <w:szCs w:val="21"/>
              </w:rPr>
              <w:t>运</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color w:val="auto"/>
                <w:sz w:val="21"/>
                <w:szCs w:val="21"/>
              </w:rPr>
            </w:pPr>
            <w:r>
              <w:rPr>
                <w:rFonts w:hAnsi="宋体"/>
                <w:color w:val="auto"/>
                <w:sz w:val="21"/>
                <w:szCs w:val="21"/>
              </w:rPr>
              <w:t>危险性类别：第</w:t>
            </w:r>
            <w:r>
              <w:rPr>
                <w:rFonts w:hint="eastAsia"/>
                <w:color w:val="auto"/>
                <w:sz w:val="21"/>
                <w:szCs w:val="21"/>
              </w:rPr>
              <w:t>3.2</w:t>
            </w:r>
            <w:r>
              <w:rPr>
                <w:rFonts w:hAnsi="宋体"/>
                <w:color w:val="auto"/>
                <w:sz w:val="21"/>
                <w:szCs w:val="21"/>
              </w:rPr>
              <w:t>类</w:t>
            </w:r>
            <w:r>
              <w:rPr>
                <w:color w:val="auto"/>
                <w:sz w:val="21"/>
                <w:szCs w:val="21"/>
              </w:rPr>
              <w:t xml:space="preserve">  </w:t>
            </w:r>
            <w:r>
              <w:rPr>
                <w:rFonts w:hAnsi="宋体"/>
                <w:color w:val="auto"/>
                <w:sz w:val="21"/>
                <w:szCs w:val="21"/>
              </w:rPr>
              <w:t>危险货物包装标志：</w:t>
            </w:r>
            <w:r>
              <w:rPr>
                <w:rFonts w:hint="eastAsia" w:hAnsi="宋体"/>
                <w:color w:val="auto"/>
                <w:sz w:val="21"/>
                <w:szCs w:val="21"/>
              </w:rPr>
              <w:t xml:space="preserve">       包装类别：</w:t>
            </w:r>
            <w:r>
              <w:rPr>
                <w:rFonts w:hint="eastAsia" w:ascii="宋体" w:hAnsi="宋体"/>
                <w:color w:val="auto"/>
                <w:sz w:val="21"/>
                <w:szCs w:val="21"/>
              </w:rPr>
              <w:t>Ⅱ</w:t>
            </w:r>
            <w:r>
              <w:rPr>
                <w:color w:val="auto"/>
                <w:sz w:val="21"/>
                <w:szCs w:val="21"/>
              </w:rPr>
              <w:t xml:space="preserve"> </w:t>
            </w:r>
          </w:p>
          <w:p>
            <w:pPr>
              <w:spacing w:line="240" w:lineRule="auto"/>
              <w:rPr>
                <w:color w:val="auto"/>
                <w:sz w:val="21"/>
                <w:szCs w:val="21"/>
              </w:rPr>
            </w:pPr>
            <w:r>
              <w:rPr>
                <w:rFonts w:hAnsi="宋体"/>
                <w:color w:val="auto"/>
                <w:sz w:val="21"/>
                <w:szCs w:val="21"/>
              </w:rPr>
              <w:t>储运注意事项：</w:t>
            </w:r>
            <w:r>
              <w:rPr>
                <w:rFonts w:hint="eastAsia" w:hAnsi="宋体"/>
                <w:color w:val="auto"/>
                <w:sz w:val="21"/>
                <w:szCs w:val="21"/>
              </w:rPr>
              <w:t>通常商品加有阻聚剂。储存于阴凉、通风的库房。远离火种、热源。避光保存。库温不宜超过30℃。包装要求密封，不可与空气接触。应与氧化剂、酸类、碱类、卤素等分开存放，切忌混储。不宜大量储存或久存。采用防爆型照明、通风设施。禁止使用易产生火花的机械设备和工具。储区应备有泄漏应急处理设备和合适的收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毒性</w:t>
            </w:r>
          </w:p>
          <w:p>
            <w:pPr>
              <w:spacing w:line="240" w:lineRule="auto"/>
              <w:jc w:val="center"/>
              <w:rPr>
                <w:b/>
                <w:bCs/>
                <w:color w:val="auto"/>
                <w:sz w:val="21"/>
                <w:szCs w:val="21"/>
              </w:rPr>
            </w:pPr>
            <w:r>
              <w:rPr>
                <w:rFonts w:hAnsi="宋体"/>
                <w:b/>
                <w:bCs/>
                <w:color w:val="auto"/>
                <w:sz w:val="21"/>
                <w:szCs w:val="21"/>
              </w:rPr>
              <w:t>及</w:t>
            </w:r>
          </w:p>
          <w:p>
            <w:pPr>
              <w:spacing w:line="240" w:lineRule="auto"/>
              <w:jc w:val="center"/>
              <w:rPr>
                <w:b/>
                <w:bCs/>
                <w:color w:val="auto"/>
                <w:sz w:val="21"/>
                <w:szCs w:val="21"/>
              </w:rPr>
            </w:pPr>
            <w:r>
              <w:rPr>
                <w:rFonts w:hAnsi="宋体"/>
                <w:b/>
                <w:bCs/>
                <w:color w:val="auto"/>
                <w:sz w:val="21"/>
                <w:szCs w:val="21"/>
              </w:rPr>
              <w:t>健康</w:t>
            </w:r>
          </w:p>
          <w:p>
            <w:pPr>
              <w:spacing w:line="240" w:lineRule="auto"/>
              <w:jc w:val="center"/>
              <w:rPr>
                <w:b/>
                <w:bCs/>
                <w:color w:val="auto"/>
                <w:sz w:val="21"/>
                <w:szCs w:val="21"/>
              </w:rPr>
            </w:pPr>
            <w:r>
              <w:rPr>
                <w:rFonts w:hAnsi="宋体"/>
                <w:b/>
                <w:bCs/>
                <w:color w:val="auto"/>
                <w:sz w:val="21"/>
                <w:szCs w:val="21"/>
              </w:rPr>
              <w:t>危害</w:t>
            </w:r>
          </w:p>
          <w:p>
            <w:pPr>
              <w:spacing w:line="240" w:lineRule="auto"/>
              <w:jc w:val="center"/>
              <w:rPr>
                <w:b/>
                <w:bCs/>
                <w:color w:val="auto"/>
                <w:sz w:val="21"/>
                <w:szCs w:val="21"/>
              </w:rPr>
            </w:pPr>
            <w:r>
              <w:rPr>
                <w:rFonts w:hAnsi="宋体"/>
                <w:b/>
                <w:bCs/>
                <w:color w:val="auto"/>
                <w:sz w:val="21"/>
                <w:szCs w:val="21"/>
              </w:rPr>
              <w:t>性</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hint="eastAsia" w:hAnsi="宋体"/>
                <w:color w:val="auto"/>
                <w:sz w:val="21"/>
                <w:szCs w:val="21"/>
              </w:rPr>
            </w:pPr>
            <w:r>
              <w:rPr>
                <w:rFonts w:hAnsi="宋体"/>
                <w:color w:val="auto"/>
                <w:sz w:val="21"/>
                <w:szCs w:val="21"/>
              </w:rPr>
              <w:t>接触限值：中国</w:t>
            </w:r>
            <w:r>
              <w:rPr>
                <w:color w:val="auto"/>
                <w:sz w:val="21"/>
                <w:szCs w:val="21"/>
              </w:rPr>
              <w:t>MAC</w:t>
            </w:r>
            <w:r>
              <w:rPr>
                <w:rFonts w:hint="eastAsia"/>
                <w:color w:val="auto"/>
                <w:sz w:val="21"/>
                <w:szCs w:val="21"/>
              </w:rPr>
              <w:t>（mg/m</w:t>
            </w:r>
            <w:r>
              <w:rPr>
                <w:rFonts w:hint="eastAsia"/>
                <w:color w:val="auto"/>
                <w:sz w:val="21"/>
                <w:szCs w:val="21"/>
                <w:vertAlign w:val="superscript"/>
              </w:rPr>
              <w:t>3</w:t>
            </w:r>
            <w:r>
              <w:rPr>
                <w:rFonts w:hint="eastAsia"/>
                <w:color w:val="auto"/>
                <w:sz w:val="21"/>
                <w:szCs w:val="21"/>
              </w:rPr>
              <w:t>）</w:t>
            </w:r>
            <w:r>
              <w:rPr>
                <w:rFonts w:hAnsi="宋体"/>
                <w:color w:val="auto"/>
                <w:sz w:val="21"/>
                <w:szCs w:val="21"/>
              </w:rPr>
              <w:t>：</w:t>
            </w:r>
            <w:r>
              <w:rPr>
                <w:rFonts w:hint="eastAsia" w:hAnsi="宋体"/>
                <w:color w:val="auto"/>
                <w:sz w:val="21"/>
                <w:szCs w:val="21"/>
              </w:rPr>
              <w:t xml:space="preserve">30   </w:t>
            </w:r>
            <w:r>
              <w:rPr>
                <w:color w:val="auto"/>
                <w:sz w:val="21"/>
                <w:szCs w:val="21"/>
              </w:rPr>
              <w:t xml:space="preserve">    </w:t>
            </w:r>
            <w:r>
              <w:rPr>
                <w:rFonts w:hint="eastAsia" w:hAnsi="宋体"/>
                <w:color w:val="auto"/>
                <w:sz w:val="21"/>
                <w:szCs w:val="21"/>
              </w:rPr>
              <w:t>前苏联</w:t>
            </w:r>
            <w:r>
              <w:rPr>
                <w:color w:val="auto"/>
                <w:sz w:val="21"/>
                <w:szCs w:val="21"/>
              </w:rPr>
              <w:t>MAC</w:t>
            </w:r>
            <w:r>
              <w:rPr>
                <w:rFonts w:hint="eastAsia"/>
                <w:color w:val="auto"/>
                <w:sz w:val="21"/>
                <w:szCs w:val="21"/>
              </w:rPr>
              <w:t>（mg/m</w:t>
            </w:r>
            <w:r>
              <w:rPr>
                <w:rFonts w:hint="eastAsia"/>
                <w:color w:val="auto"/>
                <w:sz w:val="21"/>
                <w:szCs w:val="21"/>
                <w:vertAlign w:val="superscript"/>
              </w:rPr>
              <w:t>3</w:t>
            </w:r>
            <w:r>
              <w:rPr>
                <w:rFonts w:hint="eastAsia"/>
                <w:color w:val="auto"/>
                <w:sz w:val="21"/>
                <w:szCs w:val="21"/>
              </w:rPr>
              <w:t>）</w:t>
            </w:r>
            <w:r>
              <w:rPr>
                <w:rFonts w:hAnsi="宋体"/>
                <w:color w:val="auto"/>
                <w:sz w:val="21"/>
                <w:szCs w:val="21"/>
              </w:rPr>
              <w:t>：</w:t>
            </w:r>
            <w:r>
              <w:rPr>
                <w:rFonts w:hint="eastAsia" w:hAnsi="宋体"/>
                <w:color w:val="auto"/>
                <w:sz w:val="21"/>
                <w:szCs w:val="21"/>
              </w:rPr>
              <w:t xml:space="preserve">10   </w:t>
            </w:r>
          </w:p>
          <w:p>
            <w:pPr>
              <w:spacing w:line="240" w:lineRule="auto"/>
              <w:rPr>
                <w:rFonts w:hint="eastAsia" w:hAnsi="宋体"/>
                <w:color w:val="auto"/>
                <w:sz w:val="21"/>
                <w:szCs w:val="21"/>
              </w:rPr>
            </w:pPr>
            <w:r>
              <w:rPr>
                <w:rFonts w:hint="eastAsia" w:hAnsi="宋体"/>
                <w:color w:val="auto"/>
                <w:sz w:val="21"/>
                <w:szCs w:val="21"/>
              </w:rPr>
              <w:t>急性毒性：LD50：7872mg/kg(大鼠经口)</w:t>
            </w:r>
          </w:p>
          <w:p>
            <w:pPr>
              <w:spacing w:line="240" w:lineRule="auto"/>
              <w:ind w:firstLine="1050" w:firstLineChars="500"/>
              <w:rPr>
                <w:color w:val="auto"/>
                <w:sz w:val="21"/>
                <w:szCs w:val="21"/>
              </w:rPr>
            </w:pPr>
            <w:r>
              <w:rPr>
                <w:rFonts w:hint="eastAsia" w:hAnsi="宋体"/>
                <w:color w:val="auto"/>
                <w:sz w:val="21"/>
                <w:szCs w:val="21"/>
              </w:rPr>
              <w:t>LC50：12412mg/m</w:t>
            </w:r>
            <w:r>
              <w:rPr>
                <w:rFonts w:hint="eastAsia" w:hAnsi="宋体"/>
                <w:color w:val="auto"/>
                <w:sz w:val="21"/>
                <w:szCs w:val="21"/>
                <w:vertAlign w:val="superscript"/>
              </w:rPr>
              <w:t>3</w:t>
            </w:r>
          </w:p>
          <w:p>
            <w:pPr>
              <w:spacing w:line="240" w:lineRule="auto"/>
              <w:rPr>
                <w:color w:val="auto"/>
                <w:sz w:val="21"/>
                <w:szCs w:val="21"/>
              </w:rPr>
            </w:pPr>
            <w:r>
              <w:rPr>
                <w:rFonts w:hAnsi="宋体"/>
                <w:color w:val="auto"/>
                <w:sz w:val="21"/>
                <w:szCs w:val="21"/>
              </w:rPr>
              <w:t>侵入途径：</w:t>
            </w:r>
            <w:r>
              <w:rPr>
                <w:color w:val="auto"/>
                <w:sz w:val="21"/>
                <w:szCs w:val="21"/>
              </w:rPr>
              <w:t xml:space="preserve"> </w:t>
            </w:r>
          </w:p>
          <w:p>
            <w:pPr>
              <w:spacing w:line="240" w:lineRule="auto"/>
              <w:rPr>
                <w:color w:val="auto"/>
                <w:sz w:val="21"/>
                <w:szCs w:val="21"/>
              </w:rPr>
            </w:pPr>
            <w:r>
              <w:rPr>
                <w:rFonts w:hAnsi="宋体"/>
                <w:color w:val="auto"/>
                <w:sz w:val="21"/>
                <w:szCs w:val="21"/>
              </w:rPr>
              <w:t>健康危害：</w:t>
            </w:r>
            <w:r>
              <w:rPr>
                <w:rFonts w:hint="eastAsia" w:hAnsi="宋体"/>
                <w:color w:val="auto"/>
                <w:sz w:val="21"/>
                <w:szCs w:val="21"/>
              </w:rPr>
              <w:t>本品有麻醉作用，有刺激性。急性中毒：表现有粘膜刺激症状、乏力、恶心、反复呕吐、头痛、头晕、胸闷，可有急识障碍。慢性影响：体检发现接触者中血压增高、萎缩性鼻炎、结膜炎和植物神经功能障碍百分比增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hAnsi="宋体"/>
                <w:b/>
                <w:bCs/>
                <w:color w:val="auto"/>
                <w:sz w:val="21"/>
                <w:szCs w:val="21"/>
              </w:rPr>
            </w:pPr>
            <w:r>
              <w:rPr>
                <w:rFonts w:hAnsi="宋体"/>
                <w:b/>
                <w:bCs/>
                <w:color w:val="auto"/>
                <w:sz w:val="21"/>
                <w:szCs w:val="21"/>
              </w:rPr>
              <w:t>急</w:t>
            </w:r>
          </w:p>
          <w:p>
            <w:pPr>
              <w:spacing w:line="240" w:lineRule="auto"/>
              <w:jc w:val="center"/>
              <w:rPr>
                <w:b/>
                <w:bCs/>
                <w:color w:val="auto"/>
                <w:sz w:val="21"/>
                <w:szCs w:val="21"/>
              </w:rPr>
            </w:pPr>
            <w:r>
              <w:rPr>
                <w:rFonts w:hAnsi="宋体"/>
                <w:b/>
                <w:bCs/>
                <w:color w:val="auto"/>
                <w:sz w:val="21"/>
                <w:szCs w:val="21"/>
              </w:rPr>
              <w:t>救</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rFonts w:hint="eastAsia" w:hAnsi="宋体"/>
                <w:color w:val="auto"/>
                <w:sz w:val="21"/>
                <w:szCs w:val="21"/>
              </w:rPr>
            </w:pPr>
            <w:r>
              <w:rPr>
                <w:rFonts w:hint="eastAsia" w:hAnsi="宋体"/>
                <w:color w:val="auto"/>
                <w:sz w:val="21"/>
                <w:szCs w:val="21"/>
              </w:rPr>
              <w:t>皮肤接触：立即脱去污染者的衣着，用肥皂水和清水彻底冲洗皮肤。</w:t>
            </w:r>
          </w:p>
          <w:p>
            <w:pPr>
              <w:spacing w:line="240" w:lineRule="auto"/>
              <w:rPr>
                <w:rFonts w:hint="eastAsia" w:hAnsi="宋体"/>
                <w:color w:val="auto"/>
                <w:sz w:val="21"/>
                <w:szCs w:val="21"/>
              </w:rPr>
            </w:pPr>
            <w:r>
              <w:rPr>
                <w:rFonts w:hint="eastAsia" w:hAnsi="宋体"/>
                <w:color w:val="auto"/>
                <w:sz w:val="21"/>
                <w:szCs w:val="21"/>
              </w:rPr>
              <w:t>眼睛接触：立即提起眼睑，用大量流动清水或生理盐水彻底冲洗至少15分钟。就医</w:t>
            </w:r>
          </w:p>
          <w:p>
            <w:pPr>
              <w:spacing w:line="240" w:lineRule="auto"/>
              <w:rPr>
                <w:rFonts w:hint="eastAsia"/>
                <w:color w:val="auto"/>
                <w:sz w:val="21"/>
                <w:szCs w:val="21"/>
              </w:rPr>
            </w:pPr>
            <w:r>
              <w:rPr>
                <w:rFonts w:hAnsi="宋体"/>
                <w:color w:val="auto"/>
                <w:sz w:val="21"/>
                <w:szCs w:val="21"/>
              </w:rPr>
              <w:t>吸入：迅速脱离现场至空气新鲜处。保持呼吸道通畅。</w:t>
            </w:r>
            <w:r>
              <w:rPr>
                <w:color w:val="auto"/>
                <w:sz w:val="21"/>
                <w:szCs w:val="21"/>
              </w:rPr>
              <w:t xml:space="preserve"> </w:t>
            </w:r>
            <w:r>
              <w:rPr>
                <w:rFonts w:hint="eastAsia"/>
                <w:color w:val="auto"/>
                <w:sz w:val="21"/>
                <w:szCs w:val="21"/>
              </w:rPr>
              <w:t>如呼吸困难，给输氧。如呼吸停止，立即进行人工呼吸，就医。</w:t>
            </w:r>
          </w:p>
          <w:p>
            <w:pPr>
              <w:spacing w:line="240" w:lineRule="auto"/>
              <w:rPr>
                <w:color w:val="auto"/>
                <w:sz w:val="21"/>
                <w:szCs w:val="21"/>
              </w:rPr>
            </w:pPr>
            <w:r>
              <w:rPr>
                <w:rFonts w:hint="eastAsia"/>
                <w:color w:val="auto"/>
                <w:sz w:val="21"/>
                <w:szCs w:val="21"/>
              </w:rPr>
              <w:t>食入：饮足量温水，催吐。就医。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b/>
                <w:bCs/>
                <w:color w:val="auto"/>
                <w:sz w:val="21"/>
                <w:szCs w:val="21"/>
              </w:rPr>
            </w:pPr>
            <w:r>
              <w:rPr>
                <w:rFonts w:hAnsi="宋体"/>
                <w:b/>
                <w:bCs/>
                <w:color w:val="auto"/>
                <w:sz w:val="21"/>
                <w:szCs w:val="21"/>
              </w:rPr>
              <w:t>防</w:t>
            </w:r>
          </w:p>
          <w:p>
            <w:pPr>
              <w:spacing w:line="240" w:lineRule="auto"/>
              <w:jc w:val="center"/>
              <w:rPr>
                <w:b/>
                <w:bCs/>
                <w:color w:val="auto"/>
                <w:sz w:val="21"/>
                <w:szCs w:val="21"/>
              </w:rPr>
            </w:pPr>
            <w:r>
              <w:rPr>
                <w:rFonts w:hAnsi="宋体"/>
                <w:b/>
                <w:bCs/>
                <w:color w:val="auto"/>
                <w:sz w:val="21"/>
                <w:szCs w:val="21"/>
              </w:rPr>
              <w:t>护</w:t>
            </w:r>
          </w:p>
          <w:p>
            <w:pPr>
              <w:spacing w:line="240" w:lineRule="auto"/>
              <w:jc w:val="center"/>
              <w:rPr>
                <w:b/>
                <w:bCs/>
                <w:color w:val="auto"/>
                <w:sz w:val="21"/>
                <w:szCs w:val="21"/>
              </w:rPr>
            </w:pPr>
            <w:r>
              <w:rPr>
                <w:rFonts w:hAnsi="宋体"/>
                <w:b/>
                <w:bCs/>
                <w:color w:val="auto"/>
                <w:sz w:val="21"/>
                <w:szCs w:val="21"/>
              </w:rPr>
              <w:t>措</w:t>
            </w:r>
          </w:p>
          <w:p>
            <w:pPr>
              <w:spacing w:line="240" w:lineRule="auto"/>
              <w:jc w:val="center"/>
              <w:rPr>
                <w:b/>
                <w:bCs/>
                <w:color w:val="auto"/>
                <w:sz w:val="21"/>
                <w:szCs w:val="21"/>
              </w:rPr>
            </w:pPr>
            <w:r>
              <w:rPr>
                <w:rFonts w:hAnsi="宋体"/>
                <w:b/>
                <w:bCs/>
                <w:color w:val="auto"/>
                <w:sz w:val="21"/>
                <w:szCs w:val="21"/>
              </w:rPr>
              <w:t>施</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color w:val="auto"/>
                <w:sz w:val="21"/>
                <w:szCs w:val="21"/>
              </w:rPr>
            </w:pPr>
            <w:r>
              <w:rPr>
                <w:rFonts w:hAnsi="宋体"/>
                <w:color w:val="auto"/>
                <w:sz w:val="21"/>
                <w:szCs w:val="21"/>
              </w:rPr>
              <w:t>工程控制：</w:t>
            </w:r>
            <w:r>
              <w:rPr>
                <w:rFonts w:hint="eastAsia" w:hAnsi="宋体"/>
                <w:color w:val="auto"/>
                <w:sz w:val="21"/>
                <w:szCs w:val="21"/>
              </w:rPr>
              <w:t>生产过程密闭，加强通风</w:t>
            </w:r>
            <w:r>
              <w:rPr>
                <w:rFonts w:hAnsi="宋体"/>
                <w:color w:val="auto"/>
                <w:sz w:val="21"/>
                <w:szCs w:val="21"/>
              </w:rPr>
              <w:t>。</w:t>
            </w:r>
          </w:p>
          <w:p>
            <w:pPr>
              <w:spacing w:line="240" w:lineRule="auto"/>
              <w:rPr>
                <w:rFonts w:hint="eastAsia"/>
                <w:color w:val="auto"/>
                <w:sz w:val="21"/>
                <w:szCs w:val="21"/>
              </w:rPr>
            </w:pPr>
            <w:r>
              <w:rPr>
                <w:rFonts w:hAnsi="宋体"/>
                <w:color w:val="auto"/>
                <w:sz w:val="21"/>
                <w:szCs w:val="21"/>
              </w:rPr>
              <w:t>呼吸系统防护：</w:t>
            </w:r>
            <w:r>
              <w:rPr>
                <w:rFonts w:hint="eastAsia" w:hAnsi="宋体"/>
                <w:color w:val="auto"/>
                <w:sz w:val="21"/>
                <w:szCs w:val="21"/>
              </w:rPr>
              <w:t>可能接触其蒸气时，应该佩戴自吸过滤式防毒面具（半面罩）。紧急事态抢救或撤离时，建议佩戴自给式呼吸器。</w:t>
            </w:r>
          </w:p>
          <w:p>
            <w:pPr>
              <w:spacing w:line="240" w:lineRule="auto"/>
              <w:rPr>
                <w:color w:val="auto"/>
                <w:sz w:val="21"/>
                <w:szCs w:val="21"/>
              </w:rPr>
            </w:pPr>
            <w:r>
              <w:rPr>
                <w:rFonts w:hAnsi="宋体"/>
                <w:color w:val="auto"/>
                <w:sz w:val="21"/>
                <w:szCs w:val="21"/>
              </w:rPr>
              <w:t>眼睛防护：</w:t>
            </w:r>
            <w:r>
              <w:rPr>
                <w:rFonts w:hint="eastAsia" w:hAnsi="宋体"/>
                <w:color w:val="auto"/>
                <w:sz w:val="21"/>
                <w:szCs w:val="21"/>
              </w:rPr>
              <w:t>戴化学安全防护眼镜。</w:t>
            </w:r>
          </w:p>
          <w:p>
            <w:pPr>
              <w:spacing w:line="240" w:lineRule="auto"/>
              <w:rPr>
                <w:rFonts w:hint="eastAsia"/>
                <w:color w:val="auto"/>
                <w:sz w:val="21"/>
                <w:szCs w:val="21"/>
              </w:rPr>
            </w:pPr>
            <w:r>
              <w:rPr>
                <w:rFonts w:hAnsi="宋体"/>
                <w:color w:val="auto"/>
                <w:sz w:val="21"/>
                <w:szCs w:val="21"/>
              </w:rPr>
              <w:t>防护服：</w:t>
            </w:r>
            <w:r>
              <w:rPr>
                <w:rFonts w:hint="eastAsia" w:hAnsi="宋体"/>
                <w:color w:val="auto"/>
                <w:sz w:val="21"/>
                <w:szCs w:val="21"/>
              </w:rPr>
              <w:t>穿防静电工作服。</w:t>
            </w:r>
            <w:r>
              <w:rPr>
                <w:color w:val="auto"/>
                <w:sz w:val="21"/>
                <w:szCs w:val="21"/>
              </w:rPr>
              <w:t xml:space="preserve">  </w:t>
            </w:r>
          </w:p>
          <w:p>
            <w:pPr>
              <w:spacing w:line="240" w:lineRule="auto"/>
              <w:rPr>
                <w:color w:val="auto"/>
                <w:sz w:val="21"/>
                <w:szCs w:val="21"/>
              </w:rPr>
            </w:pPr>
            <w:r>
              <w:rPr>
                <w:rFonts w:hAnsi="宋体"/>
                <w:color w:val="auto"/>
                <w:sz w:val="21"/>
                <w:szCs w:val="21"/>
              </w:rPr>
              <w:t>手防护：</w:t>
            </w:r>
            <w:r>
              <w:rPr>
                <w:rFonts w:hint="eastAsia" w:hAnsi="宋体"/>
                <w:color w:val="auto"/>
                <w:sz w:val="21"/>
                <w:szCs w:val="21"/>
              </w:rPr>
              <w:t>戴橡胶耐油手套。</w:t>
            </w:r>
          </w:p>
          <w:p>
            <w:pPr>
              <w:spacing w:line="240" w:lineRule="auto"/>
              <w:rPr>
                <w:color w:val="auto"/>
                <w:sz w:val="21"/>
                <w:szCs w:val="21"/>
              </w:rPr>
            </w:pPr>
            <w:r>
              <w:rPr>
                <w:rFonts w:hAnsi="宋体"/>
                <w:color w:val="auto"/>
                <w:sz w:val="21"/>
                <w:szCs w:val="21"/>
              </w:rPr>
              <w:t>其它</w:t>
            </w:r>
            <w:r>
              <w:rPr>
                <w:rFonts w:hint="eastAsia" w:hAnsi="宋体"/>
                <w:color w:val="auto"/>
                <w:sz w:val="21"/>
                <w:szCs w:val="21"/>
              </w:rPr>
              <w:t>防护</w:t>
            </w:r>
            <w:r>
              <w:rPr>
                <w:rFonts w:hAnsi="宋体"/>
                <w:color w:val="auto"/>
                <w:sz w:val="21"/>
                <w:szCs w:val="21"/>
              </w:rPr>
              <w:t>：</w:t>
            </w:r>
            <w:r>
              <w:rPr>
                <w:rFonts w:hint="eastAsia" w:hAnsi="宋体"/>
                <w:color w:val="auto"/>
                <w:sz w:val="21"/>
                <w:szCs w:val="21"/>
              </w:rPr>
              <w:t>工作场所禁止吸烟、进食和饮水，饭前要洗手。工作完毕，淋浴更衣。注意个人清洁卫生。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4" w:hRule="atLeast"/>
        </w:trPr>
        <w:tc>
          <w:tcPr>
            <w:tcW w:w="676" w:type="pct"/>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hAnsi="宋体"/>
                <w:b/>
                <w:bCs/>
                <w:color w:val="auto"/>
                <w:sz w:val="21"/>
                <w:szCs w:val="21"/>
              </w:rPr>
            </w:pPr>
            <w:r>
              <w:rPr>
                <w:rFonts w:hAnsi="宋体"/>
                <w:b/>
                <w:bCs/>
                <w:color w:val="auto"/>
                <w:sz w:val="21"/>
                <w:szCs w:val="21"/>
              </w:rPr>
              <w:t>泄</w:t>
            </w:r>
          </w:p>
          <w:p>
            <w:pPr>
              <w:spacing w:line="240" w:lineRule="auto"/>
              <w:jc w:val="center"/>
              <w:rPr>
                <w:b/>
                <w:bCs/>
                <w:color w:val="auto"/>
                <w:sz w:val="21"/>
                <w:szCs w:val="21"/>
              </w:rPr>
            </w:pPr>
            <w:r>
              <w:rPr>
                <w:rFonts w:hAnsi="宋体"/>
                <w:b/>
                <w:bCs/>
                <w:color w:val="auto"/>
                <w:sz w:val="21"/>
                <w:szCs w:val="21"/>
              </w:rPr>
              <w:t>漏</w:t>
            </w:r>
          </w:p>
          <w:p>
            <w:pPr>
              <w:spacing w:line="240" w:lineRule="auto"/>
              <w:jc w:val="center"/>
              <w:rPr>
                <w:rFonts w:hint="eastAsia" w:hAnsi="宋体"/>
                <w:b/>
                <w:bCs/>
                <w:color w:val="auto"/>
                <w:sz w:val="21"/>
                <w:szCs w:val="21"/>
              </w:rPr>
            </w:pPr>
            <w:r>
              <w:rPr>
                <w:rFonts w:hAnsi="宋体"/>
                <w:b/>
                <w:bCs/>
                <w:color w:val="auto"/>
                <w:sz w:val="21"/>
                <w:szCs w:val="21"/>
              </w:rPr>
              <w:t>处</w:t>
            </w:r>
          </w:p>
          <w:p>
            <w:pPr>
              <w:spacing w:line="240" w:lineRule="auto"/>
              <w:jc w:val="center"/>
              <w:rPr>
                <w:b/>
                <w:bCs/>
                <w:color w:val="auto"/>
                <w:sz w:val="21"/>
                <w:szCs w:val="21"/>
              </w:rPr>
            </w:pPr>
            <w:r>
              <w:rPr>
                <w:rFonts w:hAnsi="宋体"/>
                <w:b/>
                <w:bCs/>
                <w:color w:val="auto"/>
                <w:sz w:val="21"/>
                <w:szCs w:val="21"/>
              </w:rPr>
              <w:t>置</w:t>
            </w:r>
          </w:p>
        </w:tc>
        <w:tc>
          <w:tcPr>
            <w:tcW w:w="4323" w:type="pct"/>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color w:val="auto"/>
                <w:sz w:val="21"/>
                <w:szCs w:val="21"/>
              </w:rPr>
            </w:pPr>
            <w:r>
              <w:rPr>
                <w:rFonts w:hint="eastAsia" w:hAnsi="宋体"/>
                <w:color w:val="auto"/>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用不燃性分散剂制成的乳液刷洗，洗液稀释后放入废水系统。大量泄漏：构筑围堤或挖坑收容。用泡沫覆盖，降低蒸气灾害。喷雾状水或泡沫冷却和稀释蒸汽、保护现场人员。用防爆泵转移至槽车或专用收集器内，回收或运至废物处理场所处置。</w:t>
            </w:r>
          </w:p>
        </w:tc>
      </w:tr>
    </w:tbl>
    <w:p>
      <w:pPr>
        <w:pStyle w:val="53"/>
        <w:bidi w:val="0"/>
        <w:rPr>
          <w:rFonts w:hint="eastAsia"/>
          <w:color w:val="auto"/>
        </w:rPr>
      </w:pPr>
      <w:r>
        <w:rPr>
          <w:rFonts w:hint="eastAsia"/>
          <w:color w:val="auto"/>
          <w:lang w:val="en-US" w:eastAsia="zh-CN"/>
        </w:rPr>
        <w:t>2、</w:t>
      </w:r>
      <w:r>
        <w:rPr>
          <w:rFonts w:hint="eastAsia"/>
          <w:color w:val="auto"/>
        </w:rPr>
        <w:t xml:space="preserve"> 对苯二酚</w:t>
      </w:r>
    </w:p>
    <w:tbl>
      <w:tblPr>
        <w:tblStyle w:val="42"/>
        <w:tblW w:w="5177" w:type="pct"/>
        <w:jc w:val="center"/>
        <w:tblCellSpacing w:w="0" w:type="dxa"/>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Layout w:type="autofit"/>
        <w:tblCellMar>
          <w:top w:w="0" w:type="dxa"/>
          <w:left w:w="0" w:type="dxa"/>
          <w:bottom w:w="0" w:type="dxa"/>
          <w:right w:w="0" w:type="dxa"/>
        </w:tblCellMar>
      </w:tblPr>
      <w:tblGrid>
        <w:gridCol w:w="1189"/>
        <w:gridCol w:w="3143"/>
        <w:gridCol w:w="3431"/>
        <w:gridCol w:w="1829"/>
      </w:tblGrid>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90" w:hRule="atLeast"/>
          <w:tblCellSpacing w:w="0" w:type="dxa"/>
          <w:jc w:val="center"/>
        </w:trPr>
        <w:tc>
          <w:tcPr>
            <w:tcW w:w="620" w:type="pct"/>
            <w:tcBorders>
              <w:top w:val="single" w:color="auto" w:sz="4" w:space="0"/>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CAS：</w:t>
            </w:r>
          </w:p>
        </w:tc>
        <w:tc>
          <w:tcPr>
            <w:tcW w:w="4379" w:type="pct"/>
            <w:gridSpan w:val="3"/>
            <w:tcBorders>
              <w:top w:val="single" w:color="auto" w:sz="4" w:space="0"/>
            </w:tcBorders>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123-31-9</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single" w:color="auto" w:sz="4" w:space="0"/>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名称：</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对苯二酚</w:t>
            </w:r>
            <w:r>
              <w:rPr>
                <w:rFonts w:hint="eastAsia" w:ascii="宋体" w:hAnsi="宋体" w:cs="宋体"/>
                <w:color w:val="auto"/>
                <w:kern w:val="0"/>
                <w:sz w:val="21"/>
                <w:szCs w:val="21"/>
              </w:rPr>
              <w:t xml:space="preserve">   </w:t>
            </w:r>
            <w:r>
              <w:rPr>
                <w:rFonts w:ascii="宋体" w:hAnsi="宋体" w:cs="宋体"/>
                <w:color w:val="auto"/>
                <w:kern w:val="0"/>
                <w:sz w:val="21"/>
                <w:szCs w:val="21"/>
              </w:rPr>
              <w:t>氢醌</w:t>
            </w:r>
            <w:r>
              <w:rPr>
                <w:rFonts w:hint="eastAsia" w:ascii="宋体" w:hAnsi="宋体" w:cs="宋体"/>
                <w:color w:val="auto"/>
                <w:kern w:val="0"/>
                <w:sz w:val="21"/>
                <w:szCs w:val="21"/>
              </w:rPr>
              <w:t xml:space="preserve">  </w:t>
            </w:r>
            <w:r>
              <w:rPr>
                <w:rFonts w:ascii="宋体" w:hAnsi="宋体" w:cs="宋体"/>
                <w:color w:val="auto"/>
                <w:kern w:val="0"/>
                <w:sz w:val="21"/>
                <w:szCs w:val="21"/>
              </w:rPr>
              <w:t>p-dihydroxybenzene</w:t>
            </w:r>
            <w:r>
              <w:rPr>
                <w:rFonts w:hint="eastAsia" w:ascii="宋体" w:hAnsi="宋体" w:cs="宋体"/>
                <w:color w:val="auto"/>
                <w:kern w:val="0"/>
                <w:sz w:val="21"/>
                <w:szCs w:val="21"/>
              </w:rPr>
              <w:t xml:space="preserve">   </w:t>
            </w:r>
            <w:r>
              <w:rPr>
                <w:rFonts w:ascii="宋体" w:hAnsi="宋体" w:cs="宋体"/>
                <w:color w:val="auto"/>
                <w:kern w:val="0"/>
                <w:sz w:val="21"/>
                <w:szCs w:val="21"/>
              </w:rPr>
              <w:t>p-hydroquinone</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分子式：</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C</w:t>
            </w:r>
            <w:r>
              <w:rPr>
                <w:rFonts w:hint="default" w:ascii="Times New Roman" w:hAnsi="Times New Roman" w:cs="Times New Roman"/>
                <w:color w:val="auto"/>
                <w:kern w:val="0"/>
                <w:sz w:val="21"/>
                <w:szCs w:val="21"/>
                <w:vertAlign w:val="subscript"/>
              </w:rPr>
              <w:t>6</w:t>
            </w:r>
            <w:r>
              <w:rPr>
                <w:rFonts w:ascii="宋体" w:hAnsi="宋体" w:cs="宋体"/>
                <w:color w:val="auto"/>
                <w:kern w:val="0"/>
                <w:sz w:val="21"/>
                <w:szCs w:val="21"/>
              </w:rPr>
              <w:t>H</w:t>
            </w:r>
            <w:r>
              <w:rPr>
                <w:rFonts w:hint="default" w:ascii="Times New Roman" w:hAnsi="Times New Roman" w:cs="Times New Roman"/>
                <w:color w:val="auto"/>
                <w:kern w:val="0"/>
                <w:sz w:val="21"/>
                <w:szCs w:val="21"/>
                <w:vertAlign w:val="subscript"/>
              </w:rPr>
              <w:t>6</w:t>
            </w:r>
            <w:r>
              <w:rPr>
                <w:rFonts w:ascii="宋体" w:hAnsi="宋体" w:cs="宋体"/>
                <w:color w:val="auto"/>
                <w:kern w:val="0"/>
                <w:sz w:val="21"/>
                <w:szCs w:val="21"/>
              </w:rPr>
              <w:t>O</w:t>
            </w:r>
            <w:r>
              <w:rPr>
                <w:rFonts w:hint="default" w:ascii="Times New Roman" w:hAnsi="Times New Roman" w:cs="Times New Roman"/>
                <w:color w:val="auto"/>
                <w:kern w:val="0"/>
                <w:sz w:val="21"/>
                <w:szCs w:val="21"/>
                <w:vertAlign w:val="subscript"/>
              </w:rPr>
              <w:t>2</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分子量：</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110.11</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有害物成分：</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对苯二酚</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健康危害：</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本品毒性比酚大。成人误服1g，即可出现头痛、头晕、耳鸣、面色苍白、紫绀、恶心、呕吐、腹痛、窒息感、呼吸困难、心动过速、震颤、肌肉抽搐、惊厥、谵妄和虚脱。严重者可出现呕血、血尿和溶血性黄疸。尿呈青色或棕绿色。皮肤可因原发性刺激和变态反应而致皮炎，可引起皮肤色素脱失。眼部接触本品粉尘或蒸气，可有结膜和角膜炎。</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燃爆危险：</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本品可燃，</w:t>
            </w:r>
            <w:r>
              <w:rPr>
                <w:rFonts w:hint="eastAsia" w:ascii="宋体" w:hAnsi="宋体" w:cs="宋体"/>
                <w:color w:val="auto"/>
                <w:kern w:val="0"/>
                <w:sz w:val="21"/>
                <w:szCs w:val="21"/>
              </w:rPr>
              <w:t>燃烧产生的气体</w:t>
            </w:r>
            <w:r>
              <w:rPr>
                <w:rFonts w:ascii="宋体" w:hAnsi="宋体" w:cs="宋体"/>
                <w:color w:val="auto"/>
                <w:kern w:val="0"/>
                <w:sz w:val="21"/>
                <w:szCs w:val="21"/>
              </w:rPr>
              <w:t>高毒。</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皮肤接触：</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立即脱去污染的衣着，用大量流动清水冲洗。就医。</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眼睛接触：</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立即提起眼睑，用大量流动清水或生理盐水彻底冲洗至少15分钟。就医。</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吸入：</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迅速脱离现场至空气新鲜处。保持呼吸道通畅。如呼吸困难，给输氧。如呼吸停止，立即进行人工呼吸。就医。</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食入：</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立即给饮植物油15～30mL。催吐。就医。</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危险特性：</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遇明火、高热可燃。与强氧化剂接触可发生化学反应。受高热分解放出有毒的气体。</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有害燃烧产物：</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一氧化碳、二氧化碳。</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灭火方法：</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采用雾状水、抗溶性泡沫、干粉、二氧化碳、砂土灭火。</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应急处理：</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隔离泄漏污染区，限制出入。切断火源。建议应急处理人员戴防尘面具（全面罩），穿防毒服。小量泄漏：用洁净的铲子收集于干燥、洁净、有盖的容器中。也可以用大量水冲洗，洗水稀释后放入废水系统。大量泄漏：收集回收或运至废物处理场所处置。</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操作注意事项：</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密闭操作，提供充分的局部排风。尽可能采取隔离操作。操作人员必须经过专门培训，严格遵守操作规程。建议操作人员佩戴自吸过滤式防尘口罩，戴化学安全防护眼镜，穿防毒物渗透工作服，戴橡胶手套。远离火种、热源，工作场所严禁吸烟。使用防爆型的通风系统和设备。避免产生粉尘。避免与氧化剂、酸类、碱类接触。搬运时要轻装轻卸，防止包装及容器损坏。配备相应品种和数量的消防器材及泄漏应急处理设备。倒空的容器可能残留有害物。</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储存注意事项：</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hint="eastAsia" w:ascii="宋体" w:hAnsi="宋体" w:cs="宋体"/>
                <w:color w:val="auto"/>
                <w:kern w:val="0"/>
                <w:sz w:val="21"/>
                <w:szCs w:val="21"/>
              </w:rPr>
            </w:pPr>
            <w:r>
              <w:rPr>
                <w:rFonts w:ascii="宋体" w:hAnsi="宋体" w:cs="宋体"/>
                <w:color w:val="auto"/>
                <w:kern w:val="0"/>
                <w:sz w:val="21"/>
                <w:szCs w:val="21"/>
              </w:rPr>
              <w:t>储存于阴凉、通风的库房。远离火种、热源。包装要求密封，不可与空气接触。应与氧化剂、酸类、碱类、食用化学品分开存放，切忌混储。配备相应品种和数量的消防器材。储区应备有合适的材料收容泄漏物。</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TLVTN：</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OSHA 2mg/m</w:t>
            </w:r>
            <w:r>
              <w:rPr>
                <w:rFonts w:hint="default" w:ascii="Times New Roman" w:hAnsi="Times New Roman" w:cs="Times New Roman"/>
                <w:color w:val="auto"/>
                <w:kern w:val="0"/>
                <w:sz w:val="21"/>
                <w:szCs w:val="21"/>
                <w:vertAlign w:val="superscript"/>
              </w:rPr>
              <w:t>3</w:t>
            </w:r>
            <w:r>
              <w:rPr>
                <w:rFonts w:ascii="宋体" w:hAnsi="宋体" w:cs="宋体"/>
                <w:color w:val="auto"/>
                <w:kern w:val="0"/>
                <w:sz w:val="21"/>
                <w:szCs w:val="21"/>
              </w:rPr>
              <w:t>; ACGIH 2mg/m</w:t>
            </w:r>
            <w:r>
              <w:rPr>
                <w:rFonts w:hint="default" w:ascii="Times New Roman" w:hAnsi="Times New Roman" w:cs="Times New Roman"/>
                <w:color w:val="auto"/>
                <w:kern w:val="0"/>
                <w:sz w:val="21"/>
                <w:szCs w:val="21"/>
                <w:vertAlign w:val="superscript"/>
              </w:rPr>
              <w:t>3</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工程控制：</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严加密闭，提供充分的局部排风。尽可能采取隔离操作。提供安全淋浴和洗眼设备。</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呼吸系统防护：</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空气中粉尘浓度超标时，佩戴自吸过滤式防尘口罩。紧急事态抢救或撤离时，应该佩戴空气呼吸器。</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眼睛防护：</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戴化学安全防护眼镜。</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身体防护：</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穿防毒物渗透工作服。</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手防护：</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戴橡胶手套。</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其他防护：</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工作现场禁止吸烟、进食和饮水。工作完毕，彻底清洗。单独存放被毒物污染的衣服，洗后备用。注意个人清洁卫生。</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主要成分：</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纯品</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外观与性状：</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白色结晶。</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熔点(℃)：</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170.5</w:t>
            </w:r>
          </w:p>
        </w:tc>
        <w:tc>
          <w:tcPr>
            <w:tcW w:w="1788" w:type="pct"/>
            <w:tcBorders>
              <w:left w:val="nil"/>
            </w:tcBorders>
            <w:shd w:val="clear" w:color="auto" w:fill="FFFFFF"/>
            <w:noWrap w:val="0"/>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相对密度(水=1)：</w:t>
            </w:r>
          </w:p>
        </w:tc>
        <w:tc>
          <w:tcPr>
            <w:tcW w:w="953" w:type="pct"/>
            <w:shd w:val="clear" w:color="auto" w:fill="FFFFFF"/>
            <w:noWrap w:val="0"/>
            <w:vAlign w:val="center"/>
          </w:tcPr>
          <w:p>
            <w:pPr>
              <w:widowControl/>
              <w:spacing w:line="240" w:lineRule="auto"/>
              <w:ind w:leftChars="100"/>
              <w:jc w:val="left"/>
              <w:rPr>
                <w:rFonts w:ascii="宋体" w:hAnsi="宋体" w:cs="宋体"/>
                <w:color w:val="auto"/>
                <w:kern w:val="0"/>
                <w:sz w:val="21"/>
                <w:szCs w:val="21"/>
              </w:rPr>
            </w:pPr>
            <w:r>
              <w:rPr>
                <w:rFonts w:ascii="宋体" w:hAnsi="宋体" w:cs="宋体"/>
                <w:color w:val="auto"/>
                <w:kern w:val="0"/>
                <w:sz w:val="21"/>
                <w:szCs w:val="21"/>
              </w:rPr>
              <w:t>1.33</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沸点(℃)：</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285</w:t>
            </w:r>
          </w:p>
        </w:tc>
        <w:tc>
          <w:tcPr>
            <w:tcW w:w="1788" w:type="pct"/>
            <w:tcBorders>
              <w:left w:val="nil"/>
            </w:tcBorders>
            <w:shd w:val="clear" w:color="auto" w:fill="FFFFFF"/>
            <w:noWrap w:val="0"/>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相对蒸气密度(空气=1)：</w:t>
            </w:r>
          </w:p>
        </w:tc>
        <w:tc>
          <w:tcPr>
            <w:tcW w:w="953" w:type="pct"/>
            <w:shd w:val="clear" w:color="auto" w:fill="FFFFFF"/>
            <w:noWrap w:val="0"/>
            <w:vAlign w:val="center"/>
          </w:tcPr>
          <w:p>
            <w:pPr>
              <w:widowControl/>
              <w:spacing w:line="240" w:lineRule="auto"/>
              <w:ind w:leftChars="100"/>
              <w:jc w:val="left"/>
              <w:rPr>
                <w:rFonts w:ascii="宋体" w:hAnsi="宋体" w:cs="宋体"/>
                <w:color w:val="auto"/>
                <w:kern w:val="0"/>
                <w:sz w:val="21"/>
                <w:szCs w:val="21"/>
              </w:rPr>
            </w:pPr>
            <w:r>
              <w:rPr>
                <w:rFonts w:ascii="宋体" w:hAnsi="宋体" w:cs="宋体"/>
                <w:color w:val="auto"/>
                <w:kern w:val="0"/>
                <w:sz w:val="21"/>
                <w:szCs w:val="21"/>
              </w:rPr>
              <w:t>3.81</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饱和蒸气压(kPa)：</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0.13(132.4℃)</w:t>
            </w:r>
          </w:p>
        </w:tc>
        <w:tc>
          <w:tcPr>
            <w:tcW w:w="1788" w:type="pct"/>
            <w:tcBorders>
              <w:left w:val="nil"/>
            </w:tcBorders>
            <w:shd w:val="clear" w:color="auto" w:fill="FFFFFF"/>
            <w:noWrap w:val="0"/>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辛醇/水分配系数的对数值：</w:t>
            </w:r>
          </w:p>
        </w:tc>
        <w:tc>
          <w:tcPr>
            <w:tcW w:w="953" w:type="pct"/>
            <w:shd w:val="clear" w:color="auto" w:fill="FFFFFF"/>
            <w:noWrap w:val="0"/>
            <w:vAlign w:val="center"/>
          </w:tcPr>
          <w:p>
            <w:pPr>
              <w:widowControl/>
              <w:spacing w:line="240" w:lineRule="auto"/>
              <w:ind w:leftChars="100"/>
              <w:jc w:val="left"/>
              <w:rPr>
                <w:rFonts w:ascii="宋体" w:hAnsi="宋体" w:cs="宋体"/>
                <w:color w:val="auto"/>
                <w:kern w:val="0"/>
                <w:sz w:val="21"/>
                <w:szCs w:val="21"/>
              </w:rPr>
            </w:pPr>
            <w:r>
              <w:rPr>
                <w:rFonts w:ascii="宋体" w:hAnsi="宋体" w:cs="宋体"/>
                <w:color w:val="auto"/>
                <w:kern w:val="0"/>
                <w:sz w:val="21"/>
                <w:szCs w:val="21"/>
              </w:rPr>
              <w:t>0.59</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燃烧热(kJ/mol)：</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2849.8</w:t>
            </w:r>
          </w:p>
        </w:tc>
        <w:tc>
          <w:tcPr>
            <w:tcW w:w="1788" w:type="pct"/>
            <w:tcBorders>
              <w:left w:val="nil"/>
            </w:tcBorders>
            <w:shd w:val="clear" w:color="auto" w:fill="FFFFFF"/>
            <w:noWrap w:val="0"/>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临界温度(℃)：</w:t>
            </w:r>
          </w:p>
        </w:tc>
        <w:tc>
          <w:tcPr>
            <w:tcW w:w="953" w:type="pct"/>
            <w:shd w:val="clear" w:color="auto" w:fill="FFFFFF"/>
            <w:noWrap w:val="0"/>
            <w:vAlign w:val="center"/>
          </w:tcPr>
          <w:p>
            <w:pPr>
              <w:widowControl/>
              <w:spacing w:line="240" w:lineRule="auto"/>
              <w:ind w:leftChars="100"/>
              <w:jc w:val="left"/>
              <w:rPr>
                <w:rFonts w:ascii="宋体" w:hAnsi="宋体" w:cs="宋体"/>
                <w:color w:val="auto"/>
                <w:kern w:val="0"/>
                <w:sz w:val="21"/>
                <w:szCs w:val="21"/>
              </w:rPr>
            </w:pPr>
            <w:r>
              <w:rPr>
                <w:rFonts w:ascii="宋体" w:hAnsi="宋体" w:cs="宋体"/>
                <w:color w:val="auto"/>
                <w:kern w:val="0"/>
                <w:sz w:val="21"/>
                <w:szCs w:val="21"/>
              </w:rPr>
              <w:t>549.9</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闪点(℃)：</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无意义</w:t>
            </w:r>
          </w:p>
        </w:tc>
        <w:tc>
          <w:tcPr>
            <w:tcW w:w="1788" w:type="pct"/>
            <w:tcBorders>
              <w:left w:val="nil"/>
            </w:tcBorders>
            <w:shd w:val="clear" w:color="auto" w:fill="FFFFFF"/>
            <w:noWrap w:val="0"/>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临界压力(MPa)：</w:t>
            </w:r>
          </w:p>
        </w:tc>
        <w:tc>
          <w:tcPr>
            <w:tcW w:w="953" w:type="pct"/>
            <w:shd w:val="clear" w:color="auto" w:fill="FFFFFF"/>
            <w:noWrap w:val="0"/>
            <w:vAlign w:val="center"/>
          </w:tcPr>
          <w:p>
            <w:pPr>
              <w:widowControl/>
              <w:spacing w:line="240" w:lineRule="auto"/>
              <w:ind w:leftChars="100"/>
              <w:jc w:val="left"/>
              <w:rPr>
                <w:rFonts w:ascii="宋体" w:hAnsi="宋体" w:cs="宋体"/>
                <w:color w:val="auto"/>
                <w:kern w:val="0"/>
                <w:sz w:val="21"/>
                <w:szCs w:val="21"/>
              </w:rPr>
            </w:pPr>
            <w:r>
              <w:rPr>
                <w:rFonts w:ascii="宋体" w:hAnsi="宋体" w:cs="宋体"/>
                <w:color w:val="auto"/>
                <w:kern w:val="0"/>
                <w:sz w:val="21"/>
                <w:szCs w:val="21"/>
              </w:rPr>
              <w:t>7.45</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引燃温度(℃)：</w:t>
            </w:r>
          </w:p>
        </w:tc>
        <w:tc>
          <w:tcPr>
            <w:tcW w:w="1638" w:type="pct"/>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499</w:t>
            </w:r>
          </w:p>
        </w:tc>
        <w:tc>
          <w:tcPr>
            <w:tcW w:w="1788" w:type="pct"/>
            <w:tcBorders>
              <w:left w:val="nil"/>
            </w:tcBorders>
            <w:shd w:val="clear" w:color="auto" w:fill="FFFFFF"/>
            <w:noWrap w:val="0"/>
            <w:vAlign w:val="center"/>
          </w:tcPr>
          <w:p>
            <w:pPr>
              <w:widowControl/>
              <w:spacing w:line="240" w:lineRule="auto"/>
              <w:jc w:val="left"/>
              <w:rPr>
                <w:rFonts w:ascii="宋体" w:hAnsi="宋体" w:cs="宋体"/>
                <w:color w:val="auto"/>
                <w:kern w:val="0"/>
                <w:sz w:val="21"/>
                <w:szCs w:val="21"/>
              </w:rPr>
            </w:pPr>
          </w:p>
        </w:tc>
        <w:tc>
          <w:tcPr>
            <w:tcW w:w="953" w:type="pct"/>
            <w:shd w:val="clear" w:color="auto" w:fill="FFFFFF"/>
            <w:noWrap w:val="0"/>
            <w:vAlign w:val="center"/>
          </w:tcPr>
          <w:p>
            <w:pPr>
              <w:widowControl/>
              <w:spacing w:line="240" w:lineRule="auto"/>
              <w:jc w:val="left"/>
              <w:rPr>
                <w:rFonts w:ascii="宋体" w:hAnsi="宋体" w:cs="宋体"/>
                <w:color w:val="auto"/>
                <w:kern w:val="0"/>
                <w:sz w:val="21"/>
                <w:szCs w:val="21"/>
              </w:rPr>
            </w:pP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溶解性：</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溶于水，易溶于乙醇、乙醚。</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主要用途：</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制取黑白显影剂、蒽醌染料、偶氮染料、橡胶防老剂、稳定剂和抗氧剂。</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禁配物：</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酰基氯、酸酐、碱、强氧化剂、强酸。</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避免接触的条件：</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光照、空气。</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急性毒性：</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LD50：320 mg/kg(大鼠经口) LC50：无资料</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刺激性：</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人经皮：2%，轻度刺激。人经皮：5%，重度刺激。</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其它有害作用：</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该物质对环境可能有危害，对水体应给予特别注意。</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废弃处置方法：</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用焚烧法处置。</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危险货物编号：</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61725</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UN编号：</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2662</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包装类别：</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O53</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包装方法：</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塑料袋或二层牛皮纸袋外纤维板桶、胶合板桶、硬纸板桶；塑料袋或二层牛皮纸袋外普通木箱；螺纹口玻璃瓶、铁盖压口玻璃瓶、塑料瓶或金属桶（罐）外普通木箱；螺纹口玻璃瓶、塑料瓶或镀锡薄钢板桶（罐）外满底板花格箱、纤维板箱或胶合板箱。</w:t>
            </w:r>
          </w:p>
        </w:tc>
      </w:tr>
      <w:tr>
        <w:tblPrEx>
          <w:tblBorders>
            <w:top w:val="single" w:color="000000" w:sz="2" w:space="0"/>
            <w:left w:val="single" w:color="000000" w:sz="2" w:space="0"/>
            <w:bottom w:val="none" w:color="auto" w:sz="0" w:space="0"/>
            <w:right w:val="none" w:color="auto" w:sz="0" w:space="0"/>
            <w:insideH w:val="single" w:color="000000" w:sz="2" w:space="0"/>
            <w:insideV w:val="single" w:color="000000" w:sz="2" w:space="0"/>
          </w:tblBorders>
          <w:shd w:val="clear" w:color="auto" w:fill="CCDDEE"/>
          <w:tblCellMar>
            <w:top w:w="0" w:type="dxa"/>
            <w:left w:w="0" w:type="dxa"/>
            <w:bottom w:w="0" w:type="dxa"/>
            <w:right w:w="0" w:type="dxa"/>
          </w:tblCellMar>
        </w:tblPrEx>
        <w:trPr>
          <w:trHeight w:val="270" w:hRule="atLeast"/>
          <w:tblCellSpacing w:w="0" w:type="dxa"/>
          <w:jc w:val="center"/>
        </w:trPr>
        <w:tc>
          <w:tcPr>
            <w:tcW w:w="620" w:type="pct"/>
            <w:tcBorders>
              <w:left w:val="nil"/>
              <w:right w:val="nil"/>
            </w:tcBorders>
            <w:shd w:val="clear" w:color="auto" w:fill="FFFFFF"/>
            <w:noWrap w:val="0"/>
            <w:tcMar>
              <w:top w:w="0" w:type="dxa"/>
              <w:left w:w="0" w:type="dxa"/>
              <w:bottom w:w="0" w:type="dxa"/>
              <w:right w:w="0" w:type="dxa"/>
            </w:tcMar>
            <w:vAlign w:val="top"/>
          </w:tcPr>
          <w:p>
            <w:pPr>
              <w:widowControl/>
              <w:spacing w:line="240" w:lineRule="auto"/>
              <w:jc w:val="right"/>
              <w:rPr>
                <w:rFonts w:ascii="宋体" w:hAnsi="宋体" w:cs="宋体"/>
                <w:color w:val="auto"/>
                <w:kern w:val="0"/>
                <w:sz w:val="21"/>
                <w:szCs w:val="21"/>
              </w:rPr>
            </w:pPr>
            <w:r>
              <w:rPr>
                <w:rFonts w:ascii="宋体" w:hAnsi="宋体" w:cs="宋体"/>
                <w:color w:val="auto"/>
                <w:kern w:val="0"/>
                <w:sz w:val="21"/>
                <w:szCs w:val="21"/>
              </w:rPr>
              <w:t>运输注意事项：</w:t>
            </w:r>
          </w:p>
        </w:tc>
        <w:tc>
          <w:tcPr>
            <w:tcW w:w="4379" w:type="pct"/>
            <w:gridSpan w:val="3"/>
            <w:shd w:val="clear" w:color="auto" w:fill="FFFFFF"/>
            <w:noWrap w:val="0"/>
            <w:tcMar>
              <w:top w:w="0" w:type="dxa"/>
              <w:left w:w="150" w:type="dxa"/>
              <w:bottom w:w="0" w:type="dxa"/>
              <w:right w:w="75" w:type="dxa"/>
            </w:tcMar>
            <w:vAlign w:val="center"/>
          </w:tcPr>
          <w:p>
            <w:pPr>
              <w:widowControl/>
              <w:spacing w:line="240" w:lineRule="auto"/>
              <w:jc w:val="left"/>
              <w:rPr>
                <w:rFonts w:ascii="宋体" w:hAnsi="宋体" w:cs="宋体"/>
                <w:color w:val="auto"/>
                <w:kern w:val="0"/>
                <w:sz w:val="21"/>
                <w:szCs w:val="21"/>
              </w:rPr>
            </w:pPr>
            <w:r>
              <w:rPr>
                <w:rFonts w:ascii="宋体" w:hAnsi="宋体" w:cs="宋体"/>
                <w:color w:val="auto"/>
                <w:kern w:val="0"/>
                <w:sz w:val="21"/>
                <w:szCs w:val="21"/>
              </w:rPr>
              <w:t>铁路运输时应严格按照铁道部《危险货物运输规则》中的危险货物配装表进行配装。运输前应先检查包装容器是否完整、密封，运输过程中要确保容器不泄漏、不倒塌、不坠落、不损坏。严禁与酸类、氧化剂、食品及食品添加剂混运。运输途中应防曝晒、雨淋，防高温。</w:t>
            </w:r>
          </w:p>
        </w:tc>
      </w:tr>
    </w:tbl>
    <w:p>
      <w:pPr>
        <w:pStyle w:val="53"/>
        <w:bidi w:val="0"/>
        <w:rPr>
          <w:rFonts w:hint="default" w:eastAsia="宋体"/>
          <w:color w:val="auto"/>
          <w:lang w:val="en-US" w:eastAsia="zh-CN"/>
        </w:rPr>
      </w:pPr>
      <w:r>
        <w:rPr>
          <w:rFonts w:hint="eastAsia"/>
          <w:color w:val="auto"/>
          <w:lang w:val="en-US" w:eastAsia="zh-CN"/>
        </w:rPr>
        <w:t>3、甲醇</w:t>
      </w:r>
    </w:p>
    <w:tbl>
      <w:tblPr>
        <w:tblStyle w:val="42"/>
        <w:tblW w:w="0" w:type="auto"/>
        <w:tblInd w:w="-1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8"/>
        <w:gridCol w:w="1955"/>
        <w:gridCol w:w="1692"/>
        <w:gridCol w:w="982"/>
        <w:gridCol w:w="979"/>
        <w:gridCol w:w="3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标识</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中文名：甲醇，木精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英文名： methyl alcohol: methanol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分子式：CH</w:t>
            </w:r>
            <w:r>
              <w:rPr>
                <w:rFonts w:hint="eastAsia" w:ascii="宋体" w:hAnsi="宋体" w:cs="宋体"/>
                <w:i w:val="0"/>
                <w:iCs w:val="0"/>
                <w:color w:val="auto"/>
                <w:kern w:val="0"/>
                <w:sz w:val="21"/>
                <w:szCs w:val="21"/>
                <w:u w:val="none"/>
                <w:vertAlign w:val="subscript"/>
                <w:lang w:val="en-US" w:eastAsia="zh-CN" w:bidi="ar"/>
              </w:rPr>
              <w:t>4</w:t>
            </w:r>
            <w:r>
              <w:rPr>
                <w:rFonts w:hint="eastAsia" w:ascii="宋体" w:hAnsi="宋体" w:eastAsia="宋体" w:cs="宋体"/>
                <w:i w:val="0"/>
                <w:iCs w:val="0"/>
                <w:color w:val="auto"/>
                <w:kern w:val="0"/>
                <w:sz w:val="21"/>
                <w:szCs w:val="21"/>
                <w:u w:val="none"/>
                <w:lang w:val="en-US" w:eastAsia="zh-CN" w:bidi="ar"/>
              </w:rPr>
              <w:t>O</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分子量：32.0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危规编号：32058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UN编号：1230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CAS No.67-56-1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主要危险特性：第3.2类中闪点液体。</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中国危险货物标志：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化</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质</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外观与特性：无色透明液体，有刺激性气味。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熔点（℃)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-97.8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沸点（℃)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相对密度（水＝1)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0.79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相对密度（空气＝1)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溶解性</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溶于水，可混溶于醇、醚等多数有机溶剂。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急性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毒性</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LD50:5628 mg/kg（大鼠经口）:15800 mg/kg（兔经皮）LC50:83776mg/m3,4小时（大鼠吸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健 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危害</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侵入途径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吸入、食入、经皮肤吸收。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1"/>
                <w:szCs w:val="21"/>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对中枢神经系统有麻醉作用：对视神经和视网膜有特殊选择作用，引起病变；可致代射性酸中毒。</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急性中毒：短时大量吸入出现轻度眼上呼吸道刺激症状（口服有胃 肠道刺激症状）：经一段时间潜伏期后出现头痛、头晕、乏力、眩晕、酒醉感、意识朦胧、谱妄，甚至昏迷。视神经及视网膜病变，可有视物模糊、复视等，重者失 明。代谢性酸中毒时出现二氧化碳结合力下降、呼吸加速等。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慢性影响：神经衰弱综合征，植物神经功能失调，粘膜刺激，视力减退等。皮肤出现脱脂、皮炎等。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爆炸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危险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燃烧性：易燃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引燃温度（℃):464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聚合危害：不聚合</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闪点（℃)（闭杯）:12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稳定性：稳定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爆炸极限（V%):6（下限）;36.5（上限）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危险特性</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易燃，其蒸气与空气可形成爆炸性混合物，遇明火、高热能引起燃烧爆炸。与氧化剂接触发生化学反应或引起燃烧。在火场中，受热的容器有爆炸危险。其蒸气比空气重，能在较低处扩散到相当远的地方，遇火源会着火回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燃烧产物：一氧化碳 禁忌物：酸类、酸酐、强氧化剂、碱金属。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火火</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方式</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消防人员必须佩戴防毒面具、穿全身消防服，在上风向火火。</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火火剂：抗溶性泡沫、干粉、二氧化碳、砂土。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灭火注意事项：尽可能将容器从火场移至空旷处。喷水保持火场容器冷却，直至灭火结束。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处在火场中的容器若已变色或从安全泄压装置中产生声音，必须马上撤离。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泄漏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应急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处理</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消除所有点火源。迅速撤离泄漏污染区人员至安全区，并进行隔离，严格限制出入。切断火源。建议应急处理人员戴自给正压式呼吸器，穿防静电工作服。不要直接接触泄漏物。尽可 能切断泄漏源。防止流入下水道、排洪沟等限制性空间。小量泄漏：用砂土或其它不燃材料吸附或吸收。也可以用大量水冲洗，洗水稀释后放入废水系统。大量泄 漏：构筑围堤或挖坑收容。用泡沫覆盖，降低蒸气灾害。用防爆泵转移至槽车或专用收集器内，回收或运至废物处理场所处置。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方法</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建议用焚烧法处置，与燃料混合后，再焚烧。焚烧炉排出的气体要通过洗涤器除去。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操作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注意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事项</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密闭操作，加强通风。操作人员必须经过专门培训，严格遵守操作规程。建议操作人员佩戴过滤式防毒面具（半面罩），戴化学安全防护眼镜，穿防静电工作服，戴 橡胶手套。远离火种、热源，工作场所严禁吸烟。使用防爆型的通风系统和设备。防止蒸气泄漏到工作场所空气中。避免与氧化剂、酸类、碱金属接触。灌装时应控 制流速，且有接地装置，防止静电积聚。配备相应品种和数量的消防器材及泄漏应急处理设备。倒空的容器可能残留有害物。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防护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措施</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呼吸系统防护</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可能接触其蒸气时，应该佩戴过滤式防毒面具（半面罩）。紧急事态抢救或撤离时，建议佩戴空气呼吸器。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眼睛防护</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戴化学安全防护眼镜。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身体防护</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穿防静电工作服。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手防护</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戴橡胶手套。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其它防护</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工作现场禁止吸烟、进食和饮水。工作完毕，淋浴更衣。实行就业前和定期的体检。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储存</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注意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事项</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存于阴凉、通风的库房。远离火种、热源。库温不宜超过30℃。保持容器密封。应与氧化剂、酸类、碱金属等分开存放，切忌混储。采用防爆型照明、通风设施。禁止使用易产生火花的机械设备和工具。储区应备有泄漏应急处理设备和合适的收容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废弃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处置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方法</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建议用焚烧法处置，与燃料混合后，再焚烧。焚烧炉排出的气体要通过洗涤器除去。</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废弃注意事项：处置前应参阅国家和地方有关法规。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运输</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注意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事项</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本品铁路运输时限使用钢制企业自备罐车装运，装运前需报有关部门批准。运输时运输车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辆应配备相应品种和数量的消防器材及泄漏应急处理设备。夏季最好早晚运 输。运输时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所用的槽（罐）车应有接地链，槽内可设孔隔板以减少震荡产生静电。严禁与氧化剂、酸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类、碱金属、食用化学品等混装混运。运输途中应防曝晒、雨 淋，防高温。中途停留时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应远离火种、热源、高温区。装运该物品的车辆排气管必须配备阻火装置，禁止使用易产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生火花的机械设备和工具装卸。公路运输时要按规 定路线行驶，勿在居民区和人口稠密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区停留。铁路运输时要禁止溜放。严禁用木船、水泥船散装运输。</w:t>
            </w:r>
          </w:p>
        </w:tc>
      </w:tr>
    </w:tbl>
    <w:p>
      <w:pPr>
        <w:pStyle w:val="53"/>
        <w:bidi w:val="0"/>
        <w:rPr>
          <w:rFonts w:hint="default"/>
          <w:color w:val="auto"/>
          <w:lang w:val="en-US" w:eastAsia="zh-CN"/>
        </w:rPr>
      </w:pPr>
      <w:r>
        <w:rPr>
          <w:rFonts w:hint="eastAsia"/>
          <w:color w:val="auto"/>
          <w:lang w:val="en-US" w:eastAsia="zh-CN"/>
        </w:rPr>
        <w:t>4、甲基丙烯酸[稳定的]</w:t>
      </w:r>
    </w:p>
    <w:tbl>
      <w:tblPr>
        <w:tblStyle w:val="42"/>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8"/>
        <w:gridCol w:w="1768"/>
        <w:gridCol w:w="1084"/>
        <w:gridCol w:w="1978"/>
        <w:gridCol w:w="318"/>
        <w:gridCol w:w="318"/>
        <w:gridCol w:w="2284"/>
        <w:gridCol w:w="11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标识</w:t>
            </w:r>
          </w:p>
        </w:tc>
        <w:tc>
          <w:tcPr>
            <w:tcW w:w="54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中文名：甲基丙烯酸［稳定的］：异丁烯酸</w:t>
            </w:r>
          </w:p>
        </w:tc>
        <w:tc>
          <w:tcPr>
            <w:tcW w:w="3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危险化学品目录序号：1103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546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英文名：Methacrylic acid</w:t>
            </w:r>
          </w:p>
        </w:tc>
        <w:tc>
          <w:tcPr>
            <w:tcW w:w="3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UN编号：2531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28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分子式：C4H602</w:t>
            </w:r>
          </w:p>
        </w:tc>
        <w:tc>
          <w:tcPr>
            <w:tcW w:w="26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分子量：86.09</w:t>
            </w:r>
          </w:p>
        </w:tc>
        <w:tc>
          <w:tcPr>
            <w:tcW w:w="3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CAS号：79-41-4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理化</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性质</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外观与性状</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无色结晶或透明液体，有刺激性气味。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熔点（℃)</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相对密度（水＝1)</w:t>
            </w:r>
          </w:p>
        </w:tc>
        <w:tc>
          <w:tcPr>
            <w:tcW w:w="6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1.02</w:t>
            </w:r>
          </w:p>
        </w:tc>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相对密度（空气＝1)</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沸点（℃)</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160-163</w:t>
            </w:r>
          </w:p>
        </w:tc>
        <w:tc>
          <w:tcPr>
            <w:tcW w:w="26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饱和蒸气压（kPa)</w:t>
            </w:r>
          </w:p>
        </w:tc>
        <w:tc>
          <w:tcPr>
            <w:tcW w:w="34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1.33/60.6℃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溶解性</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溶于水，溶于乙醇、乙醚等多数有机溶剂。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毒性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及健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康危</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害</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侵入途径</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吸入、食入、经皮吸收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毒性</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LD50:1600mg/kg（小鼠经口）;50mg/kg（免经皮）;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LC50：无资料。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健康危害</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吞咽有害。皮肤接触有害。造成严重皮肤灼伤和眼损伤。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爆炸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危险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燃烧性</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可燃</w:t>
            </w:r>
          </w:p>
        </w:tc>
        <w:tc>
          <w:tcPr>
            <w:tcW w:w="2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燃烧分解物</w:t>
            </w:r>
          </w:p>
        </w:tc>
        <w:tc>
          <w:tcPr>
            <w:tcW w:w="37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氧化碳、二氧化碳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闪点（℃)</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77</w:t>
            </w:r>
          </w:p>
        </w:tc>
        <w:tc>
          <w:tcPr>
            <w:tcW w:w="2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爆炸上限（v%)</w:t>
            </w:r>
          </w:p>
        </w:tc>
        <w:tc>
          <w:tcPr>
            <w:tcW w:w="37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引燃温度（℃)</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435</w:t>
            </w:r>
          </w:p>
        </w:tc>
        <w:tc>
          <w:tcPr>
            <w:tcW w:w="2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炸下限（v%)</w:t>
            </w:r>
          </w:p>
        </w:tc>
        <w:tc>
          <w:tcPr>
            <w:tcW w:w="37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危险特性</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可燃。其蒸气与空气混合能形成爆炸性混合物，遇明火、高热易燃烧或爆炸。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意烧产生有毒的一氧化碳气体。在高温火场中，受热的容器或储罐有破裂和</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爆炸的危险。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建规火险分级</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内类</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稳定性</w:t>
            </w:r>
          </w:p>
        </w:tc>
        <w:tc>
          <w:tcPr>
            <w:tcW w:w="6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稳定</w:t>
            </w:r>
          </w:p>
        </w:tc>
        <w:tc>
          <w:tcPr>
            <w:tcW w:w="2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聚合危害</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不聚合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禁忌物</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强氧化剂、氨、胺类、强碱。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灭火方法</w:t>
            </w:r>
          </w:p>
        </w:tc>
        <w:tc>
          <w:tcPr>
            <w:tcW w:w="71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消防人员须佩戴空气呼吸器，穿全身耐酸碱消防服，在上风向灭火。尽可能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将容器从火场移至空旷处。喷水保持火场容器冷却，直至火火结束。处在火</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场中的容器若发生异常变化或发出异常声音，须马上撤离。火火剂：</w:t>
            </w:r>
            <w:r>
              <w:rPr>
                <w:rFonts w:hint="eastAsia" w:ascii="宋体" w:hAnsi="宋体" w:cs="宋体"/>
                <w:i w:val="0"/>
                <w:iCs w:val="0"/>
                <w:color w:val="auto"/>
                <w:kern w:val="0"/>
                <w:sz w:val="21"/>
                <w:szCs w:val="21"/>
                <w:u w:val="none"/>
                <w:lang w:val="en-US" w:eastAsia="zh-CN" w:bidi="ar"/>
              </w:rPr>
              <w:t>雾</w:t>
            </w:r>
            <w:r>
              <w:rPr>
                <w:rFonts w:hint="eastAsia" w:ascii="宋体" w:hAnsi="宋体" w:eastAsia="宋体" w:cs="宋体"/>
                <w:i w:val="0"/>
                <w:iCs w:val="0"/>
                <w:color w:val="auto"/>
                <w:kern w:val="0"/>
                <w:sz w:val="21"/>
                <w:szCs w:val="21"/>
                <w:u w:val="none"/>
                <w:lang w:val="en-US" w:eastAsia="zh-CN" w:bidi="ar"/>
              </w:rPr>
              <w:t>状水、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抗溶性泡沫、干粉、二氧化碳。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急救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方法</w:t>
            </w:r>
          </w:p>
        </w:tc>
        <w:tc>
          <w:tcPr>
            <w:tcW w:w="891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皮肤接触：立即脱去污染的衣着，用大量流动清水彻底冲洗，冲洗时间一般要求20~30min。就</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医。眼睛接触：立即分开眼睑，用大量流动清水或生理盐水彻底冲洗10~15min。就医。吸入：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迅速脱离现场至空气新鲜处。保持呼吸道通畅。如呼吸困难，给输氧。呼吸、心跳停止，立即进行心肺复苏术。就医。食入：用水漱口，禁止催吐。给饮牛奶或蛋清，就医，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储运</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条件</w:t>
            </w:r>
          </w:p>
        </w:tc>
        <w:tc>
          <w:tcPr>
            <w:tcW w:w="891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储存注意事项：储存于阴凉、通风的库房。远离火种、热源。库温不宜超过 30℃。包装要求密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封，不可与空气接触。应与氧化剂、还原剂、酸类、碱类、食用化学品分开存放，切忌混储。不宜大量储存或久存。采用防爆型照明、通风设施。禁止使用易产生火花的机械设备和工具。储区应备有泄漏应急处理设备和合适的收容材料。应严格执行极毒物品"五双"管理制度。运输注意事项：铁路运输时应严格按照铁道部《危险货物运输规则》中的危险货物配装表进行配装。运输时运输车辆应配备相应品种和数量的消防器材及泄漏应急处理设备。夏季最好早晚运输。运输时所用的槽（罐）车应有接地链，槽内可设孔隔板以减少震荡产生静电。严禁与氧化剂、还原剂、酸类、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泄漏处理</w:t>
            </w:r>
          </w:p>
        </w:tc>
        <w:tc>
          <w:tcPr>
            <w:tcW w:w="891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消除所有点火源。根据液体流动和蒸气扩散的影响区域划定警戒区，无关人员从侧风、上风向撤离至安全区。建议应急处理人员戴正压自给式呼吸器，穿防静电、防腐服，戴橡胶耐酸碱手套穿上适当的防护服前严禁接触破裂的容器和泄漏物。尽可能切断泄漏源。防止泄漏物进入水体下水道、地下室或限制性空间。小量泄漏:用干燥的砂土或其他不燃材料吸收或覆盖，收集于容器中。大量泄漏:构筑围堤或挖坑收容。用石灰(Ca0)、碎石灰石(CaCO</w:t>
            </w:r>
            <w:r>
              <w:rPr>
                <w:rFonts w:hint="eastAsia" w:ascii="宋体" w:hAnsi="宋体" w:eastAsia="宋体" w:cs="宋体"/>
                <w:i w:val="0"/>
                <w:iCs w:val="0"/>
                <w:color w:val="auto"/>
                <w:kern w:val="0"/>
                <w:sz w:val="21"/>
                <w:szCs w:val="21"/>
                <w:u w:val="none"/>
                <w:vertAlign w:val="subscript"/>
                <w:lang w:val="en-US" w:eastAsia="zh-CN" w:bidi="ar"/>
              </w:rPr>
              <w:t>3</w:t>
            </w:r>
            <w:r>
              <w:rPr>
                <w:rFonts w:hint="eastAsia" w:ascii="宋体" w:hAnsi="宋体" w:eastAsia="宋体" w:cs="宋体"/>
                <w:i w:val="0"/>
                <w:iCs w:val="0"/>
                <w:color w:val="auto"/>
                <w:kern w:val="0"/>
                <w:sz w:val="21"/>
                <w:szCs w:val="21"/>
                <w:u w:val="none"/>
                <w:lang w:val="en-US" w:eastAsia="zh-CN" w:bidi="ar"/>
              </w:rPr>
              <w:t>)或碳酸钠(NaHCO</w:t>
            </w:r>
            <w:r>
              <w:rPr>
                <w:rFonts w:hint="eastAsia" w:ascii="宋体" w:hAnsi="宋体" w:eastAsia="宋体" w:cs="宋体"/>
                <w:i w:val="0"/>
                <w:iCs w:val="0"/>
                <w:color w:val="auto"/>
                <w:kern w:val="0"/>
                <w:sz w:val="21"/>
                <w:szCs w:val="21"/>
                <w:u w:val="none"/>
                <w:vertAlign w:val="subscript"/>
                <w:lang w:val="en-US" w:eastAsia="zh-CN" w:bidi="ar"/>
              </w:rPr>
              <w:t>3</w:t>
            </w:r>
            <w:r>
              <w:rPr>
                <w:rFonts w:hint="eastAsia" w:ascii="宋体" w:hAnsi="宋体" w:eastAsia="宋体" w:cs="宋体"/>
                <w:i w:val="0"/>
                <w:iCs w:val="0"/>
                <w:color w:val="auto"/>
                <w:kern w:val="0"/>
                <w:sz w:val="21"/>
                <w:szCs w:val="21"/>
                <w:u w:val="none"/>
                <w:lang w:val="en-US" w:eastAsia="zh-CN" w:bidi="ar"/>
              </w:rPr>
              <w:t>)</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中和。用防爆、耐腐蚀泵转移至槽车或专用收集器内。</w:t>
            </w:r>
          </w:p>
        </w:tc>
      </w:tr>
    </w:tbl>
    <w:p>
      <w:pPr>
        <w:pStyle w:val="53"/>
        <w:bidi w:val="0"/>
        <w:rPr>
          <w:rFonts w:hint="eastAsia"/>
          <w:color w:val="auto"/>
          <w:lang w:val="en-US" w:eastAsia="zh-CN"/>
        </w:rPr>
      </w:pPr>
      <w:r>
        <w:rPr>
          <w:rFonts w:hint="eastAsia"/>
          <w:color w:val="auto"/>
          <w:lang w:val="en-US" w:eastAsia="zh-CN"/>
        </w:rPr>
        <w:t>5、丙烯酸甲酯[稳定的]</w:t>
      </w:r>
    </w:p>
    <w:tbl>
      <w:tblPr>
        <w:tblStyle w:val="42"/>
        <w:tblW w:w="0" w:type="auto"/>
        <w:tblInd w:w="-1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6"/>
        <w:gridCol w:w="1996"/>
        <w:gridCol w:w="915"/>
        <w:gridCol w:w="2118"/>
        <w:gridCol w:w="760"/>
        <w:gridCol w:w="2196"/>
        <w:gridCol w:w="9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标识</w:t>
            </w:r>
          </w:p>
        </w:tc>
        <w:tc>
          <w:tcPr>
            <w:tcW w:w="578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中文名：</w:t>
            </w:r>
            <w:r>
              <w:rPr>
                <w:rFonts w:hint="eastAsia" w:ascii="宋体" w:hAnsi="宋体" w:cs="宋体"/>
                <w:i w:val="0"/>
                <w:iCs w:val="0"/>
                <w:color w:val="auto"/>
                <w:kern w:val="0"/>
                <w:sz w:val="21"/>
                <w:szCs w:val="21"/>
                <w:u w:val="none"/>
                <w:lang w:val="en-US" w:eastAsia="zh-CN" w:bidi="ar"/>
              </w:rPr>
              <w:t>丙</w:t>
            </w:r>
            <w:r>
              <w:rPr>
                <w:rFonts w:hint="eastAsia" w:ascii="宋体" w:hAnsi="宋体" w:eastAsia="宋体" w:cs="宋体"/>
                <w:i w:val="0"/>
                <w:iCs w:val="0"/>
                <w:color w:val="auto"/>
                <w:kern w:val="0"/>
                <w:sz w:val="21"/>
                <w:szCs w:val="21"/>
                <w:u w:val="none"/>
                <w:lang w:val="en-US" w:eastAsia="zh-CN" w:bidi="ar"/>
              </w:rPr>
              <w:t>烯酸甲酯［稳定的］</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危险化学品目录序号：147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578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英文名：methyl acrylate</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UN编号：1919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29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分子式：C4H6O2</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分子量：86.09</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CAS号：96-33-3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理化</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性质</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外观与性状</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无色透明液体，有类似大蒜的气味。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熔点（℃)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相对密度（水＝1)</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0.95</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相对密度（空气＝1)</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沸点（℃)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80</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饱和蒸气压（kPa)</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13.33(28℃)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溶解性</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微溶于水。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毒性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及健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康危</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害</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侵入途径</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食入、吸入、经皮吸收。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毒性</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LD50:277mg/kg（大鼠经口）:1243 mg/kg（免经皮）;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LC50:4752mg/m3,4小时（大鼠吸入）,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健康危害</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浓度接触，引起流涎、眼及呼吸道的刺激症状，严重者口唇发白、呼吸困难、痉挛，因肺水肿而死亡。误服急性中毒者，出现口腔、胃、食管腐蚀症状，伴有虚脱、呼吸困难、躁动等。长期接触可致皮肤损害，亦可致肺、肝、肾病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爆炸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危险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性</w:t>
            </w: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燃烧性</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易燃</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燃烧分解物</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一氧化碳、二氧化碳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闪点（℃)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爆炸上限（v%)</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引燃温度（℃)</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468</w:t>
            </w:r>
          </w:p>
        </w:tc>
        <w:tc>
          <w:tcPr>
            <w:tcW w:w="2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爆炸下限（v%)</w:t>
            </w:r>
          </w:p>
        </w:tc>
        <w:tc>
          <w:tcPr>
            <w:tcW w:w="3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危险特性</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易燃，其蒸气与空气可形成爆炸性混合物，遇明火、高热能引起燃烧爆炸。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与氧化剂能发生强烈反应。容易自聚，聚合反应随着温度的上升而急骤加剧。其蒸气比空气重，能在较低处扩散到相当远的地方，遇火源会看火回燃。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建规火险分级</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甲类</w:t>
            </w:r>
          </w:p>
        </w:tc>
        <w:tc>
          <w:tcPr>
            <w:tcW w:w="21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稳定性</w:t>
            </w:r>
          </w:p>
        </w:tc>
        <w:tc>
          <w:tcPr>
            <w:tcW w:w="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稳定</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聚合危害</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不聚合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禁忌物</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酸类、碱类、强氧化剂。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u w:val="none"/>
              </w:rPr>
            </w:pPr>
          </w:p>
        </w:tc>
        <w:tc>
          <w:tcPr>
            <w:tcW w:w="1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灭火方法</w:t>
            </w:r>
          </w:p>
        </w:tc>
        <w:tc>
          <w:tcPr>
            <w:tcW w:w="69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消防人员必须穿全身防火防毒服，在上风向灭火。遇大火，消防人员须在有防护掩蔽处操作。灭火剂：抗溶性泡沫、二氧化碳、干粉、砂土、用水灭火无效，但可用水保持火场中容器冷却。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急救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方法</w:t>
            </w:r>
          </w:p>
        </w:tc>
        <w:tc>
          <w:tcPr>
            <w:tcW w:w="89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皮肤接触：立即脱去污染的衣着，用肥皂水和清水彻底冲洗皮肤。就医。眼睛接触：立即提起</w:t>
            </w:r>
            <w:r>
              <w:rPr>
                <w:rFonts w:hint="eastAsia" w:ascii="宋体" w:hAnsi="宋体" w:cs="宋体"/>
                <w:i w:val="0"/>
                <w:iCs w:val="0"/>
                <w:color w:val="auto"/>
                <w:kern w:val="0"/>
                <w:sz w:val="21"/>
                <w:szCs w:val="21"/>
                <w:u w:val="none"/>
                <w:lang w:val="en-US" w:eastAsia="zh-CN" w:bidi="ar"/>
              </w:rPr>
              <w:t>眼睑</w:t>
            </w:r>
            <w:r>
              <w:rPr>
                <w:rFonts w:hint="eastAsia" w:ascii="宋体" w:hAnsi="宋体" w:eastAsia="宋体" w:cs="宋体"/>
                <w:i w:val="0"/>
                <w:iCs w:val="0"/>
                <w:color w:val="auto"/>
                <w:kern w:val="0"/>
                <w:sz w:val="21"/>
                <w:szCs w:val="21"/>
                <w:u w:val="none"/>
                <w:lang w:val="en-US" w:eastAsia="zh-CN" w:bidi="ar"/>
              </w:rPr>
              <w:t>，用大量流动清水或生理盐水彻底冲洗至少 15分钟。就医。吸入：迅速脱离现场全空气新鲜处。保持呼吸道通畅。如呼吸困难，给输氧。如呼吸停止，立即进行人工呼吸。就医。食入：用水漱口，给饮牛奶或蛋清。就医。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储运</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条件</w:t>
            </w:r>
          </w:p>
        </w:tc>
        <w:tc>
          <w:tcPr>
            <w:tcW w:w="89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储存注意事项：通常商品加有阻聚剂。储存于阴凉、通风的库房。远离火种、热源。库温不</w:t>
            </w:r>
            <w:r>
              <w:rPr>
                <w:rFonts w:hint="eastAsia" w:ascii="宋体" w:hAnsi="宋体" w:cs="宋体"/>
                <w:i w:val="0"/>
                <w:iCs w:val="0"/>
                <w:color w:val="auto"/>
                <w:kern w:val="0"/>
                <w:sz w:val="21"/>
                <w:szCs w:val="21"/>
                <w:u w:val="none"/>
                <w:lang w:val="en-US" w:eastAsia="zh-CN" w:bidi="ar"/>
              </w:rPr>
              <w:t>宜</w:t>
            </w:r>
            <w:r>
              <w:rPr>
                <w:rFonts w:hint="eastAsia" w:ascii="宋体" w:hAnsi="宋体" w:eastAsia="宋体" w:cs="宋体"/>
                <w:i w:val="0"/>
                <w:iCs w:val="0"/>
                <w:color w:val="auto"/>
                <w:kern w:val="0"/>
                <w:sz w:val="21"/>
                <w:szCs w:val="21"/>
                <w:u w:val="none"/>
                <w:lang w:val="en-US" w:eastAsia="zh-CN" w:bidi="ar"/>
              </w:rPr>
              <w:t>超过26℃。包装要求密封，不可与空气接触。应与氧化剂、酸类、碱类分开存放，切忌混储，不宜大量储存或久存。采用防爆型照明、通风设施。禁止使用易产生火花的机械设备和工具，储区应备有泄漏应急处理设备和合适的收容材料。运输注意事项：运输时运输车辆应配备相应品种和数量的消防器材及滑漏应急处理设备。夏季最好早晚运输。运输时所用的槽（罐）车应有接地链，槽内可设孔隔板以减少震荡产生静电。严禁与氧化剂、酸类、碱类、食用化学品等混装混运。运输途中应防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w:t>
            </w:r>
            <w:r>
              <w:rPr>
                <w:rFonts w:hint="eastAsia" w:ascii="宋体" w:hAnsi="宋体" w:cs="宋体"/>
                <w:i w:val="0"/>
                <w:iCs w:val="0"/>
                <w:color w:val="auto"/>
                <w:kern w:val="0"/>
                <w:sz w:val="21"/>
                <w:szCs w:val="21"/>
                <w:u w:val="none"/>
                <w:lang w:val="en-US" w:eastAsia="zh-CN" w:bidi="ar"/>
              </w:rPr>
              <w:t>装运输。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4" w:hRule="atLeast"/>
        </w:trPr>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泄漏处理</w:t>
            </w:r>
          </w:p>
        </w:tc>
        <w:tc>
          <w:tcPr>
            <w:tcW w:w="89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迅速撤离泄漏污染区人员至安全区，并进行隔离，严格限制出入。切断火源。建议应急处理人员戴自给正压式呼吸器，穿防静电工作服。尽可能切断泄漏源。防止流入下水道、排洪沟等限制性空间。小量泄漏:用活性炭或其它惰性材料吸收。也可以用大量水冲洗，洗水稀释后放入废水系统。大量泄漏:构筑围堤或挖坑收容。用泡沫覆盖，降低蒸气灾害。喷雾状水或泡沫冷却和稀释蒸汽、保护现场人员。用防爆泵转移至槽车或专用收集器内，回收或运至废物处理场所处置。</w:t>
            </w:r>
          </w:p>
        </w:tc>
      </w:tr>
    </w:tbl>
    <w:p>
      <w:pPr>
        <w:pStyle w:val="53"/>
        <w:bidi w:val="0"/>
        <w:rPr>
          <w:color w:val="auto"/>
        </w:rPr>
      </w:pPr>
      <w:r>
        <w:rPr>
          <w:rFonts w:hint="eastAsia"/>
          <w:color w:val="auto"/>
          <w:lang w:val="en-US" w:eastAsia="zh-CN"/>
        </w:rPr>
        <w:t>6、</w:t>
      </w:r>
      <w:r>
        <w:rPr>
          <w:color w:val="auto"/>
        </w:rPr>
        <w:t>柴油</w:t>
      </w:r>
    </w:p>
    <w:tbl>
      <w:tblPr>
        <w:tblStyle w:val="42"/>
        <w:tblW w:w="5082" w:type="pct"/>
        <w:tblInd w:w="-8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1643"/>
        <w:gridCol w:w="1575"/>
        <w:gridCol w:w="932"/>
        <w:gridCol w:w="2367"/>
        <w:gridCol w:w="18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27" w:type="pct"/>
            <w:tcBorders>
              <w:tl2br w:val="nil"/>
              <w:tr2bl w:val="nil"/>
            </w:tcBorders>
            <w:noWrap w:val="0"/>
            <w:vAlign w:val="center"/>
          </w:tcPr>
          <w:p>
            <w:pPr>
              <w:spacing w:line="240" w:lineRule="auto"/>
              <w:jc w:val="center"/>
              <w:rPr>
                <w:b/>
                <w:bCs w:val="0"/>
                <w:color w:val="auto"/>
                <w:sz w:val="21"/>
                <w:szCs w:val="21"/>
              </w:rPr>
            </w:pPr>
            <w:r>
              <w:rPr>
                <w:rFonts w:hint="eastAsia" w:ascii="宋体" w:hAnsi="宋体" w:eastAsia="宋体" w:cs="宋体"/>
                <w:b/>
                <w:bCs w:val="0"/>
                <w:color w:val="auto"/>
                <w:sz w:val="21"/>
                <w:szCs w:val="21"/>
              </w:rPr>
              <w:t>品</w:t>
            </w:r>
            <w:r>
              <w:rPr>
                <w:b/>
                <w:bCs w:val="0"/>
                <w:color w:val="auto"/>
                <w:sz w:val="21"/>
                <w:szCs w:val="21"/>
              </w:rPr>
              <w:t xml:space="preserve">   </w:t>
            </w:r>
            <w:r>
              <w:rPr>
                <w:rFonts w:hint="eastAsia" w:ascii="宋体" w:hAnsi="宋体" w:eastAsia="宋体" w:cs="宋体"/>
                <w:b/>
                <w:bCs w:val="0"/>
                <w:color w:val="auto"/>
                <w:sz w:val="21"/>
                <w:szCs w:val="21"/>
              </w:rPr>
              <w:t>名</w:t>
            </w:r>
          </w:p>
        </w:tc>
        <w:tc>
          <w:tcPr>
            <w:tcW w:w="859" w:type="pct"/>
            <w:tcBorders>
              <w:tl2br w:val="nil"/>
              <w:tr2bl w:val="nil"/>
            </w:tcBorders>
            <w:noWrap w:val="0"/>
            <w:vAlign w:val="center"/>
          </w:tcPr>
          <w:p>
            <w:pPr>
              <w:spacing w:line="240" w:lineRule="auto"/>
              <w:jc w:val="center"/>
              <w:rPr>
                <w:b/>
                <w:bCs w:val="0"/>
                <w:color w:val="auto"/>
                <w:sz w:val="21"/>
                <w:szCs w:val="21"/>
              </w:rPr>
            </w:pPr>
            <w:r>
              <w:rPr>
                <w:b/>
                <w:bCs w:val="0"/>
                <w:color w:val="auto"/>
                <w:sz w:val="21"/>
                <w:szCs w:val="21"/>
              </w:rPr>
              <w:t>柴油</w:t>
            </w:r>
          </w:p>
        </w:tc>
        <w:tc>
          <w:tcPr>
            <w:tcW w:w="824" w:type="pct"/>
            <w:tcBorders>
              <w:tl2br w:val="nil"/>
              <w:tr2bl w:val="nil"/>
            </w:tcBorders>
            <w:noWrap w:val="0"/>
            <w:vAlign w:val="center"/>
          </w:tcPr>
          <w:p>
            <w:pPr>
              <w:spacing w:line="240" w:lineRule="auto"/>
              <w:jc w:val="center"/>
              <w:rPr>
                <w:b/>
                <w:bCs w:val="0"/>
                <w:color w:val="auto"/>
                <w:sz w:val="21"/>
                <w:szCs w:val="21"/>
              </w:rPr>
            </w:pPr>
            <w:r>
              <w:rPr>
                <w:b/>
                <w:bCs w:val="0"/>
                <w:color w:val="auto"/>
                <w:sz w:val="21"/>
                <w:szCs w:val="21"/>
              </w:rPr>
              <w:t>别      名</w:t>
            </w:r>
          </w:p>
        </w:tc>
        <w:tc>
          <w:tcPr>
            <w:tcW w:w="487" w:type="pct"/>
            <w:tcBorders>
              <w:tl2br w:val="nil"/>
              <w:tr2bl w:val="nil"/>
            </w:tcBorders>
            <w:noWrap w:val="0"/>
            <w:vAlign w:val="center"/>
          </w:tcPr>
          <w:p>
            <w:pPr>
              <w:spacing w:line="240" w:lineRule="auto"/>
              <w:jc w:val="center"/>
              <w:rPr>
                <w:b/>
                <w:bCs w:val="0"/>
                <w:color w:val="auto"/>
                <w:sz w:val="21"/>
                <w:szCs w:val="21"/>
              </w:rPr>
            </w:pPr>
          </w:p>
        </w:tc>
        <w:tc>
          <w:tcPr>
            <w:tcW w:w="1239" w:type="pct"/>
            <w:tcBorders>
              <w:tl2br w:val="nil"/>
              <w:tr2bl w:val="nil"/>
            </w:tcBorders>
            <w:noWrap w:val="0"/>
            <w:vAlign w:val="center"/>
          </w:tcPr>
          <w:p>
            <w:pPr>
              <w:spacing w:line="240" w:lineRule="auto"/>
              <w:ind w:right="-288"/>
              <w:jc w:val="center"/>
              <w:rPr>
                <w:b/>
                <w:bCs w:val="0"/>
                <w:color w:val="auto"/>
                <w:sz w:val="21"/>
                <w:szCs w:val="21"/>
              </w:rPr>
            </w:pPr>
            <w:r>
              <w:rPr>
                <w:b/>
                <w:bCs w:val="0"/>
                <w:color w:val="auto"/>
                <w:sz w:val="21"/>
                <w:szCs w:val="21"/>
              </w:rPr>
              <w:t>CAS号</w:t>
            </w:r>
          </w:p>
        </w:tc>
        <w:tc>
          <w:tcPr>
            <w:tcW w:w="961" w:type="pct"/>
            <w:tcBorders>
              <w:tl2br w:val="nil"/>
              <w:tr2bl w:val="nil"/>
            </w:tcBorders>
            <w:noWrap w:val="0"/>
            <w:vAlign w:val="center"/>
          </w:tcPr>
          <w:p>
            <w:pPr>
              <w:spacing w:line="240" w:lineRule="auto"/>
              <w:ind w:firstLine="210" w:firstLineChars="100"/>
              <w:rPr>
                <w:rFonts w:hint="default" w:eastAsia="宋体"/>
                <w:b/>
                <w:bCs w:val="0"/>
                <w:color w:val="auto"/>
                <w:sz w:val="21"/>
                <w:szCs w:val="21"/>
                <w:lang w:val="en-US" w:eastAsia="zh-CN"/>
              </w:rPr>
            </w:pPr>
            <w:r>
              <w:rPr>
                <w:rFonts w:hint="eastAsia"/>
                <w:b w:val="0"/>
                <w:bCs/>
                <w:color w:val="auto"/>
                <w:sz w:val="21"/>
                <w:szCs w:val="21"/>
                <w:lang w:val="en-US" w:eastAsia="zh-CN"/>
              </w:rPr>
              <w:t>68334-30-5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27" w:type="pct"/>
            <w:tcBorders>
              <w:tl2br w:val="nil"/>
              <w:tr2bl w:val="nil"/>
            </w:tcBorders>
            <w:noWrap w:val="0"/>
            <w:vAlign w:val="center"/>
          </w:tcPr>
          <w:p>
            <w:pPr>
              <w:spacing w:line="240" w:lineRule="auto"/>
              <w:jc w:val="center"/>
              <w:rPr>
                <w:bCs/>
                <w:color w:val="auto"/>
                <w:sz w:val="21"/>
                <w:szCs w:val="21"/>
              </w:rPr>
            </w:pPr>
            <w:r>
              <w:rPr>
                <w:bCs/>
                <w:color w:val="auto"/>
                <w:sz w:val="21"/>
                <w:szCs w:val="21"/>
              </w:rPr>
              <w:t>英文</w:t>
            </w:r>
          </w:p>
          <w:p>
            <w:pPr>
              <w:spacing w:line="240" w:lineRule="auto"/>
              <w:jc w:val="center"/>
              <w:rPr>
                <w:bCs/>
                <w:color w:val="auto"/>
                <w:sz w:val="21"/>
                <w:szCs w:val="21"/>
              </w:rPr>
            </w:pPr>
            <w:r>
              <w:rPr>
                <w:bCs/>
                <w:color w:val="auto"/>
                <w:sz w:val="21"/>
                <w:szCs w:val="21"/>
              </w:rPr>
              <w:t>名称</w:t>
            </w:r>
          </w:p>
        </w:tc>
        <w:tc>
          <w:tcPr>
            <w:tcW w:w="859" w:type="pct"/>
            <w:tcBorders>
              <w:tl2br w:val="nil"/>
              <w:tr2bl w:val="nil"/>
            </w:tcBorders>
            <w:noWrap w:val="0"/>
            <w:vAlign w:val="center"/>
          </w:tcPr>
          <w:p>
            <w:pPr>
              <w:spacing w:line="240" w:lineRule="auto"/>
              <w:ind w:firstLine="315" w:firstLineChars="150"/>
              <w:jc w:val="left"/>
              <w:rPr>
                <w:color w:val="auto"/>
                <w:sz w:val="21"/>
                <w:szCs w:val="21"/>
              </w:rPr>
            </w:pPr>
            <w:r>
              <w:rPr>
                <w:color w:val="auto"/>
                <w:sz w:val="21"/>
                <w:szCs w:val="21"/>
              </w:rPr>
              <w:t>Diesel  oil</w:t>
            </w:r>
          </w:p>
        </w:tc>
        <w:tc>
          <w:tcPr>
            <w:tcW w:w="824" w:type="pct"/>
            <w:tcBorders>
              <w:tl2br w:val="nil"/>
              <w:tr2bl w:val="nil"/>
            </w:tcBorders>
            <w:noWrap w:val="0"/>
            <w:vAlign w:val="center"/>
          </w:tcPr>
          <w:p>
            <w:pPr>
              <w:spacing w:line="240" w:lineRule="auto"/>
              <w:jc w:val="center"/>
              <w:rPr>
                <w:bCs/>
                <w:color w:val="auto"/>
                <w:sz w:val="21"/>
                <w:szCs w:val="21"/>
              </w:rPr>
            </w:pPr>
            <w:r>
              <w:rPr>
                <w:bCs/>
                <w:color w:val="auto"/>
                <w:sz w:val="21"/>
                <w:szCs w:val="21"/>
              </w:rPr>
              <w:t>分  子  式</w:t>
            </w:r>
          </w:p>
        </w:tc>
        <w:tc>
          <w:tcPr>
            <w:tcW w:w="487" w:type="pct"/>
            <w:tcBorders>
              <w:tl2br w:val="nil"/>
              <w:tr2bl w:val="nil"/>
            </w:tcBorders>
            <w:noWrap w:val="0"/>
            <w:vAlign w:val="center"/>
          </w:tcPr>
          <w:p>
            <w:pPr>
              <w:spacing w:line="240" w:lineRule="auto"/>
              <w:jc w:val="center"/>
              <w:rPr>
                <w:color w:val="auto"/>
                <w:sz w:val="21"/>
                <w:szCs w:val="21"/>
              </w:rPr>
            </w:pPr>
          </w:p>
        </w:tc>
        <w:tc>
          <w:tcPr>
            <w:tcW w:w="1239" w:type="pct"/>
            <w:tcBorders>
              <w:tl2br w:val="nil"/>
              <w:tr2bl w:val="nil"/>
            </w:tcBorders>
            <w:noWrap w:val="0"/>
            <w:vAlign w:val="center"/>
          </w:tcPr>
          <w:p>
            <w:pPr>
              <w:spacing w:line="240" w:lineRule="auto"/>
              <w:rPr>
                <w:bCs/>
                <w:color w:val="auto"/>
                <w:sz w:val="21"/>
                <w:szCs w:val="21"/>
              </w:rPr>
            </w:pPr>
            <w:r>
              <w:rPr>
                <w:bCs/>
                <w:color w:val="auto"/>
                <w:sz w:val="21"/>
                <w:szCs w:val="21"/>
              </w:rPr>
              <w:t>危险化学品目录序号</w:t>
            </w:r>
          </w:p>
        </w:tc>
        <w:tc>
          <w:tcPr>
            <w:tcW w:w="961" w:type="pct"/>
            <w:tcBorders>
              <w:tl2br w:val="nil"/>
              <w:tr2bl w:val="nil"/>
            </w:tcBorders>
            <w:noWrap w:val="0"/>
            <w:vAlign w:val="center"/>
          </w:tcPr>
          <w:p>
            <w:pPr>
              <w:spacing w:line="240" w:lineRule="auto"/>
              <w:ind w:left="-195" w:hanging="2"/>
              <w:jc w:val="center"/>
              <w:rPr>
                <w:rFonts w:hint="eastAsia" w:eastAsia="宋体"/>
                <w:color w:val="auto"/>
                <w:sz w:val="21"/>
                <w:szCs w:val="21"/>
              </w:rPr>
            </w:pPr>
            <w:r>
              <w:rPr>
                <w:rFonts w:hint="eastAsia" w:eastAsia="宋体"/>
                <w:color w:val="auto"/>
                <w:sz w:val="21"/>
                <w:szCs w:val="21"/>
              </w:rPr>
              <w:t>1674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27" w:hRule="atLeast"/>
        </w:trPr>
        <w:tc>
          <w:tcPr>
            <w:tcW w:w="627" w:type="pct"/>
            <w:tcBorders>
              <w:tl2br w:val="nil"/>
              <w:tr2bl w:val="nil"/>
            </w:tcBorders>
            <w:noWrap w:val="0"/>
            <w:vAlign w:val="center"/>
          </w:tcPr>
          <w:p>
            <w:pPr>
              <w:spacing w:line="240" w:lineRule="auto"/>
              <w:jc w:val="center"/>
              <w:rPr>
                <w:rFonts w:hint="eastAsia" w:ascii="宋体" w:hAnsi="宋体" w:eastAsia="宋体" w:cs="宋体"/>
                <w:bCs/>
                <w:color w:val="auto"/>
                <w:sz w:val="21"/>
                <w:szCs w:val="21"/>
              </w:rPr>
            </w:pPr>
            <w:r>
              <w:rPr>
                <w:rFonts w:hint="eastAsia" w:ascii="宋体" w:hAnsi="宋体" w:eastAsia="宋体" w:cs="宋体"/>
                <w:bCs/>
                <w:color w:val="auto"/>
                <w:sz w:val="21"/>
                <w:szCs w:val="21"/>
              </w:rPr>
              <w:t>理化</w:t>
            </w:r>
          </w:p>
          <w:p>
            <w:pPr>
              <w:spacing w:line="240" w:lineRule="auto"/>
              <w:jc w:val="center"/>
              <w:rPr>
                <w:bCs/>
                <w:color w:val="auto"/>
                <w:sz w:val="21"/>
                <w:szCs w:val="21"/>
              </w:rPr>
            </w:pPr>
            <w:r>
              <w:rPr>
                <w:rFonts w:hint="eastAsia" w:ascii="宋体" w:hAnsi="宋体" w:eastAsia="宋体" w:cs="宋体"/>
                <w:bCs/>
                <w:color w:val="auto"/>
                <w:sz w:val="21"/>
                <w:szCs w:val="21"/>
              </w:rPr>
              <w:t>性质</w:t>
            </w:r>
          </w:p>
        </w:tc>
        <w:tc>
          <w:tcPr>
            <w:tcW w:w="4372" w:type="pct"/>
            <w:gridSpan w:val="5"/>
            <w:tcBorders>
              <w:tl2br w:val="nil"/>
              <w:tr2bl w:val="nil"/>
            </w:tcBorders>
            <w:noWrap w:val="0"/>
            <w:vAlign w:val="center"/>
          </w:tcPr>
          <w:p>
            <w:pPr>
              <w:spacing w:line="240" w:lineRule="auto"/>
              <w:jc w:val="left"/>
              <w:rPr>
                <w:color w:val="auto"/>
                <w:sz w:val="21"/>
                <w:szCs w:val="21"/>
              </w:rPr>
            </w:pPr>
            <w:r>
              <w:rPr>
                <w:color w:val="auto"/>
                <w:sz w:val="21"/>
                <w:szCs w:val="21"/>
              </w:rPr>
              <w:t>外观与性状：稍有粘性的棕色液体。</w:t>
            </w:r>
          </w:p>
          <w:p>
            <w:pPr>
              <w:spacing w:line="240" w:lineRule="auto"/>
              <w:jc w:val="left"/>
              <w:rPr>
                <w:color w:val="auto"/>
                <w:sz w:val="21"/>
                <w:szCs w:val="21"/>
              </w:rPr>
            </w:pPr>
            <w:r>
              <w:rPr>
                <w:color w:val="auto"/>
                <w:sz w:val="21"/>
                <w:szCs w:val="21"/>
              </w:rPr>
              <w:t>熔点（℃）：　&lt;</w:t>
            </w:r>
            <w:r>
              <w:rPr>
                <w:rFonts w:hint="eastAsia"/>
                <w:color w:val="auto"/>
                <w:sz w:val="21"/>
                <w:szCs w:val="21"/>
                <w:lang w:val="en-US" w:eastAsia="zh-CN"/>
              </w:rPr>
              <w:t>-</w:t>
            </w:r>
            <w:r>
              <w:rPr>
                <w:color w:val="auto"/>
                <w:sz w:val="21"/>
                <w:szCs w:val="21"/>
              </w:rPr>
              <w:t>18　               沸点（℃）：　282</w:t>
            </w:r>
            <w:r>
              <w:rPr>
                <w:rFonts w:hint="eastAsia"/>
                <w:color w:val="auto"/>
                <w:sz w:val="21"/>
                <w:szCs w:val="21"/>
                <w:lang w:val="en-US" w:eastAsia="zh-CN"/>
              </w:rPr>
              <w:t>—</w:t>
            </w:r>
            <w:r>
              <w:rPr>
                <w:color w:val="auto"/>
                <w:sz w:val="21"/>
                <w:szCs w:val="21"/>
              </w:rPr>
              <w:t>338</w:t>
            </w:r>
          </w:p>
          <w:p>
            <w:pPr>
              <w:spacing w:line="240" w:lineRule="auto"/>
              <w:jc w:val="left"/>
              <w:rPr>
                <w:color w:val="auto"/>
                <w:sz w:val="21"/>
                <w:szCs w:val="21"/>
              </w:rPr>
            </w:pPr>
            <w:r>
              <w:rPr>
                <w:color w:val="auto"/>
                <w:sz w:val="21"/>
                <w:szCs w:val="21"/>
              </w:rPr>
              <w:t>相对密度（水＝1）：0.8-0.9     相对密度（空气＝1）：</w:t>
            </w:r>
            <w:r>
              <w:rPr>
                <w:rFonts w:hint="eastAsia"/>
                <w:color w:val="auto"/>
                <w:sz w:val="21"/>
                <w:szCs w:val="21"/>
                <w:lang w:val="en-US" w:eastAsia="zh-CN"/>
              </w:rPr>
              <w:t>4</w:t>
            </w:r>
            <w:r>
              <w:rPr>
                <w:color w:val="auto"/>
                <w:sz w:val="21"/>
                <w:szCs w:val="21"/>
              </w:rPr>
              <w:t>　</w:t>
            </w:r>
          </w:p>
          <w:p>
            <w:pPr>
              <w:spacing w:line="240" w:lineRule="auto"/>
              <w:jc w:val="left"/>
              <w:rPr>
                <w:color w:val="auto"/>
                <w:sz w:val="21"/>
                <w:szCs w:val="21"/>
              </w:rPr>
            </w:pPr>
            <w:r>
              <w:rPr>
                <w:color w:val="auto"/>
                <w:sz w:val="21"/>
                <w:szCs w:val="21"/>
              </w:rPr>
              <w:t xml:space="preserve">饱和蒸气压（kPa）：无资料         燃烧热（Kj/mol）：无资料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270" w:hRule="atLeast"/>
        </w:trPr>
        <w:tc>
          <w:tcPr>
            <w:tcW w:w="627" w:type="pct"/>
            <w:tcBorders>
              <w:tl2br w:val="nil"/>
              <w:tr2bl w:val="nil"/>
            </w:tcBorders>
            <w:noWrap w:val="0"/>
            <w:vAlign w:val="center"/>
          </w:tcPr>
          <w:p>
            <w:pPr>
              <w:spacing w:line="240" w:lineRule="auto"/>
              <w:jc w:val="center"/>
              <w:rPr>
                <w:bCs/>
                <w:color w:val="auto"/>
                <w:sz w:val="21"/>
                <w:szCs w:val="21"/>
              </w:rPr>
            </w:pPr>
            <w:r>
              <w:rPr>
                <w:rFonts w:hint="eastAsia" w:ascii="宋体" w:hAnsi="宋体" w:eastAsia="宋体" w:cs="宋体"/>
                <w:bCs/>
                <w:color w:val="auto"/>
                <w:sz w:val="21"/>
                <w:szCs w:val="21"/>
              </w:rPr>
              <w:t>燃烧爆炸危险性</w:t>
            </w:r>
          </w:p>
        </w:tc>
        <w:tc>
          <w:tcPr>
            <w:tcW w:w="4372" w:type="pct"/>
            <w:gridSpan w:val="5"/>
            <w:tcBorders>
              <w:tl2br w:val="nil"/>
              <w:tr2bl w:val="nil"/>
            </w:tcBorders>
            <w:noWrap w:val="0"/>
            <w:vAlign w:val="top"/>
          </w:tcPr>
          <w:p>
            <w:pPr>
              <w:spacing w:line="240" w:lineRule="auto"/>
              <w:rPr>
                <w:color w:val="auto"/>
                <w:sz w:val="21"/>
                <w:szCs w:val="21"/>
              </w:rPr>
            </w:pPr>
            <w:r>
              <w:rPr>
                <w:color w:val="auto"/>
                <w:sz w:val="21"/>
                <w:szCs w:val="21"/>
              </w:rPr>
              <w:t>燃烧性：可燃     建规火险等级：</w:t>
            </w:r>
            <w:r>
              <w:rPr>
                <w:rFonts w:hint="eastAsia"/>
                <w:color w:val="auto"/>
                <w:sz w:val="21"/>
                <w:szCs w:val="21"/>
                <w:lang w:val="en-US" w:eastAsia="zh-CN"/>
              </w:rPr>
              <w:t>丙</w:t>
            </w:r>
            <w:r>
              <w:rPr>
                <w:rFonts w:hint="eastAsia"/>
                <w:color w:val="auto"/>
                <w:sz w:val="21"/>
                <w:szCs w:val="21"/>
                <w:vertAlign w:val="subscript"/>
                <w:lang w:val="en-US" w:eastAsia="zh-CN"/>
              </w:rPr>
              <w:t>A</w:t>
            </w:r>
            <w:r>
              <w:rPr>
                <w:color w:val="auto"/>
                <w:sz w:val="21"/>
                <w:szCs w:val="21"/>
              </w:rPr>
              <w:t>类</w:t>
            </w:r>
          </w:p>
          <w:p>
            <w:pPr>
              <w:spacing w:line="240" w:lineRule="auto"/>
              <w:rPr>
                <w:color w:val="auto"/>
                <w:sz w:val="21"/>
                <w:szCs w:val="21"/>
              </w:rPr>
            </w:pPr>
            <w:r>
              <w:rPr>
                <w:color w:val="auto"/>
                <w:sz w:val="21"/>
                <w:szCs w:val="21"/>
              </w:rPr>
              <w:t>闪点：</w:t>
            </w:r>
            <w:r>
              <w:rPr>
                <w:rFonts w:hint="eastAsia"/>
                <w:color w:val="auto"/>
                <w:sz w:val="21"/>
                <w:szCs w:val="21"/>
                <w:lang w:val="en-US" w:eastAsia="zh-CN"/>
              </w:rPr>
              <w:t>≥60</w:t>
            </w:r>
            <w:r>
              <w:rPr>
                <w:color w:val="auto"/>
                <w:sz w:val="21"/>
                <w:szCs w:val="21"/>
              </w:rPr>
              <w:t>℃      爆炸下限（V%）：无资料      自燃温度：257℃</w:t>
            </w:r>
          </w:p>
          <w:p>
            <w:pPr>
              <w:spacing w:line="240" w:lineRule="auto"/>
              <w:rPr>
                <w:color w:val="auto"/>
                <w:sz w:val="21"/>
                <w:szCs w:val="21"/>
              </w:rPr>
            </w:pPr>
            <w:r>
              <w:rPr>
                <w:color w:val="auto"/>
                <w:sz w:val="21"/>
                <w:szCs w:val="21"/>
              </w:rPr>
              <w:t>危险特性：遇明火、高热或与氧化剂接触，有引起燃烧爆炸的危险。若遇高热，容器内压增大，有开裂和爆炸的危险。</w:t>
            </w:r>
          </w:p>
          <w:p>
            <w:pPr>
              <w:spacing w:line="240" w:lineRule="auto"/>
              <w:rPr>
                <w:color w:val="auto"/>
                <w:sz w:val="21"/>
                <w:szCs w:val="21"/>
              </w:rPr>
            </w:pPr>
            <w:r>
              <w:rPr>
                <w:color w:val="auto"/>
                <w:sz w:val="21"/>
                <w:szCs w:val="21"/>
              </w:rPr>
              <w:t>稳定性：稳定            聚合危害：无</w:t>
            </w:r>
          </w:p>
          <w:p>
            <w:pPr>
              <w:spacing w:line="240" w:lineRule="auto"/>
              <w:rPr>
                <w:color w:val="auto"/>
                <w:sz w:val="21"/>
                <w:szCs w:val="21"/>
              </w:rPr>
            </w:pPr>
            <w:r>
              <w:rPr>
                <w:color w:val="auto"/>
                <w:sz w:val="21"/>
                <w:szCs w:val="21"/>
              </w:rPr>
              <w:t>禁忌物：强氧化剂、卤素。</w:t>
            </w:r>
          </w:p>
          <w:p>
            <w:pPr>
              <w:spacing w:line="240" w:lineRule="auto"/>
              <w:rPr>
                <w:color w:val="auto"/>
                <w:sz w:val="21"/>
                <w:szCs w:val="21"/>
              </w:rPr>
            </w:pPr>
            <w:r>
              <w:rPr>
                <w:color w:val="auto"/>
                <w:sz w:val="21"/>
                <w:szCs w:val="21"/>
              </w:rPr>
              <w:t>灭火方法：泡沫、二氧化碳、干粉、砂土。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27" w:type="pct"/>
            <w:tcBorders>
              <w:tl2br w:val="nil"/>
              <w:tr2bl w:val="nil"/>
            </w:tcBorders>
            <w:noWrap w:val="0"/>
            <w:vAlign w:val="center"/>
          </w:tcPr>
          <w:p>
            <w:pPr>
              <w:spacing w:line="240" w:lineRule="auto"/>
              <w:jc w:val="center"/>
              <w:rPr>
                <w:bCs/>
                <w:color w:val="auto"/>
                <w:sz w:val="21"/>
                <w:szCs w:val="21"/>
              </w:rPr>
            </w:pPr>
            <w:r>
              <w:rPr>
                <w:bCs/>
                <w:color w:val="auto"/>
                <w:sz w:val="21"/>
                <w:szCs w:val="21"/>
              </w:rPr>
              <w:t>毒性</w:t>
            </w:r>
          </w:p>
          <w:p>
            <w:pPr>
              <w:spacing w:line="240" w:lineRule="auto"/>
              <w:jc w:val="center"/>
              <w:rPr>
                <w:bCs/>
                <w:color w:val="auto"/>
                <w:sz w:val="21"/>
                <w:szCs w:val="21"/>
              </w:rPr>
            </w:pPr>
            <w:r>
              <w:rPr>
                <w:bCs/>
                <w:color w:val="auto"/>
                <w:sz w:val="21"/>
                <w:szCs w:val="21"/>
              </w:rPr>
              <w:t>及健</w:t>
            </w:r>
          </w:p>
          <w:p>
            <w:pPr>
              <w:spacing w:line="240" w:lineRule="auto"/>
              <w:jc w:val="center"/>
              <w:rPr>
                <w:bCs/>
                <w:color w:val="auto"/>
                <w:sz w:val="21"/>
                <w:szCs w:val="21"/>
              </w:rPr>
            </w:pPr>
            <w:r>
              <w:rPr>
                <w:bCs/>
                <w:color w:val="auto"/>
                <w:sz w:val="21"/>
                <w:szCs w:val="21"/>
              </w:rPr>
              <w:t>康危</w:t>
            </w:r>
          </w:p>
          <w:p>
            <w:pPr>
              <w:spacing w:line="240" w:lineRule="auto"/>
              <w:jc w:val="center"/>
              <w:rPr>
                <w:bCs/>
                <w:color w:val="auto"/>
                <w:sz w:val="21"/>
                <w:szCs w:val="21"/>
              </w:rPr>
            </w:pPr>
            <w:r>
              <w:rPr>
                <w:bCs/>
                <w:color w:val="auto"/>
                <w:sz w:val="21"/>
                <w:szCs w:val="21"/>
              </w:rPr>
              <w:t>害性</w:t>
            </w:r>
          </w:p>
        </w:tc>
        <w:tc>
          <w:tcPr>
            <w:tcW w:w="4372" w:type="pct"/>
            <w:gridSpan w:val="5"/>
            <w:tcBorders>
              <w:tl2br w:val="nil"/>
              <w:tr2bl w:val="nil"/>
            </w:tcBorders>
            <w:noWrap w:val="0"/>
            <w:vAlign w:val="center"/>
          </w:tcPr>
          <w:p>
            <w:pPr>
              <w:spacing w:line="240" w:lineRule="auto"/>
              <w:rPr>
                <w:color w:val="auto"/>
                <w:sz w:val="21"/>
                <w:szCs w:val="21"/>
              </w:rPr>
            </w:pPr>
            <w:r>
              <w:rPr>
                <w:color w:val="auto"/>
                <w:sz w:val="21"/>
                <w:szCs w:val="21"/>
              </w:rPr>
              <w:t xml:space="preserve">接触限值：中国MAC：未制定标准。    </w:t>
            </w:r>
          </w:p>
          <w:p>
            <w:pPr>
              <w:spacing w:line="240" w:lineRule="auto"/>
              <w:rPr>
                <w:color w:val="auto"/>
                <w:sz w:val="21"/>
                <w:szCs w:val="21"/>
              </w:rPr>
            </w:pPr>
            <w:r>
              <w:rPr>
                <w:color w:val="auto"/>
                <w:sz w:val="21"/>
                <w:szCs w:val="21"/>
              </w:rPr>
              <w:t>侵入途径：吸入，食入，经皮吸收。</w:t>
            </w:r>
          </w:p>
          <w:p>
            <w:pPr>
              <w:spacing w:line="240" w:lineRule="auto"/>
              <w:rPr>
                <w:color w:val="auto"/>
                <w:sz w:val="21"/>
                <w:szCs w:val="21"/>
              </w:rPr>
            </w:pPr>
            <w:r>
              <w:rPr>
                <w:color w:val="auto"/>
                <w:sz w:val="21"/>
                <w:szCs w:val="21"/>
              </w:rPr>
              <w:t>健康危害：具有刺激作用。皮肤接触柴油可引起接触性皮炎，油性痤疮，吸入可引起性肺炎。能经胎盘进入胎儿血中。柴油废气可引起眼、鼻刺激症状，头晕及头痛。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627" w:type="pct"/>
            <w:tcBorders>
              <w:tl2br w:val="nil"/>
              <w:tr2bl w:val="nil"/>
            </w:tcBorders>
            <w:noWrap w:val="0"/>
            <w:vAlign w:val="center"/>
          </w:tcPr>
          <w:p>
            <w:pPr>
              <w:spacing w:line="240" w:lineRule="auto"/>
              <w:jc w:val="center"/>
              <w:rPr>
                <w:bCs/>
                <w:color w:val="auto"/>
                <w:sz w:val="21"/>
                <w:szCs w:val="21"/>
              </w:rPr>
            </w:pPr>
            <w:r>
              <w:rPr>
                <w:bCs/>
                <w:color w:val="auto"/>
                <w:sz w:val="21"/>
                <w:szCs w:val="21"/>
              </w:rPr>
              <w:t>急救</w:t>
            </w:r>
          </w:p>
        </w:tc>
        <w:tc>
          <w:tcPr>
            <w:tcW w:w="4372" w:type="pct"/>
            <w:gridSpan w:val="5"/>
            <w:tcBorders>
              <w:tl2br w:val="nil"/>
              <w:tr2bl w:val="nil"/>
            </w:tcBorders>
            <w:noWrap w:val="0"/>
            <w:vAlign w:val="center"/>
          </w:tcPr>
          <w:p>
            <w:pPr>
              <w:spacing w:line="240" w:lineRule="auto"/>
              <w:rPr>
                <w:color w:val="auto"/>
                <w:sz w:val="21"/>
                <w:szCs w:val="21"/>
              </w:rPr>
            </w:pPr>
            <w:r>
              <w:rPr>
                <w:color w:val="auto"/>
                <w:sz w:val="21"/>
                <w:szCs w:val="21"/>
              </w:rPr>
              <w:t>吸入：迅速脱离污染区，就医。防治吸入性肺炎。</w:t>
            </w:r>
          </w:p>
          <w:p>
            <w:pPr>
              <w:spacing w:line="240" w:lineRule="auto"/>
              <w:rPr>
                <w:color w:val="auto"/>
                <w:sz w:val="21"/>
                <w:szCs w:val="21"/>
              </w:rPr>
            </w:pPr>
            <w:r>
              <w:rPr>
                <w:color w:val="auto"/>
                <w:sz w:val="21"/>
                <w:szCs w:val="21"/>
              </w:rPr>
              <w:t>食入：误服者饮牛奶或植物油，洗胃或灌肠，就医。</w:t>
            </w:r>
          </w:p>
          <w:p>
            <w:pPr>
              <w:spacing w:line="240" w:lineRule="auto"/>
              <w:rPr>
                <w:color w:val="auto"/>
                <w:sz w:val="21"/>
                <w:szCs w:val="21"/>
              </w:rPr>
            </w:pPr>
            <w:r>
              <w:rPr>
                <w:color w:val="auto"/>
                <w:sz w:val="21"/>
                <w:szCs w:val="21"/>
              </w:rPr>
              <w:t>眼睛接触：立即提起眼睑，用流动清水或生理盐水冲洗至少15分钟，就医。</w:t>
            </w:r>
          </w:p>
          <w:p>
            <w:pPr>
              <w:spacing w:line="240" w:lineRule="auto"/>
              <w:rPr>
                <w:color w:val="auto"/>
                <w:sz w:val="21"/>
                <w:szCs w:val="21"/>
              </w:rPr>
            </w:pPr>
            <w:r>
              <w:rPr>
                <w:color w:val="auto"/>
                <w:sz w:val="21"/>
                <w:szCs w:val="21"/>
              </w:rPr>
              <w:t>皮肤接触：脱去污染的衣着，用肥皂和大量清水清洗污染皮肤。</w:t>
            </w:r>
          </w:p>
          <w:p>
            <w:pPr>
              <w:spacing w:line="240" w:lineRule="auto"/>
              <w:rPr>
                <w:color w:val="auto"/>
                <w:sz w:val="21"/>
                <w:szCs w:val="21"/>
              </w:rPr>
            </w:pPr>
            <w:r>
              <w:rPr>
                <w:color w:val="auto"/>
                <w:sz w:val="21"/>
                <w:szCs w:val="21"/>
              </w:rPr>
              <w:t>生产过程密闭，注意通风。高浓度接触时，戴防毒面具，工作场所禁止吸烟必要时戴防护眼镜，穿相应的工作服，戴防护手套。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627" w:type="pct"/>
            <w:tcBorders>
              <w:tl2br w:val="nil"/>
              <w:tr2bl w:val="nil"/>
            </w:tcBorders>
            <w:noWrap w:val="0"/>
            <w:vAlign w:val="center"/>
          </w:tcPr>
          <w:p>
            <w:pPr>
              <w:spacing w:line="240" w:lineRule="auto"/>
              <w:jc w:val="center"/>
              <w:rPr>
                <w:bCs/>
                <w:color w:val="auto"/>
                <w:sz w:val="21"/>
                <w:szCs w:val="21"/>
              </w:rPr>
            </w:pPr>
            <w:r>
              <w:rPr>
                <w:bCs/>
                <w:color w:val="auto"/>
                <w:sz w:val="21"/>
                <w:szCs w:val="21"/>
              </w:rPr>
              <w:t>泄漏</w:t>
            </w:r>
          </w:p>
          <w:p>
            <w:pPr>
              <w:spacing w:line="240" w:lineRule="auto"/>
              <w:jc w:val="center"/>
              <w:rPr>
                <w:bCs/>
                <w:color w:val="auto"/>
                <w:sz w:val="21"/>
                <w:szCs w:val="21"/>
              </w:rPr>
            </w:pPr>
            <w:r>
              <w:rPr>
                <w:bCs/>
                <w:color w:val="auto"/>
                <w:sz w:val="21"/>
                <w:szCs w:val="21"/>
              </w:rPr>
              <w:t>处置</w:t>
            </w:r>
          </w:p>
        </w:tc>
        <w:tc>
          <w:tcPr>
            <w:tcW w:w="4372" w:type="pct"/>
            <w:gridSpan w:val="5"/>
            <w:tcBorders>
              <w:tl2br w:val="nil"/>
              <w:tr2bl w:val="nil"/>
            </w:tcBorders>
            <w:noWrap w:val="0"/>
            <w:vAlign w:val="center"/>
          </w:tcPr>
          <w:p>
            <w:pPr>
              <w:spacing w:line="240" w:lineRule="auto"/>
              <w:rPr>
                <w:color w:val="auto"/>
                <w:sz w:val="21"/>
                <w:szCs w:val="21"/>
              </w:rPr>
            </w:pPr>
            <w:r>
              <w:rPr>
                <w:color w:val="auto"/>
                <w:sz w:val="21"/>
                <w:szCs w:val="21"/>
              </w:rPr>
              <w:t>切断一切火源，迅速撤离污染区人员至上风处。使用防毒面具，穿防静电工作服。在确保安全的前提下堵漏。用砂土或其它不燃性吸附剂混合吸收，然后收集至废物处理。</w:t>
            </w:r>
          </w:p>
        </w:tc>
      </w:tr>
    </w:tbl>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pStyle w:val="2"/>
        <w:bidi w:val="0"/>
        <w:rPr>
          <w:rFonts w:hint="default"/>
          <w:color w:val="auto"/>
          <w:lang w:val="en-US" w:eastAsia="zh-CN"/>
        </w:rPr>
      </w:pPr>
      <w:bookmarkStart w:id="1072" w:name="_Toc26980"/>
      <w:r>
        <w:rPr>
          <w:rFonts w:hint="eastAsia"/>
          <w:color w:val="auto"/>
          <w:lang w:val="en-US" w:eastAsia="zh-CN"/>
        </w:rPr>
        <w:t>附件</w:t>
      </w:r>
      <w:bookmarkEnd w:id="1072"/>
    </w:p>
    <w:p>
      <w:pPr>
        <w:keepNext w:val="0"/>
        <w:keepLines w:val="0"/>
        <w:pageBreakBefore w:val="0"/>
        <w:widowControl w:val="0"/>
        <w:numPr>
          <w:ilvl w:val="0"/>
          <w:numId w:val="15"/>
        </w:numPr>
        <w:kinsoku/>
        <w:wordWrap/>
        <w:overflowPunct/>
        <w:topLinePunct w:val="0"/>
        <w:autoSpaceDE/>
        <w:autoSpaceDN/>
        <w:bidi w:val="0"/>
        <w:adjustRightInd/>
        <w:snapToGrid/>
        <w:ind w:firstLine="560" w:firstLineChars="200"/>
        <w:textAlignment w:val="auto"/>
        <w:rPr>
          <w:rFonts w:hint="eastAsia"/>
          <w:color w:val="auto"/>
          <w:lang w:val="en-US" w:eastAsia="zh-CN"/>
        </w:rPr>
      </w:pPr>
      <w:r>
        <w:rPr>
          <w:rFonts w:hint="eastAsia"/>
          <w:color w:val="auto"/>
          <w:lang w:val="en-US" w:eastAsia="zh-CN"/>
        </w:rPr>
        <w:t>专家评审意见</w:t>
      </w:r>
    </w:p>
    <w:p>
      <w:pPr>
        <w:keepNext w:val="0"/>
        <w:keepLines w:val="0"/>
        <w:pageBreakBefore w:val="0"/>
        <w:widowControl w:val="0"/>
        <w:numPr>
          <w:ilvl w:val="0"/>
          <w:numId w:val="15"/>
        </w:numPr>
        <w:kinsoku/>
        <w:wordWrap/>
        <w:overflowPunct/>
        <w:topLinePunct w:val="0"/>
        <w:autoSpaceDE/>
        <w:autoSpaceDN/>
        <w:bidi w:val="0"/>
        <w:adjustRightInd/>
        <w:snapToGrid/>
        <w:ind w:left="0" w:leftChars="0" w:firstLine="560" w:firstLineChars="200"/>
        <w:textAlignment w:val="auto"/>
        <w:rPr>
          <w:rFonts w:hint="eastAsia"/>
          <w:color w:val="auto"/>
          <w:lang w:val="en-US" w:eastAsia="zh-CN"/>
        </w:rPr>
      </w:pPr>
      <w:r>
        <w:rPr>
          <w:rFonts w:hint="eastAsia"/>
          <w:color w:val="auto"/>
          <w:lang w:val="en-US" w:eastAsia="zh-CN"/>
        </w:rPr>
        <w:t>专家评审意见回复</w:t>
      </w:r>
    </w:p>
    <w:p>
      <w:pPr>
        <w:keepNext w:val="0"/>
        <w:keepLines w:val="0"/>
        <w:pageBreakBefore w:val="0"/>
        <w:widowControl w:val="0"/>
        <w:numPr>
          <w:ilvl w:val="0"/>
          <w:numId w:val="15"/>
        </w:numPr>
        <w:kinsoku/>
        <w:wordWrap/>
        <w:overflowPunct/>
        <w:topLinePunct w:val="0"/>
        <w:autoSpaceDE/>
        <w:autoSpaceDN/>
        <w:bidi w:val="0"/>
        <w:adjustRightInd/>
        <w:snapToGrid/>
        <w:ind w:left="0" w:leftChars="0" w:firstLine="560" w:firstLineChars="200"/>
        <w:textAlignment w:val="auto"/>
        <w:rPr>
          <w:rFonts w:hint="eastAsia" w:hAnsi="宋体"/>
          <w:bCs/>
          <w:color w:val="auto"/>
          <w:sz w:val="28"/>
        </w:rPr>
      </w:pPr>
      <w:r>
        <w:rPr>
          <w:rFonts w:hint="eastAsia" w:hAnsi="宋体"/>
          <w:bCs/>
          <w:color w:val="auto"/>
          <w:sz w:val="28"/>
          <w:lang w:eastAsia="zh-CN"/>
        </w:rPr>
        <w:t>江西旺达新材料有限公司</w:t>
      </w:r>
      <w:r>
        <w:rPr>
          <w:rFonts w:hint="eastAsia" w:hAnsi="宋体"/>
          <w:bCs/>
          <w:color w:val="auto"/>
          <w:sz w:val="28"/>
        </w:rPr>
        <w:t>营业执照</w:t>
      </w:r>
    </w:p>
    <w:p>
      <w:pPr>
        <w:ind w:firstLine="548" w:firstLineChars="196"/>
        <w:rPr>
          <w:rFonts w:hint="eastAsia" w:hAnsi="宋体"/>
          <w:bCs/>
          <w:color w:val="auto"/>
          <w:sz w:val="28"/>
        </w:rPr>
      </w:pPr>
      <w:r>
        <w:rPr>
          <w:rFonts w:hint="eastAsia" w:hAnsi="宋体"/>
          <w:bCs/>
          <w:color w:val="auto"/>
          <w:sz w:val="28"/>
          <w:lang w:val="en-US" w:eastAsia="zh-CN"/>
        </w:rPr>
        <w:t>4</w:t>
      </w:r>
      <w:r>
        <w:rPr>
          <w:rFonts w:hint="eastAsia" w:hAnsi="宋体"/>
          <w:bCs/>
          <w:color w:val="auto"/>
          <w:sz w:val="28"/>
        </w:rPr>
        <w:t>、立项批复</w:t>
      </w:r>
    </w:p>
    <w:p>
      <w:pPr>
        <w:ind w:firstLine="548" w:firstLineChars="196"/>
        <w:rPr>
          <w:rFonts w:hint="eastAsia" w:hAnsi="宋体"/>
          <w:bCs/>
          <w:color w:val="auto"/>
          <w:sz w:val="28"/>
          <w:lang w:val="en-US" w:eastAsia="zh-CN"/>
        </w:rPr>
      </w:pPr>
      <w:r>
        <w:rPr>
          <w:rFonts w:hint="eastAsia" w:hAnsi="宋体"/>
          <w:bCs/>
          <w:color w:val="auto"/>
          <w:sz w:val="28"/>
          <w:lang w:val="en-US" w:eastAsia="zh-CN"/>
        </w:rPr>
        <w:t>5</w:t>
      </w:r>
      <w:r>
        <w:rPr>
          <w:rFonts w:hint="eastAsia" w:hAnsi="宋体"/>
          <w:bCs/>
          <w:color w:val="auto"/>
          <w:sz w:val="28"/>
        </w:rPr>
        <w:t>、</w:t>
      </w:r>
      <w:r>
        <w:rPr>
          <w:rFonts w:hint="eastAsia" w:hAnsi="宋体"/>
          <w:bCs/>
          <w:color w:val="auto"/>
          <w:sz w:val="28"/>
          <w:lang w:val="en-US" w:eastAsia="zh-CN"/>
        </w:rPr>
        <w:t>化工集中区四至勘测定界图</w:t>
      </w:r>
    </w:p>
    <w:p>
      <w:pPr>
        <w:pStyle w:val="36"/>
        <w:ind w:firstLine="560" w:firstLineChars="200"/>
        <w:rPr>
          <w:rFonts w:hint="eastAsia"/>
          <w:color w:val="auto"/>
          <w:sz w:val="28"/>
          <w:szCs w:val="20"/>
          <w:lang w:val="en-US" w:eastAsia="zh-CN"/>
        </w:rPr>
      </w:pPr>
      <w:r>
        <w:rPr>
          <w:rFonts w:hint="eastAsia"/>
          <w:color w:val="auto"/>
          <w:sz w:val="28"/>
          <w:szCs w:val="20"/>
          <w:lang w:val="en-US" w:eastAsia="zh-CN"/>
        </w:rPr>
        <w:t>6、</w:t>
      </w:r>
      <w:r>
        <w:rPr>
          <w:rFonts w:hint="eastAsia" w:hAnsi="宋体"/>
          <w:bCs/>
          <w:color w:val="auto"/>
          <w:sz w:val="28"/>
          <w:lang w:val="en-US" w:eastAsia="zh-CN"/>
        </w:rPr>
        <w:t>袁州区规划委员会办公室抄告单</w:t>
      </w:r>
    </w:p>
    <w:p>
      <w:pPr>
        <w:ind w:firstLine="548" w:firstLineChars="196"/>
        <w:rPr>
          <w:rFonts w:hint="default" w:hAnsi="宋体"/>
          <w:bCs/>
          <w:color w:val="auto"/>
          <w:sz w:val="28"/>
          <w:lang w:val="en-US" w:eastAsia="zh-CN"/>
        </w:rPr>
      </w:pPr>
      <w:r>
        <w:rPr>
          <w:rFonts w:hint="eastAsia" w:hAnsi="宋体"/>
          <w:bCs/>
          <w:color w:val="auto"/>
          <w:sz w:val="28"/>
          <w:lang w:val="en-US" w:eastAsia="zh-CN"/>
        </w:rPr>
        <w:t>7、</w:t>
      </w:r>
      <w:r>
        <w:rPr>
          <w:rFonts w:hint="eastAsia"/>
          <w:color w:val="auto"/>
          <w:sz w:val="28"/>
          <w:szCs w:val="20"/>
          <w:lang w:val="en-US" w:eastAsia="zh-CN"/>
        </w:rPr>
        <w:t>设计单位资质证书</w:t>
      </w:r>
    </w:p>
    <w:p>
      <w:pPr>
        <w:ind w:firstLine="548" w:firstLineChars="196"/>
        <w:rPr>
          <w:rFonts w:hint="eastAsia"/>
          <w:color w:val="auto"/>
          <w:sz w:val="28"/>
          <w:szCs w:val="20"/>
          <w:lang w:val="en-US" w:eastAsia="zh-CN"/>
        </w:rPr>
      </w:pPr>
      <w:r>
        <w:rPr>
          <w:rFonts w:hint="eastAsia" w:hAnsi="宋体"/>
          <w:bCs/>
          <w:color w:val="auto"/>
          <w:sz w:val="28"/>
          <w:lang w:val="en-US" w:eastAsia="zh-CN"/>
        </w:rPr>
        <w:t>8</w:t>
      </w:r>
      <w:r>
        <w:rPr>
          <w:rFonts w:hint="eastAsia" w:hAnsi="宋体"/>
          <w:bCs/>
          <w:color w:val="auto"/>
          <w:sz w:val="28"/>
        </w:rPr>
        <w:t>、</w:t>
      </w:r>
      <w:r>
        <w:rPr>
          <w:rFonts w:hint="eastAsia"/>
          <w:color w:val="auto"/>
          <w:sz w:val="28"/>
          <w:szCs w:val="20"/>
          <w:lang w:val="en-US" w:eastAsia="zh-CN"/>
        </w:rPr>
        <w:t>化学反应安全风险研究与评估报告</w:t>
      </w:r>
    </w:p>
    <w:p>
      <w:pPr>
        <w:ind w:firstLine="548" w:firstLineChars="196"/>
        <w:rPr>
          <w:rFonts w:hint="eastAsia"/>
          <w:color w:val="auto"/>
          <w:sz w:val="28"/>
          <w:szCs w:val="20"/>
        </w:rPr>
      </w:pPr>
      <w:r>
        <w:rPr>
          <w:rFonts w:hint="eastAsia"/>
          <w:color w:val="auto"/>
          <w:sz w:val="28"/>
          <w:szCs w:val="20"/>
          <w:lang w:val="en-US" w:eastAsia="zh-CN"/>
        </w:rPr>
        <w:t>9、国内首次使用化工工艺安全可靠性论证报告</w:t>
      </w:r>
    </w:p>
    <w:p>
      <w:pPr>
        <w:ind w:firstLine="548" w:firstLineChars="196"/>
        <w:rPr>
          <w:rFonts w:hint="default"/>
          <w:color w:val="auto"/>
          <w:sz w:val="28"/>
          <w:szCs w:val="20"/>
          <w:lang w:val="en-US" w:eastAsia="zh-CN"/>
        </w:rPr>
      </w:pPr>
      <w:r>
        <w:rPr>
          <w:rFonts w:hint="eastAsia"/>
          <w:color w:val="auto"/>
          <w:sz w:val="28"/>
          <w:szCs w:val="20"/>
          <w:lang w:val="en-US" w:eastAsia="zh-CN"/>
        </w:rPr>
        <w:t>10、</w:t>
      </w:r>
      <w:r>
        <w:rPr>
          <w:rFonts w:hint="eastAsia"/>
          <w:color w:val="auto"/>
          <w:sz w:val="28"/>
          <w:szCs w:val="20"/>
        </w:rPr>
        <w:t>总平面布置图</w:t>
      </w: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p>
      <w:pPr>
        <w:numPr>
          <w:ilvl w:val="-1"/>
          <w:numId w:val="0"/>
        </w:numPr>
        <w:ind w:firstLine="560" w:firstLineChars="200"/>
        <w:rPr>
          <w:rFonts w:hint="eastAsia"/>
          <w:color w:val="auto"/>
          <w:highlight w:val="none"/>
          <w:lang w:val="en-US" w:eastAsia="zh-CN"/>
        </w:rPr>
      </w:pPr>
    </w:p>
    <w:sectPr>
      <w:headerReference r:id="rId11" w:type="default"/>
      <w:footerReference r:id="rId12" w:type="default"/>
      <w:pgSz w:w="11906" w:h="16838"/>
      <w:pgMar w:top="1418" w:right="1134" w:bottom="1418" w:left="1588" w:header="851" w:footer="850"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roman"/>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方正黑体简体">
    <w:altName w:val="微软雅黑"/>
    <w:panose1 w:val="02010601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SimSun-Identity-H">
    <w:altName w:val="MS Gothic"/>
    <w:panose1 w:val="00000000000000000000"/>
    <w:charset w:val="80"/>
    <w:family w:val="auto"/>
    <w:pitch w:val="default"/>
    <w:sig w:usb0="00000000" w:usb1="00000000" w:usb2="00000010" w:usb3="00000000" w:csb0="00060000"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keepNext w:val="0"/>
      <w:keepLines w:val="0"/>
      <w:pageBreakBefore w:val="0"/>
      <w:framePr w:wrap="around" w:vAnchor="text" w:hAnchor="margin" w:xAlign="center" w:y="1"/>
      <w:widowControl w:val="0"/>
      <w:kinsoku/>
      <w:wordWrap/>
      <w:overflowPunct/>
      <w:topLinePunct w:val="0"/>
      <w:bidi w:val="0"/>
      <w:adjustRightInd/>
      <w:snapToGrid w:val="0"/>
      <w:spacing w:line="240" w:lineRule="auto"/>
      <w:textAlignment w:val="auto"/>
      <w:rPr>
        <w:rStyle w:val="49"/>
      </w:rPr>
    </w:pPr>
    <w:r>
      <w:fldChar w:fldCharType="begin"/>
    </w:r>
    <w:r>
      <w:rPr>
        <w:rStyle w:val="49"/>
      </w:rPr>
      <w:instrText xml:space="preserve">PAGE  </w:instrText>
    </w:r>
    <w:r>
      <w:fldChar w:fldCharType="separate"/>
    </w:r>
    <w:r>
      <w:rPr>
        <w:rStyle w:val="49"/>
      </w:rPr>
      <w:t>VIII</w:t>
    </w:r>
    <w:r>
      <w:fldChar w:fldCharType="end"/>
    </w:r>
  </w:p>
  <w:p>
    <w:pPr>
      <w:pStyle w:val="30"/>
      <w:pBdr>
        <w:top w:val="single" w:color="auto" w:sz="4" w:space="1"/>
      </w:pBdr>
      <w:tabs>
        <w:tab w:val="center" w:pos="4680"/>
        <w:tab w:val="right" w:pos="13860"/>
        <w:tab w:val="clear" w:pos="4153"/>
        <w:tab w:val="clear" w:pos="8306"/>
      </w:tabs>
      <w:spacing w:line="240" w:lineRule="auto"/>
      <w:rPr>
        <w:rFonts w:hint="default" w:eastAsia="宋体"/>
        <w:lang w:val="en-US" w:eastAsia="zh-CN"/>
      </w:rPr>
    </w:pPr>
    <w:r>
      <w:rPr>
        <w:rFonts w:hint="eastAsia"/>
      </w:rPr>
      <w:t>江西赣安安全生产科学技术咨询服务中心                                                    APJ-（</w:t>
    </w:r>
    <w:r>
      <w:rPr>
        <w:rFonts w:hint="eastAsia"/>
        <w:lang w:val="en-US" w:eastAsia="zh-CN"/>
      </w:rPr>
      <w:t>赣</w:t>
    </w:r>
    <w:r>
      <w:rPr>
        <w:rFonts w:hint="eastAsia"/>
      </w:rPr>
      <w:t>）-</w:t>
    </w:r>
    <w:r>
      <w:rPr>
        <w:rFonts w:hint="eastAsia"/>
        <w:lang w:val="en-US" w:eastAsia="zh-CN"/>
      </w:rPr>
      <w:t>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spacing w:line="240" w:lineRule="auto"/>
      <w:rPr>
        <w:rFonts w:hint="eastAsia" w:ascii="Times New Roman" w:hAnsi="Times New Roman" w:cs="Times New Roman"/>
      </w:rPr>
    </w:pPr>
    <w:r>
      <w:rPr>
        <w:rFonts w:ascii="Times New Roman" w:hAnsi="Times New Roman" w:cs="Times New Roman"/>
      </w:rPr>
      <w:t xml:space="preserve">江西赣安安全生产科学技术咨询服务中心              </w:t>
    </w:r>
    <w:r>
      <w:rPr>
        <w:rStyle w:val="49"/>
        <w:rFonts w:ascii="Times New Roman" w:hAnsi="Times New Roman" w:cs="Times New Roman"/>
      </w:rPr>
      <w:fldChar w:fldCharType="begin"/>
    </w:r>
    <w:r>
      <w:rPr>
        <w:rStyle w:val="49"/>
        <w:rFonts w:ascii="Times New Roman" w:hAnsi="Times New Roman" w:cs="Times New Roman"/>
      </w:rPr>
      <w:instrText xml:space="preserve"> PAGE </w:instrText>
    </w:r>
    <w:r>
      <w:rPr>
        <w:rStyle w:val="49"/>
        <w:rFonts w:ascii="Times New Roman" w:hAnsi="Times New Roman" w:cs="Times New Roman"/>
      </w:rPr>
      <w:fldChar w:fldCharType="separate"/>
    </w:r>
    <w:r>
      <w:rPr>
        <w:rStyle w:val="49"/>
        <w:rFonts w:ascii="Times New Roman" w:hAnsi="Times New Roman" w:cs="Times New Roman"/>
      </w:rPr>
      <w:t>VIII</w:t>
    </w:r>
    <w:r>
      <w:rPr>
        <w:rStyle w:val="49"/>
        <w:rFonts w:ascii="Times New Roman" w:hAnsi="Times New Roman" w:cs="Times New Roman"/>
      </w:rPr>
      <w:fldChar w:fldCharType="end"/>
    </w:r>
    <w:r>
      <w:rPr>
        <w:rFonts w:ascii="Times New Roman" w:hAnsi="Times New Roman" w:cs="Times New Roman"/>
      </w:rPr>
      <w:t xml:space="preserve">                         </w:t>
    </w:r>
    <w:r>
      <w:rPr>
        <w:rFonts w:hint="eastAsia" w:cs="Times New Roman"/>
        <w:lang w:val="en-US" w:eastAsia="zh-CN"/>
      </w:rPr>
      <w:t xml:space="preserve">         </w:t>
    </w:r>
    <w:r>
      <w:rPr>
        <w:rFonts w:ascii="Times New Roman" w:hAnsi="Times New Roman" w:cs="Times New Roman"/>
      </w:rPr>
      <w:t xml:space="preserve">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spacing w:line="240" w:lineRule="auto"/>
      <w:rPr>
        <w:rFonts w:ascii="Times New Roman" w:hAnsi="Times New Roman" w:cs="Times New Roman"/>
      </w:rPr>
    </w:pPr>
    <w:r>
      <w:rPr>
        <w:rFonts w:ascii="Times New Roman" w:hAnsi="Times New Roman" w:cs="Times New Roman"/>
      </w:rPr>
      <w:t xml:space="preserve">江西赣安安全生产科学技术咨询服务中心              </w:t>
    </w:r>
    <w:r>
      <w:rPr>
        <w:rStyle w:val="49"/>
        <w:rFonts w:ascii="Times New Roman" w:hAnsi="Times New Roman" w:cs="Times New Roman"/>
      </w:rPr>
      <w:fldChar w:fldCharType="begin"/>
    </w:r>
    <w:r>
      <w:rPr>
        <w:rStyle w:val="49"/>
        <w:rFonts w:ascii="Times New Roman" w:hAnsi="Times New Roman" w:cs="Times New Roman"/>
      </w:rPr>
      <w:instrText xml:space="preserve"> PAGE </w:instrText>
    </w:r>
    <w:r>
      <w:rPr>
        <w:rStyle w:val="49"/>
        <w:rFonts w:ascii="Times New Roman" w:hAnsi="Times New Roman" w:cs="Times New Roman"/>
      </w:rPr>
      <w:fldChar w:fldCharType="separate"/>
    </w:r>
    <w:r>
      <w:rPr>
        <w:rStyle w:val="49"/>
        <w:rFonts w:ascii="Times New Roman" w:hAnsi="Times New Roman" w:cs="Times New Roman"/>
      </w:rPr>
      <w:t>VIII</w:t>
    </w:r>
    <w:r>
      <w:rPr>
        <w:rStyle w:val="49"/>
        <w:rFonts w:ascii="Times New Roman" w:hAnsi="Times New Roman" w:cs="Times New Roman"/>
      </w:rPr>
      <w:fldChar w:fldCharType="end"/>
    </w:r>
    <w:r>
      <w:rPr>
        <w:rFonts w:ascii="Times New Roman" w:hAnsi="Times New Roman" w:cs="Times New Roman"/>
      </w:rPr>
      <w:t xml:space="preserve">                           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top w:val="single" w:color="auto" w:sz="4" w:space="1"/>
      </w:pBdr>
      <w:tabs>
        <w:tab w:val="center" w:pos="4680"/>
        <w:tab w:val="right" w:pos="13860"/>
        <w:tab w:val="clear" w:pos="4153"/>
        <w:tab w:val="clear" w:pos="8306"/>
      </w:tabs>
      <w:spacing w:line="240" w:lineRule="auto"/>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page">
                <wp:posOffset>3870325</wp:posOffset>
              </wp:positionH>
              <wp:positionV relativeFrom="paragraph">
                <wp:posOffset>-158750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0"/>
                            <w:rPr>
                              <w:rStyle w:val="49"/>
                            </w:rPr>
                          </w:pPr>
                          <w:r>
                            <w:fldChar w:fldCharType="begin"/>
                          </w:r>
                          <w:r>
                            <w:rPr>
                              <w:rStyle w:val="49"/>
                            </w:rPr>
                            <w:instrText xml:space="preserve">PAGE  </w:instrText>
                          </w:r>
                          <w:r>
                            <w:fldChar w:fldCharType="separate"/>
                          </w:r>
                          <w:r>
                            <w:rPr>
                              <w:rStyle w:val="49"/>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04.75pt;margin-top:-12.5pt;height:144pt;width:144pt;mso-position-horizontal-relative:page;mso-wrap-style:none;z-index:251659264;mso-width-relative:page;mso-height-relative:page;" filled="f" stroked="f" coordsize="21600,21600" o:gfxdata="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CMKZId2AAAAAsBAAAPAAAAAAAAAAEAIAAAACIAAABkcnMvZG93bnJldi54&#10;bWxQSwECFAAUAAAACACHTuJArhTZGd4CAAAmBgAADgAAAAAAAAABACAAAAAnAQAAZHJzL2Uyb0Rv&#10;Yy54bWxQSwUGAAAAAAYABgBZAQAAdwYAAAAA&#10;">
              <v:fill on="f" focussize="0,0"/>
              <v:stroke on="f" weight="0.5pt"/>
              <v:imagedata o:title=""/>
              <o:lock v:ext="edit" aspectratio="f"/>
              <v:textbox inset="0mm,0mm,0mm,0mm" style="mso-fit-shape-to-text:t;">
                <w:txbxContent>
                  <w:p>
                    <w:pPr>
                      <w:pStyle w:val="30"/>
                      <w:rPr>
                        <w:rStyle w:val="49"/>
                      </w:rPr>
                    </w:pPr>
                    <w:r>
                      <w:fldChar w:fldCharType="begin"/>
                    </w:r>
                    <w:r>
                      <w:rPr>
                        <w:rStyle w:val="49"/>
                      </w:rPr>
                      <w:instrText xml:space="preserve">PAGE  </w:instrText>
                    </w:r>
                    <w:r>
                      <w:fldChar w:fldCharType="separate"/>
                    </w:r>
                    <w:r>
                      <w:rPr>
                        <w:rStyle w:val="49"/>
                      </w:rPr>
                      <w:t>1</w:t>
                    </w:r>
                    <w:r>
                      <w:fldChar w:fldCharType="end"/>
                    </w:r>
                  </w:p>
                </w:txbxContent>
              </v:textbox>
            </v:shape>
          </w:pict>
        </mc:Fallback>
      </mc:AlternateContent>
    </w:r>
    <w:r>
      <w:rPr>
        <w:rFonts w:hint="eastAsia"/>
      </w:rPr>
      <w:t>江西赣安安全生产科学技术咨询服务中心                                                    APJ-（</w:t>
    </w:r>
    <w:r>
      <w:rPr>
        <w:rFonts w:hint="eastAsia"/>
        <w:lang w:val="en-US" w:eastAsia="zh-CN"/>
      </w:rPr>
      <w:t>赣</w:t>
    </w:r>
    <w:r>
      <w:rPr>
        <w:rFonts w:hint="eastAsia"/>
      </w:rPr>
      <w:t>）-</w:t>
    </w:r>
    <w:r>
      <w:rPr>
        <w:rFonts w:hint="eastAsia"/>
        <w:lang w:val="en-US" w:eastAsia="zh-CN"/>
      </w:rPr>
      <w:t>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jc w:val="both"/>
      <w:rPr>
        <w:sz w:val="18"/>
        <w:szCs w:val="18"/>
      </w:rPr>
    </w:pPr>
    <w:r>
      <w:rPr>
        <w:rFonts w:hint="eastAsia" w:ascii="宋体" w:hAnsi="宋体"/>
        <w:b w:val="0"/>
        <w:bCs/>
        <w:sz w:val="18"/>
        <w:szCs w:val="18"/>
        <w:lang w:eastAsia="zh-CN"/>
      </w:rPr>
      <w:t>江西旺达新材料有限公司</w:t>
    </w:r>
    <w:r>
      <w:rPr>
        <w:rFonts w:hint="eastAsia" w:ascii="宋体" w:hAnsi="宋体"/>
        <w:b w:val="0"/>
        <w:bCs/>
        <w:sz w:val="18"/>
        <w:szCs w:val="18"/>
      </w:rPr>
      <w:t>年产2000</w:t>
    </w:r>
    <w:r>
      <w:rPr>
        <w:rFonts w:hint="eastAsia" w:ascii="宋体" w:hAnsi="宋体"/>
        <w:b w:val="0"/>
        <w:bCs/>
        <w:sz w:val="18"/>
        <w:szCs w:val="18"/>
        <w:lang w:val="en-US" w:eastAsia="zh-CN"/>
      </w:rPr>
      <w:t>0</w:t>
    </w:r>
    <w:r>
      <w:rPr>
        <w:rFonts w:hint="eastAsia" w:ascii="宋体" w:hAnsi="宋体"/>
        <w:b w:val="0"/>
        <w:bCs/>
        <w:sz w:val="18"/>
        <w:szCs w:val="18"/>
      </w:rPr>
      <w:t>吨有机玻璃</w:t>
    </w:r>
    <w:r>
      <w:rPr>
        <w:rFonts w:hint="eastAsia" w:ascii="宋体" w:hAnsi="宋体"/>
        <w:b w:val="0"/>
        <w:bCs/>
        <w:sz w:val="18"/>
        <w:szCs w:val="18"/>
        <w:lang w:val="en-US" w:eastAsia="zh-CN"/>
      </w:rPr>
      <w:t>原料生产</w:t>
    </w:r>
    <w:r>
      <w:rPr>
        <w:rFonts w:hint="eastAsia" w:ascii="宋体" w:hAnsi="宋体"/>
        <w:b w:val="0"/>
        <w:bCs/>
        <w:sz w:val="18"/>
        <w:szCs w:val="18"/>
      </w:rPr>
      <w:t>项目</w:t>
    </w:r>
    <w:r>
      <w:rPr>
        <w:rFonts w:hint="eastAsia" w:ascii="宋体" w:hAnsi="宋体"/>
        <w:b w:val="0"/>
        <w:bCs/>
        <w:sz w:val="18"/>
        <w:szCs w:val="18"/>
        <w:lang w:val="en-US" w:eastAsia="zh-CN"/>
      </w:rPr>
      <w:t xml:space="preserve">                 </w:t>
    </w:r>
    <w:r>
      <w:rPr>
        <w:rFonts w:hint="eastAsia"/>
        <w:sz w:val="18"/>
        <w:szCs w:val="18"/>
        <w:lang w:val="en-US" w:eastAsia="zh-CN"/>
      </w:rPr>
      <w:t xml:space="preserve">             </w:t>
    </w:r>
    <w:r>
      <w:rPr>
        <w:rFonts w:hint="eastAsia"/>
        <w:sz w:val="18"/>
        <w:szCs w:val="18"/>
      </w:rPr>
      <w:t>GAAP[20</w:t>
    </w:r>
    <w:r>
      <w:rPr>
        <w:rFonts w:hint="eastAsia"/>
        <w:sz w:val="18"/>
        <w:szCs w:val="18"/>
        <w:lang w:val="en-US" w:eastAsia="zh-CN"/>
      </w:rPr>
      <w:t>23</w:t>
    </w:r>
    <w:r>
      <w:rPr>
        <w:sz w:val="18"/>
        <w:szCs w:val="18"/>
      </w:rPr>
      <w:t>]</w:t>
    </w:r>
    <w:r>
      <w:rPr>
        <w:rFonts w:hint="eastAsia"/>
        <w:sz w:val="18"/>
        <w:szCs w:val="18"/>
        <w:lang w:val="en-US" w:eastAsia="zh-CN"/>
      </w:rPr>
      <w:t>0313</w:t>
    </w:r>
    <w:r>
      <w:rPr>
        <w:rFonts w:hint="eastAsia"/>
        <w:sz w:val="18"/>
        <w:szCs w:val="18"/>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single" w:color="auto" w:sz="4" w:space="1"/>
      </w:pBdr>
      <w:spacing w:line="240" w:lineRule="auto"/>
      <w:jc w:val="left"/>
    </w:pPr>
    <w:r>
      <w:rPr>
        <w:rFonts w:hint="eastAsia" w:ascii="宋体" w:hAnsi="宋体"/>
        <w:b w:val="0"/>
        <w:bCs/>
        <w:sz w:val="18"/>
        <w:szCs w:val="18"/>
        <w:lang w:eastAsia="zh-CN"/>
      </w:rPr>
      <w:t>江西旺达新材料有限公司</w:t>
    </w:r>
    <w:r>
      <w:rPr>
        <w:rFonts w:hint="eastAsia" w:ascii="宋体" w:hAnsi="宋体"/>
        <w:b w:val="0"/>
        <w:bCs/>
        <w:sz w:val="18"/>
        <w:szCs w:val="18"/>
      </w:rPr>
      <w:t>年产2000</w:t>
    </w:r>
    <w:r>
      <w:rPr>
        <w:rFonts w:hint="eastAsia" w:ascii="宋体" w:hAnsi="宋体"/>
        <w:b w:val="0"/>
        <w:bCs/>
        <w:sz w:val="18"/>
        <w:szCs w:val="18"/>
        <w:lang w:val="en-US" w:eastAsia="zh-CN"/>
      </w:rPr>
      <w:t>0</w:t>
    </w:r>
    <w:r>
      <w:rPr>
        <w:rFonts w:hint="eastAsia" w:ascii="宋体" w:hAnsi="宋体"/>
        <w:b w:val="0"/>
        <w:bCs/>
        <w:sz w:val="18"/>
        <w:szCs w:val="18"/>
      </w:rPr>
      <w:t>吨有机玻璃</w:t>
    </w:r>
    <w:r>
      <w:rPr>
        <w:rFonts w:hint="eastAsia" w:ascii="宋体" w:hAnsi="宋体"/>
        <w:b w:val="0"/>
        <w:bCs/>
        <w:sz w:val="18"/>
        <w:szCs w:val="18"/>
        <w:lang w:val="en-US" w:eastAsia="zh-CN"/>
      </w:rPr>
      <w:t>原料生产</w:t>
    </w:r>
    <w:r>
      <w:rPr>
        <w:rFonts w:hint="eastAsia" w:ascii="宋体" w:hAnsi="宋体"/>
        <w:b w:val="0"/>
        <w:bCs/>
        <w:sz w:val="18"/>
        <w:szCs w:val="18"/>
      </w:rPr>
      <w:t>项目</w:t>
    </w:r>
    <w:r>
      <w:rPr>
        <w:rFonts w:hint="eastAsia" w:ascii="宋体" w:hAnsi="宋体"/>
        <w:b w:val="0"/>
        <w:bCs/>
        <w:sz w:val="18"/>
        <w:szCs w:val="18"/>
        <w:lang w:val="en-US" w:eastAsia="zh-CN"/>
      </w:rPr>
      <w:t xml:space="preserve">               </w:t>
    </w:r>
    <w:r>
      <w:rPr>
        <w:rFonts w:hint="eastAsia"/>
      </w:rPr>
      <w:t xml:space="preserve"> </w:t>
    </w:r>
    <w:r>
      <w:rPr>
        <w:rFonts w:ascii="Times New Roman" w:hAnsi="Times New Roman" w:cs="Times New Roman"/>
      </w:rPr>
      <w:t xml:space="preserve">         </w:t>
    </w:r>
    <w:r>
      <w:rPr>
        <w:rFonts w:hint="eastAsia" w:cs="Times New Roman"/>
        <w:lang w:val="en-US" w:eastAsia="zh-CN"/>
      </w:rPr>
      <w:t xml:space="preserve">     </w:t>
    </w:r>
    <w:r>
      <w:rPr>
        <w:rFonts w:ascii="Times New Roman" w:hAnsi="Times New Roman" w:cs="Times New Roman"/>
      </w:rPr>
      <w:t>GAAP[202</w:t>
    </w:r>
    <w:r>
      <w:rPr>
        <w:rFonts w:hint="eastAsia" w:cs="Times New Roman"/>
        <w:lang w:val="en-US" w:eastAsia="zh-CN"/>
      </w:rPr>
      <w:t>3</w:t>
    </w:r>
    <w:r>
      <w:rPr>
        <w:rFonts w:ascii="Times New Roman" w:hAnsi="Times New Roman" w:cs="Times New Roman"/>
      </w:rPr>
      <w:t>]</w:t>
    </w:r>
    <w:r>
      <w:rPr>
        <w:rFonts w:hint="eastAsia" w:ascii="Times New Roman" w:hAnsi="Times New Roman" w:cs="Times New Roman"/>
        <w:lang w:val="en-US" w:eastAsia="zh-CN"/>
      </w:rPr>
      <w:t>0</w:t>
    </w:r>
    <w:r>
      <w:rPr>
        <w:rFonts w:hint="eastAsia" w:cs="Times New Roman"/>
        <w:lang w:val="en-US" w:eastAsia="zh-CN"/>
      </w:rPr>
      <w:t>313</w:t>
    </w:r>
    <w:r>
      <w:rPr>
        <w:rFonts w:ascii="Times New Roman" w:hAnsi="Times New Roman" w:cs="Times New Roman"/>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spacing w:line="240" w:lineRule="auto"/>
      <w:jc w:val="left"/>
    </w:pPr>
    <w:r>
      <w:rPr>
        <w:rFonts w:hint="eastAsia" w:ascii="宋体" w:hAnsi="宋体"/>
        <w:b w:val="0"/>
        <w:bCs/>
        <w:sz w:val="18"/>
        <w:szCs w:val="18"/>
        <w:lang w:eastAsia="zh-CN"/>
      </w:rPr>
      <w:t>江西旺达新材料有限公司</w:t>
    </w:r>
    <w:r>
      <w:rPr>
        <w:rFonts w:hint="eastAsia" w:ascii="宋体" w:hAnsi="宋体"/>
        <w:b w:val="0"/>
        <w:bCs/>
        <w:sz w:val="18"/>
        <w:szCs w:val="18"/>
      </w:rPr>
      <w:t>年产2000</w:t>
    </w:r>
    <w:r>
      <w:rPr>
        <w:rFonts w:hint="eastAsia" w:ascii="宋体" w:hAnsi="宋体"/>
        <w:b w:val="0"/>
        <w:bCs/>
        <w:sz w:val="18"/>
        <w:szCs w:val="18"/>
        <w:lang w:val="en-US" w:eastAsia="zh-CN"/>
      </w:rPr>
      <w:t>0</w:t>
    </w:r>
    <w:r>
      <w:rPr>
        <w:rFonts w:hint="eastAsia" w:ascii="宋体" w:hAnsi="宋体"/>
        <w:b w:val="0"/>
        <w:bCs/>
        <w:sz w:val="18"/>
        <w:szCs w:val="18"/>
      </w:rPr>
      <w:t>吨有机玻璃</w:t>
    </w:r>
    <w:r>
      <w:rPr>
        <w:rFonts w:hint="eastAsia" w:ascii="宋体" w:hAnsi="宋体"/>
        <w:b w:val="0"/>
        <w:bCs/>
        <w:sz w:val="18"/>
        <w:szCs w:val="18"/>
        <w:lang w:val="en-US" w:eastAsia="zh-CN"/>
      </w:rPr>
      <w:t>原料生产</w:t>
    </w:r>
    <w:r>
      <w:rPr>
        <w:rFonts w:hint="eastAsia" w:ascii="宋体" w:hAnsi="宋体"/>
        <w:b w:val="0"/>
        <w:bCs/>
        <w:sz w:val="18"/>
        <w:szCs w:val="18"/>
      </w:rPr>
      <w:t>项目</w:t>
    </w:r>
    <w:r>
      <w:rPr>
        <w:rFonts w:hint="eastAsia" w:ascii="宋体" w:hAnsi="宋体"/>
        <w:b w:val="0"/>
        <w:bCs/>
        <w:sz w:val="18"/>
        <w:szCs w:val="18"/>
        <w:lang w:val="en-US" w:eastAsia="zh-CN"/>
      </w:rPr>
      <w:t xml:space="preserve">             </w:t>
    </w:r>
    <w:r>
      <w:rPr>
        <w:rFonts w:ascii="Times New Roman" w:hAnsi="Times New Roman" w:cs="Times New Roman"/>
      </w:rPr>
      <w:t xml:space="preserve">          </w:t>
    </w:r>
    <w:r>
      <w:rPr>
        <w:rFonts w:hint="eastAsia" w:cs="Times New Roman"/>
        <w:lang w:val="en-US" w:eastAsia="zh-CN"/>
      </w:rPr>
      <w:t xml:space="preserve">        </w:t>
    </w:r>
    <w:r>
      <w:rPr>
        <w:rFonts w:ascii="Times New Roman" w:hAnsi="Times New Roman" w:cs="Times New Roman"/>
      </w:rPr>
      <w:t>GAAP[202</w:t>
    </w:r>
    <w:r>
      <w:rPr>
        <w:rFonts w:hint="eastAsia" w:ascii="Times New Roman" w:hAnsi="Times New Roman" w:cs="Times New Roman"/>
      </w:rPr>
      <w:t>3</w:t>
    </w:r>
    <w:r>
      <w:rPr>
        <w:rFonts w:ascii="Times New Roman" w:hAnsi="Times New Roman" w:cs="Times New Roman"/>
      </w:rPr>
      <w:t>]</w:t>
    </w:r>
    <w:r>
      <w:rPr>
        <w:rFonts w:hint="eastAsia" w:cs="Times New Roman"/>
        <w:lang w:val="en-US" w:eastAsia="zh-CN"/>
      </w:rPr>
      <w:t>0313</w:t>
    </w:r>
    <w:r>
      <w:rPr>
        <w:rFonts w:ascii="Times New Roman" w:hAnsi="Times New Roman" w:cs="Times New Roman"/>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spacing w:line="240" w:lineRule="auto"/>
      <w:jc w:val="left"/>
    </w:pPr>
    <w:r>
      <w:rPr>
        <w:rFonts w:hint="eastAsia" w:ascii="宋体" w:hAnsi="宋体"/>
        <w:b w:val="0"/>
        <w:bCs/>
        <w:sz w:val="18"/>
        <w:szCs w:val="18"/>
        <w:lang w:eastAsia="zh-CN"/>
      </w:rPr>
      <w:t>江西旺达新材料有限公司</w:t>
    </w:r>
    <w:r>
      <w:rPr>
        <w:rFonts w:hint="eastAsia" w:ascii="宋体" w:hAnsi="宋体"/>
        <w:b w:val="0"/>
        <w:bCs/>
        <w:sz w:val="18"/>
        <w:szCs w:val="18"/>
      </w:rPr>
      <w:t>年产2000</w:t>
    </w:r>
    <w:r>
      <w:rPr>
        <w:rFonts w:hint="eastAsia" w:ascii="宋体" w:hAnsi="宋体"/>
        <w:b w:val="0"/>
        <w:bCs/>
        <w:sz w:val="18"/>
        <w:szCs w:val="18"/>
        <w:lang w:val="en-US" w:eastAsia="zh-CN"/>
      </w:rPr>
      <w:t>0</w:t>
    </w:r>
    <w:r>
      <w:rPr>
        <w:rFonts w:hint="eastAsia" w:ascii="宋体" w:hAnsi="宋体"/>
        <w:b w:val="0"/>
        <w:bCs/>
        <w:sz w:val="18"/>
        <w:szCs w:val="18"/>
      </w:rPr>
      <w:t>吨有机玻璃</w:t>
    </w:r>
    <w:r>
      <w:rPr>
        <w:rFonts w:hint="eastAsia" w:ascii="宋体" w:hAnsi="宋体"/>
        <w:b w:val="0"/>
        <w:bCs/>
        <w:sz w:val="18"/>
        <w:szCs w:val="18"/>
        <w:lang w:val="en-US" w:eastAsia="zh-CN"/>
      </w:rPr>
      <w:t>原料生产</w:t>
    </w:r>
    <w:r>
      <w:rPr>
        <w:rFonts w:hint="eastAsia" w:ascii="宋体" w:hAnsi="宋体"/>
        <w:b w:val="0"/>
        <w:bCs/>
        <w:sz w:val="18"/>
        <w:szCs w:val="18"/>
      </w:rPr>
      <w:t>项目</w:t>
    </w:r>
    <w:r>
      <w:rPr>
        <w:rFonts w:hint="eastAsia" w:ascii="宋体" w:hAnsi="宋体"/>
        <w:b w:val="0"/>
        <w:bCs/>
        <w:sz w:val="18"/>
        <w:szCs w:val="18"/>
        <w:lang w:val="en-US" w:eastAsia="zh-CN"/>
      </w:rPr>
      <w:t xml:space="preserve">                 </w:t>
    </w:r>
    <w:r>
      <w:rPr>
        <w:rFonts w:hint="eastAsia"/>
      </w:rPr>
      <w:t xml:space="preserve">           </w:t>
    </w:r>
    <w:r>
      <w:rPr>
        <w:rFonts w:hint="eastAsia"/>
        <w:lang w:val="en-US" w:eastAsia="zh-CN"/>
      </w:rPr>
      <w:t xml:space="preserve">  </w:t>
    </w:r>
    <w:r>
      <w:rPr>
        <w:rFonts w:hint="eastAsia"/>
      </w:rPr>
      <w:t>GAAP[20</w:t>
    </w:r>
    <w:r>
      <w:rPr>
        <w:rFonts w:hint="eastAsia"/>
        <w:lang w:val="en-US" w:eastAsia="zh-CN"/>
      </w:rPr>
      <w:t>23</w:t>
    </w:r>
    <w:r>
      <w:t>]</w:t>
    </w:r>
    <w:r>
      <w:rPr>
        <w:rFonts w:hint="eastAsia"/>
        <w:lang w:val="en-US" w:eastAsia="zh-CN"/>
      </w:rPr>
      <w:t>0313</w:t>
    </w:r>
    <w:r>
      <w:rPr>
        <w:rFonts w:hint="eastAsia"/>
      </w:rPr>
      <w:t xml:space="preserve">号                                    </w:t>
    </w:r>
    <w:r>
      <w:rPr>
        <w:rFonts w:hint="eastAsia"/>
        <w:lang w:eastAsia="zh-CN"/>
      </w:rP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02EF27"/>
    <w:multiLevelType w:val="singleLevel"/>
    <w:tmpl w:val="A102EF27"/>
    <w:lvl w:ilvl="0" w:tentative="0">
      <w:start w:val="1"/>
      <w:numFmt w:val="decimal"/>
      <w:suff w:val="nothing"/>
      <w:lvlText w:val="%1）"/>
      <w:lvlJc w:val="left"/>
    </w:lvl>
  </w:abstractNum>
  <w:abstractNum w:abstractNumId="1">
    <w:nsid w:val="BC2BB446"/>
    <w:multiLevelType w:val="singleLevel"/>
    <w:tmpl w:val="BC2BB446"/>
    <w:lvl w:ilvl="0" w:tentative="0">
      <w:start w:val="1"/>
      <w:numFmt w:val="decimal"/>
      <w:suff w:val="nothing"/>
      <w:lvlText w:val="%1）"/>
      <w:lvlJc w:val="left"/>
    </w:lvl>
  </w:abstractNum>
  <w:abstractNum w:abstractNumId="2">
    <w:nsid w:val="BF1F17E1"/>
    <w:multiLevelType w:val="singleLevel"/>
    <w:tmpl w:val="BF1F17E1"/>
    <w:lvl w:ilvl="0" w:tentative="0">
      <w:start w:val="4"/>
      <w:numFmt w:val="decimal"/>
      <w:suff w:val="nothing"/>
      <w:lvlText w:val="（%1）"/>
      <w:lvlJc w:val="left"/>
    </w:lvl>
  </w:abstractNum>
  <w:abstractNum w:abstractNumId="3">
    <w:nsid w:val="DD22E316"/>
    <w:multiLevelType w:val="singleLevel"/>
    <w:tmpl w:val="DD22E316"/>
    <w:lvl w:ilvl="0" w:tentative="0">
      <w:start w:val="1"/>
      <w:numFmt w:val="lowerLetter"/>
      <w:suff w:val="space"/>
      <w:lvlText w:val="%1）"/>
      <w:lvlJc w:val="left"/>
    </w:lvl>
  </w:abstractNum>
  <w:abstractNum w:abstractNumId="4">
    <w:nsid w:val="FFFFFFFB"/>
    <w:multiLevelType w:val="multilevel"/>
    <w:tmpl w:val="FFFFFFFB"/>
    <w:lvl w:ilvl="0" w:tentative="0">
      <w:start w:val="1"/>
      <w:numFmt w:val="decimal"/>
      <w:lvlText w:val="%1."/>
      <w:legacy w:legacy="1" w:legacySpace="0" w:legacyIndent="425"/>
      <w:lvlJc w:val="left"/>
      <w:pPr>
        <w:ind w:left="425" w:hanging="425"/>
      </w:pPr>
    </w:lvl>
    <w:lvl w:ilvl="1" w:tentative="0">
      <w:start w:val="1"/>
      <w:numFmt w:val="decimal"/>
      <w:lvlText w:val="%1.%2."/>
      <w:legacy w:legacy="1" w:legacySpace="0" w:legacyIndent="425"/>
      <w:lvlJc w:val="left"/>
      <w:pPr>
        <w:ind w:left="850" w:hanging="425"/>
      </w:pPr>
    </w:lvl>
    <w:lvl w:ilvl="2" w:tentative="0">
      <w:start w:val="1"/>
      <w:numFmt w:val="decimal"/>
      <w:lvlText w:val="%1.%2.%3."/>
      <w:legacy w:legacy="1" w:legacySpace="0" w:legacyIndent="425"/>
      <w:lvlJc w:val="left"/>
      <w:pPr>
        <w:ind w:left="1275" w:hanging="425"/>
      </w:pPr>
    </w:lvl>
    <w:lvl w:ilvl="3" w:tentative="0">
      <w:start w:val="1"/>
      <w:numFmt w:val="decimal"/>
      <w:lvlText w:val="%1.%2.%3.%4."/>
      <w:legacy w:legacy="1" w:legacySpace="0" w:legacyIndent="425"/>
      <w:lvlJc w:val="left"/>
      <w:pPr>
        <w:ind w:left="1700" w:hanging="425"/>
      </w:pPr>
    </w:lvl>
    <w:lvl w:ilvl="4" w:tentative="0">
      <w:start w:val="1"/>
      <w:numFmt w:val="decimal"/>
      <w:lvlText w:val="%1.%2.%3.%4.%5."/>
      <w:legacy w:legacy="1" w:legacySpace="0" w:legacyIndent="425"/>
      <w:lvlJc w:val="left"/>
      <w:pPr>
        <w:ind w:left="2125" w:hanging="425"/>
      </w:pPr>
    </w:lvl>
    <w:lvl w:ilvl="5" w:tentative="0">
      <w:start w:val="1"/>
      <w:numFmt w:val="decimal"/>
      <w:lvlText w:val="%1.%2.%3.%4.%5.%6."/>
      <w:legacy w:legacy="1" w:legacySpace="0" w:legacyIndent="425"/>
      <w:lvlJc w:val="left"/>
      <w:pPr>
        <w:ind w:left="2550" w:hanging="425"/>
      </w:pPr>
    </w:lvl>
    <w:lvl w:ilvl="6" w:tentative="0">
      <w:start w:val="1"/>
      <w:numFmt w:val="decimal"/>
      <w:pStyle w:val="9"/>
      <w:lvlText w:val="%1.%2.%3.%4.%5.%6.%7."/>
      <w:legacy w:legacy="1" w:legacySpace="0" w:legacyIndent="425"/>
      <w:lvlJc w:val="left"/>
      <w:pPr>
        <w:ind w:left="2975" w:hanging="425"/>
      </w:pPr>
    </w:lvl>
    <w:lvl w:ilvl="7" w:tentative="0">
      <w:start w:val="1"/>
      <w:numFmt w:val="decimal"/>
      <w:pStyle w:val="10"/>
      <w:lvlText w:val="%1.%2.%3.%4.%5.%6.%7.%8."/>
      <w:legacy w:legacy="1" w:legacySpace="0" w:legacyIndent="425"/>
      <w:lvlJc w:val="left"/>
      <w:pPr>
        <w:ind w:left="3400" w:hanging="425"/>
      </w:pPr>
    </w:lvl>
    <w:lvl w:ilvl="8" w:tentative="0">
      <w:start w:val="1"/>
      <w:numFmt w:val="decimal"/>
      <w:pStyle w:val="11"/>
      <w:lvlText w:val="%1.%2.%3.%4.%5.%6.%7.%8.%9."/>
      <w:legacy w:legacy="1" w:legacySpace="0" w:legacyIndent="425"/>
      <w:lvlJc w:val="left"/>
      <w:pPr>
        <w:ind w:left="3825" w:hanging="425"/>
      </w:pPr>
    </w:lvl>
  </w:abstractNum>
  <w:abstractNum w:abstractNumId="5">
    <w:nsid w:val="00000002"/>
    <w:multiLevelType w:val="multilevel"/>
    <w:tmpl w:val="00000002"/>
    <w:lvl w:ilvl="0" w:tentative="0">
      <w:start w:val="17"/>
      <w:numFmt w:val="decimal"/>
      <w:lvlText w:val="%1、"/>
      <w:lvlJc w:val="left"/>
      <w:pPr>
        <w:tabs>
          <w:tab w:val="left" w:pos="1280"/>
        </w:tabs>
        <w:ind w:left="1280" w:hanging="720"/>
      </w:pPr>
      <w:rPr>
        <w:rFonts w:hint="default" w:hAnsi="宋体"/>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6">
    <w:nsid w:val="087E6361"/>
    <w:multiLevelType w:val="singleLevel"/>
    <w:tmpl w:val="087E6361"/>
    <w:lvl w:ilvl="0" w:tentative="0">
      <w:start w:val="1"/>
      <w:numFmt w:val="decimal"/>
      <w:suff w:val="nothing"/>
      <w:lvlText w:val="%1、"/>
      <w:lvlJc w:val="left"/>
    </w:lvl>
  </w:abstractNum>
  <w:abstractNum w:abstractNumId="7">
    <w:nsid w:val="15090FC2"/>
    <w:multiLevelType w:val="singleLevel"/>
    <w:tmpl w:val="15090FC2"/>
    <w:lvl w:ilvl="0" w:tentative="0">
      <w:start w:val="1"/>
      <w:numFmt w:val="decimal"/>
      <w:suff w:val="nothing"/>
      <w:lvlText w:val="（%1）"/>
      <w:lvlJc w:val="left"/>
    </w:lvl>
  </w:abstractNum>
  <w:abstractNum w:abstractNumId="8">
    <w:nsid w:val="2173F573"/>
    <w:multiLevelType w:val="singleLevel"/>
    <w:tmpl w:val="2173F573"/>
    <w:lvl w:ilvl="0" w:tentative="0">
      <w:start w:val="4"/>
      <w:numFmt w:val="decimal"/>
      <w:lvlText w:val="%1."/>
      <w:lvlJc w:val="left"/>
      <w:pPr>
        <w:tabs>
          <w:tab w:val="left" w:pos="312"/>
        </w:tabs>
      </w:pPr>
    </w:lvl>
  </w:abstractNum>
  <w:abstractNum w:abstractNumId="9">
    <w:nsid w:val="232D2431"/>
    <w:multiLevelType w:val="singleLevel"/>
    <w:tmpl w:val="232D2431"/>
    <w:lvl w:ilvl="0" w:tentative="0">
      <w:start w:val="1"/>
      <w:numFmt w:val="decimal"/>
      <w:suff w:val="nothing"/>
      <w:lvlText w:val="%1、"/>
      <w:lvlJc w:val="left"/>
    </w:lvl>
  </w:abstractNum>
  <w:abstractNum w:abstractNumId="10">
    <w:nsid w:val="360778DA"/>
    <w:multiLevelType w:val="multilevel"/>
    <w:tmpl w:val="360778D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5C376DB5"/>
    <w:multiLevelType w:val="singleLevel"/>
    <w:tmpl w:val="5C376DB5"/>
    <w:lvl w:ilvl="0" w:tentative="0">
      <w:start w:val="1"/>
      <w:numFmt w:val="decimal"/>
      <w:suff w:val="nothing"/>
      <w:lvlText w:val="（%1）"/>
      <w:lvlJc w:val="left"/>
    </w:lvl>
  </w:abstractNum>
  <w:abstractNum w:abstractNumId="12">
    <w:nsid w:val="5E116A1D"/>
    <w:multiLevelType w:val="multilevel"/>
    <w:tmpl w:val="5E116A1D"/>
    <w:lvl w:ilvl="0" w:tentative="0">
      <w:start w:val="1"/>
      <w:numFmt w:val="decimal"/>
      <w:suff w:val="nothing"/>
      <w:lvlText w:val="%1."/>
      <w:lvlJc w:val="left"/>
      <w:pPr>
        <w:ind w:left="0" w:firstLine="567"/>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3">
    <w:nsid w:val="63AFC049"/>
    <w:multiLevelType w:val="singleLevel"/>
    <w:tmpl w:val="63AFC049"/>
    <w:lvl w:ilvl="0" w:tentative="0">
      <w:start w:val="2"/>
      <w:numFmt w:val="decimal"/>
      <w:suff w:val="nothing"/>
      <w:lvlText w:val="（%1）"/>
      <w:lvlJc w:val="left"/>
    </w:lvl>
  </w:abstractNum>
  <w:abstractNum w:abstractNumId="14">
    <w:nsid w:val="7E868437"/>
    <w:multiLevelType w:val="singleLevel"/>
    <w:tmpl w:val="7E868437"/>
    <w:lvl w:ilvl="0" w:tentative="0">
      <w:start w:val="2"/>
      <w:numFmt w:val="decimal"/>
      <w:suff w:val="nothing"/>
      <w:lvlText w:val="（%1）"/>
      <w:lvlJc w:val="left"/>
    </w:lvl>
  </w:abstractNum>
  <w:num w:numId="1">
    <w:abstractNumId w:val="4"/>
  </w:num>
  <w:num w:numId="2">
    <w:abstractNumId w:val="3"/>
  </w:num>
  <w:num w:numId="3">
    <w:abstractNumId w:val="2"/>
  </w:num>
  <w:num w:numId="4">
    <w:abstractNumId w:val="13"/>
  </w:num>
  <w:num w:numId="5">
    <w:abstractNumId w:val="7"/>
  </w:num>
  <w:num w:numId="6">
    <w:abstractNumId w:val="11"/>
  </w:num>
  <w:num w:numId="7">
    <w:abstractNumId w:val="5"/>
  </w:num>
  <w:num w:numId="8">
    <w:abstractNumId w:val="0"/>
  </w:num>
  <w:num w:numId="9">
    <w:abstractNumId w:val="12"/>
  </w:num>
  <w:num w:numId="10">
    <w:abstractNumId w:val="1"/>
  </w:num>
  <w:num w:numId="11">
    <w:abstractNumId w:val="8"/>
  </w:num>
  <w:num w:numId="12">
    <w:abstractNumId w:val="14"/>
  </w:num>
  <w:num w:numId="13">
    <w:abstractNumId w:val="9"/>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UxNGNmMmUyZTIxY2FmM2YyMWFiMjM3Y2U3MzAifQ=="/>
  </w:docVars>
  <w:rsids>
    <w:rsidRoot w:val="00172A27"/>
    <w:rsid w:val="00002A00"/>
    <w:rsid w:val="000031F7"/>
    <w:rsid w:val="00004519"/>
    <w:rsid w:val="00005AF4"/>
    <w:rsid w:val="00011D79"/>
    <w:rsid w:val="00017597"/>
    <w:rsid w:val="0002242D"/>
    <w:rsid w:val="00023EF2"/>
    <w:rsid w:val="00030D7A"/>
    <w:rsid w:val="0003347B"/>
    <w:rsid w:val="000334B5"/>
    <w:rsid w:val="0003534E"/>
    <w:rsid w:val="000359F8"/>
    <w:rsid w:val="000364C3"/>
    <w:rsid w:val="00040609"/>
    <w:rsid w:val="00044848"/>
    <w:rsid w:val="00045D08"/>
    <w:rsid w:val="00047B52"/>
    <w:rsid w:val="00051FB6"/>
    <w:rsid w:val="00054C63"/>
    <w:rsid w:val="000614BD"/>
    <w:rsid w:val="00065D7F"/>
    <w:rsid w:val="00067AAB"/>
    <w:rsid w:val="0008251F"/>
    <w:rsid w:val="00083C59"/>
    <w:rsid w:val="000844BE"/>
    <w:rsid w:val="00085898"/>
    <w:rsid w:val="00087A22"/>
    <w:rsid w:val="00092C09"/>
    <w:rsid w:val="0009397C"/>
    <w:rsid w:val="000946DB"/>
    <w:rsid w:val="000962DF"/>
    <w:rsid w:val="00096394"/>
    <w:rsid w:val="00097CC9"/>
    <w:rsid w:val="000A10F7"/>
    <w:rsid w:val="000A11DA"/>
    <w:rsid w:val="000A152C"/>
    <w:rsid w:val="000A1919"/>
    <w:rsid w:val="000A1A77"/>
    <w:rsid w:val="000A222B"/>
    <w:rsid w:val="000A719F"/>
    <w:rsid w:val="000A7409"/>
    <w:rsid w:val="000B3BF1"/>
    <w:rsid w:val="000B5B73"/>
    <w:rsid w:val="000C10B3"/>
    <w:rsid w:val="000C1880"/>
    <w:rsid w:val="000C5388"/>
    <w:rsid w:val="000C606A"/>
    <w:rsid w:val="000D1074"/>
    <w:rsid w:val="000D1151"/>
    <w:rsid w:val="000D1502"/>
    <w:rsid w:val="000D4D35"/>
    <w:rsid w:val="000D682C"/>
    <w:rsid w:val="000E0EC6"/>
    <w:rsid w:val="000E18A9"/>
    <w:rsid w:val="000E50BD"/>
    <w:rsid w:val="000F049C"/>
    <w:rsid w:val="000F25DE"/>
    <w:rsid w:val="000F3EC7"/>
    <w:rsid w:val="000F61EE"/>
    <w:rsid w:val="00102A61"/>
    <w:rsid w:val="001043D1"/>
    <w:rsid w:val="00105B70"/>
    <w:rsid w:val="00107357"/>
    <w:rsid w:val="0010756F"/>
    <w:rsid w:val="00110A79"/>
    <w:rsid w:val="00115DFB"/>
    <w:rsid w:val="001173E6"/>
    <w:rsid w:val="00117CF1"/>
    <w:rsid w:val="00120CEC"/>
    <w:rsid w:val="00125610"/>
    <w:rsid w:val="00127A33"/>
    <w:rsid w:val="0013144F"/>
    <w:rsid w:val="001317D3"/>
    <w:rsid w:val="0013510D"/>
    <w:rsid w:val="00135D08"/>
    <w:rsid w:val="0013673D"/>
    <w:rsid w:val="0014073E"/>
    <w:rsid w:val="00143086"/>
    <w:rsid w:val="00150949"/>
    <w:rsid w:val="0015115A"/>
    <w:rsid w:val="001539CD"/>
    <w:rsid w:val="001545A1"/>
    <w:rsid w:val="0016538D"/>
    <w:rsid w:val="001655B2"/>
    <w:rsid w:val="00166141"/>
    <w:rsid w:val="0016733C"/>
    <w:rsid w:val="0016779A"/>
    <w:rsid w:val="0017038F"/>
    <w:rsid w:val="0017119E"/>
    <w:rsid w:val="0017775E"/>
    <w:rsid w:val="0018434B"/>
    <w:rsid w:val="001927A9"/>
    <w:rsid w:val="0019568E"/>
    <w:rsid w:val="001A11EE"/>
    <w:rsid w:val="001A140B"/>
    <w:rsid w:val="001A1E58"/>
    <w:rsid w:val="001B0268"/>
    <w:rsid w:val="001B0EBB"/>
    <w:rsid w:val="001B20AB"/>
    <w:rsid w:val="001B3163"/>
    <w:rsid w:val="001B58F7"/>
    <w:rsid w:val="001C10A6"/>
    <w:rsid w:val="001C1D3C"/>
    <w:rsid w:val="001C3FA2"/>
    <w:rsid w:val="001C6586"/>
    <w:rsid w:val="001D0D55"/>
    <w:rsid w:val="001D29A8"/>
    <w:rsid w:val="001D2F92"/>
    <w:rsid w:val="001D3715"/>
    <w:rsid w:val="001D4433"/>
    <w:rsid w:val="001D6D27"/>
    <w:rsid w:val="001E0175"/>
    <w:rsid w:val="001E4B70"/>
    <w:rsid w:val="001E5116"/>
    <w:rsid w:val="001E64A3"/>
    <w:rsid w:val="001E6F5C"/>
    <w:rsid w:val="001F0469"/>
    <w:rsid w:val="001F0513"/>
    <w:rsid w:val="001F1193"/>
    <w:rsid w:val="001F1775"/>
    <w:rsid w:val="001F3A03"/>
    <w:rsid w:val="001F683F"/>
    <w:rsid w:val="001F7266"/>
    <w:rsid w:val="00200F39"/>
    <w:rsid w:val="00202E56"/>
    <w:rsid w:val="00210B25"/>
    <w:rsid w:val="00212FCF"/>
    <w:rsid w:val="00213A64"/>
    <w:rsid w:val="002209BA"/>
    <w:rsid w:val="0022118F"/>
    <w:rsid w:val="002217B0"/>
    <w:rsid w:val="002226B6"/>
    <w:rsid w:val="00222A08"/>
    <w:rsid w:val="00224306"/>
    <w:rsid w:val="002251E9"/>
    <w:rsid w:val="00225A32"/>
    <w:rsid w:val="00226A6A"/>
    <w:rsid w:val="0022772B"/>
    <w:rsid w:val="002311BD"/>
    <w:rsid w:val="0023290B"/>
    <w:rsid w:val="00233316"/>
    <w:rsid w:val="00233C00"/>
    <w:rsid w:val="00237DFF"/>
    <w:rsid w:val="00240CE2"/>
    <w:rsid w:val="00241A93"/>
    <w:rsid w:val="00244138"/>
    <w:rsid w:val="00244FF1"/>
    <w:rsid w:val="002460FD"/>
    <w:rsid w:val="002472B1"/>
    <w:rsid w:val="00247510"/>
    <w:rsid w:val="00250A1C"/>
    <w:rsid w:val="00250D03"/>
    <w:rsid w:val="00252AC2"/>
    <w:rsid w:val="00254FD2"/>
    <w:rsid w:val="002555D8"/>
    <w:rsid w:val="0026189A"/>
    <w:rsid w:val="002655E0"/>
    <w:rsid w:val="00266CA2"/>
    <w:rsid w:val="002704CC"/>
    <w:rsid w:val="0028262A"/>
    <w:rsid w:val="00283B73"/>
    <w:rsid w:val="00284C41"/>
    <w:rsid w:val="00286670"/>
    <w:rsid w:val="002869A6"/>
    <w:rsid w:val="00291990"/>
    <w:rsid w:val="00291ADC"/>
    <w:rsid w:val="002943CE"/>
    <w:rsid w:val="00296065"/>
    <w:rsid w:val="002967AB"/>
    <w:rsid w:val="00297238"/>
    <w:rsid w:val="00297518"/>
    <w:rsid w:val="00297EB6"/>
    <w:rsid w:val="002A19D4"/>
    <w:rsid w:val="002B1ADC"/>
    <w:rsid w:val="002B4020"/>
    <w:rsid w:val="002B4CA4"/>
    <w:rsid w:val="002B4DD0"/>
    <w:rsid w:val="002B6C9F"/>
    <w:rsid w:val="002B7508"/>
    <w:rsid w:val="002C2D87"/>
    <w:rsid w:val="002C4DDB"/>
    <w:rsid w:val="002D15C1"/>
    <w:rsid w:val="002D2C4E"/>
    <w:rsid w:val="002D4F59"/>
    <w:rsid w:val="002D58DF"/>
    <w:rsid w:val="002D5BD8"/>
    <w:rsid w:val="002E0CC2"/>
    <w:rsid w:val="002E3953"/>
    <w:rsid w:val="002E4652"/>
    <w:rsid w:val="002E4A6E"/>
    <w:rsid w:val="002E5524"/>
    <w:rsid w:val="002E5856"/>
    <w:rsid w:val="002F43FC"/>
    <w:rsid w:val="002F45F1"/>
    <w:rsid w:val="002F53E0"/>
    <w:rsid w:val="002F7225"/>
    <w:rsid w:val="00304303"/>
    <w:rsid w:val="003073AE"/>
    <w:rsid w:val="003113A8"/>
    <w:rsid w:val="0031145A"/>
    <w:rsid w:val="003142AC"/>
    <w:rsid w:val="00315153"/>
    <w:rsid w:val="0031630B"/>
    <w:rsid w:val="00317ADA"/>
    <w:rsid w:val="003200E6"/>
    <w:rsid w:val="003207A8"/>
    <w:rsid w:val="00322398"/>
    <w:rsid w:val="00325551"/>
    <w:rsid w:val="00325AAD"/>
    <w:rsid w:val="00330975"/>
    <w:rsid w:val="00331649"/>
    <w:rsid w:val="003326BE"/>
    <w:rsid w:val="00332BB0"/>
    <w:rsid w:val="00333A10"/>
    <w:rsid w:val="00334D9A"/>
    <w:rsid w:val="00337A4E"/>
    <w:rsid w:val="003407AD"/>
    <w:rsid w:val="0034213C"/>
    <w:rsid w:val="00344925"/>
    <w:rsid w:val="00345BA6"/>
    <w:rsid w:val="00346B84"/>
    <w:rsid w:val="00352B0A"/>
    <w:rsid w:val="0035664D"/>
    <w:rsid w:val="00362DD3"/>
    <w:rsid w:val="00364006"/>
    <w:rsid w:val="00366755"/>
    <w:rsid w:val="00373896"/>
    <w:rsid w:val="00373C42"/>
    <w:rsid w:val="00375971"/>
    <w:rsid w:val="00376D83"/>
    <w:rsid w:val="00380193"/>
    <w:rsid w:val="003822DA"/>
    <w:rsid w:val="00383B14"/>
    <w:rsid w:val="00383BCC"/>
    <w:rsid w:val="00383DE2"/>
    <w:rsid w:val="00384746"/>
    <w:rsid w:val="00385087"/>
    <w:rsid w:val="003866BB"/>
    <w:rsid w:val="00390B0C"/>
    <w:rsid w:val="00392DD9"/>
    <w:rsid w:val="003962C9"/>
    <w:rsid w:val="00396958"/>
    <w:rsid w:val="003969CC"/>
    <w:rsid w:val="003A0BFF"/>
    <w:rsid w:val="003A0C08"/>
    <w:rsid w:val="003A2F34"/>
    <w:rsid w:val="003A699B"/>
    <w:rsid w:val="003A6E77"/>
    <w:rsid w:val="003B3E6F"/>
    <w:rsid w:val="003B5156"/>
    <w:rsid w:val="003C1F6D"/>
    <w:rsid w:val="003C2B81"/>
    <w:rsid w:val="003C3AEA"/>
    <w:rsid w:val="003C3B87"/>
    <w:rsid w:val="003C7A7D"/>
    <w:rsid w:val="003D0809"/>
    <w:rsid w:val="003D4959"/>
    <w:rsid w:val="003D6F4A"/>
    <w:rsid w:val="003E1186"/>
    <w:rsid w:val="003E5004"/>
    <w:rsid w:val="003E522E"/>
    <w:rsid w:val="003F32C8"/>
    <w:rsid w:val="003F3AC0"/>
    <w:rsid w:val="003F3E2C"/>
    <w:rsid w:val="003F458E"/>
    <w:rsid w:val="003F4868"/>
    <w:rsid w:val="003F7CDE"/>
    <w:rsid w:val="004004C3"/>
    <w:rsid w:val="0040146E"/>
    <w:rsid w:val="00405509"/>
    <w:rsid w:val="0041076B"/>
    <w:rsid w:val="004110CA"/>
    <w:rsid w:val="004117B4"/>
    <w:rsid w:val="004118E3"/>
    <w:rsid w:val="00412035"/>
    <w:rsid w:val="0041258C"/>
    <w:rsid w:val="004127F2"/>
    <w:rsid w:val="00413956"/>
    <w:rsid w:val="0041589D"/>
    <w:rsid w:val="004169A9"/>
    <w:rsid w:val="00421367"/>
    <w:rsid w:val="00422D14"/>
    <w:rsid w:val="0042372E"/>
    <w:rsid w:val="00423F6D"/>
    <w:rsid w:val="00424518"/>
    <w:rsid w:val="00426688"/>
    <w:rsid w:val="004332DD"/>
    <w:rsid w:val="00434CBB"/>
    <w:rsid w:val="00435DD0"/>
    <w:rsid w:val="004375AE"/>
    <w:rsid w:val="00443AC5"/>
    <w:rsid w:val="00446BC6"/>
    <w:rsid w:val="004470FE"/>
    <w:rsid w:val="0044725F"/>
    <w:rsid w:val="0045048B"/>
    <w:rsid w:val="00453038"/>
    <w:rsid w:val="00454462"/>
    <w:rsid w:val="00461F89"/>
    <w:rsid w:val="004639DE"/>
    <w:rsid w:val="004641D7"/>
    <w:rsid w:val="00464AA9"/>
    <w:rsid w:val="0046600B"/>
    <w:rsid w:val="00471457"/>
    <w:rsid w:val="00472B6F"/>
    <w:rsid w:val="00475E42"/>
    <w:rsid w:val="00476D78"/>
    <w:rsid w:val="00481F9E"/>
    <w:rsid w:val="004846B2"/>
    <w:rsid w:val="00487570"/>
    <w:rsid w:val="00487C73"/>
    <w:rsid w:val="00490EC7"/>
    <w:rsid w:val="00491430"/>
    <w:rsid w:val="00491A3A"/>
    <w:rsid w:val="00491ABA"/>
    <w:rsid w:val="00494653"/>
    <w:rsid w:val="00495CF9"/>
    <w:rsid w:val="00496635"/>
    <w:rsid w:val="004A0DD7"/>
    <w:rsid w:val="004A5BD7"/>
    <w:rsid w:val="004A6852"/>
    <w:rsid w:val="004A6CCE"/>
    <w:rsid w:val="004B3A6C"/>
    <w:rsid w:val="004B45F9"/>
    <w:rsid w:val="004B47A7"/>
    <w:rsid w:val="004B56E3"/>
    <w:rsid w:val="004B7B83"/>
    <w:rsid w:val="004B7EAF"/>
    <w:rsid w:val="004C3B36"/>
    <w:rsid w:val="004C3EC6"/>
    <w:rsid w:val="004C54E9"/>
    <w:rsid w:val="004C69C1"/>
    <w:rsid w:val="004C6ADE"/>
    <w:rsid w:val="004C7343"/>
    <w:rsid w:val="004D0404"/>
    <w:rsid w:val="004D1C2B"/>
    <w:rsid w:val="004D3FD7"/>
    <w:rsid w:val="004D4019"/>
    <w:rsid w:val="004D6C37"/>
    <w:rsid w:val="004E1533"/>
    <w:rsid w:val="004E17D1"/>
    <w:rsid w:val="004E53F2"/>
    <w:rsid w:val="004F24EC"/>
    <w:rsid w:val="004F454C"/>
    <w:rsid w:val="004F4DB9"/>
    <w:rsid w:val="004F6747"/>
    <w:rsid w:val="004F7BCF"/>
    <w:rsid w:val="004F7ED9"/>
    <w:rsid w:val="00500F8B"/>
    <w:rsid w:val="00500FC7"/>
    <w:rsid w:val="0050187F"/>
    <w:rsid w:val="00501B76"/>
    <w:rsid w:val="005046B9"/>
    <w:rsid w:val="00506173"/>
    <w:rsid w:val="00506468"/>
    <w:rsid w:val="0051160F"/>
    <w:rsid w:val="00513DF4"/>
    <w:rsid w:val="005147AA"/>
    <w:rsid w:val="00520C98"/>
    <w:rsid w:val="00522431"/>
    <w:rsid w:val="00522E9A"/>
    <w:rsid w:val="0052376D"/>
    <w:rsid w:val="005253A1"/>
    <w:rsid w:val="005278A8"/>
    <w:rsid w:val="00530824"/>
    <w:rsid w:val="00533733"/>
    <w:rsid w:val="00534BAA"/>
    <w:rsid w:val="005404D8"/>
    <w:rsid w:val="00540B44"/>
    <w:rsid w:val="00540E72"/>
    <w:rsid w:val="00541D36"/>
    <w:rsid w:val="00546E35"/>
    <w:rsid w:val="00550768"/>
    <w:rsid w:val="0055121D"/>
    <w:rsid w:val="005559E9"/>
    <w:rsid w:val="00557F50"/>
    <w:rsid w:val="00560653"/>
    <w:rsid w:val="00562033"/>
    <w:rsid w:val="00562044"/>
    <w:rsid w:val="005627E0"/>
    <w:rsid w:val="0056644B"/>
    <w:rsid w:val="005713F0"/>
    <w:rsid w:val="005714AB"/>
    <w:rsid w:val="00571B92"/>
    <w:rsid w:val="005735BE"/>
    <w:rsid w:val="00574B85"/>
    <w:rsid w:val="00585EDD"/>
    <w:rsid w:val="00587C68"/>
    <w:rsid w:val="0059253C"/>
    <w:rsid w:val="0059460B"/>
    <w:rsid w:val="005962D1"/>
    <w:rsid w:val="005A0928"/>
    <w:rsid w:val="005A0E6B"/>
    <w:rsid w:val="005A297E"/>
    <w:rsid w:val="005B0211"/>
    <w:rsid w:val="005B370B"/>
    <w:rsid w:val="005B6CD5"/>
    <w:rsid w:val="005B6D40"/>
    <w:rsid w:val="005B72AA"/>
    <w:rsid w:val="005B7ABB"/>
    <w:rsid w:val="005C08E7"/>
    <w:rsid w:val="005C68D6"/>
    <w:rsid w:val="005D1D73"/>
    <w:rsid w:val="005D393E"/>
    <w:rsid w:val="005D45A6"/>
    <w:rsid w:val="005F1088"/>
    <w:rsid w:val="005F3C89"/>
    <w:rsid w:val="005F4114"/>
    <w:rsid w:val="005F4B80"/>
    <w:rsid w:val="005F4E23"/>
    <w:rsid w:val="00600B3C"/>
    <w:rsid w:val="006014AA"/>
    <w:rsid w:val="00601CF7"/>
    <w:rsid w:val="00601FC4"/>
    <w:rsid w:val="006025EC"/>
    <w:rsid w:val="0060387B"/>
    <w:rsid w:val="00607547"/>
    <w:rsid w:val="00607E58"/>
    <w:rsid w:val="0061033F"/>
    <w:rsid w:val="00611B2F"/>
    <w:rsid w:val="00613709"/>
    <w:rsid w:val="00614780"/>
    <w:rsid w:val="00623D23"/>
    <w:rsid w:val="00627553"/>
    <w:rsid w:val="0062758A"/>
    <w:rsid w:val="00634114"/>
    <w:rsid w:val="00634404"/>
    <w:rsid w:val="006413DE"/>
    <w:rsid w:val="006437DA"/>
    <w:rsid w:val="006474A2"/>
    <w:rsid w:val="006517CC"/>
    <w:rsid w:val="0065190D"/>
    <w:rsid w:val="00651EF4"/>
    <w:rsid w:val="00652457"/>
    <w:rsid w:val="006532BA"/>
    <w:rsid w:val="006534FC"/>
    <w:rsid w:val="006570DC"/>
    <w:rsid w:val="00660859"/>
    <w:rsid w:val="00662D4B"/>
    <w:rsid w:val="00663DCC"/>
    <w:rsid w:val="00666851"/>
    <w:rsid w:val="00667E13"/>
    <w:rsid w:val="00670B32"/>
    <w:rsid w:val="00671B86"/>
    <w:rsid w:val="00673A50"/>
    <w:rsid w:val="0068092D"/>
    <w:rsid w:val="00681816"/>
    <w:rsid w:val="00682F44"/>
    <w:rsid w:val="00685E34"/>
    <w:rsid w:val="00686360"/>
    <w:rsid w:val="006869BA"/>
    <w:rsid w:val="006912F5"/>
    <w:rsid w:val="00692165"/>
    <w:rsid w:val="006937F0"/>
    <w:rsid w:val="00696755"/>
    <w:rsid w:val="006A189C"/>
    <w:rsid w:val="006A2C1B"/>
    <w:rsid w:val="006A2E82"/>
    <w:rsid w:val="006A5D52"/>
    <w:rsid w:val="006B195E"/>
    <w:rsid w:val="006B1FD3"/>
    <w:rsid w:val="006B433A"/>
    <w:rsid w:val="006B4FB0"/>
    <w:rsid w:val="006B5A6A"/>
    <w:rsid w:val="006B7DDA"/>
    <w:rsid w:val="006C1068"/>
    <w:rsid w:val="006C1DC3"/>
    <w:rsid w:val="006C77C9"/>
    <w:rsid w:val="006C7EAA"/>
    <w:rsid w:val="006D215A"/>
    <w:rsid w:val="006D3AEA"/>
    <w:rsid w:val="006D5A76"/>
    <w:rsid w:val="006D6036"/>
    <w:rsid w:val="006D64A1"/>
    <w:rsid w:val="006D6E5F"/>
    <w:rsid w:val="006E3069"/>
    <w:rsid w:val="006F01FE"/>
    <w:rsid w:val="006F43B8"/>
    <w:rsid w:val="006F4763"/>
    <w:rsid w:val="006F4F4B"/>
    <w:rsid w:val="006F5621"/>
    <w:rsid w:val="007004B2"/>
    <w:rsid w:val="00700942"/>
    <w:rsid w:val="00701E65"/>
    <w:rsid w:val="00702E7A"/>
    <w:rsid w:val="0070552E"/>
    <w:rsid w:val="00707EF2"/>
    <w:rsid w:val="007101E8"/>
    <w:rsid w:val="007114E0"/>
    <w:rsid w:val="00713CA3"/>
    <w:rsid w:val="0071574F"/>
    <w:rsid w:val="00715ACF"/>
    <w:rsid w:val="00715E55"/>
    <w:rsid w:val="00721509"/>
    <w:rsid w:val="00722577"/>
    <w:rsid w:val="0072414F"/>
    <w:rsid w:val="0072419B"/>
    <w:rsid w:val="00730976"/>
    <w:rsid w:val="00731BB0"/>
    <w:rsid w:val="00731D05"/>
    <w:rsid w:val="0073396D"/>
    <w:rsid w:val="00740A46"/>
    <w:rsid w:val="007443F9"/>
    <w:rsid w:val="00745735"/>
    <w:rsid w:val="007509FD"/>
    <w:rsid w:val="00750BDD"/>
    <w:rsid w:val="00750D06"/>
    <w:rsid w:val="007547B2"/>
    <w:rsid w:val="007561C4"/>
    <w:rsid w:val="007608F2"/>
    <w:rsid w:val="00763C69"/>
    <w:rsid w:val="00765229"/>
    <w:rsid w:val="007659B2"/>
    <w:rsid w:val="0076707C"/>
    <w:rsid w:val="00772936"/>
    <w:rsid w:val="007741F7"/>
    <w:rsid w:val="00775DD5"/>
    <w:rsid w:val="00780079"/>
    <w:rsid w:val="007823C6"/>
    <w:rsid w:val="0078342D"/>
    <w:rsid w:val="00785B8C"/>
    <w:rsid w:val="007863A4"/>
    <w:rsid w:val="00790B98"/>
    <w:rsid w:val="00792192"/>
    <w:rsid w:val="007934F3"/>
    <w:rsid w:val="0079545C"/>
    <w:rsid w:val="00795DAD"/>
    <w:rsid w:val="00796DF5"/>
    <w:rsid w:val="00797507"/>
    <w:rsid w:val="007A0B72"/>
    <w:rsid w:val="007A1274"/>
    <w:rsid w:val="007A148D"/>
    <w:rsid w:val="007A190B"/>
    <w:rsid w:val="007A4118"/>
    <w:rsid w:val="007A7FA1"/>
    <w:rsid w:val="007B0369"/>
    <w:rsid w:val="007B1F4B"/>
    <w:rsid w:val="007B39F5"/>
    <w:rsid w:val="007B63E0"/>
    <w:rsid w:val="007B6CF5"/>
    <w:rsid w:val="007B7135"/>
    <w:rsid w:val="007C266C"/>
    <w:rsid w:val="007C3667"/>
    <w:rsid w:val="007D170D"/>
    <w:rsid w:val="007D35F5"/>
    <w:rsid w:val="007D384F"/>
    <w:rsid w:val="007D460F"/>
    <w:rsid w:val="007D4F7A"/>
    <w:rsid w:val="007D76B3"/>
    <w:rsid w:val="007D7A8B"/>
    <w:rsid w:val="007E199B"/>
    <w:rsid w:val="007E38C5"/>
    <w:rsid w:val="007E3F65"/>
    <w:rsid w:val="007E430E"/>
    <w:rsid w:val="007E436A"/>
    <w:rsid w:val="007F00A3"/>
    <w:rsid w:val="007F1935"/>
    <w:rsid w:val="007F1F9D"/>
    <w:rsid w:val="007F6E02"/>
    <w:rsid w:val="007F74F3"/>
    <w:rsid w:val="0080354D"/>
    <w:rsid w:val="00805886"/>
    <w:rsid w:val="00811653"/>
    <w:rsid w:val="00811A1A"/>
    <w:rsid w:val="008132E3"/>
    <w:rsid w:val="00814311"/>
    <w:rsid w:val="00815921"/>
    <w:rsid w:val="00815973"/>
    <w:rsid w:val="00816B16"/>
    <w:rsid w:val="00816F77"/>
    <w:rsid w:val="0082027E"/>
    <w:rsid w:val="008237DD"/>
    <w:rsid w:val="00825FC0"/>
    <w:rsid w:val="00826443"/>
    <w:rsid w:val="0083039B"/>
    <w:rsid w:val="00830481"/>
    <w:rsid w:val="00831770"/>
    <w:rsid w:val="008336EF"/>
    <w:rsid w:val="008340D1"/>
    <w:rsid w:val="00835B2A"/>
    <w:rsid w:val="00836170"/>
    <w:rsid w:val="00846725"/>
    <w:rsid w:val="00851646"/>
    <w:rsid w:val="00853985"/>
    <w:rsid w:val="0085732A"/>
    <w:rsid w:val="00860609"/>
    <w:rsid w:val="00865049"/>
    <w:rsid w:val="00866BC4"/>
    <w:rsid w:val="008717FC"/>
    <w:rsid w:val="00872CB4"/>
    <w:rsid w:val="008731D4"/>
    <w:rsid w:val="008745F0"/>
    <w:rsid w:val="00876C27"/>
    <w:rsid w:val="00881099"/>
    <w:rsid w:val="008812EF"/>
    <w:rsid w:val="00881E68"/>
    <w:rsid w:val="0088235F"/>
    <w:rsid w:val="008824E8"/>
    <w:rsid w:val="00885573"/>
    <w:rsid w:val="00887905"/>
    <w:rsid w:val="00887CF1"/>
    <w:rsid w:val="00887D80"/>
    <w:rsid w:val="008909C7"/>
    <w:rsid w:val="008913BB"/>
    <w:rsid w:val="008944B1"/>
    <w:rsid w:val="008A0DE4"/>
    <w:rsid w:val="008A13CA"/>
    <w:rsid w:val="008A2692"/>
    <w:rsid w:val="008A27D5"/>
    <w:rsid w:val="008A2B4A"/>
    <w:rsid w:val="008A34AE"/>
    <w:rsid w:val="008A36F7"/>
    <w:rsid w:val="008A422D"/>
    <w:rsid w:val="008A47E2"/>
    <w:rsid w:val="008A4B25"/>
    <w:rsid w:val="008A5C65"/>
    <w:rsid w:val="008A6F30"/>
    <w:rsid w:val="008A71B4"/>
    <w:rsid w:val="008B036C"/>
    <w:rsid w:val="008B06D0"/>
    <w:rsid w:val="008B1E88"/>
    <w:rsid w:val="008B1FF8"/>
    <w:rsid w:val="008B2FFC"/>
    <w:rsid w:val="008B3941"/>
    <w:rsid w:val="008B5C7B"/>
    <w:rsid w:val="008B5E45"/>
    <w:rsid w:val="008B7FD3"/>
    <w:rsid w:val="008C02A2"/>
    <w:rsid w:val="008C17E3"/>
    <w:rsid w:val="008C3C09"/>
    <w:rsid w:val="008D2112"/>
    <w:rsid w:val="008D3FFC"/>
    <w:rsid w:val="008D4F1A"/>
    <w:rsid w:val="008E0EF0"/>
    <w:rsid w:val="008E131E"/>
    <w:rsid w:val="008E6FBC"/>
    <w:rsid w:val="008F08DA"/>
    <w:rsid w:val="008F12AD"/>
    <w:rsid w:val="008F26F2"/>
    <w:rsid w:val="008F3B11"/>
    <w:rsid w:val="009002DD"/>
    <w:rsid w:val="00901ADD"/>
    <w:rsid w:val="00903BDE"/>
    <w:rsid w:val="0091160F"/>
    <w:rsid w:val="00920610"/>
    <w:rsid w:val="00923002"/>
    <w:rsid w:val="009252D9"/>
    <w:rsid w:val="009311E5"/>
    <w:rsid w:val="009353D3"/>
    <w:rsid w:val="00935F59"/>
    <w:rsid w:val="0093715B"/>
    <w:rsid w:val="00941A77"/>
    <w:rsid w:val="0094207E"/>
    <w:rsid w:val="0094420E"/>
    <w:rsid w:val="009442F4"/>
    <w:rsid w:val="009456FF"/>
    <w:rsid w:val="009513CE"/>
    <w:rsid w:val="00951676"/>
    <w:rsid w:val="009536F7"/>
    <w:rsid w:val="0095470D"/>
    <w:rsid w:val="00954A49"/>
    <w:rsid w:val="009567DC"/>
    <w:rsid w:val="009601A0"/>
    <w:rsid w:val="00960E13"/>
    <w:rsid w:val="00960E84"/>
    <w:rsid w:val="00961721"/>
    <w:rsid w:val="00961C88"/>
    <w:rsid w:val="009666BF"/>
    <w:rsid w:val="00967511"/>
    <w:rsid w:val="00972944"/>
    <w:rsid w:val="0097410B"/>
    <w:rsid w:val="00974447"/>
    <w:rsid w:val="00975AFB"/>
    <w:rsid w:val="009812E3"/>
    <w:rsid w:val="00983CDB"/>
    <w:rsid w:val="00993406"/>
    <w:rsid w:val="00995019"/>
    <w:rsid w:val="00995C0B"/>
    <w:rsid w:val="00996AC5"/>
    <w:rsid w:val="00997BAD"/>
    <w:rsid w:val="00997BD2"/>
    <w:rsid w:val="009A2894"/>
    <w:rsid w:val="009A384F"/>
    <w:rsid w:val="009A3A4D"/>
    <w:rsid w:val="009A447E"/>
    <w:rsid w:val="009A4C33"/>
    <w:rsid w:val="009A4F58"/>
    <w:rsid w:val="009A609F"/>
    <w:rsid w:val="009B1F29"/>
    <w:rsid w:val="009B1F4B"/>
    <w:rsid w:val="009B2497"/>
    <w:rsid w:val="009B32F7"/>
    <w:rsid w:val="009B43F7"/>
    <w:rsid w:val="009B44A2"/>
    <w:rsid w:val="009B6682"/>
    <w:rsid w:val="009B746A"/>
    <w:rsid w:val="009C0F1C"/>
    <w:rsid w:val="009C0F64"/>
    <w:rsid w:val="009C2169"/>
    <w:rsid w:val="009C32DF"/>
    <w:rsid w:val="009C742C"/>
    <w:rsid w:val="009D3052"/>
    <w:rsid w:val="009D4F27"/>
    <w:rsid w:val="009E160A"/>
    <w:rsid w:val="009E1A26"/>
    <w:rsid w:val="009E304D"/>
    <w:rsid w:val="009E3D42"/>
    <w:rsid w:val="009E439B"/>
    <w:rsid w:val="009E72AB"/>
    <w:rsid w:val="009F2A71"/>
    <w:rsid w:val="009F5860"/>
    <w:rsid w:val="009F6BB2"/>
    <w:rsid w:val="009F7415"/>
    <w:rsid w:val="00A00ED7"/>
    <w:rsid w:val="00A05287"/>
    <w:rsid w:val="00A07149"/>
    <w:rsid w:val="00A0774B"/>
    <w:rsid w:val="00A1084D"/>
    <w:rsid w:val="00A16226"/>
    <w:rsid w:val="00A20A79"/>
    <w:rsid w:val="00A32AE5"/>
    <w:rsid w:val="00A331C1"/>
    <w:rsid w:val="00A33503"/>
    <w:rsid w:val="00A3493A"/>
    <w:rsid w:val="00A3530C"/>
    <w:rsid w:val="00A36910"/>
    <w:rsid w:val="00A378FE"/>
    <w:rsid w:val="00A40E11"/>
    <w:rsid w:val="00A417EF"/>
    <w:rsid w:val="00A42112"/>
    <w:rsid w:val="00A42533"/>
    <w:rsid w:val="00A443F4"/>
    <w:rsid w:val="00A45619"/>
    <w:rsid w:val="00A46236"/>
    <w:rsid w:val="00A47F6A"/>
    <w:rsid w:val="00A505FC"/>
    <w:rsid w:val="00A5076F"/>
    <w:rsid w:val="00A5118F"/>
    <w:rsid w:val="00A5140A"/>
    <w:rsid w:val="00A53158"/>
    <w:rsid w:val="00A543CD"/>
    <w:rsid w:val="00A55FEE"/>
    <w:rsid w:val="00A57C35"/>
    <w:rsid w:val="00A62523"/>
    <w:rsid w:val="00A630C6"/>
    <w:rsid w:val="00A64279"/>
    <w:rsid w:val="00A6439C"/>
    <w:rsid w:val="00A64A20"/>
    <w:rsid w:val="00A75AA4"/>
    <w:rsid w:val="00A76BE8"/>
    <w:rsid w:val="00A77A23"/>
    <w:rsid w:val="00A80F21"/>
    <w:rsid w:val="00A818EB"/>
    <w:rsid w:val="00A83F85"/>
    <w:rsid w:val="00A86726"/>
    <w:rsid w:val="00A90EA7"/>
    <w:rsid w:val="00AA3816"/>
    <w:rsid w:val="00AA678F"/>
    <w:rsid w:val="00AA6841"/>
    <w:rsid w:val="00AB0206"/>
    <w:rsid w:val="00AB0214"/>
    <w:rsid w:val="00AB07AF"/>
    <w:rsid w:val="00AB1A7B"/>
    <w:rsid w:val="00AB56C7"/>
    <w:rsid w:val="00AB5B13"/>
    <w:rsid w:val="00AC018A"/>
    <w:rsid w:val="00AC24AE"/>
    <w:rsid w:val="00AC2E83"/>
    <w:rsid w:val="00AC7563"/>
    <w:rsid w:val="00AD4BE9"/>
    <w:rsid w:val="00AD5AE4"/>
    <w:rsid w:val="00AD5D87"/>
    <w:rsid w:val="00AD768C"/>
    <w:rsid w:val="00AE15F0"/>
    <w:rsid w:val="00AE20A2"/>
    <w:rsid w:val="00AE479D"/>
    <w:rsid w:val="00AE5588"/>
    <w:rsid w:val="00AE75F8"/>
    <w:rsid w:val="00AE7866"/>
    <w:rsid w:val="00AE7F5A"/>
    <w:rsid w:val="00B0281D"/>
    <w:rsid w:val="00B03FB7"/>
    <w:rsid w:val="00B062BD"/>
    <w:rsid w:val="00B0666C"/>
    <w:rsid w:val="00B06D49"/>
    <w:rsid w:val="00B07951"/>
    <w:rsid w:val="00B10EC7"/>
    <w:rsid w:val="00B1112A"/>
    <w:rsid w:val="00B11792"/>
    <w:rsid w:val="00B14AF0"/>
    <w:rsid w:val="00B22A07"/>
    <w:rsid w:val="00B23B6B"/>
    <w:rsid w:val="00B25C04"/>
    <w:rsid w:val="00B26666"/>
    <w:rsid w:val="00B26B4B"/>
    <w:rsid w:val="00B313DB"/>
    <w:rsid w:val="00B328AB"/>
    <w:rsid w:val="00B32CE6"/>
    <w:rsid w:val="00B34F68"/>
    <w:rsid w:val="00B359FA"/>
    <w:rsid w:val="00B36A13"/>
    <w:rsid w:val="00B37231"/>
    <w:rsid w:val="00B37CBB"/>
    <w:rsid w:val="00B40CE4"/>
    <w:rsid w:val="00B40DE8"/>
    <w:rsid w:val="00B42223"/>
    <w:rsid w:val="00B451AE"/>
    <w:rsid w:val="00B47737"/>
    <w:rsid w:val="00B47F29"/>
    <w:rsid w:val="00B54125"/>
    <w:rsid w:val="00B541C0"/>
    <w:rsid w:val="00B54CBF"/>
    <w:rsid w:val="00B56267"/>
    <w:rsid w:val="00B570BB"/>
    <w:rsid w:val="00B663C6"/>
    <w:rsid w:val="00B674BE"/>
    <w:rsid w:val="00B71BB5"/>
    <w:rsid w:val="00B74623"/>
    <w:rsid w:val="00B75D3E"/>
    <w:rsid w:val="00B7693F"/>
    <w:rsid w:val="00B76FD7"/>
    <w:rsid w:val="00B82C98"/>
    <w:rsid w:val="00B83C85"/>
    <w:rsid w:val="00B86E26"/>
    <w:rsid w:val="00B87439"/>
    <w:rsid w:val="00B87ED5"/>
    <w:rsid w:val="00B927D9"/>
    <w:rsid w:val="00BA451D"/>
    <w:rsid w:val="00BA4B22"/>
    <w:rsid w:val="00BA6C22"/>
    <w:rsid w:val="00BA742D"/>
    <w:rsid w:val="00BB3CE2"/>
    <w:rsid w:val="00BC0AC8"/>
    <w:rsid w:val="00BC1A86"/>
    <w:rsid w:val="00BC5F7D"/>
    <w:rsid w:val="00BC7169"/>
    <w:rsid w:val="00BC7BEB"/>
    <w:rsid w:val="00BD0B60"/>
    <w:rsid w:val="00BD0E9A"/>
    <w:rsid w:val="00BD2881"/>
    <w:rsid w:val="00BD5B23"/>
    <w:rsid w:val="00BD739E"/>
    <w:rsid w:val="00BE22BE"/>
    <w:rsid w:val="00BE4B21"/>
    <w:rsid w:val="00BE6168"/>
    <w:rsid w:val="00BE6CAB"/>
    <w:rsid w:val="00BE7DDC"/>
    <w:rsid w:val="00BE7EB2"/>
    <w:rsid w:val="00BF1398"/>
    <w:rsid w:val="00BF4094"/>
    <w:rsid w:val="00BF4A19"/>
    <w:rsid w:val="00BF5E35"/>
    <w:rsid w:val="00C00C58"/>
    <w:rsid w:val="00C00E92"/>
    <w:rsid w:val="00C0137A"/>
    <w:rsid w:val="00C04A8E"/>
    <w:rsid w:val="00C07D2B"/>
    <w:rsid w:val="00C107A3"/>
    <w:rsid w:val="00C11637"/>
    <w:rsid w:val="00C128FA"/>
    <w:rsid w:val="00C12CC5"/>
    <w:rsid w:val="00C1328B"/>
    <w:rsid w:val="00C13522"/>
    <w:rsid w:val="00C13A43"/>
    <w:rsid w:val="00C144BF"/>
    <w:rsid w:val="00C15BF9"/>
    <w:rsid w:val="00C163D9"/>
    <w:rsid w:val="00C22079"/>
    <w:rsid w:val="00C226FC"/>
    <w:rsid w:val="00C2297B"/>
    <w:rsid w:val="00C25675"/>
    <w:rsid w:val="00C26593"/>
    <w:rsid w:val="00C27011"/>
    <w:rsid w:val="00C30186"/>
    <w:rsid w:val="00C3092E"/>
    <w:rsid w:val="00C31CB4"/>
    <w:rsid w:val="00C33EAE"/>
    <w:rsid w:val="00C33FAB"/>
    <w:rsid w:val="00C34426"/>
    <w:rsid w:val="00C37BC4"/>
    <w:rsid w:val="00C414CE"/>
    <w:rsid w:val="00C45645"/>
    <w:rsid w:val="00C471D8"/>
    <w:rsid w:val="00C532F3"/>
    <w:rsid w:val="00C5621D"/>
    <w:rsid w:val="00C56522"/>
    <w:rsid w:val="00C57F96"/>
    <w:rsid w:val="00C6444F"/>
    <w:rsid w:val="00C656C2"/>
    <w:rsid w:val="00C662C3"/>
    <w:rsid w:val="00C66CFC"/>
    <w:rsid w:val="00C77F82"/>
    <w:rsid w:val="00C8503C"/>
    <w:rsid w:val="00C85E24"/>
    <w:rsid w:val="00C9105E"/>
    <w:rsid w:val="00C913FF"/>
    <w:rsid w:val="00C91960"/>
    <w:rsid w:val="00C9237A"/>
    <w:rsid w:val="00C933CA"/>
    <w:rsid w:val="00C953D5"/>
    <w:rsid w:val="00C96AF6"/>
    <w:rsid w:val="00C97541"/>
    <w:rsid w:val="00C97A76"/>
    <w:rsid w:val="00C97DB5"/>
    <w:rsid w:val="00CA1367"/>
    <w:rsid w:val="00CA3D33"/>
    <w:rsid w:val="00CA3E65"/>
    <w:rsid w:val="00CA454E"/>
    <w:rsid w:val="00CA4EA5"/>
    <w:rsid w:val="00CA5040"/>
    <w:rsid w:val="00CB066D"/>
    <w:rsid w:val="00CC7D85"/>
    <w:rsid w:val="00CD0709"/>
    <w:rsid w:val="00CD13E5"/>
    <w:rsid w:val="00CD2126"/>
    <w:rsid w:val="00CD48E2"/>
    <w:rsid w:val="00CD7956"/>
    <w:rsid w:val="00CE141B"/>
    <w:rsid w:val="00CE5EC6"/>
    <w:rsid w:val="00CE695F"/>
    <w:rsid w:val="00CF39DF"/>
    <w:rsid w:val="00CF464A"/>
    <w:rsid w:val="00CF56B6"/>
    <w:rsid w:val="00CF5BE6"/>
    <w:rsid w:val="00CF6C08"/>
    <w:rsid w:val="00CF7699"/>
    <w:rsid w:val="00D00122"/>
    <w:rsid w:val="00D02412"/>
    <w:rsid w:val="00D02BA3"/>
    <w:rsid w:val="00D06147"/>
    <w:rsid w:val="00D06D14"/>
    <w:rsid w:val="00D073C8"/>
    <w:rsid w:val="00D12211"/>
    <w:rsid w:val="00D155FB"/>
    <w:rsid w:val="00D20EDB"/>
    <w:rsid w:val="00D234EC"/>
    <w:rsid w:val="00D240C6"/>
    <w:rsid w:val="00D2489B"/>
    <w:rsid w:val="00D258C7"/>
    <w:rsid w:val="00D2598F"/>
    <w:rsid w:val="00D30057"/>
    <w:rsid w:val="00D31067"/>
    <w:rsid w:val="00D321D0"/>
    <w:rsid w:val="00D32289"/>
    <w:rsid w:val="00D3725A"/>
    <w:rsid w:val="00D4276E"/>
    <w:rsid w:val="00D42909"/>
    <w:rsid w:val="00D438AA"/>
    <w:rsid w:val="00D47A0A"/>
    <w:rsid w:val="00D53F0D"/>
    <w:rsid w:val="00D553C8"/>
    <w:rsid w:val="00D55C05"/>
    <w:rsid w:val="00D56229"/>
    <w:rsid w:val="00D60374"/>
    <w:rsid w:val="00D60C9A"/>
    <w:rsid w:val="00D61690"/>
    <w:rsid w:val="00D647BD"/>
    <w:rsid w:val="00D653C4"/>
    <w:rsid w:val="00D6555D"/>
    <w:rsid w:val="00D67AFE"/>
    <w:rsid w:val="00D71D49"/>
    <w:rsid w:val="00D72446"/>
    <w:rsid w:val="00D73B85"/>
    <w:rsid w:val="00D747AC"/>
    <w:rsid w:val="00D77E25"/>
    <w:rsid w:val="00D82C78"/>
    <w:rsid w:val="00D8505E"/>
    <w:rsid w:val="00D853BF"/>
    <w:rsid w:val="00D86851"/>
    <w:rsid w:val="00D86DE2"/>
    <w:rsid w:val="00D87118"/>
    <w:rsid w:val="00D903A9"/>
    <w:rsid w:val="00D903C3"/>
    <w:rsid w:val="00D90F72"/>
    <w:rsid w:val="00D976F0"/>
    <w:rsid w:val="00DA119B"/>
    <w:rsid w:val="00DA1903"/>
    <w:rsid w:val="00DA3590"/>
    <w:rsid w:val="00DA3652"/>
    <w:rsid w:val="00DA3D39"/>
    <w:rsid w:val="00DA64F4"/>
    <w:rsid w:val="00DB05A9"/>
    <w:rsid w:val="00DB4596"/>
    <w:rsid w:val="00DB4DDD"/>
    <w:rsid w:val="00DB5C48"/>
    <w:rsid w:val="00DB5F49"/>
    <w:rsid w:val="00DC2021"/>
    <w:rsid w:val="00DC30C3"/>
    <w:rsid w:val="00DC3BE4"/>
    <w:rsid w:val="00DC54C3"/>
    <w:rsid w:val="00DC6424"/>
    <w:rsid w:val="00DC68B2"/>
    <w:rsid w:val="00DC7300"/>
    <w:rsid w:val="00DD0367"/>
    <w:rsid w:val="00DD1A38"/>
    <w:rsid w:val="00DD234A"/>
    <w:rsid w:val="00DD3B57"/>
    <w:rsid w:val="00DD3D36"/>
    <w:rsid w:val="00DD4899"/>
    <w:rsid w:val="00DD60ED"/>
    <w:rsid w:val="00DD789E"/>
    <w:rsid w:val="00DE4E12"/>
    <w:rsid w:val="00DF3B8D"/>
    <w:rsid w:val="00DF4048"/>
    <w:rsid w:val="00DF5451"/>
    <w:rsid w:val="00DF5905"/>
    <w:rsid w:val="00DF5E05"/>
    <w:rsid w:val="00E00FA1"/>
    <w:rsid w:val="00E01451"/>
    <w:rsid w:val="00E03724"/>
    <w:rsid w:val="00E05705"/>
    <w:rsid w:val="00E05DDC"/>
    <w:rsid w:val="00E06CB5"/>
    <w:rsid w:val="00E112F3"/>
    <w:rsid w:val="00E11E02"/>
    <w:rsid w:val="00E17AF8"/>
    <w:rsid w:val="00E2050F"/>
    <w:rsid w:val="00E22493"/>
    <w:rsid w:val="00E22F60"/>
    <w:rsid w:val="00E27CA4"/>
    <w:rsid w:val="00E30F73"/>
    <w:rsid w:val="00E319AF"/>
    <w:rsid w:val="00E31FBF"/>
    <w:rsid w:val="00E33D6A"/>
    <w:rsid w:val="00E4157A"/>
    <w:rsid w:val="00E42396"/>
    <w:rsid w:val="00E454AE"/>
    <w:rsid w:val="00E46797"/>
    <w:rsid w:val="00E475ED"/>
    <w:rsid w:val="00E52BC6"/>
    <w:rsid w:val="00E5384A"/>
    <w:rsid w:val="00E55A93"/>
    <w:rsid w:val="00E56487"/>
    <w:rsid w:val="00E66080"/>
    <w:rsid w:val="00E7042C"/>
    <w:rsid w:val="00E724C4"/>
    <w:rsid w:val="00E758A0"/>
    <w:rsid w:val="00E75B29"/>
    <w:rsid w:val="00E801DC"/>
    <w:rsid w:val="00E81392"/>
    <w:rsid w:val="00E839AC"/>
    <w:rsid w:val="00E86FD0"/>
    <w:rsid w:val="00E871B7"/>
    <w:rsid w:val="00E92216"/>
    <w:rsid w:val="00E926D6"/>
    <w:rsid w:val="00E92FA8"/>
    <w:rsid w:val="00E93D9D"/>
    <w:rsid w:val="00E948D1"/>
    <w:rsid w:val="00EA120C"/>
    <w:rsid w:val="00EA1714"/>
    <w:rsid w:val="00EA1D10"/>
    <w:rsid w:val="00EA2729"/>
    <w:rsid w:val="00EA5674"/>
    <w:rsid w:val="00EB35F9"/>
    <w:rsid w:val="00EB3A74"/>
    <w:rsid w:val="00EB3EDB"/>
    <w:rsid w:val="00EB6246"/>
    <w:rsid w:val="00EC50A9"/>
    <w:rsid w:val="00EC5719"/>
    <w:rsid w:val="00EC6173"/>
    <w:rsid w:val="00ED1887"/>
    <w:rsid w:val="00ED32D6"/>
    <w:rsid w:val="00ED520F"/>
    <w:rsid w:val="00ED6362"/>
    <w:rsid w:val="00ED7821"/>
    <w:rsid w:val="00ED7E3C"/>
    <w:rsid w:val="00EE00EF"/>
    <w:rsid w:val="00EE358C"/>
    <w:rsid w:val="00EE68A5"/>
    <w:rsid w:val="00EE69ED"/>
    <w:rsid w:val="00EF52C2"/>
    <w:rsid w:val="00EF54C2"/>
    <w:rsid w:val="00EF590B"/>
    <w:rsid w:val="00EF77AA"/>
    <w:rsid w:val="00F00932"/>
    <w:rsid w:val="00F00975"/>
    <w:rsid w:val="00F04465"/>
    <w:rsid w:val="00F055F6"/>
    <w:rsid w:val="00F06750"/>
    <w:rsid w:val="00F073CF"/>
    <w:rsid w:val="00F10BEA"/>
    <w:rsid w:val="00F10C6F"/>
    <w:rsid w:val="00F146A5"/>
    <w:rsid w:val="00F15968"/>
    <w:rsid w:val="00F1696D"/>
    <w:rsid w:val="00F2116F"/>
    <w:rsid w:val="00F216BB"/>
    <w:rsid w:val="00F21DF4"/>
    <w:rsid w:val="00F22A76"/>
    <w:rsid w:val="00F22F7F"/>
    <w:rsid w:val="00F32C7F"/>
    <w:rsid w:val="00F35BF5"/>
    <w:rsid w:val="00F36AB8"/>
    <w:rsid w:val="00F444E3"/>
    <w:rsid w:val="00F46F6E"/>
    <w:rsid w:val="00F55AC7"/>
    <w:rsid w:val="00F56500"/>
    <w:rsid w:val="00F56576"/>
    <w:rsid w:val="00F57D21"/>
    <w:rsid w:val="00F645D7"/>
    <w:rsid w:val="00F648CA"/>
    <w:rsid w:val="00F711C6"/>
    <w:rsid w:val="00F72499"/>
    <w:rsid w:val="00F73795"/>
    <w:rsid w:val="00F73913"/>
    <w:rsid w:val="00F7515F"/>
    <w:rsid w:val="00F767E8"/>
    <w:rsid w:val="00F83D7C"/>
    <w:rsid w:val="00F83E00"/>
    <w:rsid w:val="00F844C7"/>
    <w:rsid w:val="00F93BDB"/>
    <w:rsid w:val="00F97D3E"/>
    <w:rsid w:val="00FA12F2"/>
    <w:rsid w:val="00FA1E08"/>
    <w:rsid w:val="00FA39CA"/>
    <w:rsid w:val="00FA4949"/>
    <w:rsid w:val="00FA5509"/>
    <w:rsid w:val="00FA58A5"/>
    <w:rsid w:val="00FA7C0F"/>
    <w:rsid w:val="00FB0996"/>
    <w:rsid w:val="00FB0BD7"/>
    <w:rsid w:val="00FB0C57"/>
    <w:rsid w:val="00FB2BE2"/>
    <w:rsid w:val="00FB3FE6"/>
    <w:rsid w:val="00FB4B0A"/>
    <w:rsid w:val="00FB6730"/>
    <w:rsid w:val="00FC1BBE"/>
    <w:rsid w:val="00FC3179"/>
    <w:rsid w:val="00FC4473"/>
    <w:rsid w:val="00FC6367"/>
    <w:rsid w:val="00FD3683"/>
    <w:rsid w:val="00FD4CD8"/>
    <w:rsid w:val="00FD5015"/>
    <w:rsid w:val="00FD68ED"/>
    <w:rsid w:val="00FD7719"/>
    <w:rsid w:val="00FE1262"/>
    <w:rsid w:val="00FE1C34"/>
    <w:rsid w:val="00FE2247"/>
    <w:rsid w:val="00FE29D2"/>
    <w:rsid w:val="00FE684C"/>
    <w:rsid w:val="00FF79D1"/>
    <w:rsid w:val="01017928"/>
    <w:rsid w:val="02511BEA"/>
    <w:rsid w:val="02E828A9"/>
    <w:rsid w:val="035E7A94"/>
    <w:rsid w:val="037E146B"/>
    <w:rsid w:val="03ED735D"/>
    <w:rsid w:val="045C43A4"/>
    <w:rsid w:val="04BA38D0"/>
    <w:rsid w:val="05CD3FD8"/>
    <w:rsid w:val="065169B7"/>
    <w:rsid w:val="068B3B15"/>
    <w:rsid w:val="06F64043"/>
    <w:rsid w:val="07407B09"/>
    <w:rsid w:val="07CD4069"/>
    <w:rsid w:val="080F5CEB"/>
    <w:rsid w:val="08986B20"/>
    <w:rsid w:val="08E46310"/>
    <w:rsid w:val="09EC6D03"/>
    <w:rsid w:val="0AF57F5F"/>
    <w:rsid w:val="0B4E34C6"/>
    <w:rsid w:val="0CCF7411"/>
    <w:rsid w:val="0D037FD6"/>
    <w:rsid w:val="0D080D68"/>
    <w:rsid w:val="0D4263DD"/>
    <w:rsid w:val="0DE273D1"/>
    <w:rsid w:val="0DF071A5"/>
    <w:rsid w:val="0E65449D"/>
    <w:rsid w:val="10463305"/>
    <w:rsid w:val="10DF2A48"/>
    <w:rsid w:val="10E44612"/>
    <w:rsid w:val="11317B11"/>
    <w:rsid w:val="11545E33"/>
    <w:rsid w:val="1178129C"/>
    <w:rsid w:val="13C56596"/>
    <w:rsid w:val="141657FC"/>
    <w:rsid w:val="162639BD"/>
    <w:rsid w:val="16403EC7"/>
    <w:rsid w:val="167E7CEF"/>
    <w:rsid w:val="172336E0"/>
    <w:rsid w:val="172D2B29"/>
    <w:rsid w:val="17502FFF"/>
    <w:rsid w:val="18061C75"/>
    <w:rsid w:val="183F210C"/>
    <w:rsid w:val="18BD1C8B"/>
    <w:rsid w:val="18D37805"/>
    <w:rsid w:val="19E971DB"/>
    <w:rsid w:val="1A254343"/>
    <w:rsid w:val="1AE70086"/>
    <w:rsid w:val="1B682381"/>
    <w:rsid w:val="1BD81AE2"/>
    <w:rsid w:val="1C5F3784"/>
    <w:rsid w:val="1C6B73D9"/>
    <w:rsid w:val="1C7F48E8"/>
    <w:rsid w:val="1CA35132"/>
    <w:rsid w:val="1CC43C1F"/>
    <w:rsid w:val="1E3A7A8F"/>
    <w:rsid w:val="1EA83C8A"/>
    <w:rsid w:val="1F6E3CDF"/>
    <w:rsid w:val="1F755C06"/>
    <w:rsid w:val="215F4227"/>
    <w:rsid w:val="23A91789"/>
    <w:rsid w:val="24633B35"/>
    <w:rsid w:val="2492046F"/>
    <w:rsid w:val="249C559F"/>
    <w:rsid w:val="25381017"/>
    <w:rsid w:val="25807348"/>
    <w:rsid w:val="25EF7D58"/>
    <w:rsid w:val="26CF7759"/>
    <w:rsid w:val="27275C00"/>
    <w:rsid w:val="289D4618"/>
    <w:rsid w:val="292D14CA"/>
    <w:rsid w:val="293B55F9"/>
    <w:rsid w:val="29651707"/>
    <w:rsid w:val="29FF5D0D"/>
    <w:rsid w:val="2A4525E7"/>
    <w:rsid w:val="2B367DA6"/>
    <w:rsid w:val="2C4C4F3B"/>
    <w:rsid w:val="2C6246C6"/>
    <w:rsid w:val="2D1A7254"/>
    <w:rsid w:val="2E3B56D4"/>
    <w:rsid w:val="2F260080"/>
    <w:rsid w:val="2FD933F6"/>
    <w:rsid w:val="309E71DE"/>
    <w:rsid w:val="31FF0537"/>
    <w:rsid w:val="3337290D"/>
    <w:rsid w:val="3434697C"/>
    <w:rsid w:val="345731CC"/>
    <w:rsid w:val="35150A2C"/>
    <w:rsid w:val="358735C2"/>
    <w:rsid w:val="374E6478"/>
    <w:rsid w:val="378400EB"/>
    <w:rsid w:val="379867AF"/>
    <w:rsid w:val="37BB437D"/>
    <w:rsid w:val="37FE6E22"/>
    <w:rsid w:val="383C09C6"/>
    <w:rsid w:val="39042A41"/>
    <w:rsid w:val="395904D8"/>
    <w:rsid w:val="39643C57"/>
    <w:rsid w:val="39855FCC"/>
    <w:rsid w:val="39D76DFC"/>
    <w:rsid w:val="3A996B42"/>
    <w:rsid w:val="3B1732B7"/>
    <w:rsid w:val="3B1E43B3"/>
    <w:rsid w:val="3C132903"/>
    <w:rsid w:val="407D5077"/>
    <w:rsid w:val="41067DC3"/>
    <w:rsid w:val="412A758D"/>
    <w:rsid w:val="412E12E7"/>
    <w:rsid w:val="42095216"/>
    <w:rsid w:val="42613E91"/>
    <w:rsid w:val="42F6426B"/>
    <w:rsid w:val="43710C6C"/>
    <w:rsid w:val="46F74436"/>
    <w:rsid w:val="46F75624"/>
    <w:rsid w:val="47F85A3B"/>
    <w:rsid w:val="48037461"/>
    <w:rsid w:val="48271378"/>
    <w:rsid w:val="48BD1443"/>
    <w:rsid w:val="48C178B1"/>
    <w:rsid w:val="496C73E0"/>
    <w:rsid w:val="4B040998"/>
    <w:rsid w:val="4B330DAC"/>
    <w:rsid w:val="4C001E3B"/>
    <w:rsid w:val="4CD15729"/>
    <w:rsid w:val="4CE57B17"/>
    <w:rsid w:val="4D4B7129"/>
    <w:rsid w:val="4D7F7FB0"/>
    <w:rsid w:val="4EEF1E97"/>
    <w:rsid w:val="4F127672"/>
    <w:rsid w:val="4F754344"/>
    <w:rsid w:val="505446A7"/>
    <w:rsid w:val="50D2197B"/>
    <w:rsid w:val="52A928D2"/>
    <w:rsid w:val="52B83584"/>
    <w:rsid w:val="534B0147"/>
    <w:rsid w:val="53C41B44"/>
    <w:rsid w:val="53FE5881"/>
    <w:rsid w:val="54334D7C"/>
    <w:rsid w:val="54745318"/>
    <w:rsid w:val="548B2795"/>
    <w:rsid w:val="54CD2C7A"/>
    <w:rsid w:val="55406C35"/>
    <w:rsid w:val="55497ECB"/>
    <w:rsid w:val="565B0081"/>
    <w:rsid w:val="569577C7"/>
    <w:rsid w:val="56AB03DC"/>
    <w:rsid w:val="570C7D5E"/>
    <w:rsid w:val="57C65E87"/>
    <w:rsid w:val="57F77450"/>
    <w:rsid w:val="588B0E82"/>
    <w:rsid w:val="58FC6629"/>
    <w:rsid w:val="59263CFD"/>
    <w:rsid w:val="59A71364"/>
    <w:rsid w:val="5A695B69"/>
    <w:rsid w:val="5A7E2789"/>
    <w:rsid w:val="5B1A5E16"/>
    <w:rsid w:val="5B31129F"/>
    <w:rsid w:val="5BCD4693"/>
    <w:rsid w:val="5C2E7C8B"/>
    <w:rsid w:val="5D062EED"/>
    <w:rsid w:val="5DA8692D"/>
    <w:rsid w:val="5E20206C"/>
    <w:rsid w:val="5F177897"/>
    <w:rsid w:val="5F4F7980"/>
    <w:rsid w:val="5F6B7317"/>
    <w:rsid w:val="5F750196"/>
    <w:rsid w:val="5FC559AE"/>
    <w:rsid w:val="611C070C"/>
    <w:rsid w:val="620D1ECB"/>
    <w:rsid w:val="62D532E1"/>
    <w:rsid w:val="63AA2109"/>
    <w:rsid w:val="641D184B"/>
    <w:rsid w:val="64392D20"/>
    <w:rsid w:val="6477675E"/>
    <w:rsid w:val="647E6D86"/>
    <w:rsid w:val="65735C84"/>
    <w:rsid w:val="664561D7"/>
    <w:rsid w:val="66C1797D"/>
    <w:rsid w:val="67874527"/>
    <w:rsid w:val="68272198"/>
    <w:rsid w:val="68D75681"/>
    <w:rsid w:val="68FB3A5E"/>
    <w:rsid w:val="697A4EEB"/>
    <w:rsid w:val="6A1C24D7"/>
    <w:rsid w:val="6A2E3D63"/>
    <w:rsid w:val="6A7A2B04"/>
    <w:rsid w:val="6ACD4FC1"/>
    <w:rsid w:val="6AE9224B"/>
    <w:rsid w:val="6C2B055A"/>
    <w:rsid w:val="6CBB081D"/>
    <w:rsid w:val="6CFE1E5E"/>
    <w:rsid w:val="6D4F3BAB"/>
    <w:rsid w:val="6E274D51"/>
    <w:rsid w:val="6E972615"/>
    <w:rsid w:val="6EA96357"/>
    <w:rsid w:val="6F297D8E"/>
    <w:rsid w:val="6F540636"/>
    <w:rsid w:val="6F6E713D"/>
    <w:rsid w:val="6FD52FEE"/>
    <w:rsid w:val="70E6742F"/>
    <w:rsid w:val="7104581E"/>
    <w:rsid w:val="714F5B0F"/>
    <w:rsid w:val="718D5813"/>
    <w:rsid w:val="71A76102"/>
    <w:rsid w:val="7342374F"/>
    <w:rsid w:val="73E6120B"/>
    <w:rsid w:val="74C60D06"/>
    <w:rsid w:val="74D52272"/>
    <w:rsid w:val="74F82FA3"/>
    <w:rsid w:val="78696D8C"/>
    <w:rsid w:val="78BC13EA"/>
    <w:rsid w:val="78FC5A14"/>
    <w:rsid w:val="797A208A"/>
    <w:rsid w:val="79BE7535"/>
    <w:rsid w:val="7AF3196E"/>
    <w:rsid w:val="7C076468"/>
    <w:rsid w:val="7C0C20F7"/>
    <w:rsid w:val="7CA45080"/>
    <w:rsid w:val="7D944A96"/>
    <w:rsid w:val="7E273ADE"/>
    <w:rsid w:val="7E434EF6"/>
    <w:rsid w:val="7F8B52A7"/>
    <w:rsid w:val="7FFA11A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iPriority="99"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64"/>
    <w:autoRedefine/>
    <w:qFormat/>
    <w:uiPriority w:val="0"/>
    <w:pPr>
      <w:spacing w:before="0" w:beforeAutospacing="0" w:after="50" w:afterLines="50" w:afterAutospacing="0"/>
      <w:jc w:val="center"/>
      <w:outlineLvl w:val="0"/>
    </w:pPr>
    <w:rPr>
      <w:rFonts w:hint="eastAsia" w:ascii="宋体" w:hAnsi="宋体" w:eastAsia="黑体" w:cs="宋体"/>
      <w:b/>
      <w:bCs/>
      <w:sz w:val="32"/>
      <w:szCs w:val="48"/>
      <w:lang w:bidi="ar"/>
    </w:rPr>
  </w:style>
  <w:style w:type="paragraph" w:styleId="3">
    <w:name w:val="heading 2"/>
    <w:basedOn w:val="1"/>
    <w:next w:val="1"/>
    <w:link w:val="66"/>
    <w:autoRedefine/>
    <w:qFormat/>
    <w:uiPriority w:val="0"/>
    <w:pPr>
      <w:keepNext/>
      <w:tabs>
        <w:tab w:val="left" w:pos="3465"/>
      </w:tabs>
      <w:spacing w:before="100" w:beforeLines="100" w:line="600" w:lineRule="exact"/>
      <w:jc w:val="center"/>
      <w:outlineLvl w:val="1"/>
    </w:pPr>
    <w:rPr>
      <w:rFonts w:ascii="Times New Roman" w:hAnsi="Times New Roman" w:eastAsia="楷体"/>
      <w:b/>
      <w:sz w:val="32"/>
    </w:rPr>
  </w:style>
  <w:style w:type="paragraph" w:styleId="4">
    <w:name w:val="heading 3"/>
    <w:basedOn w:val="1"/>
    <w:next w:val="1"/>
    <w:link w:val="63"/>
    <w:autoRedefine/>
    <w:qFormat/>
    <w:uiPriority w:val="0"/>
    <w:pPr>
      <w:keepNext/>
      <w:keepLines/>
      <w:spacing w:before="0" w:beforeLines="0" w:afterLines="0" w:line="360" w:lineRule="auto"/>
      <w:ind w:firstLine="883" w:firstLineChars="200"/>
      <w:outlineLvl w:val="2"/>
    </w:pPr>
    <w:rPr>
      <w:rFonts w:ascii="Times New Roman" w:hAnsi="Times New Roman" w:eastAsia="黑体"/>
      <w:b/>
      <w:bCs/>
      <w:szCs w:val="32"/>
    </w:rPr>
  </w:style>
  <w:style w:type="paragraph" w:styleId="5">
    <w:name w:val="heading 4"/>
    <w:basedOn w:val="1"/>
    <w:next w:val="1"/>
    <w:link w:val="67"/>
    <w:autoRedefine/>
    <w:qFormat/>
    <w:uiPriority w:val="0"/>
    <w:pPr>
      <w:keepNext/>
      <w:keepLines/>
      <w:spacing w:before="0" w:beforeLines="0" w:afterLines="0" w:line="360" w:lineRule="auto"/>
      <w:ind w:firstLine="883" w:firstLineChars="200"/>
      <w:outlineLvl w:val="3"/>
    </w:pPr>
    <w:rPr>
      <w:rFonts w:ascii="Times New Roman" w:hAnsi="Times New Roman" w:eastAsia="黑体"/>
      <w:b/>
      <w:bCs/>
      <w:szCs w:val="28"/>
    </w:rPr>
  </w:style>
  <w:style w:type="paragraph" w:styleId="6">
    <w:name w:val="heading 5"/>
    <w:basedOn w:val="1"/>
    <w:next w:val="1"/>
    <w:link w:val="68"/>
    <w:autoRedefine/>
    <w:qFormat/>
    <w:uiPriority w:val="0"/>
    <w:pPr>
      <w:keepNext/>
      <w:keepLines/>
      <w:spacing w:before="280" w:beforeLines="0" w:after="290" w:afterLines="0" w:line="372" w:lineRule="auto"/>
      <w:outlineLvl w:val="4"/>
    </w:pPr>
    <w:rPr>
      <w:b/>
      <w:bCs/>
      <w:kern w:val="2"/>
      <w:sz w:val="28"/>
      <w:szCs w:val="28"/>
    </w:rPr>
  </w:style>
  <w:style w:type="paragraph" w:styleId="7">
    <w:name w:val="heading 6"/>
    <w:basedOn w:val="1"/>
    <w:next w:val="8"/>
    <w:link w:val="69"/>
    <w:autoRedefine/>
    <w:qFormat/>
    <w:uiPriority w:val="0"/>
    <w:pPr>
      <w:keepNext/>
      <w:keepLines/>
      <w:tabs>
        <w:tab w:val="left" w:pos="1287"/>
      </w:tabs>
      <w:adjustRightInd w:val="0"/>
      <w:spacing w:before="240" w:after="64" w:line="320" w:lineRule="atLeast"/>
      <w:ind w:firstLine="567"/>
      <w:jc w:val="left"/>
      <w:textAlignment w:val="baseline"/>
      <w:outlineLvl w:val="5"/>
    </w:pPr>
    <w:rPr>
      <w:rFonts w:ascii="Arial" w:hAnsi="Arial" w:eastAsia="仿宋_GB2312"/>
      <w:kern w:val="0"/>
      <w:sz w:val="28"/>
      <w:szCs w:val="20"/>
    </w:rPr>
  </w:style>
  <w:style w:type="paragraph" w:styleId="9">
    <w:name w:val="heading 7"/>
    <w:basedOn w:val="1"/>
    <w:next w:val="1"/>
    <w:link w:val="71"/>
    <w:autoRedefine/>
    <w:qFormat/>
    <w:uiPriority w:val="0"/>
    <w:pPr>
      <w:keepNext/>
      <w:keepLines/>
      <w:numPr>
        <w:ilvl w:val="6"/>
        <w:numId w:val="1"/>
      </w:numPr>
      <w:tabs>
        <w:tab w:val="left" w:pos="0"/>
      </w:tabs>
      <w:adjustRightInd w:val="0"/>
      <w:spacing w:before="240" w:after="64" w:line="320" w:lineRule="atLeast"/>
      <w:textAlignment w:val="baseline"/>
      <w:outlineLvl w:val="6"/>
    </w:pPr>
    <w:rPr>
      <w:b/>
      <w:kern w:val="0"/>
      <w:sz w:val="24"/>
      <w:szCs w:val="20"/>
    </w:rPr>
  </w:style>
  <w:style w:type="paragraph" w:styleId="10">
    <w:name w:val="heading 8"/>
    <w:basedOn w:val="1"/>
    <w:next w:val="1"/>
    <w:link w:val="72"/>
    <w:autoRedefine/>
    <w:qFormat/>
    <w:uiPriority w:val="0"/>
    <w:pPr>
      <w:keepNext/>
      <w:keepLines/>
      <w:numPr>
        <w:ilvl w:val="7"/>
        <w:numId w:val="1"/>
      </w:numPr>
      <w:tabs>
        <w:tab w:val="left" w:pos="0"/>
      </w:tabs>
      <w:adjustRightInd w:val="0"/>
      <w:spacing w:before="240" w:after="64" w:line="320" w:lineRule="atLeast"/>
      <w:textAlignment w:val="baseline"/>
      <w:outlineLvl w:val="7"/>
    </w:pPr>
    <w:rPr>
      <w:rFonts w:ascii="Arial" w:hAnsi="Arial" w:eastAsia="黑体"/>
      <w:kern w:val="0"/>
      <w:sz w:val="24"/>
      <w:szCs w:val="20"/>
    </w:rPr>
  </w:style>
  <w:style w:type="paragraph" w:styleId="11">
    <w:name w:val="heading 9"/>
    <w:basedOn w:val="1"/>
    <w:next w:val="1"/>
    <w:link w:val="73"/>
    <w:autoRedefine/>
    <w:qFormat/>
    <w:uiPriority w:val="0"/>
    <w:pPr>
      <w:keepNext/>
      <w:keepLines/>
      <w:numPr>
        <w:ilvl w:val="8"/>
        <w:numId w:val="1"/>
      </w:numPr>
      <w:tabs>
        <w:tab w:val="left" w:pos="0"/>
      </w:tabs>
      <w:adjustRightInd w:val="0"/>
      <w:spacing w:before="240" w:after="64" w:line="320" w:lineRule="atLeast"/>
      <w:textAlignment w:val="baseline"/>
      <w:outlineLvl w:val="8"/>
    </w:pPr>
    <w:rPr>
      <w:rFonts w:ascii="Arial" w:hAnsi="Arial" w:eastAsia="黑体"/>
      <w:kern w:val="0"/>
      <w:szCs w:val="20"/>
    </w:rPr>
  </w:style>
  <w:style w:type="character" w:default="1" w:styleId="46">
    <w:name w:val="Default Paragraph Font"/>
    <w:autoRedefine/>
    <w:qFormat/>
    <w:uiPriority w:val="0"/>
  </w:style>
  <w:style w:type="table" w:default="1" w:styleId="42">
    <w:name w:val="Normal Table"/>
    <w:autoRedefine/>
    <w:unhideWhenUsed/>
    <w:qFormat/>
    <w:uiPriority w:val="99"/>
    <w:tblPr>
      <w:tblCellMar>
        <w:top w:w="0" w:type="dxa"/>
        <w:left w:w="108" w:type="dxa"/>
        <w:bottom w:w="0" w:type="dxa"/>
        <w:right w:w="108" w:type="dxa"/>
      </w:tblCellMar>
    </w:tblPr>
  </w:style>
  <w:style w:type="paragraph" w:styleId="8">
    <w:name w:val="Normal Indent"/>
    <w:basedOn w:val="1"/>
    <w:link w:val="70"/>
    <w:autoRedefine/>
    <w:qFormat/>
    <w:uiPriority w:val="0"/>
    <w:pPr>
      <w:adjustRightInd w:val="0"/>
      <w:snapToGrid w:val="0"/>
      <w:spacing w:line="480" w:lineRule="atLeast"/>
      <w:ind w:firstLine="420"/>
    </w:pPr>
    <w:rPr>
      <w:spacing w:val="6"/>
      <w:kern w:val="2"/>
      <w:sz w:val="28"/>
    </w:rPr>
  </w:style>
  <w:style w:type="paragraph" w:styleId="12">
    <w:name w:val="List 3"/>
    <w:basedOn w:val="1"/>
    <w:autoRedefine/>
    <w:qFormat/>
    <w:uiPriority w:val="0"/>
    <w:pPr>
      <w:ind w:left="100" w:leftChars="400" w:hanging="200" w:hangingChars="200"/>
    </w:pPr>
  </w:style>
  <w:style w:type="paragraph" w:styleId="13">
    <w:name w:val="Note Heading"/>
    <w:basedOn w:val="1"/>
    <w:next w:val="1"/>
    <w:autoRedefine/>
    <w:unhideWhenUsed/>
    <w:qFormat/>
    <w:uiPriority w:val="99"/>
    <w:pPr>
      <w:jc w:val="center"/>
    </w:pPr>
  </w:style>
  <w:style w:type="paragraph" w:styleId="14">
    <w:name w:val="caption"/>
    <w:basedOn w:val="15"/>
    <w:next w:val="1"/>
    <w:autoRedefine/>
    <w:unhideWhenUsed/>
    <w:qFormat/>
    <w:uiPriority w:val="35"/>
    <w:rPr>
      <w:rFonts w:ascii="Arial" w:hAnsi="Arial" w:eastAsia="黑体"/>
      <w:sz w:val="24"/>
    </w:rPr>
  </w:style>
  <w:style w:type="paragraph" w:customStyle="1" w:styleId="15">
    <w:name w:val="图形名称"/>
    <w:basedOn w:val="13"/>
    <w:autoRedefine/>
    <w:qFormat/>
    <w:uiPriority w:val="0"/>
    <w:rPr>
      <w:rFonts w:hint="eastAsia" w:ascii="Times New Roman" w:hAnsi="Times New Roman" w:eastAsia="宋体"/>
      <w:sz w:val="24"/>
    </w:rPr>
  </w:style>
  <w:style w:type="paragraph" w:styleId="16">
    <w:name w:val="Document Map"/>
    <w:basedOn w:val="1"/>
    <w:link w:val="74"/>
    <w:autoRedefine/>
    <w:unhideWhenUsed/>
    <w:qFormat/>
    <w:uiPriority w:val="0"/>
    <w:rPr>
      <w:rFonts w:ascii="宋体"/>
      <w:sz w:val="18"/>
      <w:szCs w:val="18"/>
    </w:rPr>
  </w:style>
  <w:style w:type="paragraph" w:styleId="17">
    <w:name w:val="annotation text"/>
    <w:basedOn w:val="1"/>
    <w:link w:val="75"/>
    <w:autoRedefine/>
    <w:qFormat/>
    <w:uiPriority w:val="0"/>
    <w:pPr>
      <w:jc w:val="left"/>
    </w:pPr>
    <w:rPr>
      <w:kern w:val="2"/>
      <w:sz w:val="21"/>
      <w:szCs w:val="24"/>
    </w:rPr>
  </w:style>
  <w:style w:type="paragraph" w:styleId="18">
    <w:name w:val="Body Text 3"/>
    <w:basedOn w:val="1"/>
    <w:link w:val="76"/>
    <w:autoRedefine/>
    <w:qFormat/>
    <w:uiPriority w:val="0"/>
    <w:pPr>
      <w:jc w:val="center"/>
    </w:pPr>
    <w:rPr>
      <w:kern w:val="2"/>
      <w:sz w:val="21"/>
      <w:szCs w:val="24"/>
    </w:rPr>
  </w:style>
  <w:style w:type="paragraph" w:styleId="19">
    <w:name w:val="List Bullet 3"/>
    <w:basedOn w:val="1"/>
    <w:autoRedefine/>
    <w:qFormat/>
    <w:uiPriority w:val="0"/>
    <w:pPr>
      <w:tabs>
        <w:tab w:val="left" w:pos="1200"/>
      </w:tabs>
      <w:ind w:left="1200" w:hanging="360"/>
    </w:pPr>
    <w:rPr>
      <w:szCs w:val="20"/>
    </w:rPr>
  </w:style>
  <w:style w:type="paragraph" w:styleId="20">
    <w:name w:val="Body Text"/>
    <w:basedOn w:val="1"/>
    <w:link w:val="77"/>
    <w:autoRedefine/>
    <w:qFormat/>
    <w:uiPriority w:val="0"/>
    <w:rPr>
      <w:kern w:val="2"/>
      <w:sz w:val="28"/>
      <w:szCs w:val="24"/>
    </w:rPr>
  </w:style>
  <w:style w:type="paragraph" w:styleId="21">
    <w:name w:val="Body Text Indent"/>
    <w:basedOn w:val="1"/>
    <w:link w:val="78"/>
    <w:autoRedefine/>
    <w:qFormat/>
    <w:uiPriority w:val="0"/>
    <w:pPr>
      <w:ind w:firstLine="630" w:firstLineChars="225"/>
    </w:pPr>
    <w:rPr>
      <w:kern w:val="2"/>
      <w:sz w:val="28"/>
      <w:szCs w:val="24"/>
    </w:rPr>
  </w:style>
  <w:style w:type="paragraph" w:styleId="22">
    <w:name w:val="List 2"/>
    <w:basedOn w:val="1"/>
    <w:autoRedefine/>
    <w:qFormat/>
    <w:uiPriority w:val="0"/>
    <w:pPr>
      <w:spacing w:line="360" w:lineRule="auto"/>
      <w:jc w:val="center"/>
    </w:pPr>
  </w:style>
  <w:style w:type="paragraph" w:styleId="23">
    <w:name w:val="List Bullet 2"/>
    <w:basedOn w:val="1"/>
    <w:autoRedefine/>
    <w:qFormat/>
    <w:uiPriority w:val="0"/>
    <w:pPr>
      <w:tabs>
        <w:tab w:val="left" w:pos="780"/>
      </w:tabs>
      <w:ind w:left="780" w:hanging="360"/>
    </w:pPr>
    <w:rPr>
      <w:szCs w:val="20"/>
    </w:rPr>
  </w:style>
  <w:style w:type="paragraph" w:styleId="24">
    <w:name w:val="toc 3"/>
    <w:basedOn w:val="1"/>
    <w:next w:val="1"/>
    <w:autoRedefine/>
    <w:qFormat/>
    <w:uiPriority w:val="39"/>
    <w:pPr>
      <w:spacing w:line="240" w:lineRule="atLeast"/>
      <w:ind w:left="200" w:leftChars="200"/>
      <w:jc w:val="left"/>
    </w:pPr>
    <w:rPr>
      <w:rFonts w:ascii="Times New Roman" w:hAnsi="Times New Roman" w:eastAsia="宋体"/>
      <w:i/>
      <w:smallCaps/>
      <w:sz w:val="21"/>
      <w:szCs w:val="22"/>
    </w:rPr>
  </w:style>
  <w:style w:type="paragraph" w:styleId="25">
    <w:name w:val="Plain Text"/>
    <w:basedOn w:val="1"/>
    <w:link w:val="79"/>
    <w:autoRedefine/>
    <w:qFormat/>
    <w:uiPriority w:val="0"/>
    <w:rPr>
      <w:rFonts w:ascii="宋体" w:hAnsi="Courier New"/>
      <w:kern w:val="2"/>
      <w:sz w:val="21"/>
      <w:szCs w:val="24"/>
    </w:rPr>
  </w:style>
  <w:style w:type="paragraph" w:styleId="26">
    <w:name w:val="Date"/>
    <w:basedOn w:val="1"/>
    <w:next w:val="1"/>
    <w:link w:val="80"/>
    <w:autoRedefine/>
    <w:qFormat/>
    <w:uiPriority w:val="0"/>
    <w:pPr>
      <w:ind w:left="100" w:leftChars="2500"/>
    </w:pPr>
    <w:rPr>
      <w:kern w:val="2"/>
      <w:sz w:val="28"/>
      <w:szCs w:val="24"/>
    </w:rPr>
  </w:style>
  <w:style w:type="paragraph" w:styleId="27">
    <w:name w:val="Body Text Indent 2"/>
    <w:basedOn w:val="1"/>
    <w:link w:val="81"/>
    <w:autoRedefine/>
    <w:qFormat/>
    <w:uiPriority w:val="0"/>
    <w:pPr>
      <w:ind w:firstLine="570"/>
    </w:pPr>
    <w:rPr>
      <w:kern w:val="2"/>
      <w:sz w:val="28"/>
      <w:szCs w:val="24"/>
    </w:rPr>
  </w:style>
  <w:style w:type="paragraph" w:styleId="28">
    <w:name w:val="endnote text"/>
    <w:basedOn w:val="1"/>
    <w:link w:val="82"/>
    <w:autoRedefine/>
    <w:qFormat/>
    <w:uiPriority w:val="0"/>
    <w:pPr>
      <w:snapToGrid w:val="0"/>
      <w:jc w:val="left"/>
    </w:pPr>
    <w:rPr>
      <w:kern w:val="2"/>
      <w:sz w:val="21"/>
      <w:szCs w:val="24"/>
    </w:rPr>
  </w:style>
  <w:style w:type="paragraph" w:styleId="29">
    <w:name w:val="Balloon Text"/>
    <w:basedOn w:val="1"/>
    <w:autoRedefine/>
    <w:qFormat/>
    <w:uiPriority w:val="0"/>
    <w:rPr>
      <w:sz w:val="18"/>
      <w:szCs w:val="18"/>
    </w:rPr>
  </w:style>
  <w:style w:type="paragraph" w:styleId="30">
    <w:name w:val="footer"/>
    <w:basedOn w:val="1"/>
    <w:link w:val="83"/>
    <w:autoRedefine/>
    <w:qFormat/>
    <w:uiPriority w:val="0"/>
    <w:pPr>
      <w:tabs>
        <w:tab w:val="center" w:pos="4153"/>
        <w:tab w:val="right" w:pos="8306"/>
      </w:tabs>
      <w:snapToGrid w:val="0"/>
      <w:jc w:val="left"/>
    </w:pPr>
    <w:rPr>
      <w:kern w:val="2"/>
      <w:sz w:val="18"/>
      <w:szCs w:val="18"/>
    </w:rPr>
  </w:style>
  <w:style w:type="paragraph" w:styleId="31">
    <w:name w:val="header"/>
    <w:basedOn w:val="1"/>
    <w:link w:val="84"/>
    <w:autoRedefine/>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qFormat/>
    <w:uiPriority w:val="39"/>
    <w:pPr>
      <w:tabs>
        <w:tab w:val="right" w:leader="dot" w:pos="9231"/>
      </w:tabs>
      <w:snapToGrid w:val="0"/>
      <w:spacing w:line="240" w:lineRule="atLeast"/>
      <w:jc w:val="left"/>
    </w:pPr>
    <w:rPr>
      <w:rFonts w:ascii="Times New Roman" w:hAnsi="Times New Roman" w:eastAsia="宋体"/>
      <w:caps/>
      <w:sz w:val="21"/>
      <w:szCs w:val="22"/>
    </w:rPr>
  </w:style>
  <w:style w:type="paragraph" w:styleId="33">
    <w:name w:val="List"/>
    <w:basedOn w:val="1"/>
    <w:autoRedefine/>
    <w:qFormat/>
    <w:uiPriority w:val="0"/>
    <w:pPr>
      <w:spacing w:line="340" w:lineRule="exact"/>
      <w:jc w:val="center"/>
    </w:pPr>
    <w:rPr>
      <w:rFonts w:ascii="Times" w:hAnsi="Times"/>
      <w:color w:val="000000"/>
      <w:spacing w:val="-4"/>
      <w:kern w:val="0"/>
      <w:szCs w:val="21"/>
    </w:rPr>
  </w:style>
  <w:style w:type="paragraph" w:styleId="34">
    <w:name w:val="Body Text Indent 3"/>
    <w:basedOn w:val="1"/>
    <w:link w:val="85"/>
    <w:autoRedefine/>
    <w:qFormat/>
    <w:uiPriority w:val="0"/>
    <w:pPr>
      <w:tabs>
        <w:tab w:val="left" w:pos="2670"/>
      </w:tabs>
      <w:spacing w:line="360" w:lineRule="auto"/>
      <w:ind w:firstLine="560" w:firstLineChars="200"/>
    </w:pPr>
    <w:rPr>
      <w:kern w:val="2"/>
      <w:sz w:val="28"/>
      <w:szCs w:val="24"/>
    </w:rPr>
  </w:style>
  <w:style w:type="paragraph" w:styleId="35">
    <w:name w:val="toc 2"/>
    <w:basedOn w:val="1"/>
    <w:next w:val="32"/>
    <w:autoRedefine/>
    <w:qFormat/>
    <w:uiPriority w:val="39"/>
    <w:pPr>
      <w:spacing w:line="240" w:lineRule="atLeast"/>
      <w:ind w:left="100" w:leftChars="100"/>
      <w:jc w:val="left"/>
    </w:pPr>
    <w:rPr>
      <w:rFonts w:ascii="Times New Roman" w:hAnsi="Times New Roman" w:eastAsia="宋体"/>
      <w:bCs/>
      <w:smallCaps/>
      <w:sz w:val="21"/>
      <w:szCs w:val="22"/>
    </w:rPr>
  </w:style>
  <w:style w:type="paragraph" w:styleId="36">
    <w:name w:val="Body Text 2"/>
    <w:basedOn w:val="1"/>
    <w:autoRedefine/>
    <w:qFormat/>
    <w:uiPriority w:val="0"/>
    <w:rPr>
      <w:sz w:val="18"/>
    </w:rPr>
  </w:style>
  <w:style w:type="paragraph" w:styleId="37">
    <w:name w:val="HTML Preformatted"/>
    <w:basedOn w:val="1"/>
    <w:link w:val="86"/>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38">
    <w:name w:val="Normal (Web)"/>
    <w:basedOn w:val="1"/>
    <w:link w:val="87"/>
    <w:autoRedefine/>
    <w:qFormat/>
    <w:uiPriority w:val="0"/>
    <w:pPr>
      <w:widowControl/>
      <w:spacing w:before="100" w:beforeLines="0" w:beforeAutospacing="1" w:after="100" w:afterLines="0" w:afterAutospacing="1"/>
      <w:jc w:val="left"/>
    </w:pPr>
    <w:rPr>
      <w:rFonts w:ascii="宋体" w:hAnsi="宋体"/>
      <w:sz w:val="24"/>
      <w:szCs w:val="24"/>
    </w:rPr>
  </w:style>
  <w:style w:type="paragraph" w:styleId="39">
    <w:name w:val="Title"/>
    <w:basedOn w:val="1"/>
    <w:link w:val="88"/>
    <w:autoRedefine/>
    <w:qFormat/>
    <w:uiPriority w:val="0"/>
    <w:pPr>
      <w:spacing w:before="840" w:beforeLines="0" w:after="100" w:afterLines="0" w:afterAutospacing="1"/>
      <w:jc w:val="center"/>
      <w:outlineLvl w:val="0"/>
    </w:pPr>
    <w:rPr>
      <w:rFonts w:ascii="Arial" w:hAnsi="Arial" w:eastAsia="黑体" w:cs="Arial"/>
      <w:bCs/>
      <w:kern w:val="2"/>
      <w:sz w:val="32"/>
      <w:szCs w:val="32"/>
    </w:rPr>
  </w:style>
  <w:style w:type="paragraph" w:styleId="40">
    <w:name w:val="annotation subject"/>
    <w:basedOn w:val="17"/>
    <w:next w:val="17"/>
    <w:link w:val="89"/>
    <w:autoRedefine/>
    <w:qFormat/>
    <w:uiPriority w:val="0"/>
    <w:rPr>
      <w:b/>
      <w:bCs/>
    </w:rPr>
  </w:style>
  <w:style w:type="paragraph" w:styleId="41">
    <w:name w:val="Body Text First Indent"/>
    <w:basedOn w:val="20"/>
    <w:link w:val="90"/>
    <w:autoRedefine/>
    <w:qFormat/>
    <w:uiPriority w:val="0"/>
    <w:pPr>
      <w:spacing w:after="120" w:afterLines="0"/>
      <w:ind w:firstLine="420" w:firstLineChars="100"/>
    </w:pPr>
    <w:rPr>
      <w:sz w:val="21"/>
    </w:rPr>
  </w:style>
  <w:style w:type="table" w:styleId="43">
    <w:name w:val="Table Grid"/>
    <w:basedOn w:val="42"/>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44">
    <w:name w:val="Table Theme"/>
    <w:basedOn w:val="4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5">
    <w:name w:val="Table Grid 1"/>
    <w:basedOn w:val="42"/>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47">
    <w:name w:val="Strong"/>
    <w:basedOn w:val="46"/>
    <w:autoRedefine/>
    <w:qFormat/>
    <w:uiPriority w:val="0"/>
    <w:rPr>
      <w:b/>
      <w:bCs/>
    </w:rPr>
  </w:style>
  <w:style w:type="character" w:styleId="48">
    <w:name w:val="endnote reference"/>
    <w:basedOn w:val="46"/>
    <w:autoRedefine/>
    <w:qFormat/>
    <w:uiPriority w:val="0"/>
    <w:rPr>
      <w:rFonts w:ascii="Times New Roman" w:hAnsi="Times New Roman" w:eastAsia="宋体"/>
      <w:b/>
      <w:sz w:val="40"/>
      <w:vertAlign w:val="superscript"/>
    </w:rPr>
  </w:style>
  <w:style w:type="character" w:styleId="49">
    <w:name w:val="page number"/>
    <w:basedOn w:val="46"/>
    <w:autoRedefine/>
    <w:qFormat/>
    <w:uiPriority w:val="0"/>
  </w:style>
  <w:style w:type="character" w:styleId="50">
    <w:name w:val="FollowedHyperlink"/>
    <w:basedOn w:val="46"/>
    <w:autoRedefine/>
    <w:qFormat/>
    <w:uiPriority w:val="0"/>
    <w:rPr>
      <w:color w:val="800080"/>
      <w:u w:val="single"/>
    </w:rPr>
  </w:style>
  <w:style w:type="character" w:styleId="51">
    <w:name w:val="Hyperlink"/>
    <w:basedOn w:val="46"/>
    <w:autoRedefine/>
    <w:qFormat/>
    <w:uiPriority w:val="99"/>
    <w:rPr>
      <w:color w:val="333333"/>
      <w:u w:val="none"/>
    </w:rPr>
  </w:style>
  <w:style w:type="character" w:styleId="52">
    <w:name w:val="annotation reference"/>
    <w:basedOn w:val="46"/>
    <w:autoRedefine/>
    <w:qFormat/>
    <w:uiPriority w:val="0"/>
    <w:rPr>
      <w:sz w:val="21"/>
      <w:szCs w:val="21"/>
    </w:rPr>
  </w:style>
  <w:style w:type="paragraph" w:customStyle="1" w:styleId="53">
    <w:name w:val="表头"/>
    <w:basedOn w:val="54"/>
    <w:link w:val="55"/>
    <w:autoRedefine/>
    <w:qFormat/>
    <w:uiPriority w:val="0"/>
    <w:pPr>
      <w:adjustRightInd w:val="0"/>
      <w:snapToGrid w:val="0"/>
      <w:spacing w:before="50" w:beforeLines="50" w:line="240" w:lineRule="auto"/>
      <w:jc w:val="center"/>
    </w:pPr>
    <w:rPr>
      <w:rFonts w:ascii="宋体" w:hAnsi="宋体" w:eastAsia="宋体"/>
      <w:b/>
      <w:color w:val="000000"/>
      <w:sz w:val="24"/>
    </w:rPr>
  </w:style>
  <w:style w:type="paragraph" w:styleId="54">
    <w:name w:val="No Spacing"/>
    <w:autoRedefine/>
    <w:qFormat/>
    <w:uiPriority w:val="1"/>
    <w:pPr>
      <w:widowControl w:val="0"/>
      <w:spacing w:line="600" w:lineRule="exact"/>
      <w:ind w:firstLine="200" w:firstLineChars="200"/>
      <w:jc w:val="both"/>
    </w:pPr>
    <w:rPr>
      <w:rFonts w:ascii="Times New Roman" w:hAnsi="Times New Roman" w:eastAsia="宋体" w:cs="Times New Roman"/>
      <w:kern w:val="2"/>
      <w:sz w:val="28"/>
      <w:szCs w:val="22"/>
      <w:lang w:val="en-US" w:eastAsia="zh-CN" w:bidi="ar-SA"/>
    </w:rPr>
  </w:style>
  <w:style w:type="character" w:customStyle="1" w:styleId="55">
    <w:name w:val="表头 Char Char"/>
    <w:basedOn w:val="46"/>
    <w:link w:val="53"/>
    <w:autoRedefine/>
    <w:qFormat/>
    <w:uiPriority w:val="0"/>
    <w:rPr>
      <w:rFonts w:ascii="宋体" w:hAnsi="宋体" w:eastAsia="宋体"/>
      <w:b/>
      <w:color w:val="000000"/>
      <w:kern w:val="2"/>
      <w:sz w:val="24"/>
    </w:rPr>
  </w:style>
  <w:style w:type="paragraph" w:customStyle="1" w:styleId="56">
    <w:name w:val="图表名"/>
    <w:basedOn w:val="1"/>
    <w:autoRedefine/>
    <w:qFormat/>
    <w:uiPriority w:val="0"/>
    <w:pPr>
      <w:spacing w:line="480" w:lineRule="auto"/>
      <w:jc w:val="center"/>
    </w:pPr>
    <w:rPr>
      <w:rFonts w:ascii="Calibri" w:hAnsi="Calibri" w:eastAsia="黑体"/>
      <w:sz w:val="24"/>
    </w:rPr>
  </w:style>
  <w:style w:type="paragraph" w:customStyle="1" w:styleId="57">
    <w:name w:val="表格内容"/>
    <w:basedOn w:val="1"/>
    <w:autoRedefine/>
    <w:qFormat/>
    <w:uiPriority w:val="0"/>
    <w:pPr>
      <w:overflowPunct w:val="0"/>
      <w:adjustRightInd w:val="0"/>
      <w:spacing w:before="40" w:beforeLines="0" w:after="60" w:afterLines="0" w:line="200" w:lineRule="atLeast"/>
      <w:textAlignment w:val="baseline"/>
    </w:pPr>
    <w:rPr>
      <w:rFonts w:ascii="Arial" w:hAnsi="Arial" w:eastAsia="仿宋_GB2312"/>
      <w:kern w:val="0"/>
      <w:sz w:val="24"/>
      <w:szCs w:val="20"/>
    </w:rPr>
  </w:style>
  <w:style w:type="paragraph" w:customStyle="1" w:styleId="58">
    <w:name w:val="样式 标题 2"/>
    <w:basedOn w:val="3"/>
    <w:autoRedefine/>
    <w:qFormat/>
    <w:uiPriority w:val="0"/>
    <w:pPr>
      <w:widowControl w:val="0"/>
      <w:snapToGrid w:val="0"/>
      <w:spacing w:beforeLines="0" w:after="120" w:line="240" w:lineRule="auto"/>
      <w:jc w:val="both"/>
    </w:pPr>
    <w:rPr>
      <w:rFonts w:ascii="Arial" w:hAnsi="Arial" w:cs="宋体"/>
      <w:kern w:val="2"/>
    </w:rPr>
  </w:style>
  <w:style w:type="paragraph" w:customStyle="1" w:styleId="59">
    <w:name w:val="表格文字"/>
    <w:basedOn w:val="1"/>
    <w:link w:val="60"/>
    <w:autoRedefine/>
    <w:qFormat/>
    <w:uiPriority w:val="0"/>
    <w:pPr>
      <w:adjustRightInd w:val="0"/>
      <w:snapToGrid w:val="0"/>
      <w:spacing w:line="240" w:lineRule="auto"/>
      <w:jc w:val="both"/>
    </w:pPr>
    <w:rPr>
      <w:rFonts w:ascii="Arial" w:hAnsi="Arial" w:eastAsia="宋体"/>
      <w:sz w:val="21"/>
    </w:rPr>
  </w:style>
  <w:style w:type="character" w:customStyle="1" w:styleId="60">
    <w:name w:val="表格文字 Char"/>
    <w:link w:val="59"/>
    <w:autoRedefine/>
    <w:qFormat/>
    <w:uiPriority w:val="0"/>
    <w:rPr>
      <w:rFonts w:ascii="Arial" w:hAnsi="Arial" w:eastAsia="宋体"/>
      <w:kern w:val="2"/>
      <w:sz w:val="21"/>
      <w:szCs w:val="24"/>
    </w:rPr>
  </w:style>
  <w:style w:type="paragraph" w:customStyle="1" w:styleId="61">
    <w:name w:val="样式 标题 3 + 黑体 四号"/>
    <w:basedOn w:val="4"/>
    <w:autoRedefine/>
    <w:qFormat/>
    <w:uiPriority w:val="0"/>
    <w:pPr>
      <w:spacing w:before="160" w:beforeLines="0" w:after="160" w:afterLines="0" w:line="360" w:lineRule="auto"/>
    </w:pPr>
    <w:rPr>
      <w:rFonts w:ascii="黑体" w:hAnsi="黑体" w:eastAsia="黑体"/>
      <w:sz w:val="28"/>
    </w:rPr>
  </w:style>
  <w:style w:type="paragraph" w:customStyle="1" w:styleId="62">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3">
    <w:name w:val="条标题1.1.1 Char"/>
    <w:basedOn w:val="46"/>
    <w:link w:val="4"/>
    <w:autoRedefine/>
    <w:qFormat/>
    <w:uiPriority w:val="0"/>
    <w:rPr>
      <w:rFonts w:ascii="Times New Roman" w:hAnsi="Times New Roman" w:eastAsia="黑体"/>
      <w:b/>
      <w:bCs/>
      <w:kern w:val="2"/>
      <w:sz w:val="28"/>
      <w:szCs w:val="32"/>
    </w:rPr>
  </w:style>
  <w:style w:type="character" w:customStyle="1" w:styleId="64">
    <w:name w:val="章标题 1 Char"/>
    <w:link w:val="2"/>
    <w:autoRedefine/>
    <w:qFormat/>
    <w:uiPriority w:val="0"/>
    <w:rPr>
      <w:rFonts w:ascii="宋体" w:hAnsi="宋体" w:eastAsia="黑体"/>
      <w:b/>
      <w:kern w:val="2"/>
      <w:sz w:val="32"/>
    </w:rPr>
  </w:style>
  <w:style w:type="paragraph" w:customStyle="1" w:styleId="65">
    <w:name w:val="样式 10 磅"/>
    <w:autoRedefine/>
    <w:qFormat/>
    <w:uiPriority w:val="99"/>
    <w:pPr>
      <w:widowControl w:val="0"/>
      <w:jc w:val="both"/>
    </w:pPr>
    <w:rPr>
      <w:rFonts w:ascii="Times New Roman" w:hAnsi="Times New Roman" w:eastAsia="宋体" w:cs="Times New Roman"/>
      <w:kern w:val="2"/>
      <w:sz w:val="21"/>
      <w:szCs w:val="21"/>
      <w:lang w:val="en-US" w:eastAsia="zh-CN" w:bidi="ar-SA"/>
    </w:rPr>
  </w:style>
  <w:style w:type="character" w:customStyle="1" w:styleId="66">
    <w:name w:val="1.1标题 2 Char1"/>
    <w:basedOn w:val="46"/>
    <w:link w:val="3"/>
    <w:autoRedefine/>
    <w:qFormat/>
    <w:uiPriority w:val="0"/>
    <w:rPr>
      <w:rFonts w:ascii="Times New Roman" w:hAnsi="Times New Roman" w:eastAsia="楷体"/>
      <w:b/>
      <w:bCs/>
      <w:kern w:val="2"/>
      <w:sz w:val="32"/>
      <w:szCs w:val="24"/>
    </w:rPr>
  </w:style>
  <w:style w:type="character" w:customStyle="1" w:styleId="67">
    <w:name w:val="款标题1.1.1.1 Char"/>
    <w:basedOn w:val="46"/>
    <w:link w:val="5"/>
    <w:autoRedefine/>
    <w:qFormat/>
    <w:uiPriority w:val="0"/>
    <w:rPr>
      <w:rFonts w:ascii="Times New Roman" w:hAnsi="Times New Roman" w:eastAsia="黑体"/>
      <w:b/>
      <w:bCs/>
      <w:kern w:val="2"/>
      <w:sz w:val="28"/>
      <w:szCs w:val="28"/>
    </w:rPr>
  </w:style>
  <w:style w:type="character" w:customStyle="1" w:styleId="68">
    <w:name w:val="标题1.1.1.1.1 Char Char"/>
    <w:basedOn w:val="46"/>
    <w:link w:val="6"/>
    <w:autoRedefine/>
    <w:qFormat/>
    <w:uiPriority w:val="0"/>
    <w:rPr>
      <w:b/>
      <w:bCs/>
      <w:kern w:val="2"/>
      <w:sz w:val="28"/>
      <w:szCs w:val="28"/>
    </w:rPr>
  </w:style>
  <w:style w:type="character" w:customStyle="1" w:styleId="69">
    <w:name w:val="标题1.1.1.1.1.1 Char Char"/>
    <w:basedOn w:val="46"/>
    <w:link w:val="7"/>
    <w:autoRedefine/>
    <w:qFormat/>
    <w:uiPriority w:val="0"/>
    <w:rPr>
      <w:rFonts w:ascii="Arial" w:hAnsi="Arial" w:eastAsia="仿宋_GB2312"/>
      <w:sz w:val="28"/>
    </w:rPr>
  </w:style>
  <w:style w:type="character" w:customStyle="1" w:styleId="70">
    <w:name w:val="标题2 Char"/>
    <w:basedOn w:val="46"/>
    <w:link w:val="8"/>
    <w:autoRedefine/>
    <w:qFormat/>
    <w:uiPriority w:val="0"/>
    <w:rPr>
      <w:spacing w:val="6"/>
      <w:kern w:val="2"/>
      <w:sz w:val="28"/>
    </w:rPr>
  </w:style>
  <w:style w:type="character" w:customStyle="1" w:styleId="71">
    <w:name w:val="项标题(1) Char"/>
    <w:basedOn w:val="46"/>
    <w:link w:val="9"/>
    <w:autoRedefine/>
    <w:qFormat/>
    <w:uiPriority w:val="0"/>
    <w:rPr>
      <w:b/>
      <w:sz w:val="24"/>
    </w:rPr>
  </w:style>
  <w:style w:type="character" w:customStyle="1" w:styleId="72">
    <w:name w:val="目标题 1) Char Char"/>
    <w:basedOn w:val="46"/>
    <w:link w:val="10"/>
    <w:autoRedefine/>
    <w:qFormat/>
    <w:uiPriority w:val="0"/>
    <w:rPr>
      <w:rFonts w:ascii="Arial" w:hAnsi="Arial" w:eastAsia="黑体"/>
      <w:sz w:val="24"/>
    </w:rPr>
  </w:style>
  <w:style w:type="character" w:customStyle="1" w:styleId="73">
    <w:name w:val="干标题(a) Char Char"/>
    <w:basedOn w:val="46"/>
    <w:link w:val="11"/>
    <w:autoRedefine/>
    <w:qFormat/>
    <w:uiPriority w:val="0"/>
    <w:rPr>
      <w:rFonts w:ascii="Arial" w:hAnsi="Arial" w:eastAsia="黑体"/>
      <w:sz w:val="21"/>
    </w:rPr>
  </w:style>
  <w:style w:type="character" w:customStyle="1" w:styleId="74">
    <w:name w:val=" Char Char3"/>
    <w:basedOn w:val="46"/>
    <w:link w:val="16"/>
    <w:autoRedefine/>
    <w:semiHidden/>
    <w:qFormat/>
    <w:uiPriority w:val="99"/>
    <w:rPr>
      <w:rFonts w:ascii="宋体"/>
      <w:kern w:val="2"/>
      <w:sz w:val="18"/>
      <w:szCs w:val="18"/>
    </w:rPr>
  </w:style>
  <w:style w:type="character" w:customStyle="1" w:styleId="75">
    <w:name w:val=" Char Char10"/>
    <w:basedOn w:val="46"/>
    <w:link w:val="17"/>
    <w:autoRedefine/>
    <w:qFormat/>
    <w:uiPriority w:val="0"/>
    <w:rPr>
      <w:kern w:val="2"/>
      <w:sz w:val="21"/>
      <w:szCs w:val="24"/>
    </w:rPr>
  </w:style>
  <w:style w:type="character" w:customStyle="1" w:styleId="76">
    <w:name w:val=" Char Char6"/>
    <w:basedOn w:val="46"/>
    <w:link w:val="18"/>
    <w:autoRedefine/>
    <w:qFormat/>
    <w:uiPriority w:val="0"/>
    <w:rPr>
      <w:kern w:val="2"/>
      <w:sz w:val="21"/>
      <w:szCs w:val="24"/>
    </w:rPr>
  </w:style>
  <w:style w:type="character" w:customStyle="1" w:styleId="77">
    <w:name w:val=" Char Char11"/>
    <w:basedOn w:val="46"/>
    <w:link w:val="20"/>
    <w:autoRedefine/>
    <w:qFormat/>
    <w:uiPriority w:val="0"/>
    <w:rPr>
      <w:kern w:val="2"/>
      <w:sz w:val="28"/>
      <w:szCs w:val="24"/>
    </w:rPr>
  </w:style>
  <w:style w:type="character" w:customStyle="1" w:styleId="78">
    <w:name w:val="HD正文1 Char"/>
    <w:basedOn w:val="46"/>
    <w:link w:val="21"/>
    <w:autoRedefine/>
    <w:qFormat/>
    <w:uiPriority w:val="0"/>
    <w:rPr>
      <w:kern w:val="2"/>
      <w:sz w:val="28"/>
      <w:szCs w:val="24"/>
    </w:rPr>
  </w:style>
  <w:style w:type="character" w:customStyle="1" w:styleId="79">
    <w:name w:val="普通文字 Char"/>
    <w:basedOn w:val="46"/>
    <w:link w:val="25"/>
    <w:autoRedefine/>
    <w:qFormat/>
    <w:uiPriority w:val="0"/>
    <w:rPr>
      <w:rFonts w:ascii="宋体" w:hAnsi="Courier New"/>
      <w:kern w:val="2"/>
      <w:sz w:val="21"/>
      <w:szCs w:val="24"/>
    </w:rPr>
  </w:style>
  <w:style w:type="character" w:customStyle="1" w:styleId="80">
    <w:name w:val=" Char Char8"/>
    <w:basedOn w:val="46"/>
    <w:link w:val="26"/>
    <w:autoRedefine/>
    <w:qFormat/>
    <w:uiPriority w:val="0"/>
    <w:rPr>
      <w:kern w:val="2"/>
      <w:sz w:val="28"/>
      <w:szCs w:val="24"/>
    </w:rPr>
  </w:style>
  <w:style w:type="character" w:customStyle="1" w:styleId="81">
    <w:name w:val="正文文字缩进 2 Char"/>
    <w:basedOn w:val="46"/>
    <w:link w:val="27"/>
    <w:autoRedefine/>
    <w:qFormat/>
    <w:uiPriority w:val="0"/>
    <w:rPr>
      <w:kern w:val="2"/>
      <w:sz w:val="28"/>
      <w:szCs w:val="24"/>
    </w:rPr>
  </w:style>
  <w:style w:type="character" w:customStyle="1" w:styleId="82">
    <w:name w:val=" Char Char5"/>
    <w:basedOn w:val="46"/>
    <w:link w:val="28"/>
    <w:autoRedefine/>
    <w:qFormat/>
    <w:uiPriority w:val="0"/>
    <w:rPr>
      <w:kern w:val="2"/>
      <w:sz w:val="21"/>
      <w:szCs w:val="24"/>
    </w:rPr>
  </w:style>
  <w:style w:type="character" w:customStyle="1" w:styleId="83">
    <w:name w:val=" Char Char7"/>
    <w:basedOn w:val="46"/>
    <w:link w:val="30"/>
    <w:autoRedefine/>
    <w:qFormat/>
    <w:uiPriority w:val="99"/>
    <w:rPr>
      <w:kern w:val="2"/>
      <w:sz w:val="18"/>
      <w:szCs w:val="18"/>
    </w:rPr>
  </w:style>
  <w:style w:type="character" w:customStyle="1" w:styleId="84">
    <w:name w:val="页眉1 Char"/>
    <w:link w:val="31"/>
    <w:autoRedefine/>
    <w:qFormat/>
    <w:uiPriority w:val="0"/>
    <w:rPr>
      <w:kern w:val="2"/>
      <w:sz w:val="18"/>
      <w:szCs w:val="18"/>
    </w:rPr>
  </w:style>
  <w:style w:type="character" w:customStyle="1" w:styleId="85">
    <w:name w:val=" Char Char4"/>
    <w:basedOn w:val="46"/>
    <w:link w:val="34"/>
    <w:autoRedefine/>
    <w:qFormat/>
    <w:uiPriority w:val="0"/>
    <w:rPr>
      <w:kern w:val="2"/>
      <w:sz w:val="28"/>
      <w:szCs w:val="24"/>
    </w:rPr>
  </w:style>
  <w:style w:type="character" w:customStyle="1" w:styleId="86">
    <w:name w:val=" Char Char12"/>
    <w:basedOn w:val="46"/>
    <w:link w:val="37"/>
    <w:autoRedefine/>
    <w:qFormat/>
    <w:uiPriority w:val="0"/>
    <w:rPr>
      <w:rFonts w:ascii="宋体" w:hAnsi="宋体" w:cs="宋体"/>
      <w:sz w:val="24"/>
      <w:szCs w:val="24"/>
    </w:rPr>
  </w:style>
  <w:style w:type="character" w:customStyle="1" w:styleId="87">
    <w:name w:val="普通 (Web) Char1"/>
    <w:basedOn w:val="46"/>
    <w:link w:val="38"/>
    <w:autoRedefine/>
    <w:qFormat/>
    <w:uiPriority w:val="99"/>
    <w:rPr>
      <w:rFonts w:ascii="宋体" w:hAnsi="宋体"/>
      <w:sz w:val="24"/>
      <w:szCs w:val="24"/>
    </w:rPr>
  </w:style>
  <w:style w:type="character" w:customStyle="1" w:styleId="88">
    <w:name w:val=" Char Char13"/>
    <w:basedOn w:val="46"/>
    <w:link w:val="39"/>
    <w:autoRedefine/>
    <w:qFormat/>
    <w:uiPriority w:val="0"/>
    <w:rPr>
      <w:rFonts w:ascii="Arial" w:hAnsi="Arial" w:eastAsia="黑体" w:cs="Arial"/>
      <w:bCs/>
      <w:kern w:val="2"/>
      <w:sz w:val="32"/>
      <w:szCs w:val="32"/>
    </w:rPr>
  </w:style>
  <w:style w:type="character" w:customStyle="1" w:styleId="89">
    <w:name w:val=" Char Char9"/>
    <w:basedOn w:val="75"/>
    <w:link w:val="40"/>
    <w:autoRedefine/>
    <w:qFormat/>
    <w:uiPriority w:val="0"/>
    <w:rPr>
      <w:b/>
      <w:bCs/>
    </w:rPr>
  </w:style>
  <w:style w:type="character" w:customStyle="1" w:styleId="90">
    <w:name w:val=" Char Char2"/>
    <w:basedOn w:val="77"/>
    <w:link w:val="41"/>
    <w:autoRedefine/>
    <w:qFormat/>
    <w:uiPriority w:val="0"/>
    <w:rPr>
      <w:sz w:val="21"/>
    </w:rPr>
  </w:style>
  <w:style w:type="character" w:customStyle="1" w:styleId="91">
    <w:name w:val="样式 标题 3 + 仿宋_GB2312 Char Char"/>
    <w:basedOn w:val="46"/>
    <w:link w:val="92"/>
    <w:autoRedefine/>
    <w:qFormat/>
    <w:uiPriority w:val="0"/>
    <w:rPr>
      <w:rFonts w:ascii="仿宋_GB2312" w:hAnsi="仿宋_GB2312" w:eastAsia="仿宋_GB2312"/>
      <w:bCs/>
      <w:kern w:val="2"/>
      <w:sz w:val="28"/>
      <w:szCs w:val="32"/>
    </w:rPr>
  </w:style>
  <w:style w:type="paragraph" w:customStyle="1" w:styleId="92">
    <w:name w:val="样式 标题 3 + 仿宋_GB2312"/>
    <w:basedOn w:val="4"/>
    <w:link w:val="91"/>
    <w:autoRedefine/>
    <w:qFormat/>
    <w:uiPriority w:val="0"/>
    <w:pPr>
      <w:spacing w:before="120" w:beforeLines="0" w:after="120" w:afterLines="0" w:line="240" w:lineRule="auto"/>
    </w:pPr>
    <w:rPr>
      <w:rFonts w:ascii="仿宋_GB2312" w:hAnsi="仿宋_GB2312" w:eastAsia="仿宋_GB2312"/>
      <w:kern w:val="2"/>
      <w:sz w:val="28"/>
      <w:szCs w:val="32"/>
    </w:rPr>
  </w:style>
  <w:style w:type="character" w:customStyle="1" w:styleId="93">
    <w:name w:val="c lh15"/>
    <w:basedOn w:val="46"/>
    <w:autoRedefine/>
    <w:qFormat/>
    <w:uiPriority w:val="0"/>
  </w:style>
  <w:style w:type="character" w:customStyle="1" w:styleId="94">
    <w:name w:val="t_tag"/>
    <w:basedOn w:val="46"/>
    <w:autoRedefine/>
    <w:qFormat/>
    <w:uiPriority w:val="0"/>
  </w:style>
  <w:style w:type="character" w:customStyle="1" w:styleId="95">
    <w:name w:val="普通(网站) Char1"/>
    <w:basedOn w:val="46"/>
    <w:autoRedefine/>
    <w:qFormat/>
    <w:uiPriority w:val="0"/>
    <w:rPr>
      <w:rFonts w:ascii="宋体" w:hAnsi="宋体"/>
      <w:sz w:val="24"/>
      <w:szCs w:val="24"/>
    </w:rPr>
  </w:style>
  <w:style w:type="character" w:customStyle="1" w:styleId="96">
    <w:name w:val="样式 标题 3 + 仿宋_GB23121 Char Char"/>
    <w:basedOn w:val="46"/>
    <w:link w:val="97"/>
    <w:autoRedefine/>
    <w:qFormat/>
    <w:uiPriority w:val="0"/>
    <w:rPr>
      <w:rFonts w:ascii="仿宋_GB2312" w:hAnsi="仿宋_GB2312" w:eastAsia="仿宋_GB2312"/>
      <w:b/>
      <w:bCs/>
      <w:kern w:val="2"/>
      <w:sz w:val="28"/>
      <w:szCs w:val="32"/>
    </w:rPr>
  </w:style>
  <w:style w:type="paragraph" w:customStyle="1" w:styleId="97">
    <w:name w:val="样式 标题 3 + 仿宋_GB23121"/>
    <w:basedOn w:val="4"/>
    <w:link w:val="96"/>
    <w:autoRedefine/>
    <w:qFormat/>
    <w:uiPriority w:val="0"/>
    <w:pPr>
      <w:spacing w:before="120" w:beforeLines="0" w:after="120" w:afterLines="0" w:line="240" w:lineRule="auto"/>
    </w:pPr>
    <w:rPr>
      <w:rFonts w:ascii="仿宋_GB2312" w:hAnsi="仿宋_GB2312" w:eastAsia="仿宋_GB2312"/>
      <w:kern w:val="2"/>
      <w:sz w:val="28"/>
      <w:szCs w:val="32"/>
    </w:rPr>
  </w:style>
  <w:style w:type="character" w:customStyle="1" w:styleId="98">
    <w:name w:val="ttitle1"/>
    <w:basedOn w:val="46"/>
    <w:autoRedefine/>
    <w:qFormat/>
    <w:uiPriority w:val="0"/>
    <w:rPr>
      <w:spacing w:val="120"/>
      <w:sz w:val="21"/>
      <w:szCs w:val="21"/>
    </w:rPr>
  </w:style>
  <w:style w:type="character" w:customStyle="1" w:styleId="99">
    <w:name w:val="apple-style-span"/>
    <w:basedOn w:val="46"/>
    <w:autoRedefine/>
    <w:qFormat/>
    <w:uiPriority w:val="0"/>
  </w:style>
  <w:style w:type="character" w:customStyle="1" w:styleId="100">
    <w:name w:val="font41"/>
    <w:basedOn w:val="46"/>
    <w:autoRedefine/>
    <w:qFormat/>
    <w:uiPriority w:val="0"/>
    <w:rPr>
      <w:rFonts w:hint="eastAsia" w:ascii="宋体" w:hAnsi="宋体" w:eastAsia="宋体"/>
      <w:color w:val="FF0000"/>
      <w:sz w:val="28"/>
      <w:szCs w:val="28"/>
      <w:u w:val="none"/>
    </w:rPr>
  </w:style>
  <w:style w:type="character" w:customStyle="1" w:styleId="101">
    <w:name w:val="unnamed1"/>
    <w:basedOn w:val="46"/>
    <w:autoRedefine/>
    <w:qFormat/>
    <w:uiPriority w:val="0"/>
  </w:style>
  <w:style w:type="character" w:customStyle="1" w:styleId="102">
    <w:name w:val="font51"/>
    <w:basedOn w:val="46"/>
    <w:autoRedefine/>
    <w:qFormat/>
    <w:uiPriority w:val="0"/>
    <w:rPr>
      <w:rFonts w:hint="default" w:ascii="Arial" w:hAnsi="Arial" w:cs="Arial"/>
      <w:color w:val="000000"/>
      <w:sz w:val="28"/>
      <w:szCs w:val="28"/>
      <w:u w:val="none"/>
      <w:vertAlign w:val="superscript"/>
    </w:rPr>
  </w:style>
  <w:style w:type="character" w:customStyle="1" w:styleId="103">
    <w:name w:val="样式 (中文) 黑体 小二 黑色"/>
    <w:basedOn w:val="46"/>
    <w:autoRedefine/>
    <w:qFormat/>
    <w:uiPriority w:val="0"/>
    <w:rPr>
      <w:rFonts w:eastAsia="黑体"/>
      <w:color w:val="000000"/>
      <w:kern w:val="44"/>
      <w:sz w:val="36"/>
      <w:szCs w:val="24"/>
      <w:lang w:val="en-US" w:eastAsia="zh-CN" w:bidi="ar-SA"/>
    </w:rPr>
  </w:style>
  <w:style w:type="character" w:customStyle="1" w:styleId="104">
    <w:name w:val="样式 标题 3 + (中文) 仿宋_GB2312 Char Char"/>
    <w:basedOn w:val="46"/>
    <w:link w:val="105"/>
    <w:autoRedefine/>
    <w:qFormat/>
    <w:uiPriority w:val="0"/>
    <w:rPr>
      <w:rFonts w:eastAsia="仿宋_GB2312"/>
      <w:b/>
      <w:bCs/>
      <w:kern w:val="2"/>
      <w:sz w:val="28"/>
      <w:szCs w:val="32"/>
    </w:rPr>
  </w:style>
  <w:style w:type="paragraph" w:customStyle="1" w:styleId="105">
    <w:name w:val="样式 标题 3 + (中文) 仿宋_GB2312"/>
    <w:basedOn w:val="4"/>
    <w:link w:val="104"/>
    <w:autoRedefine/>
    <w:qFormat/>
    <w:uiPriority w:val="0"/>
    <w:pPr>
      <w:spacing w:before="120" w:beforeLines="0" w:after="120" w:afterLines="0" w:line="240" w:lineRule="auto"/>
    </w:pPr>
    <w:rPr>
      <w:rFonts w:eastAsia="仿宋_GB2312"/>
      <w:kern w:val="2"/>
      <w:sz w:val="28"/>
      <w:szCs w:val="32"/>
    </w:rPr>
  </w:style>
  <w:style w:type="character" w:customStyle="1" w:styleId="106">
    <w:name w:val="zw1"/>
    <w:basedOn w:val="46"/>
    <w:autoRedefine/>
    <w:qFormat/>
    <w:uiPriority w:val="0"/>
    <w:rPr>
      <w:rFonts w:hint="eastAsia" w:ascii="宋体" w:hAnsi="宋体" w:eastAsia="宋体"/>
      <w:spacing w:val="400"/>
      <w:sz w:val="22"/>
      <w:szCs w:val="22"/>
    </w:rPr>
  </w:style>
  <w:style w:type="character" w:customStyle="1" w:styleId="107">
    <w:name w:val="indetail1"/>
    <w:basedOn w:val="46"/>
    <w:autoRedefine/>
    <w:qFormat/>
    <w:uiPriority w:val="0"/>
    <w:rPr>
      <w:sz w:val="18"/>
      <w:szCs w:val="18"/>
      <w:bdr w:val="single" w:color="E2E2E2" w:sz="6" w:space="0"/>
    </w:rPr>
  </w:style>
  <w:style w:type="character" w:customStyle="1" w:styleId="108">
    <w:name w:val="style161"/>
    <w:basedOn w:val="46"/>
    <w:autoRedefine/>
    <w:qFormat/>
    <w:uiPriority w:val="0"/>
    <w:rPr>
      <w:color w:val="000000"/>
      <w:sz w:val="21"/>
      <w:szCs w:val="21"/>
    </w:rPr>
  </w:style>
  <w:style w:type="character" w:customStyle="1" w:styleId="109">
    <w:name w:val="apple-converted-space"/>
    <w:basedOn w:val="46"/>
    <w:autoRedefine/>
    <w:qFormat/>
    <w:uiPriority w:val="0"/>
  </w:style>
  <w:style w:type="paragraph" w:customStyle="1" w:styleId="110">
    <w:name w:val="xl4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11">
    <w:name w:val="xl5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112">
    <w:name w:val="xl72"/>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13">
    <w:name w:val="xl88"/>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14">
    <w:name w:val="xl104"/>
    <w:basedOn w:val="1"/>
    <w:autoRedefine/>
    <w:qFormat/>
    <w:uiPriority w:val="0"/>
    <w:pPr>
      <w:widowControl/>
      <w:pBdr>
        <w:top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115">
    <w:name w:val="font33"/>
    <w:basedOn w:val="1"/>
    <w:autoRedefine/>
    <w:qFormat/>
    <w:uiPriority w:val="0"/>
    <w:pPr>
      <w:widowControl/>
      <w:spacing w:before="100" w:beforeLines="0" w:beforeAutospacing="1" w:after="100" w:afterLines="0" w:afterAutospacing="1"/>
      <w:jc w:val="left"/>
    </w:pPr>
    <w:rPr>
      <w:kern w:val="0"/>
      <w:sz w:val="28"/>
      <w:szCs w:val="28"/>
    </w:rPr>
  </w:style>
  <w:style w:type="paragraph" w:customStyle="1" w:styleId="116">
    <w:name w:val="xl15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pPr>
    <w:rPr>
      <w:kern w:val="0"/>
      <w:sz w:val="22"/>
      <w:szCs w:val="22"/>
    </w:rPr>
  </w:style>
  <w:style w:type="paragraph" w:customStyle="1" w:styleId="117">
    <w:name w:val="xl166"/>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18">
    <w:name w:val="xl182"/>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19">
    <w:name w:val="xl198"/>
    <w:basedOn w:val="1"/>
    <w:autoRedefine/>
    <w:qFormat/>
    <w:uiPriority w:val="0"/>
    <w:pPr>
      <w:widowControl/>
      <w:pBdr>
        <w:top w:val="single" w:color="auto" w:sz="4" w:space="0"/>
        <w:lef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20">
    <w:name w:val="xl280"/>
    <w:basedOn w:val="1"/>
    <w:autoRedefine/>
    <w:qFormat/>
    <w:uiPriority w:val="0"/>
    <w:pPr>
      <w:widowControl/>
      <w:pBdr>
        <w:top w:val="single" w:color="auto" w:sz="8" w:space="0"/>
        <w:bottom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121">
    <w:name w:val="xl296"/>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122">
    <w:name w:val="xl31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23">
    <w:name w:val="xl328"/>
    <w:basedOn w:val="1"/>
    <w:autoRedefine/>
    <w:qFormat/>
    <w:uiPriority w:val="0"/>
    <w:pPr>
      <w:widowControl/>
      <w:pBdr>
        <w:top w:val="single" w:color="auto" w:sz="4" w:space="0"/>
        <w:left w:val="single" w:color="auto" w:sz="4" w:space="0"/>
        <w:bottom w:val="single" w:color="auto" w:sz="4" w:space="0"/>
      </w:pBdr>
      <w:shd w:val="clear" w:color="auto" w:fill="FFFFFF"/>
      <w:spacing w:before="100" w:beforeLines="0" w:beforeAutospacing="1" w:after="100" w:afterLines="0" w:afterAutospacing="1"/>
      <w:jc w:val="left"/>
      <w:textAlignment w:val="center"/>
    </w:pPr>
    <w:rPr>
      <w:kern w:val="0"/>
      <w:sz w:val="22"/>
      <w:szCs w:val="22"/>
    </w:rPr>
  </w:style>
  <w:style w:type="paragraph" w:customStyle="1" w:styleId="124">
    <w:name w:val="font0"/>
    <w:basedOn w:val="1"/>
    <w:autoRedefine/>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12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126">
    <w:name w:val="xl140"/>
    <w:basedOn w:val="1"/>
    <w:autoRedefine/>
    <w:qFormat/>
    <w:uiPriority w:val="0"/>
    <w:pPr>
      <w:widowControl/>
      <w:pBdr>
        <w:top w:val="single" w:color="auto" w:sz="4" w:space="0"/>
        <w:bottom w:val="single" w:color="auto" w:sz="4" w:space="0"/>
      </w:pBdr>
      <w:spacing w:before="100" w:beforeLines="0" w:beforeAutospacing="1" w:after="100" w:afterLines="0" w:afterAutospacing="1"/>
      <w:jc w:val="right"/>
      <w:textAlignment w:val="center"/>
    </w:pPr>
    <w:rPr>
      <w:kern w:val="0"/>
      <w:sz w:val="22"/>
      <w:szCs w:val="22"/>
    </w:rPr>
  </w:style>
  <w:style w:type="paragraph" w:customStyle="1" w:styleId="127">
    <w:name w:val="xl254"/>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128">
    <w:name w:val="xl270"/>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129">
    <w:name w:val="1"/>
    <w:basedOn w:val="1"/>
    <w:next w:val="8"/>
    <w:autoRedefine/>
    <w:qFormat/>
    <w:uiPriority w:val="0"/>
    <w:pPr>
      <w:ind w:firstLine="567"/>
    </w:pPr>
    <w:rPr>
      <w:rFonts w:ascii="Arial" w:hAnsi="Arial"/>
      <w:sz w:val="28"/>
      <w:szCs w:val="20"/>
    </w:rPr>
  </w:style>
  <w:style w:type="paragraph" w:customStyle="1" w:styleId="130">
    <w:name w:val="xl243"/>
    <w:basedOn w:val="1"/>
    <w:autoRedefine/>
    <w:qFormat/>
    <w:uiPriority w:val="0"/>
    <w:pPr>
      <w:widowControl/>
      <w:pBdr>
        <w:top w:val="single" w:color="auto" w:sz="4" w:space="0"/>
        <w:left w:val="single" w:color="auto" w:sz="8" w:space="0"/>
        <w:bottom w:val="single" w:color="auto" w:sz="4" w:space="0"/>
      </w:pBdr>
      <w:shd w:val="clear" w:color="auto" w:fill="FFFF99"/>
      <w:spacing w:before="100" w:beforeLines="0" w:beforeAutospacing="1" w:after="100" w:afterLines="0" w:afterAutospacing="1"/>
      <w:jc w:val="center"/>
      <w:textAlignment w:val="center"/>
    </w:pPr>
    <w:rPr>
      <w:rFonts w:ascii="宋体" w:hAnsi="宋体" w:cs="宋体"/>
      <w:color w:val="FF0000"/>
      <w:kern w:val="0"/>
      <w:sz w:val="22"/>
      <w:szCs w:val="22"/>
    </w:rPr>
  </w:style>
  <w:style w:type="paragraph" w:customStyle="1" w:styleId="131">
    <w:name w:val="xl409"/>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132">
    <w:name w:val="xl223"/>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133">
    <w:name w:val="xl23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34">
    <w:name w:val="xl33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135">
    <w:name w:val="xl353"/>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8"/>
      <w:szCs w:val="28"/>
    </w:rPr>
  </w:style>
  <w:style w:type="paragraph" w:customStyle="1" w:styleId="136">
    <w:name w:val="xl36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137">
    <w:name w:val="xl385"/>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38">
    <w:name w:val="xl42"/>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39">
    <w:name w:val="xl5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140">
    <w:name w:val="xl7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41">
    <w:name w:val="xl8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42">
    <w:name w:val="xl103"/>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43">
    <w:name w:val="xl119"/>
    <w:basedOn w:val="1"/>
    <w:autoRedefine/>
    <w:qFormat/>
    <w:uiPriority w:val="0"/>
    <w:pPr>
      <w:widowControl/>
      <w:pBdr>
        <w:top w:val="single" w:color="auto" w:sz="4" w:space="0"/>
        <w:left w:val="single" w:color="auto" w:sz="8" w:space="0"/>
        <w:bottom w:val="single" w:color="auto" w:sz="4" w:space="0"/>
      </w:pBdr>
      <w:shd w:val="clear" w:color="auto" w:fill="E3E3E3"/>
      <w:spacing w:before="100" w:beforeLines="0" w:beforeAutospacing="1" w:after="100" w:afterLines="0" w:afterAutospacing="1"/>
      <w:jc w:val="center"/>
      <w:textAlignment w:val="center"/>
    </w:pPr>
    <w:rPr>
      <w:kern w:val="0"/>
      <w:sz w:val="22"/>
      <w:szCs w:val="22"/>
    </w:rPr>
  </w:style>
  <w:style w:type="paragraph" w:customStyle="1" w:styleId="144">
    <w:name w:val="font32"/>
    <w:basedOn w:val="1"/>
    <w:autoRedefine/>
    <w:qFormat/>
    <w:uiPriority w:val="0"/>
    <w:pPr>
      <w:widowControl/>
      <w:spacing w:before="100" w:beforeLines="0" w:beforeAutospacing="1" w:after="100" w:afterLines="0" w:afterAutospacing="1"/>
      <w:jc w:val="left"/>
    </w:pPr>
    <w:rPr>
      <w:kern w:val="0"/>
      <w:sz w:val="24"/>
    </w:rPr>
  </w:style>
  <w:style w:type="paragraph" w:customStyle="1" w:styleId="145">
    <w:name w:val="xl149"/>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pPr>
    <w:rPr>
      <w:kern w:val="0"/>
      <w:sz w:val="22"/>
      <w:szCs w:val="22"/>
    </w:rPr>
  </w:style>
  <w:style w:type="paragraph" w:customStyle="1" w:styleId="146">
    <w:name w:val="xl165"/>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47">
    <w:name w:val="xl181"/>
    <w:basedOn w:val="1"/>
    <w:autoRedefine/>
    <w:qFormat/>
    <w:uiPriority w:val="0"/>
    <w:pPr>
      <w:widowControl/>
      <w:pBdr>
        <w:top w:val="single" w:color="auto" w:sz="8"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48">
    <w:name w:val="xl197"/>
    <w:basedOn w:val="1"/>
    <w:autoRedefine/>
    <w:qFormat/>
    <w:uiPriority w:val="0"/>
    <w:pPr>
      <w:widowControl/>
      <w:pBdr>
        <w:top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49">
    <w:name w:val="xl279"/>
    <w:basedOn w:val="1"/>
    <w:autoRedefine/>
    <w:qFormat/>
    <w:uiPriority w:val="0"/>
    <w:pPr>
      <w:widowControl/>
      <w:pBdr>
        <w:top w:val="single" w:color="auto" w:sz="8" w:space="0"/>
        <w:left w:val="single" w:color="auto" w:sz="4" w:space="0"/>
        <w:bottom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150">
    <w:name w:val="xl29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151">
    <w:name w:val="xl311"/>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52">
    <w:name w:val="xl327"/>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53">
    <w:name w:val=" Char Char Char Char1 Char Char Char1"/>
    <w:basedOn w:val="1"/>
    <w:autoRedefine/>
    <w:qFormat/>
    <w:uiPriority w:val="0"/>
    <w:pPr>
      <w:widowControl/>
      <w:spacing w:after="160" w:afterLines="0" w:line="240" w:lineRule="exact"/>
      <w:jc w:val="left"/>
    </w:pPr>
    <w:rPr>
      <w:rFonts w:ascii="Verdana" w:hAnsi="Verdana"/>
      <w:kern w:val="0"/>
      <w:sz w:val="20"/>
      <w:szCs w:val="20"/>
      <w:lang w:eastAsia="en-US"/>
    </w:rPr>
  </w:style>
  <w:style w:type="paragraph" w:customStyle="1" w:styleId="154">
    <w:name w:val="xl13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right"/>
      <w:textAlignment w:val="center"/>
    </w:pPr>
    <w:rPr>
      <w:kern w:val="0"/>
      <w:sz w:val="22"/>
      <w:szCs w:val="22"/>
    </w:rPr>
  </w:style>
  <w:style w:type="paragraph" w:customStyle="1" w:styleId="155">
    <w:name w:val="xl253"/>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156">
    <w:name w:val="xl26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157">
    <w:name w:val="xl24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58">
    <w:name w:val="xl408"/>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0"/>
      <w:szCs w:val="20"/>
    </w:rPr>
  </w:style>
  <w:style w:type="paragraph" w:customStyle="1" w:styleId="159">
    <w:name w:val="xl222"/>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left"/>
      <w:textAlignment w:val="center"/>
    </w:pPr>
    <w:rPr>
      <w:kern w:val="0"/>
      <w:sz w:val="22"/>
      <w:szCs w:val="22"/>
    </w:rPr>
  </w:style>
  <w:style w:type="paragraph" w:customStyle="1" w:styleId="160">
    <w:name w:val="xl23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161">
    <w:name w:val="xl33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162">
    <w:name w:val="xl35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163">
    <w:name w:val="xl36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164">
    <w:name w:val="xl384"/>
    <w:basedOn w:val="1"/>
    <w:autoRedefine/>
    <w:qFormat/>
    <w:uiPriority w:val="0"/>
    <w:pPr>
      <w:widowControl/>
      <w:pBdr>
        <w:top w:val="single" w:color="auto" w:sz="8"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65">
    <w:name w:val="默认段落字体 Char Char Char"/>
    <w:basedOn w:val="1"/>
    <w:autoRedefine/>
    <w:qFormat/>
    <w:uiPriority w:val="0"/>
    <w:rPr>
      <w:sz w:val="24"/>
    </w:rPr>
  </w:style>
  <w:style w:type="paragraph" w:customStyle="1" w:styleId="166">
    <w:name w:val="xl4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67">
    <w:name w:val="xl5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168">
    <w:name w:val="xl7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169">
    <w:name w:val="xl86"/>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70">
    <w:name w:val="xl10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71">
    <w:name w:val="xl11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172">
    <w:name w:val="font31"/>
    <w:basedOn w:val="1"/>
    <w:autoRedefine/>
    <w:qFormat/>
    <w:uiPriority w:val="0"/>
    <w:pPr>
      <w:widowControl/>
      <w:spacing w:before="100" w:beforeLines="0" w:beforeAutospacing="1" w:after="100" w:afterLines="0" w:afterAutospacing="1"/>
      <w:jc w:val="left"/>
    </w:pPr>
    <w:rPr>
      <w:rFonts w:ascii="宋体" w:hAnsi="宋体" w:cs="宋体"/>
      <w:kern w:val="0"/>
      <w:sz w:val="28"/>
      <w:szCs w:val="28"/>
    </w:rPr>
  </w:style>
  <w:style w:type="paragraph" w:customStyle="1" w:styleId="173">
    <w:name w:val="xl148"/>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pPr>
    <w:rPr>
      <w:kern w:val="0"/>
      <w:sz w:val="22"/>
      <w:szCs w:val="22"/>
    </w:rPr>
  </w:style>
  <w:style w:type="paragraph" w:customStyle="1" w:styleId="174">
    <w:name w:val="xl164"/>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75">
    <w:name w:val="xl180"/>
    <w:basedOn w:val="1"/>
    <w:autoRedefine/>
    <w:qFormat/>
    <w:uiPriority w:val="0"/>
    <w:pPr>
      <w:widowControl/>
      <w:pBdr>
        <w:top w:val="single" w:color="auto" w:sz="8"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76">
    <w:name w:val="xl196"/>
    <w:basedOn w:val="1"/>
    <w:autoRedefine/>
    <w:qFormat/>
    <w:uiPriority w:val="0"/>
    <w:pPr>
      <w:widowControl/>
      <w:pBdr>
        <w:top w:val="single" w:color="auto" w:sz="4" w:space="0"/>
        <w:left w:val="single" w:color="auto" w:sz="8" w:space="0"/>
      </w:pBdr>
      <w:spacing w:before="100" w:beforeLines="0" w:beforeAutospacing="1" w:after="100" w:afterLines="0" w:afterAutospacing="1"/>
      <w:jc w:val="center"/>
      <w:textAlignment w:val="center"/>
    </w:pPr>
    <w:rPr>
      <w:kern w:val="0"/>
      <w:sz w:val="22"/>
      <w:szCs w:val="22"/>
    </w:rPr>
  </w:style>
  <w:style w:type="paragraph" w:customStyle="1" w:styleId="177">
    <w:name w:val="xl278"/>
    <w:basedOn w:val="1"/>
    <w:autoRedefine/>
    <w:qFormat/>
    <w:uiPriority w:val="0"/>
    <w:pPr>
      <w:widowControl/>
      <w:pBdr>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78">
    <w:name w:val="xl294"/>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179">
    <w:name w:val="xl31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80">
    <w:name w:val="xl32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81">
    <w:name w:val="xl26"/>
    <w:basedOn w:val="1"/>
    <w:autoRedefine/>
    <w:qFormat/>
    <w:uiPriority w:val="0"/>
    <w:pPr>
      <w:widowControl/>
      <w:pBdr>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182">
    <w:name w:val="xl13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183">
    <w:name w:val="xl252"/>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kern w:val="0"/>
      <w:sz w:val="22"/>
      <w:szCs w:val="22"/>
    </w:rPr>
  </w:style>
  <w:style w:type="paragraph" w:customStyle="1" w:styleId="184">
    <w:name w:val="xl268"/>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85">
    <w:name w:val="xl407"/>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0"/>
      <w:szCs w:val="20"/>
    </w:rPr>
  </w:style>
  <w:style w:type="paragraph" w:customStyle="1" w:styleId="186">
    <w:name w:val="xl221"/>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187">
    <w:name w:val="xl237"/>
    <w:basedOn w:val="1"/>
    <w:autoRedefine/>
    <w:qFormat/>
    <w:uiPriority w:val="0"/>
    <w:pPr>
      <w:widowControl/>
      <w:pBdr>
        <w:top w:val="single" w:color="auto" w:sz="4" w:space="0"/>
        <w:bottom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188">
    <w:name w:val="xl351"/>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189">
    <w:name w:val="xl36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190">
    <w:name w:val="xl383"/>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color w:val="FF0000"/>
      <w:kern w:val="0"/>
      <w:sz w:val="22"/>
      <w:szCs w:val="22"/>
    </w:rPr>
  </w:style>
  <w:style w:type="paragraph" w:customStyle="1" w:styleId="191">
    <w:name w:val=" Char Char1 Char Char Char Char Char Char Char Char Char Char Char Char Char Char Char1 Char1 Char Char Char Char Char Char Char Char Char Char Char Char Char Char Char"/>
    <w:basedOn w:val="1"/>
    <w:autoRedefine/>
    <w:qFormat/>
    <w:uiPriority w:val="0"/>
    <w:pPr>
      <w:widowControl/>
      <w:spacing w:after="160" w:afterLines="0" w:line="240" w:lineRule="exact"/>
      <w:jc w:val="left"/>
    </w:pPr>
    <w:rPr>
      <w:rFonts w:ascii="Verdana" w:hAnsi="Verdana"/>
      <w:kern w:val="0"/>
      <w:sz w:val="20"/>
      <w:szCs w:val="20"/>
      <w:lang w:eastAsia="en-US"/>
    </w:rPr>
  </w:style>
  <w:style w:type="paragraph" w:customStyle="1" w:styleId="192">
    <w:name w:val="xl40"/>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93">
    <w:name w:val="xl5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194">
    <w:name w:val="xl69"/>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195">
    <w:name w:val="xl8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196">
    <w:name w:val="xl10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197">
    <w:name w:val="xl117"/>
    <w:basedOn w:val="1"/>
    <w:autoRedefine/>
    <w:qFormat/>
    <w:uiPriority w:val="0"/>
    <w:pPr>
      <w:widowControl/>
      <w:pBdr>
        <w:top w:val="single" w:color="auto" w:sz="4" w:space="0"/>
        <w:bottom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198">
    <w:name w:val="font30"/>
    <w:basedOn w:val="1"/>
    <w:autoRedefine/>
    <w:qFormat/>
    <w:uiPriority w:val="0"/>
    <w:pPr>
      <w:widowControl/>
      <w:spacing w:before="100" w:beforeLines="0" w:beforeAutospacing="1" w:after="100" w:afterLines="0" w:afterAutospacing="1"/>
      <w:jc w:val="left"/>
    </w:pPr>
    <w:rPr>
      <w:kern w:val="0"/>
      <w:sz w:val="18"/>
      <w:szCs w:val="18"/>
    </w:rPr>
  </w:style>
  <w:style w:type="paragraph" w:customStyle="1" w:styleId="199">
    <w:name w:val="xl14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00">
    <w:name w:val="xl1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01">
    <w:name w:val="xl179"/>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202">
    <w:name w:val="xl19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203">
    <w:name w:val="xl277"/>
    <w:basedOn w:val="1"/>
    <w:autoRedefine/>
    <w:qFormat/>
    <w:uiPriority w:val="0"/>
    <w:pPr>
      <w:widowControl/>
      <w:pBdr>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04">
    <w:name w:val="xl293"/>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205">
    <w:name w:val="xl30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206">
    <w:name w:val="xl325"/>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07">
    <w:name w:val="font18"/>
    <w:basedOn w:val="1"/>
    <w:autoRedefine/>
    <w:qFormat/>
    <w:uiPriority w:val="0"/>
    <w:pPr>
      <w:widowControl/>
      <w:spacing w:before="100" w:beforeLines="0" w:beforeAutospacing="1" w:after="100" w:afterLines="0" w:afterAutospacing="1"/>
      <w:jc w:val="left"/>
    </w:pPr>
    <w:rPr>
      <w:color w:val="FF0000"/>
      <w:kern w:val="0"/>
      <w:sz w:val="22"/>
      <w:szCs w:val="22"/>
    </w:rPr>
  </w:style>
  <w:style w:type="paragraph" w:customStyle="1" w:styleId="208">
    <w:name w:val="xl137"/>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209">
    <w:name w:val="xl267"/>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10">
    <w:name w:val="标-4"/>
    <w:basedOn w:val="1"/>
    <w:autoRedefine/>
    <w:qFormat/>
    <w:uiPriority w:val="0"/>
    <w:pPr>
      <w:spacing w:before="120" w:beforeLines="0"/>
      <w:ind w:left="851" w:hanging="851"/>
    </w:pPr>
    <w:rPr>
      <w:sz w:val="24"/>
      <w:szCs w:val="20"/>
    </w:rPr>
  </w:style>
  <w:style w:type="paragraph" w:customStyle="1" w:styleId="211">
    <w:name w:val="xl406"/>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12">
    <w:name w:val="xl220"/>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13">
    <w:name w:val="xl23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214">
    <w:name w:val="xl35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color w:val="FF0000"/>
      <w:kern w:val="0"/>
      <w:sz w:val="24"/>
    </w:rPr>
  </w:style>
  <w:style w:type="paragraph" w:customStyle="1" w:styleId="215">
    <w:name w:val="xl36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w:hAnsi="Arial" w:cs="Arial"/>
      <w:kern w:val="0"/>
      <w:sz w:val="24"/>
    </w:rPr>
  </w:style>
  <w:style w:type="paragraph" w:customStyle="1" w:styleId="216">
    <w:name w:val="xl382"/>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217">
    <w:name w:val="xl398"/>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18">
    <w:name w:val="xl5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19">
    <w:name w:val="xl8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20">
    <w:name w:val="xl100"/>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221">
    <w:name w:val="xl11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right"/>
      <w:textAlignment w:val="center"/>
    </w:pPr>
    <w:rPr>
      <w:rFonts w:ascii="宋体" w:hAnsi="宋体" w:cs="宋体"/>
      <w:kern w:val="0"/>
      <w:sz w:val="22"/>
      <w:szCs w:val="22"/>
    </w:rPr>
  </w:style>
  <w:style w:type="paragraph" w:customStyle="1" w:styleId="222">
    <w:name w:val="font29"/>
    <w:basedOn w:val="1"/>
    <w:autoRedefine/>
    <w:qFormat/>
    <w:uiPriority w:val="0"/>
    <w:pPr>
      <w:widowControl/>
      <w:spacing w:before="100" w:beforeLines="0" w:beforeAutospacing="1" w:after="100" w:afterLines="0" w:afterAutospacing="1"/>
      <w:jc w:val="left"/>
    </w:pPr>
    <w:rPr>
      <w:color w:val="FF0000"/>
      <w:kern w:val="0"/>
      <w:sz w:val="22"/>
      <w:szCs w:val="22"/>
    </w:rPr>
  </w:style>
  <w:style w:type="paragraph" w:customStyle="1" w:styleId="223">
    <w:name w:val="xl16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24">
    <w:name w:val="xl178"/>
    <w:basedOn w:val="1"/>
    <w:autoRedefine/>
    <w:qFormat/>
    <w:uiPriority w:val="0"/>
    <w:pPr>
      <w:widowControl/>
      <w:pBdr>
        <w:top w:val="single" w:color="auto" w:sz="8" w:space="0"/>
        <w:bottom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225">
    <w:name w:val="xl194"/>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226">
    <w:name w:val="xl276"/>
    <w:basedOn w:val="1"/>
    <w:autoRedefine/>
    <w:qFormat/>
    <w:uiPriority w:val="0"/>
    <w:pPr>
      <w:widowControl/>
      <w:pBdr>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27">
    <w:name w:val="xl29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228">
    <w:name w:val="xl30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229">
    <w:name w:val="xl32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30">
    <w:name w:val="font17"/>
    <w:basedOn w:val="1"/>
    <w:autoRedefine/>
    <w:qFormat/>
    <w:uiPriority w:val="0"/>
    <w:pPr>
      <w:widowControl/>
      <w:spacing w:before="100" w:beforeLines="0" w:beforeAutospacing="1" w:after="100" w:afterLines="0" w:afterAutospacing="1"/>
      <w:jc w:val="left"/>
    </w:pPr>
    <w:rPr>
      <w:kern w:val="0"/>
      <w:sz w:val="22"/>
      <w:szCs w:val="22"/>
    </w:rPr>
  </w:style>
  <w:style w:type="paragraph" w:customStyle="1" w:styleId="231">
    <w:name w:val="xl13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232">
    <w:name w:val="xl266"/>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33">
    <w:name w:val="Char"/>
    <w:basedOn w:val="1"/>
    <w:autoRedefine/>
    <w:qFormat/>
    <w:uiPriority w:val="0"/>
    <w:rPr>
      <w:rFonts w:ascii="Arial" w:hAnsi="Arial"/>
      <w:sz w:val="28"/>
      <w:szCs w:val="28"/>
    </w:rPr>
  </w:style>
  <w:style w:type="paragraph" w:customStyle="1" w:styleId="234">
    <w:name w:val="xl405"/>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35">
    <w:name w:val=" Char Char Char Char Char Char Char Char Char Char Char1 Char Char"/>
    <w:basedOn w:val="1"/>
    <w:next w:val="1"/>
    <w:autoRedefine/>
    <w:qFormat/>
    <w:uiPriority w:val="0"/>
    <w:pPr>
      <w:spacing w:line="336" w:lineRule="auto"/>
      <w:ind w:firstLine="200" w:firstLineChars="200"/>
    </w:pPr>
  </w:style>
  <w:style w:type="paragraph" w:customStyle="1" w:styleId="236">
    <w:name w:val="Body Text 2"/>
    <w:basedOn w:val="1"/>
    <w:autoRedefine/>
    <w:qFormat/>
    <w:uiPriority w:val="0"/>
    <w:pPr>
      <w:tabs>
        <w:tab w:val="left" w:pos="567"/>
      </w:tabs>
      <w:adjustRightInd w:val="0"/>
      <w:spacing w:line="410" w:lineRule="atLeast"/>
      <w:ind w:firstLine="480"/>
      <w:textAlignment w:val="baseline"/>
    </w:pPr>
    <w:rPr>
      <w:rFonts w:ascii="宋体"/>
      <w:kern w:val="0"/>
      <w:sz w:val="24"/>
      <w:szCs w:val="20"/>
    </w:rPr>
  </w:style>
  <w:style w:type="paragraph" w:customStyle="1" w:styleId="237">
    <w:name w:val="xl219"/>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38">
    <w:name w:val="xl235"/>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39">
    <w:name w:val="xl349"/>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Arial" w:hAnsi="Arial" w:cs="Arial"/>
      <w:color w:val="FF0000"/>
      <w:kern w:val="0"/>
      <w:sz w:val="24"/>
    </w:rPr>
  </w:style>
  <w:style w:type="paragraph" w:customStyle="1" w:styleId="240">
    <w:name w:val="xl365"/>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Arial" w:hAnsi="Arial" w:cs="Arial"/>
      <w:kern w:val="0"/>
      <w:sz w:val="24"/>
    </w:rPr>
  </w:style>
  <w:style w:type="paragraph" w:customStyle="1" w:styleId="241">
    <w:name w:val="xl381"/>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left"/>
      <w:textAlignment w:val="center"/>
    </w:pPr>
    <w:rPr>
      <w:rFonts w:ascii="宋体" w:hAnsi="宋体" w:cs="宋体"/>
      <w:b/>
      <w:bCs/>
      <w:kern w:val="0"/>
      <w:sz w:val="20"/>
      <w:szCs w:val="20"/>
    </w:rPr>
  </w:style>
  <w:style w:type="paragraph" w:customStyle="1" w:styleId="242">
    <w:name w:val="xl397"/>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43">
    <w:name w:val="xl5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44">
    <w:name w:val="xl83"/>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45">
    <w:name w:val="xl9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46">
    <w:name w:val="xl11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247">
    <w:name w:val="font28"/>
    <w:basedOn w:val="1"/>
    <w:autoRedefine/>
    <w:qFormat/>
    <w:uiPriority w:val="0"/>
    <w:pPr>
      <w:widowControl/>
      <w:spacing w:before="100" w:beforeLines="0" w:beforeAutospacing="1" w:after="100" w:afterLines="0" w:afterAutospacing="1"/>
      <w:jc w:val="left"/>
    </w:pPr>
    <w:rPr>
      <w:color w:val="000000"/>
      <w:kern w:val="0"/>
      <w:sz w:val="22"/>
      <w:szCs w:val="22"/>
    </w:rPr>
  </w:style>
  <w:style w:type="paragraph" w:customStyle="1" w:styleId="248">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49">
    <w:name w:val="xl177"/>
    <w:basedOn w:val="1"/>
    <w:autoRedefine/>
    <w:qFormat/>
    <w:uiPriority w:val="0"/>
    <w:pPr>
      <w:widowControl/>
      <w:pBdr>
        <w:top w:val="single" w:color="auto" w:sz="8" w:space="0"/>
        <w:left w:val="single" w:color="auto" w:sz="4" w:space="0"/>
        <w:bottom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250">
    <w:name w:val="xl193"/>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pPr>
    <w:rPr>
      <w:rFonts w:ascii="宋体" w:hAnsi="宋体" w:cs="宋体"/>
      <w:kern w:val="0"/>
      <w:sz w:val="24"/>
    </w:rPr>
  </w:style>
  <w:style w:type="paragraph" w:customStyle="1" w:styleId="251">
    <w:name w:val="xl209"/>
    <w:basedOn w:val="1"/>
    <w:autoRedefine/>
    <w:qFormat/>
    <w:uiPriority w:val="0"/>
    <w:pPr>
      <w:widowControl/>
      <w:pBdr>
        <w:top w:val="single" w:color="auto" w:sz="4" w:space="0"/>
        <w:left w:val="single" w:color="auto" w:sz="8" w:space="0"/>
        <w:bottom w:val="single" w:color="auto" w:sz="4" w:space="0"/>
      </w:pBdr>
      <w:shd w:val="clear" w:color="auto" w:fill="E3E3E3"/>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52">
    <w:name w:val="xl275"/>
    <w:basedOn w:val="1"/>
    <w:autoRedefine/>
    <w:qFormat/>
    <w:uiPriority w:val="0"/>
    <w:pPr>
      <w:widowControl/>
      <w:pBdr>
        <w:left w:val="single" w:color="auto" w:sz="8"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53">
    <w:name w:val="xl29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254">
    <w:name w:val="xl30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255">
    <w:name w:val="xl323"/>
    <w:basedOn w:val="1"/>
    <w:autoRedefine/>
    <w:qFormat/>
    <w:uiPriority w:val="0"/>
    <w:pPr>
      <w:widowControl/>
      <w:pBdr>
        <w:top w:val="single" w:color="auto" w:sz="4" w:space="0"/>
        <w:bottom w:val="single" w:color="auto" w:sz="8"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56">
    <w:name w:val="font16"/>
    <w:basedOn w:val="1"/>
    <w:autoRedefine/>
    <w:qFormat/>
    <w:uiPriority w:val="0"/>
    <w:pPr>
      <w:widowControl/>
      <w:spacing w:before="100" w:beforeLines="0" w:beforeAutospacing="1" w:after="100" w:afterLines="0" w:afterAutospacing="1"/>
      <w:jc w:val="left"/>
    </w:pPr>
    <w:rPr>
      <w:rFonts w:ascii="宋体" w:hAnsi="宋体" w:cs="宋体"/>
      <w:color w:val="FF0000"/>
      <w:kern w:val="0"/>
      <w:sz w:val="22"/>
      <w:szCs w:val="22"/>
    </w:rPr>
  </w:style>
  <w:style w:type="paragraph" w:customStyle="1" w:styleId="257">
    <w:name w:val="xl13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58">
    <w:name w:val="xl265"/>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59">
    <w:name w:val="xl422"/>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260">
    <w:name w:val="xl404"/>
    <w:basedOn w:val="1"/>
    <w:autoRedefine/>
    <w:qFormat/>
    <w:uiPriority w:val="0"/>
    <w:pPr>
      <w:widowControl/>
      <w:pBdr>
        <w:top w:val="single" w:color="auto" w:sz="4" w:space="0"/>
        <w:left w:val="single" w:color="auto" w:sz="4" w:space="0"/>
        <w:bottom w:val="single" w:color="auto" w:sz="4" w:space="0"/>
        <w:right w:val="single" w:color="auto" w:sz="8" w:space="0"/>
      </w:pBdr>
      <w:shd w:val="clear" w:color="auto" w:fill="FFFF99"/>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261">
    <w:name w:val="xl218"/>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62">
    <w:name w:val="xl234"/>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63">
    <w:name w:val="xl348"/>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4"/>
    </w:rPr>
  </w:style>
  <w:style w:type="paragraph" w:customStyle="1" w:styleId="264">
    <w:name w:val="xl36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265">
    <w:name w:val="xl38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66">
    <w:name w:val="xl396"/>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67">
    <w:name w:val="zw"/>
    <w:basedOn w:val="1"/>
    <w:autoRedefine/>
    <w:qFormat/>
    <w:uiPriority w:val="0"/>
    <w:pPr>
      <w:widowControl/>
      <w:spacing w:before="100" w:beforeLines="0" w:beforeAutospacing="1" w:after="100" w:afterLines="0" w:afterAutospacing="1" w:line="440" w:lineRule="atLeast"/>
      <w:jc w:val="left"/>
    </w:pPr>
    <w:rPr>
      <w:rFonts w:ascii="宋体" w:hAnsi="宋体" w:cs="宋体"/>
      <w:kern w:val="0"/>
      <w:sz w:val="22"/>
      <w:szCs w:val="22"/>
    </w:rPr>
  </w:style>
  <w:style w:type="paragraph" w:customStyle="1" w:styleId="268">
    <w:name w:val=" Char"/>
    <w:basedOn w:val="1"/>
    <w:autoRedefine/>
    <w:qFormat/>
    <w:uiPriority w:val="0"/>
    <w:pPr>
      <w:spacing w:line="360" w:lineRule="auto"/>
      <w:ind w:firstLine="200" w:firstLineChars="200"/>
    </w:pPr>
    <w:rPr>
      <w:rFonts w:ascii="宋体" w:hAnsi="宋体" w:cs="宋体"/>
      <w:sz w:val="24"/>
    </w:rPr>
  </w:style>
  <w:style w:type="paragraph" w:customStyle="1" w:styleId="269">
    <w:name w:val="xl53"/>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70">
    <w:name w:val="xl12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71">
    <w:name w:val="xl82"/>
    <w:basedOn w:val="1"/>
    <w:autoRedefine/>
    <w:qFormat/>
    <w:uiPriority w:val="0"/>
    <w:pPr>
      <w:widowControl/>
      <w:pBdr>
        <w:top w:val="single" w:color="auto" w:sz="4" w:space="0"/>
        <w:bottom w:val="single" w:color="auto" w:sz="4" w:space="0"/>
        <w:right w:val="single" w:color="auto" w:sz="8" w:space="0"/>
      </w:pBdr>
      <w:spacing w:before="100" w:beforeLines="0" w:beforeAutospacing="1" w:after="100" w:afterLines="0" w:afterAutospacing="1"/>
      <w:jc w:val="left"/>
      <w:textAlignment w:val="center"/>
    </w:pPr>
    <w:rPr>
      <w:color w:val="FF0000"/>
      <w:kern w:val="0"/>
      <w:sz w:val="22"/>
      <w:szCs w:val="22"/>
    </w:rPr>
  </w:style>
  <w:style w:type="paragraph" w:customStyle="1" w:styleId="272">
    <w:name w:val="xl98"/>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73">
    <w:name w:val="xl11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74">
    <w:name w:val="font27"/>
    <w:basedOn w:val="1"/>
    <w:autoRedefine/>
    <w:qFormat/>
    <w:uiPriority w:val="0"/>
    <w:pPr>
      <w:widowControl/>
      <w:spacing w:before="100" w:beforeLines="0" w:beforeAutospacing="1" w:after="100" w:afterLines="0" w:afterAutospacing="1"/>
      <w:jc w:val="left"/>
    </w:pPr>
    <w:rPr>
      <w:color w:val="FF0000"/>
      <w:kern w:val="0"/>
      <w:sz w:val="22"/>
      <w:szCs w:val="22"/>
    </w:rPr>
  </w:style>
  <w:style w:type="paragraph" w:customStyle="1" w:styleId="275">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76">
    <w:name w:val="xl176"/>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77">
    <w:name w:val="xl19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4"/>
    </w:rPr>
  </w:style>
  <w:style w:type="paragraph" w:customStyle="1" w:styleId="278">
    <w:name w:val="xl208"/>
    <w:basedOn w:val="1"/>
    <w:autoRedefine/>
    <w:qFormat/>
    <w:uiPriority w:val="0"/>
    <w:pPr>
      <w:widowControl/>
      <w:pBdr>
        <w:top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79">
    <w:name w:val="xl27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80">
    <w:name w:val="xl290"/>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281">
    <w:name w:val="xl30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82">
    <w:name w:val="xl322"/>
    <w:basedOn w:val="1"/>
    <w:autoRedefine/>
    <w:qFormat/>
    <w:uiPriority w:val="0"/>
    <w:pPr>
      <w:widowControl/>
      <w:pBdr>
        <w:top w:val="single" w:color="auto" w:sz="4" w:space="0"/>
        <w:bottom w:val="single" w:color="auto" w:sz="8"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283">
    <w:name w:val="font15"/>
    <w:basedOn w:val="1"/>
    <w:autoRedefine/>
    <w:qFormat/>
    <w:uiPriority w:val="0"/>
    <w:pPr>
      <w:widowControl/>
      <w:spacing w:before="100" w:beforeLines="0" w:beforeAutospacing="1" w:after="100" w:afterLines="0" w:afterAutospacing="1"/>
      <w:jc w:val="left"/>
    </w:pPr>
    <w:rPr>
      <w:color w:val="FF0000"/>
      <w:kern w:val="0"/>
      <w:sz w:val="22"/>
      <w:szCs w:val="22"/>
    </w:rPr>
  </w:style>
  <w:style w:type="paragraph" w:customStyle="1" w:styleId="284">
    <w:name w:val="xl134"/>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85">
    <w:name w:val="xl264"/>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86">
    <w:name w:val="xl421"/>
    <w:basedOn w:val="1"/>
    <w:autoRedefine/>
    <w:qFormat/>
    <w:uiPriority w:val="0"/>
    <w:pPr>
      <w:widowControl/>
      <w:pBdr>
        <w:top w:val="single" w:color="auto" w:sz="8" w:space="0"/>
        <w:left w:val="single" w:color="auto" w:sz="8"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87">
    <w:name w:val="xl419"/>
    <w:basedOn w:val="1"/>
    <w:autoRedefine/>
    <w:qFormat/>
    <w:uiPriority w:val="0"/>
    <w:pPr>
      <w:widowControl/>
      <w:pBdr>
        <w:top w:val="single" w:color="auto" w:sz="8" w:space="0"/>
        <w:bottom w:val="single" w:color="auto" w:sz="8" w:space="0"/>
      </w:pBdr>
      <w:shd w:val="clear" w:color="auto" w:fill="E3E3E3"/>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88">
    <w:name w:val="xl217"/>
    <w:basedOn w:val="1"/>
    <w:autoRedefine/>
    <w:qFormat/>
    <w:uiPriority w:val="0"/>
    <w:pPr>
      <w:widowControl/>
      <w:pBdr>
        <w:top w:val="single" w:color="auto" w:sz="4" w:space="0"/>
        <w:left w:val="single" w:color="auto" w:sz="8"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289">
    <w:name w:val="xl233"/>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90">
    <w:name w:val="xl34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FF0000"/>
      <w:kern w:val="0"/>
      <w:sz w:val="24"/>
    </w:rPr>
  </w:style>
  <w:style w:type="paragraph" w:customStyle="1" w:styleId="291">
    <w:name w:val="xl363"/>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292">
    <w:name w:val="xl379"/>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293">
    <w:name w:val="xl395"/>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294">
    <w:name w:val="标格文字"/>
    <w:basedOn w:val="1"/>
    <w:next w:val="8"/>
    <w:autoRedefine/>
    <w:qFormat/>
    <w:uiPriority w:val="0"/>
    <w:pPr>
      <w:spacing w:before="60" w:beforeLines="0" w:after="60" w:afterLines="0"/>
    </w:pPr>
    <w:rPr>
      <w:szCs w:val="20"/>
    </w:rPr>
  </w:style>
  <w:style w:type="paragraph" w:customStyle="1" w:styleId="295">
    <w:name w:val="xl5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296">
    <w:name w:val="xl12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297">
    <w:name w:val="xl81"/>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298">
    <w:name w:val="xl9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299">
    <w:name w:val="xl113"/>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00">
    <w:name w:val="font26"/>
    <w:basedOn w:val="1"/>
    <w:autoRedefine/>
    <w:qFormat/>
    <w:uiPriority w:val="0"/>
    <w:pPr>
      <w:widowControl/>
      <w:spacing w:before="100" w:beforeLines="0" w:beforeAutospacing="1" w:after="100" w:afterLines="0" w:afterAutospacing="1"/>
      <w:jc w:val="left"/>
    </w:pPr>
    <w:rPr>
      <w:kern w:val="0"/>
      <w:sz w:val="24"/>
    </w:rPr>
  </w:style>
  <w:style w:type="paragraph" w:customStyle="1" w:styleId="301">
    <w:name w:val="xl159"/>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02">
    <w:name w:val="xl175"/>
    <w:basedOn w:val="1"/>
    <w:autoRedefine/>
    <w:qFormat/>
    <w:uiPriority w:val="0"/>
    <w:pPr>
      <w:widowControl/>
      <w:pBdr>
        <w:top w:val="single" w:color="auto" w:sz="8"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03">
    <w:name w:val="xl191"/>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4"/>
    </w:rPr>
  </w:style>
  <w:style w:type="paragraph" w:customStyle="1" w:styleId="304">
    <w:name w:val="xl207"/>
    <w:basedOn w:val="1"/>
    <w:autoRedefine/>
    <w:qFormat/>
    <w:uiPriority w:val="0"/>
    <w:pPr>
      <w:widowControl/>
      <w:pBdr>
        <w:top w:val="single" w:color="auto" w:sz="4" w:space="0"/>
        <w:lef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05">
    <w:name w:val="xl273"/>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306">
    <w:name w:val="xl28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307">
    <w:name w:val="xl305"/>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0"/>
      <w:szCs w:val="20"/>
    </w:rPr>
  </w:style>
  <w:style w:type="paragraph" w:customStyle="1" w:styleId="308">
    <w:name w:val="xl321"/>
    <w:basedOn w:val="1"/>
    <w:autoRedefine/>
    <w:qFormat/>
    <w:uiPriority w:val="0"/>
    <w:pPr>
      <w:widowControl/>
      <w:pBdr>
        <w:top w:val="single" w:color="auto" w:sz="4" w:space="0"/>
        <w:bottom w:val="single" w:color="auto" w:sz="8"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09">
    <w:name w:val="font14"/>
    <w:basedOn w:val="1"/>
    <w:autoRedefine/>
    <w:qFormat/>
    <w:uiPriority w:val="0"/>
    <w:pPr>
      <w:widowControl/>
      <w:spacing w:before="100" w:beforeLines="0" w:beforeAutospacing="1" w:after="100" w:afterLines="0" w:afterAutospacing="1"/>
      <w:jc w:val="left"/>
    </w:pPr>
    <w:rPr>
      <w:color w:val="000000"/>
      <w:kern w:val="0"/>
      <w:sz w:val="22"/>
      <w:szCs w:val="22"/>
    </w:rPr>
  </w:style>
  <w:style w:type="paragraph" w:customStyle="1" w:styleId="310">
    <w:name w:val="xl133"/>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11">
    <w:name w:val="xl263"/>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left"/>
      <w:textAlignment w:val="center"/>
    </w:pPr>
    <w:rPr>
      <w:kern w:val="0"/>
      <w:sz w:val="22"/>
      <w:szCs w:val="22"/>
    </w:rPr>
  </w:style>
  <w:style w:type="paragraph" w:customStyle="1" w:styleId="312">
    <w:name w:val="xl420"/>
    <w:basedOn w:val="1"/>
    <w:autoRedefine/>
    <w:qFormat/>
    <w:uiPriority w:val="0"/>
    <w:pPr>
      <w:widowControl/>
      <w:pBdr>
        <w:top w:val="single" w:color="auto" w:sz="8" w:space="0"/>
        <w:bottom w:val="single" w:color="auto" w:sz="8" w:space="0"/>
        <w:right w:val="single" w:color="auto" w:sz="4" w:space="0"/>
      </w:pBdr>
      <w:shd w:val="clear" w:color="auto" w:fill="E3E3E3"/>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13">
    <w:name w:val="文-5"/>
    <w:basedOn w:val="1"/>
    <w:autoRedefine/>
    <w:qFormat/>
    <w:uiPriority w:val="0"/>
    <w:pPr>
      <w:tabs>
        <w:tab w:val="right" w:leader="dot" w:pos="8789"/>
      </w:tabs>
      <w:spacing w:before="120" w:beforeLines="0"/>
      <w:ind w:left="1276" w:firstLine="482"/>
    </w:pPr>
    <w:rPr>
      <w:sz w:val="24"/>
      <w:szCs w:val="20"/>
    </w:rPr>
  </w:style>
  <w:style w:type="paragraph" w:customStyle="1" w:styleId="314">
    <w:name w:val="xl418"/>
    <w:basedOn w:val="1"/>
    <w:autoRedefine/>
    <w:qFormat/>
    <w:uiPriority w:val="0"/>
    <w:pPr>
      <w:widowControl/>
      <w:pBdr>
        <w:top w:val="single" w:color="auto" w:sz="8" w:space="0"/>
        <w:left w:val="single" w:color="auto" w:sz="8" w:space="0"/>
        <w:bottom w:val="single" w:color="auto" w:sz="8" w:space="0"/>
      </w:pBdr>
      <w:shd w:val="clear" w:color="auto" w:fill="E3E3E3"/>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15">
    <w:name w:val="xl21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16">
    <w:name w:val="xl232"/>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317">
    <w:name w:val="xl346"/>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4"/>
    </w:rPr>
  </w:style>
  <w:style w:type="paragraph" w:customStyle="1" w:styleId="318">
    <w:name w:val="xl36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19">
    <w:name w:val="xl37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20">
    <w:name w:val="xl394"/>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0"/>
      <w:szCs w:val="20"/>
    </w:rPr>
  </w:style>
  <w:style w:type="paragraph" w:customStyle="1" w:styleId="321">
    <w:name w:val=" Char Char"/>
    <w:basedOn w:val="1"/>
    <w:autoRedefine/>
    <w:qFormat/>
    <w:uiPriority w:val="0"/>
    <w:pPr>
      <w:widowControl/>
      <w:spacing w:after="160" w:afterLines="0" w:line="240" w:lineRule="exact"/>
      <w:jc w:val="left"/>
    </w:pPr>
    <w:rPr>
      <w:rFonts w:ascii="Verdana" w:hAnsi="Verdana"/>
      <w:kern w:val="0"/>
      <w:sz w:val="20"/>
      <w:szCs w:val="20"/>
      <w:lang w:eastAsia="en-US"/>
    </w:rPr>
  </w:style>
  <w:style w:type="paragraph" w:customStyle="1" w:styleId="322">
    <w:name w:val="xl51"/>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323">
    <w:name w:val="xl127"/>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24">
    <w:name w:val="xl8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325">
    <w:name w:val="xl9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326">
    <w:name w:val="xl11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27">
    <w:name w:val="font25"/>
    <w:basedOn w:val="1"/>
    <w:autoRedefine/>
    <w:qFormat/>
    <w:uiPriority w:val="0"/>
    <w:pPr>
      <w:widowControl/>
      <w:spacing w:before="100" w:beforeLines="0" w:beforeAutospacing="1" w:after="100" w:afterLines="0" w:afterAutospacing="1"/>
      <w:jc w:val="left"/>
    </w:pPr>
    <w:rPr>
      <w:rFonts w:ascii="宋体" w:hAnsi="宋体" w:cs="宋体"/>
      <w:color w:val="000000"/>
      <w:kern w:val="0"/>
      <w:sz w:val="18"/>
      <w:szCs w:val="18"/>
    </w:rPr>
  </w:style>
  <w:style w:type="paragraph" w:customStyle="1" w:styleId="32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29">
    <w:name w:val="xl174"/>
    <w:basedOn w:val="1"/>
    <w:autoRedefine/>
    <w:qFormat/>
    <w:uiPriority w:val="0"/>
    <w:pPr>
      <w:widowControl/>
      <w:pBdr>
        <w:top w:val="single" w:color="auto" w:sz="8"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30">
    <w:name w:val="xl19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31">
    <w:name w:val="xl206"/>
    <w:basedOn w:val="1"/>
    <w:autoRedefine/>
    <w:qFormat/>
    <w:uiPriority w:val="0"/>
    <w:pPr>
      <w:widowControl/>
      <w:pBdr>
        <w:top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32">
    <w:name w:val="xl288"/>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333">
    <w:name w:val="xl30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0"/>
      <w:szCs w:val="20"/>
    </w:rPr>
  </w:style>
  <w:style w:type="paragraph" w:customStyle="1" w:styleId="334">
    <w:name w:val="xl320"/>
    <w:basedOn w:val="1"/>
    <w:autoRedefine/>
    <w:qFormat/>
    <w:uiPriority w:val="0"/>
    <w:pPr>
      <w:widowControl/>
      <w:pBdr>
        <w:top w:val="single" w:color="auto" w:sz="4" w:space="0"/>
        <w:bottom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35">
    <w:name w:val="xl68"/>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336">
    <w:name w:val="font13"/>
    <w:basedOn w:val="1"/>
    <w:autoRedefine/>
    <w:qFormat/>
    <w:uiPriority w:val="0"/>
    <w:pPr>
      <w:widowControl/>
      <w:spacing w:before="100" w:beforeLines="0" w:beforeAutospacing="1" w:after="100" w:afterLines="0" w:afterAutospacing="1"/>
      <w:jc w:val="left"/>
    </w:pPr>
    <w:rPr>
      <w:rFonts w:ascii="宋体" w:hAnsi="宋体" w:cs="宋体"/>
      <w:color w:val="000000"/>
      <w:kern w:val="0"/>
      <w:sz w:val="22"/>
      <w:szCs w:val="22"/>
    </w:rPr>
  </w:style>
  <w:style w:type="paragraph" w:customStyle="1" w:styleId="337">
    <w:name w:val="xl132"/>
    <w:basedOn w:val="1"/>
    <w:autoRedefine/>
    <w:qFormat/>
    <w:uiPriority w:val="0"/>
    <w:pPr>
      <w:widowControl/>
      <w:pBdr>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38">
    <w:name w:val="xl262"/>
    <w:basedOn w:val="1"/>
    <w:autoRedefine/>
    <w:qFormat/>
    <w:uiPriority w:val="0"/>
    <w:pPr>
      <w:widowControl/>
      <w:pBdr>
        <w:top w:val="single" w:color="auto" w:sz="4" w:space="0"/>
        <w:left w:val="single" w:color="auto" w:sz="8" w:space="0"/>
        <w:bottom w:val="single" w:color="auto" w:sz="4" w:space="0"/>
      </w:pBdr>
      <w:shd w:val="clear" w:color="auto" w:fill="FFFF99"/>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339">
    <w:name w:val="默认段落字体 Para Char Char Char Char"/>
    <w:basedOn w:val="1"/>
    <w:autoRedefine/>
    <w:qFormat/>
    <w:uiPriority w:val="0"/>
  </w:style>
  <w:style w:type="paragraph" w:customStyle="1" w:styleId="340">
    <w:name w:val="xl251"/>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kern w:val="0"/>
      <w:sz w:val="22"/>
      <w:szCs w:val="22"/>
    </w:rPr>
  </w:style>
  <w:style w:type="paragraph" w:customStyle="1" w:styleId="341">
    <w:name w:val="xl417"/>
    <w:basedOn w:val="1"/>
    <w:autoRedefine/>
    <w:qFormat/>
    <w:uiPriority w:val="0"/>
    <w:pPr>
      <w:widowControl/>
      <w:pBdr>
        <w:top w:val="single" w:color="auto" w:sz="4" w:space="0"/>
        <w:left w:val="single" w:color="auto" w:sz="8" w:space="0"/>
        <w:bottom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42">
    <w:name w:val="xl215"/>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43">
    <w:name w:val="xl231"/>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344">
    <w:name w:val="表格"/>
    <w:autoRedefine/>
    <w:qFormat/>
    <w:uiPriority w:val="0"/>
    <w:rPr>
      <w:rFonts w:ascii="Times New Roman" w:hAnsi="Times New Roman" w:eastAsia="宋体" w:cs="Times New Roman"/>
      <w:sz w:val="24"/>
      <w:lang w:val="en-US" w:eastAsia="zh-CN" w:bidi="ar-SA"/>
    </w:rPr>
  </w:style>
  <w:style w:type="paragraph" w:customStyle="1" w:styleId="345">
    <w:name w:val="xl34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4"/>
    </w:rPr>
  </w:style>
  <w:style w:type="paragraph" w:customStyle="1" w:styleId="346">
    <w:name w:val="xl36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47">
    <w:name w:val="xl377"/>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48">
    <w:name w:val="xl393"/>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349">
    <w:name w:val="xl5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350">
    <w:name w:val="xl12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51">
    <w:name w:val="xl7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color w:val="FF0000"/>
      <w:kern w:val="0"/>
      <w:sz w:val="22"/>
      <w:szCs w:val="22"/>
    </w:rPr>
  </w:style>
  <w:style w:type="paragraph" w:customStyle="1" w:styleId="352">
    <w:name w:val="xl95"/>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353">
    <w:name w:val="xl11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354">
    <w:name w:val="font24"/>
    <w:basedOn w:val="1"/>
    <w:autoRedefine/>
    <w:qFormat/>
    <w:uiPriority w:val="0"/>
    <w:pPr>
      <w:widowControl/>
      <w:spacing w:before="100" w:beforeLines="0" w:beforeAutospacing="1" w:after="100" w:afterLines="0" w:afterAutospacing="1"/>
      <w:jc w:val="left"/>
    </w:pPr>
    <w:rPr>
      <w:rFonts w:ascii="宋体" w:hAnsi="宋体" w:cs="宋体"/>
      <w:b/>
      <w:bCs/>
      <w:color w:val="000000"/>
      <w:kern w:val="0"/>
      <w:sz w:val="18"/>
      <w:szCs w:val="18"/>
    </w:rPr>
  </w:style>
  <w:style w:type="paragraph" w:customStyle="1" w:styleId="355">
    <w:name w:val="xl12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356">
    <w:name w:val="xl157"/>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57">
    <w:name w:val="xl173"/>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58">
    <w:name w:val="xl18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color w:val="FF0000"/>
      <w:kern w:val="0"/>
      <w:sz w:val="22"/>
      <w:szCs w:val="22"/>
    </w:rPr>
  </w:style>
  <w:style w:type="paragraph" w:customStyle="1" w:styleId="359">
    <w:name w:val="xl205"/>
    <w:basedOn w:val="1"/>
    <w:autoRedefine/>
    <w:qFormat/>
    <w:uiPriority w:val="0"/>
    <w:pPr>
      <w:widowControl/>
      <w:pBdr>
        <w:top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60">
    <w:name w:val="xl287"/>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361">
    <w:name w:val="xl303"/>
    <w:basedOn w:val="1"/>
    <w:autoRedefine/>
    <w:qFormat/>
    <w:uiPriority w:val="0"/>
    <w:pPr>
      <w:widowControl/>
      <w:pBdr>
        <w:top w:val="single" w:color="auto" w:sz="4" w:space="0"/>
        <w:bottom w:val="single" w:color="auto" w:sz="4" w:space="0"/>
        <w:right w:val="single" w:color="auto" w:sz="4" w:space="0"/>
      </w:pBdr>
      <w:shd w:val="clear" w:color="auto" w:fill="FFFF00"/>
      <w:spacing w:before="100" w:beforeLines="0" w:beforeAutospacing="1" w:after="100" w:afterLines="0" w:afterAutospacing="1"/>
      <w:jc w:val="left"/>
      <w:textAlignment w:val="center"/>
    </w:pPr>
    <w:rPr>
      <w:kern w:val="0"/>
      <w:sz w:val="22"/>
      <w:szCs w:val="22"/>
    </w:rPr>
  </w:style>
  <w:style w:type="paragraph" w:customStyle="1" w:styleId="362">
    <w:name w:val="xl319"/>
    <w:basedOn w:val="1"/>
    <w:autoRedefine/>
    <w:qFormat/>
    <w:uiPriority w:val="0"/>
    <w:pPr>
      <w:widowControl/>
      <w:pBdr>
        <w:top w:val="single" w:color="auto" w:sz="4" w:space="0"/>
        <w:bottom w:val="single" w:color="auto" w:sz="8" w:space="0"/>
        <w:right w:val="single" w:color="auto" w:sz="4" w:space="0"/>
      </w:pBdr>
      <w:shd w:val="clear" w:color="auto" w:fill="FFFF00"/>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63">
    <w:name w:val="xl335"/>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364">
    <w:name w:val="font6"/>
    <w:basedOn w:val="1"/>
    <w:autoRedefine/>
    <w:qFormat/>
    <w:uiPriority w:val="0"/>
    <w:pPr>
      <w:widowControl/>
      <w:spacing w:before="100" w:beforeLines="0" w:beforeAutospacing="1" w:after="100" w:afterLines="0" w:afterAutospacing="1"/>
      <w:jc w:val="left"/>
    </w:pPr>
    <w:rPr>
      <w:rFonts w:hint="eastAsia" w:ascii="宋体" w:hAnsi="宋体"/>
      <w:b/>
      <w:bCs/>
      <w:color w:val="000000"/>
      <w:kern w:val="0"/>
      <w:sz w:val="18"/>
      <w:szCs w:val="18"/>
    </w:rPr>
  </w:style>
  <w:style w:type="paragraph" w:customStyle="1" w:styleId="365">
    <w:name w:val="xl6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366">
    <w:name w:val="font12"/>
    <w:basedOn w:val="1"/>
    <w:autoRedefine/>
    <w:qFormat/>
    <w:uiPriority w:val="0"/>
    <w:pPr>
      <w:widowControl/>
      <w:spacing w:before="100" w:beforeLines="0" w:beforeAutospacing="1" w:after="100" w:afterLines="0" w:afterAutospacing="1"/>
      <w:jc w:val="left"/>
    </w:pPr>
    <w:rPr>
      <w:color w:val="000000"/>
      <w:kern w:val="0"/>
      <w:sz w:val="22"/>
      <w:szCs w:val="22"/>
    </w:rPr>
  </w:style>
  <w:style w:type="paragraph" w:customStyle="1" w:styleId="367">
    <w:name w:val="xl2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68">
    <w:name w:val="xl131"/>
    <w:basedOn w:val="1"/>
    <w:autoRedefine/>
    <w:qFormat/>
    <w:uiPriority w:val="0"/>
    <w:pPr>
      <w:widowControl/>
      <w:pBdr>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69">
    <w:name w:val="xl261"/>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rFonts w:ascii="宋体" w:hAnsi="宋体" w:cs="宋体"/>
      <w:color w:val="FF0000"/>
      <w:kern w:val="0"/>
      <w:sz w:val="22"/>
      <w:szCs w:val="22"/>
    </w:rPr>
  </w:style>
  <w:style w:type="paragraph" w:customStyle="1" w:styleId="370">
    <w:name w:val="默认段落字体 Para Char"/>
    <w:basedOn w:val="1"/>
    <w:autoRedefine/>
    <w:qFormat/>
    <w:uiPriority w:val="0"/>
    <w:pPr>
      <w:spacing w:line="360" w:lineRule="auto"/>
      <w:ind w:firstLine="200" w:firstLineChars="200"/>
    </w:pPr>
    <w:rPr>
      <w:rFonts w:ascii="宋体" w:hAnsi="宋体" w:cs="宋体"/>
      <w:sz w:val="24"/>
    </w:rPr>
  </w:style>
  <w:style w:type="paragraph" w:customStyle="1" w:styleId="371">
    <w:name w:val="xl250"/>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372">
    <w:name w:val="xl402"/>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kern w:val="0"/>
      <w:sz w:val="22"/>
      <w:szCs w:val="22"/>
    </w:rPr>
  </w:style>
  <w:style w:type="paragraph" w:customStyle="1" w:styleId="373">
    <w:name w:val="xl416"/>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74">
    <w:name w:val="xl21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75">
    <w:name w:val="xl230"/>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376">
    <w:name w:val="xl34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4"/>
    </w:rPr>
  </w:style>
  <w:style w:type="paragraph" w:customStyle="1" w:styleId="377">
    <w:name w:val="xl360"/>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378">
    <w:name w:val="xl37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379">
    <w:name w:val="xl392"/>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kern w:val="0"/>
      <w:sz w:val="22"/>
      <w:szCs w:val="22"/>
    </w:rPr>
  </w:style>
  <w:style w:type="paragraph" w:customStyle="1" w:styleId="380">
    <w:name w:val="xl4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81">
    <w:name w:val="xl12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22"/>
      <w:szCs w:val="22"/>
    </w:rPr>
  </w:style>
  <w:style w:type="paragraph" w:customStyle="1" w:styleId="382">
    <w:name w:val="xl78"/>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FF0000"/>
      <w:kern w:val="0"/>
      <w:sz w:val="22"/>
      <w:szCs w:val="22"/>
    </w:rPr>
  </w:style>
  <w:style w:type="paragraph" w:customStyle="1" w:styleId="383">
    <w:name w:val="xl9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384">
    <w:name w:val="xl110"/>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385">
    <w:name w:val="font23"/>
    <w:basedOn w:val="1"/>
    <w:autoRedefine/>
    <w:qFormat/>
    <w:uiPriority w:val="0"/>
    <w:pPr>
      <w:widowControl/>
      <w:spacing w:before="100" w:beforeLines="0" w:beforeAutospacing="1" w:after="100" w:afterLines="0" w:afterAutospacing="1"/>
      <w:jc w:val="left"/>
    </w:pPr>
    <w:rPr>
      <w:rFonts w:ascii="宋体" w:hAnsi="宋体" w:cs="宋体"/>
      <w:color w:val="FF0000"/>
      <w:kern w:val="0"/>
      <w:sz w:val="22"/>
      <w:szCs w:val="22"/>
    </w:rPr>
  </w:style>
  <w:style w:type="paragraph" w:customStyle="1" w:styleId="386">
    <w:name w:val="xl122"/>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387">
    <w:name w:val="xl156"/>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88">
    <w:name w:val="xl172"/>
    <w:basedOn w:val="1"/>
    <w:autoRedefine/>
    <w:qFormat/>
    <w:uiPriority w:val="0"/>
    <w:pPr>
      <w:widowControl/>
      <w:pBdr>
        <w:top w:val="single" w:color="auto" w:sz="8"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89">
    <w:name w:val="xl18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pPr>
    <w:rPr>
      <w:color w:val="FF0000"/>
      <w:kern w:val="0"/>
      <w:sz w:val="22"/>
      <w:szCs w:val="22"/>
    </w:rPr>
  </w:style>
  <w:style w:type="paragraph" w:customStyle="1" w:styleId="390">
    <w:name w:val="xl204"/>
    <w:basedOn w:val="1"/>
    <w:autoRedefine/>
    <w:qFormat/>
    <w:uiPriority w:val="0"/>
    <w:pPr>
      <w:widowControl/>
      <w:pBdr>
        <w:top w:val="single" w:color="auto" w:sz="4" w:space="0"/>
        <w:lef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391">
    <w:name w:val="xl28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392">
    <w:name w:val="xl302"/>
    <w:basedOn w:val="1"/>
    <w:autoRedefine/>
    <w:qFormat/>
    <w:uiPriority w:val="0"/>
    <w:pPr>
      <w:widowControl/>
      <w:pBdr>
        <w:top w:val="single" w:color="auto" w:sz="4" w:space="0"/>
        <w:bottom w:val="single" w:color="auto" w:sz="4" w:space="0"/>
      </w:pBdr>
      <w:shd w:val="clear" w:color="auto" w:fill="FFFF00"/>
      <w:spacing w:before="100" w:beforeLines="0" w:beforeAutospacing="1" w:after="100" w:afterLines="0" w:afterAutospacing="1"/>
      <w:jc w:val="left"/>
      <w:textAlignment w:val="center"/>
    </w:pPr>
    <w:rPr>
      <w:kern w:val="0"/>
      <w:sz w:val="22"/>
      <w:szCs w:val="22"/>
    </w:rPr>
  </w:style>
  <w:style w:type="paragraph" w:customStyle="1" w:styleId="393">
    <w:name w:val="xl318"/>
    <w:basedOn w:val="1"/>
    <w:autoRedefine/>
    <w:qFormat/>
    <w:uiPriority w:val="0"/>
    <w:pPr>
      <w:widowControl/>
      <w:pBdr>
        <w:top w:val="single" w:color="auto" w:sz="4" w:space="0"/>
        <w:bottom w:val="single" w:color="auto" w:sz="8" w:space="0"/>
      </w:pBdr>
      <w:shd w:val="clear" w:color="auto" w:fill="FFFF00"/>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394">
    <w:name w:val="xl33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395">
    <w:name w:val="xl64"/>
    <w:basedOn w:val="1"/>
    <w:autoRedefine/>
    <w:qFormat/>
    <w:uiPriority w:val="0"/>
    <w:pPr>
      <w:widowControl/>
      <w:pBdr>
        <w:bottom w:val="single" w:color="auto" w:sz="4" w:space="0"/>
      </w:pBdr>
      <w:spacing w:before="100" w:beforeLines="0" w:beforeAutospacing="1" w:after="100" w:afterLines="0" w:afterAutospacing="1"/>
      <w:jc w:val="center"/>
    </w:pPr>
    <w:rPr>
      <w:rFonts w:ascii="宋体" w:hAnsi="宋体"/>
      <w:kern w:val="0"/>
      <w:sz w:val="24"/>
    </w:rPr>
  </w:style>
  <w:style w:type="paragraph" w:customStyle="1" w:styleId="396">
    <w:name w:val="xl66"/>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397">
    <w:name w:val="font11"/>
    <w:basedOn w:val="1"/>
    <w:autoRedefine/>
    <w:qFormat/>
    <w:uiPriority w:val="0"/>
    <w:pPr>
      <w:widowControl/>
      <w:spacing w:before="100" w:beforeLines="0" w:beforeAutospacing="1" w:after="100" w:afterLines="0" w:afterAutospacing="1"/>
      <w:jc w:val="left"/>
    </w:pPr>
    <w:rPr>
      <w:rFonts w:ascii="宋体" w:hAnsi="宋体" w:cs="宋体"/>
      <w:kern w:val="0"/>
      <w:sz w:val="22"/>
      <w:szCs w:val="22"/>
    </w:rPr>
  </w:style>
  <w:style w:type="paragraph" w:customStyle="1" w:styleId="398">
    <w:name w:val="xl2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399">
    <w:name w:val="xl39"/>
    <w:basedOn w:val="1"/>
    <w:autoRedefine/>
    <w:qFormat/>
    <w:uiPriority w:val="0"/>
    <w:pPr>
      <w:widowControl/>
      <w:pBdr>
        <w:top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400">
    <w:name w:val="xl130"/>
    <w:basedOn w:val="1"/>
    <w:autoRedefine/>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01">
    <w:name w:val="xl14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402">
    <w:name w:val="xl260"/>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color w:val="FF0000"/>
      <w:kern w:val="0"/>
      <w:sz w:val="22"/>
      <w:szCs w:val="22"/>
    </w:rPr>
  </w:style>
  <w:style w:type="paragraph" w:customStyle="1" w:styleId="403">
    <w:name w:val="xl249"/>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404">
    <w:name w:val="xl401"/>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405">
    <w:name w:val="xl41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406">
    <w:name w:val=" Char Char Char Char1 Char Char Char3 Char Char Char"/>
    <w:basedOn w:val="1"/>
    <w:autoRedefine/>
    <w:qFormat/>
    <w:uiPriority w:val="0"/>
    <w:pPr>
      <w:widowControl/>
      <w:spacing w:after="160" w:afterLines="0" w:line="240" w:lineRule="exact"/>
      <w:jc w:val="left"/>
    </w:pPr>
  </w:style>
  <w:style w:type="paragraph" w:customStyle="1" w:styleId="407">
    <w:name w:val="样式2"/>
    <w:basedOn w:val="1"/>
    <w:autoRedefine/>
    <w:qFormat/>
    <w:uiPriority w:val="0"/>
    <w:pPr>
      <w:spacing w:before="120" w:beforeLines="0" w:after="120" w:afterLines="0" w:line="500" w:lineRule="exact"/>
      <w:ind w:firstLine="567"/>
    </w:pPr>
    <w:rPr>
      <w:rFonts w:ascii="黑体" w:eastAsia="黑体"/>
      <w:b/>
      <w:sz w:val="30"/>
      <w:szCs w:val="20"/>
    </w:rPr>
  </w:style>
  <w:style w:type="paragraph" w:customStyle="1" w:styleId="408">
    <w:name w:val="xl21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409">
    <w:name w:val="xl229"/>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kern w:val="0"/>
      <w:sz w:val="22"/>
      <w:szCs w:val="22"/>
    </w:rPr>
  </w:style>
  <w:style w:type="paragraph" w:customStyle="1" w:styleId="410">
    <w:name w:val="xl343"/>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4"/>
    </w:rPr>
  </w:style>
  <w:style w:type="paragraph" w:customStyle="1" w:styleId="411">
    <w:name w:val="xl35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412">
    <w:name w:val="xl375"/>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413">
    <w:name w:val="xl391"/>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14">
    <w:name w:val=" Char Char Char1"/>
    <w:basedOn w:val="1"/>
    <w:autoRedefine/>
    <w:qFormat/>
    <w:uiPriority w:val="0"/>
    <w:pPr>
      <w:widowControl/>
      <w:spacing w:after="160" w:afterLines="0" w:line="240" w:lineRule="exact"/>
      <w:jc w:val="left"/>
    </w:pPr>
  </w:style>
  <w:style w:type="paragraph" w:customStyle="1" w:styleId="415">
    <w:name w:val=" Char Char2 Char Char Char Char"/>
    <w:basedOn w:val="1"/>
    <w:autoRedefine/>
    <w:qFormat/>
    <w:uiPriority w:val="0"/>
    <w:pPr>
      <w:widowControl/>
      <w:spacing w:after="160" w:afterLines="0" w:line="240" w:lineRule="exact"/>
      <w:jc w:val="left"/>
    </w:pPr>
    <w:rPr>
      <w:rFonts w:ascii="Verdana" w:hAnsi="Verdana"/>
      <w:kern w:val="0"/>
      <w:sz w:val="20"/>
      <w:szCs w:val="20"/>
      <w:lang w:eastAsia="en-US"/>
    </w:rPr>
  </w:style>
  <w:style w:type="paragraph" w:customStyle="1" w:styleId="416">
    <w:name w:val="xl48"/>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17">
    <w:name w:val="xl124"/>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pPr>
    <w:rPr>
      <w:rFonts w:ascii="宋体" w:hAnsi="宋体" w:cs="宋体"/>
      <w:kern w:val="0"/>
      <w:sz w:val="22"/>
      <w:szCs w:val="22"/>
    </w:rPr>
  </w:style>
  <w:style w:type="paragraph" w:customStyle="1" w:styleId="418">
    <w:name w:val="xl7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FF0000"/>
      <w:kern w:val="0"/>
      <w:sz w:val="22"/>
      <w:szCs w:val="22"/>
    </w:rPr>
  </w:style>
  <w:style w:type="paragraph" w:customStyle="1" w:styleId="419">
    <w:name w:val="xl9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20">
    <w:name w:val="xl10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421">
    <w:name w:val="font22"/>
    <w:basedOn w:val="1"/>
    <w:autoRedefine/>
    <w:qFormat/>
    <w:uiPriority w:val="0"/>
    <w:pPr>
      <w:widowControl/>
      <w:spacing w:before="100" w:beforeLines="0" w:beforeAutospacing="1" w:after="100" w:afterLines="0" w:afterAutospacing="1"/>
      <w:jc w:val="left"/>
    </w:pPr>
    <w:rPr>
      <w:rFonts w:ascii="宋体" w:hAnsi="宋体" w:cs="宋体"/>
      <w:color w:val="993366"/>
      <w:kern w:val="0"/>
      <w:sz w:val="22"/>
      <w:szCs w:val="22"/>
    </w:rPr>
  </w:style>
  <w:style w:type="paragraph" w:customStyle="1" w:styleId="422">
    <w:name w:val="xl12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FF0000"/>
      <w:kern w:val="0"/>
      <w:sz w:val="22"/>
      <w:szCs w:val="22"/>
    </w:rPr>
  </w:style>
  <w:style w:type="paragraph" w:customStyle="1" w:styleId="423">
    <w:name w:val="xl155"/>
    <w:basedOn w:val="1"/>
    <w:autoRedefine/>
    <w:qFormat/>
    <w:uiPriority w:val="0"/>
    <w:pPr>
      <w:widowControl/>
      <w:pBdr>
        <w:top w:val="single" w:color="auto" w:sz="8"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24">
    <w:name w:val="xl171"/>
    <w:basedOn w:val="1"/>
    <w:autoRedefine/>
    <w:qFormat/>
    <w:uiPriority w:val="0"/>
    <w:pPr>
      <w:widowControl/>
      <w:pBdr>
        <w:top w:val="single" w:color="auto" w:sz="8"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25">
    <w:name w:val="xl18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pPr>
    <w:rPr>
      <w:rFonts w:ascii="宋体" w:hAnsi="宋体" w:cs="宋体"/>
      <w:color w:val="FF0000"/>
      <w:kern w:val="0"/>
      <w:sz w:val="22"/>
      <w:szCs w:val="22"/>
    </w:rPr>
  </w:style>
  <w:style w:type="paragraph" w:customStyle="1" w:styleId="426">
    <w:name w:val="xl203"/>
    <w:basedOn w:val="1"/>
    <w:autoRedefine/>
    <w:qFormat/>
    <w:uiPriority w:val="0"/>
    <w:pPr>
      <w:widowControl/>
      <w:pBdr>
        <w:top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27">
    <w:name w:val="xl2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28">
    <w:name w:val="xl301"/>
    <w:basedOn w:val="1"/>
    <w:autoRedefine/>
    <w:qFormat/>
    <w:uiPriority w:val="0"/>
    <w:pPr>
      <w:widowControl/>
      <w:pBdr>
        <w:top w:val="single" w:color="auto" w:sz="4" w:space="0"/>
        <w:left w:val="single" w:color="auto" w:sz="4" w:space="0"/>
        <w:bottom w:val="single" w:color="auto" w:sz="4" w:space="0"/>
      </w:pBdr>
      <w:shd w:val="clear" w:color="auto" w:fill="FFFF00"/>
      <w:spacing w:before="100" w:beforeLines="0" w:beforeAutospacing="1" w:after="100" w:afterLines="0" w:afterAutospacing="1"/>
      <w:jc w:val="left"/>
      <w:textAlignment w:val="center"/>
    </w:pPr>
    <w:rPr>
      <w:kern w:val="0"/>
      <w:sz w:val="22"/>
      <w:szCs w:val="22"/>
    </w:rPr>
  </w:style>
  <w:style w:type="paragraph" w:customStyle="1" w:styleId="429">
    <w:name w:val="xl317"/>
    <w:basedOn w:val="1"/>
    <w:autoRedefine/>
    <w:qFormat/>
    <w:uiPriority w:val="0"/>
    <w:pPr>
      <w:widowControl/>
      <w:pBdr>
        <w:top w:val="single" w:color="auto" w:sz="4" w:space="0"/>
        <w:left w:val="single" w:color="auto" w:sz="4" w:space="0"/>
        <w:bottom w:val="single" w:color="auto" w:sz="8" w:space="0"/>
      </w:pBdr>
      <w:shd w:val="clear" w:color="auto" w:fill="FFFF00"/>
      <w:spacing w:before="100" w:beforeLines="0" w:beforeAutospacing="1" w:after="100" w:afterLines="0" w:afterAutospacing="1"/>
      <w:jc w:val="left"/>
      <w:textAlignment w:val="center"/>
    </w:pPr>
    <w:rPr>
      <w:kern w:val="0"/>
      <w:sz w:val="22"/>
      <w:szCs w:val="22"/>
    </w:rPr>
  </w:style>
  <w:style w:type="paragraph" w:customStyle="1" w:styleId="430">
    <w:name w:val="xl33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4"/>
    </w:rPr>
  </w:style>
  <w:style w:type="paragraph" w:customStyle="1" w:styleId="431">
    <w:name w:val=" Char Char Char Char"/>
    <w:basedOn w:val="1"/>
    <w:autoRedefine/>
    <w:qFormat/>
    <w:uiPriority w:val="0"/>
    <w:rPr>
      <w:szCs w:val="20"/>
    </w:rPr>
  </w:style>
  <w:style w:type="paragraph" w:customStyle="1" w:styleId="432">
    <w:name w:val="xl24"/>
    <w:basedOn w:val="1"/>
    <w:autoRedefine/>
    <w:qFormat/>
    <w:uiPriority w:val="0"/>
    <w:pPr>
      <w:widowControl/>
      <w:pBdr>
        <w:bottom w:val="single" w:color="auto" w:sz="4" w:space="0"/>
        <w:right w:val="single" w:color="auto" w:sz="4" w:space="0"/>
      </w:pBdr>
      <w:spacing w:before="100" w:beforeLines="0" w:beforeAutospacing="1" w:after="100" w:afterLines="0" w:afterAutospacing="1"/>
      <w:jc w:val="center"/>
    </w:pPr>
    <w:rPr>
      <w:rFonts w:hint="eastAsia" w:ascii="华文楷体" w:hAnsi="宋体" w:eastAsia="华文楷体"/>
      <w:kern w:val="0"/>
      <w:szCs w:val="21"/>
    </w:rPr>
  </w:style>
  <w:style w:type="paragraph" w:customStyle="1" w:styleId="433">
    <w:name w:val="xl6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434">
    <w:name w:val="font10"/>
    <w:basedOn w:val="1"/>
    <w:autoRedefine/>
    <w:qFormat/>
    <w:uiPriority w:val="0"/>
    <w:pPr>
      <w:widowControl/>
      <w:spacing w:before="100" w:beforeLines="0" w:beforeAutospacing="1" w:after="100" w:afterLines="0" w:afterAutospacing="1"/>
      <w:jc w:val="left"/>
    </w:pPr>
    <w:rPr>
      <w:rFonts w:ascii="宋体" w:hAnsi="宋体" w:cs="宋体"/>
      <w:kern w:val="0"/>
      <w:sz w:val="16"/>
      <w:szCs w:val="16"/>
    </w:rPr>
  </w:style>
  <w:style w:type="paragraph" w:customStyle="1" w:styleId="435">
    <w:name w:val="xl3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436">
    <w:name w:val="xl145"/>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437">
    <w:name w:val="xl259"/>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color w:val="FF0000"/>
      <w:kern w:val="0"/>
      <w:sz w:val="22"/>
      <w:szCs w:val="22"/>
    </w:rPr>
  </w:style>
  <w:style w:type="paragraph" w:customStyle="1" w:styleId="438">
    <w:name w:val="xl248"/>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left"/>
      <w:textAlignment w:val="center"/>
    </w:pPr>
    <w:rPr>
      <w:rFonts w:ascii="宋体" w:hAnsi="宋体" w:cs="宋体"/>
      <w:color w:val="FF0000"/>
      <w:kern w:val="0"/>
      <w:sz w:val="22"/>
      <w:szCs w:val="22"/>
    </w:rPr>
  </w:style>
  <w:style w:type="paragraph" w:customStyle="1" w:styleId="439">
    <w:name w:val="xl400"/>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440">
    <w:name w:val="xl414"/>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441">
    <w:name w:val="xl212"/>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442">
    <w:name w:val="xl228"/>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43">
    <w:name w:val="xl34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444">
    <w:name w:val="xl35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445">
    <w:name w:val="xl37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446">
    <w:name w:val="xl390"/>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47">
    <w:name w:val="xl4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448">
    <w:name w:val="xl63"/>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449">
    <w:name w:val="xl7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50">
    <w:name w:val="xl92"/>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5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color w:val="000000"/>
      <w:kern w:val="0"/>
      <w:sz w:val="22"/>
      <w:szCs w:val="22"/>
    </w:rPr>
  </w:style>
  <w:style w:type="paragraph" w:customStyle="1" w:styleId="452">
    <w:name w:val="font21"/>
    <w:basedOn w:val="1"/>
    <w:autoRedefine/>
    <w:qFormat/>
    <w:uiPriority w:val="0"/>
    <w:pPr>
      <w:widowControl/>
      <w:spacing w:before="100" w:beforeLines="0" w:beforeAutospacing="1" w:after="100" w:afterLines="0" w:afterAutospacing="1"/>
      <w:jc w:val="left"/>
    </w:pPr>
    <w:rPr>
      <w:color w:val="993366"/>
      <w:kern w:val="0"/>
      <w:sz w:val="22"/>
      <w:szCs w:val="22"/>
    </w:rPr>
  </w:style>
  <w:style w:type="paragraph" w:customStyle="1" w:styleId="453">
    <w:name w:val="font37"/>
    <w:basedOn w:val="1"/>
    <w:autoRedefine/>
    <w:qFormat/>
    <w:uiPriority w:val="0"/>
    <w:pPr>
      <w:widowControl/>
      <w:spacing w:before="100" w:beforeLines="0" w:beforeAutospacing="1" w:after="100" w:afterLines="0" w:afterAutospacing="1"/>
      <w:jc w:val="left"/>
    </w:pPr>
    <w:rPr>
      <w:rFonts w:ascii="宋体" w:hAnsi="宋体" w:cs="宋体"/>
      <w:b/>
      <w:bCs/>
      <w:kern w:val="0"/>
      <w:sz w:val="22"/>
      <w:szCs w:val="22"/>
    </w:rPr>
  </w:style>
  <w:style w:type="paragraph" w:customStyle="1" w:styleId="454">
    <w:name w:val="xl120"/>
    <w:basedOn w:val="1"/>
    <w:autoRedefine/>
    <w:qFormat/>
    <w:uiPriority w:val="0"/>
    <w:pPr>
      <w:widowControl/>
      <w:pBdr>
        <w:top w:val="single" w:color="auto" w:sz="4" w:space="0"/>
        <w:bottom w:val="single" w:color="auto" w:sz="4" w:space="0"/>
        <w:right w:val="single" w:color="auto" w:sz="4" w:space="0"/>
      </w:pBdr>
      <w:shd w:val="clear" w:color="auto" w:fill="E3E3E3"/>
      <w:spacing w:before="100" w:beforeLines="0" w:beforeAutospacing="1" w:after="100" w:afterLines="0" w:afterAutospacing="1"/>
      <w:jc w:val="center"/>
      <w:textAlignment w:val="center"/>
    </w:pPr>
    <w:rPr>
      <w:kern w:val="0"/>
      <w:sz w:val="22"/>
      <w:szCs w:val="22"/>
    </w:rPr>
  </w:style>
  <w:style w:type="paragraph" w:customStyle="1" w:styleId="455">
    <w:name w:val="xl154"/>
    <w:basedOn w:val="1"/>
    <w:autoRedefine/>
    <w:qFormat/>
    <w:uiPriority w:val="0"/>
    <w:pPr>
      <w:widowControl/>
      <w:pBdr>
        <w:top w:val="single" w:color="auto" w:sz="8" w:space="0"/>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56">
    <w:name w:val="xl170"/>
    <w:basedOn w:val="1"/>
    <w:autoRedefine/>
    <w:qFormat/>
    <w:uiPriority w:val="0"/>
    <w:pPr>
      <w:widowControl/>
      <w:pBdr>
        <w:top w:val="single" w:color="auto" w:sz="8" w:space="0"/>
        <w:bottom w:val="single" w:color="auto" w:sz="4" w:space="0"/>
        <w:right w:val="single" w:color="auto" w:sz="4" w:space="0"/>
      </w:pBdr>
      <w:shd w:val="clear" w:color="auto" w:fill="E3E3E3"/>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57">
    <w:name w:val="xl186"/>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4"/>
    </w:rPr>
  </w:style>
  <w:style w:type="paragraph" w:customStyle="1" w:styleId="458">
    <w:name w:val="xl202"/>
    <w:basedOn w:val="1"/>
    <w:autoRedefine/>
    <w:qFormat/>
    <w:uiPriority w:val="0"/>
    <w:pPr>
      <w:widowControl/>
      <w:pBdr>
        <w:top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59">
    <w:name w:val="xl2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60">
    <w:name w:val="xl300"/>
    <w:basedOn w:val="1"/>
    <w:autoRedefine/>
    <w:qFormat/>
    <w:uiPriority w:val="0"/>
    <w:pPr>
      <w:widowControl/>
      <w:pBdr>
        <w:top w:val="single" w:color="auto" w:sz="4" w:space="0"/>
        <w:bottom w:val="single" w:color="auto" w:sz="4" w:space="0"/>
        <w:right w:val="single" w:color="auto" w:sz="4" w:space="0"/>
      </w:pBdr>
      <w:shd w:val="clear" w:color="auto" w:fill="FFFF00"/>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61">
    <w:name w:val="xl316"/>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462">
    <w:name w:val="xl332"/>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center"/>
      <w:textAlignment w:val="center"/>
    </w:pPr>
    <w:rPr>
      <w:kern w:val="0"/>
      <w:sz w:val="24"/>
    </w:rPr>
  </w:style>
  <w:style w:type="paragraph" w:customStyle="1" w:styleId="463">
    <w:name w:val="font9"/>
    <w:basedOn w:val="1"/>
    <w:autoRedefine/>
    <w:qFormat/>
    <w:uiPriority w:val="0"/>
    <w:pPr>
      <w:widowControl/>
      <w:spacing w:before="100" w:beforeLines="0" w:beforeAutospacing="1" w:after="100" w:afterLines="0" w:afterAutospacing="1"/>
      <w:jc w:val="left"/>
    </w:pPr>
    <w:rPr>
      <w:kern w:val="0"/>
      <w:sz w:val="22"/>
      <w:szCs w:val="22"/>
    </w:rPr>
  </w:style>
  <w:style w:type="paragraph" w:customStyle="1" w:styleId="464">
    <w:name w:val="xl32"/>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465">
    <w:name w:val="xl37"/>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66">
    <w:name w:val="xl14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67">
    <w:name w:val="Default"/>
    <w:autoRedefine/>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paragraph" w:customStyle="1" w:styleId="468">
    <w:name w:val="xl258"/>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469">
    <w:name w:val="报告书表格"/>
    <w:basedOn w:val="1"/>
    <w:autoRedefine/>
    <w:qFormat/>
    <w:uiPriority w:val="0"/>
    <w:pPr>
      <w:adjustRightInd w:val="0"/>
      <w:spacing w:before="60" w:beforeLines="0" w:after="60" w:afterLines="0" w:line="240" w:lineRule="atLeast"/>
      <w:jc w:val="center"/>
      <w:textAlignment w:val="baseline"/>
    </w:pPr>
    <w:rPr>
      <w:rFonts w:ascii="Arial" w:hAnsi="Arial" w:cs="Arial"/>
      <w:kern w:val="0"/>
      <w:sz w:val="24"/>
    </w:rPr>
  </w:style>
  <w:style w:type="paragraph" w:customStyle="1" w:styleId="470">
    <w:name w:val="xl247"/>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471">
    <w:name w:val="xl399"/>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0"/>
      <w:szCs w:val="20"/>
    </w:rPr>
  </w:style>
  <w:style w:type="paragraph" w:customStyle="1" w:styleId="472">
    <w:name w:val="xl413"/>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pPr>
    <w:rPr>
      <w:rFonts w:ascii="宋体" w:hAnsi="宋体" w:cs="宋体"/>
      <w:kern w:val="0"/>
      <w:sz w:val="20"/>
      <w:szCs w:val="20"/>
    </w:rPr>
  </w:style>
  <w:style w:type="paragraph" w:customStyle="1" w:styleId="473">
    <w:name w:val="样式 列表 + 居中"/>
    <w:basedOn w:val="33"/>
    <w:autoRedefine/>
    <w:qFormat/>
    <w:uiPriority w:val="0"/>
    <w:pPr>
      <w:spacing w:line="300" w:lineRule="exact"/>
    </w:pPr>
    <w:rPr>
      <w:rFonts w:cs="宋体"/>
    </w:rPr>
  </w:style>
  <w:style w:type="paragraph" w:customStyle="1" w:styleId="474">
    <w:name w:val="xl21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pPr>
    <w:rPr>
      <w:rFonts w:ascii="宋体" w:hAnsi="宋体" w:cs="宋体"/>
      <w:kern w:val="0"/>
      <w:sz w:val="22"/>
      <w:szCs w:val="22"/>
    </w:rPr>
  </w:style>
  <w:style w:type="paragraph" w:customStyle="1" w:styleId="475">
    <w:name w:val="xl227"/>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kern w:val="0"/>
      <w:sz w:val="24"/>
    </w:rPr>
  </w:style>
  <w:style w:type="paragraph" w:customStyle="1" w:styleId="476">
    <w:name w:val="xl341"/>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4"/>
    </w:rPr>
  </w:style>
  <w:style w:type="paragraph" w:customStyle="1" w:styleId="477">
    <w:name w:val="xl35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478">
    <w:name w:val="xl37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479">
    <w:name w:val="xl389"/>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480">
    <w:name w:val="xl46"/>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481">
    <w:name w:val="xl6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color w:val="000000"/>
      <w:kern w:val="0"/>
      <w:sz w:val="22"/>
      <w:szCs w:val="22"/>
    </w:rPr>
  </w:style>
  <w:style w:type="paragraph" w:customStyle="1" w:styleId="482">
    <w:name w:val="xl75"/>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83">
    <w:name w:val="xl9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84">
    <w:name w:val="xl107"/>
    <w:basedOn w:val="1"/>
    <w:autoRedefine/>
    <w:qFormat/>
    <w:uiPriority w:val="0"/>
    <w:pPr>
      <w:widowControl/>
      <w:pBdr>
        <w:top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485">
    <w:name w:val="font20"/>
    <w:basedOn w:val="1"/>
    <w:autoRedefine/>
    <w:qFormat/>
    <w:uiPriority w:val="0"/>
    <w:pPr>
      <w:widowControl/>
      <w:spacing w:before="100" w:beforeLines="0" w:beforeAutospacing="1" w:after="100" w:afterLines="0" w:afterAutospacing="1"/>
      <w:jc w:val="left"/>
    </w:pPr>
    <w:rPr>
      <w:color w:val="993366"/>
      <w:kern w:val="0"/>
      <w:sz w:val="22"/>
      <w:szCs w:val="22"/>
    </w:rPr>
  </w:style>
  <w:style w:type="paragraph" w:customStyle="1" w:styleId="486">
    <w:name w:val="font36"/>
    <w:basedOn w:val="1"/>
    <w:autoRedefine/>
    <w:qFormat/>
    <w:uiPriority w:val="0"/>
    <w:pPr>
      <w:widowControl/>
      <w:spacing w:before="100" w:beforeLines="0" w:beforeAutospacing="1" w:after="100" w:afterLines="0" w:afterAutospacing="1"/>
      <w:jc w:val="left"/>
    </w:pPr>
    <w:rPr>
      <w:b/>
      <w:bCs/>
      <w:kern w:val="0"/>
      <w:sz w:val="22"/>
      <w:szCs w:val="22"/>
    </w:rPr>
  </w:style>
  <w:style w:type="paragraph" w:customStyle="1" w:styleId="487">
    <w:name w:val="xl15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488">
    <w:name w:val="xl169"/>
    <w:basedOn w:val="1"/>
    <w:autoRedefine/>
    <w:qFormat/>
    <w:uiPriority w:val="0"/>
    <w:pPr>
      <w:widowControl/>
      <w:pBdr>
        <w:top w:val="single" w:color="auto" w:sz="8" w:space="0"/>
        <w:left w:val="single" w:color="auto" w:sz="8" w:space="0"/>
        <w:bottom w:val="single" w:color="auto" w:sz="4" w:space="0"/>
      </w:pBdr>
      <w:shd w:val="clear" w:color="auto" w:fill="E3E3E3"/>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89">
    <w:name w:val="xl185"/>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4"/>
    </w:rPr>
  </w:style>
  <w:style w:type="paragraph" w:customStyle="1" w:styleId="490">
    <w:name w:val="xl201"/>
    <w:basedOn w:val="1"/>
    <w:autoRedefine/>
    <w:qFormat/>
    <w:uiPriority w:val="0"/>
    <w:pPr>
      <w:widowControl/>
      <w:pBdr>
        <w:top w:val="single" w:color="auto" w:sz="4" w:space="0"/>
        <w:lef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91">
    <w:name w:val="xl2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92">
    <w:name w:val="xl299"/>
    <w:basedOn w:val="1"/>
    <w:autoRedefine/>
    <w:qFormat/>
    <w:uiPriority w:val="0"/>
    <w:pPr>
      <w:widowControl/>
      <w:pBdr>
        <w:top w:val="single" w:color="auto" w:sz="4" w:space="0"/>
        <w:bottom w:val="single" w:color="auto" w:sz="4" w:space="0"/>
      </w:pBdr>
      <w:shd w:val="clear" w:color="auto" w:fill="FFFF00"/>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493">
    <w:name w:val="xl315"/>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pPr>
    <w:rPr>
      <w:kern w:val="0"/>
      <w:sz w:val="22"/>
      <w:szCs w:val="22"/>
    </w:rPr>
  </w:style>
  <w:style w:type="paragraph" w:customStyle="1" w:styleId="494">
    <w:name w:val="xl33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95">
    <w:name w:val="font8"/>
    <w:basedOn w:val="1"/>
    <w:autoRedefine/>
    <w:qFormat/>
    <w:uiPriority w:val="0"/>
    <w:pPr>
      <w:widowControl/>
      <w:spacing w:before="100" w:beforeLines="0" w:beforeAutospacing="1" w:after="100" w:afterLines="0" w:afterAutospacing="1"/>
      <w:jc w:val="left"/>
    </w:pPr>
    <w:rPr>
      <w:kern w:val="0"/>
      <w:sz w:val="22"/>
      <w:szCs w:val="22"/>
    </w:rPr>
  </w:style>
  <w:style w:type="paragraph" w:customStyle="1" w:styleId="496">
    <w:name w:val="xl31"/>
    <w:basedOn w:val="1"/>
    <w:autoRedefine/>
    <w:qFormat/>
    <w:uiPriority w:val="0"/>
    <w:pPr>
      <w:widowControl/>
      <w:pBdr>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497">
    <w:name w:val="xl36"/>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498">
    <w:name w:val="xl143"/>
    <w:basedOn w:val="1"/>
    <w:autoRedefine/>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499">
    <w:name w:val="xl257"/>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500">
    <w:name w:val="正文 + 宋体"/>
    <w:basedOn w:val="1"/>
    <w:autoRedefine/>
    <w:qFormat/>
    <w:uiPriority w:val="0"/>
    <w:pPr>
      <w:spacing w:line="600" w:lineRule="exact"/>
    </w:pPr>
    <w:rPr>
      <w:rFonts w:ascii="宋体" w:hAnsi="宋体"/>
      <w:bCs/>
      <w:sz w:val="24"/>
    </w:rPr>
  </w:style>
  <w:style w:type="paragraph" w:customStyle="1" w:styleId="501">
    <w:name w:val="xl246"/>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502">
    <w:name w:val="xl412"/>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503">
    <w:name w:val="xl210"/>
    <w:basedOn w:val="1"/>
    <w:autoRedefine/>
    <w:qFormat/>
    <w:uiPriority w:val="0"/>
    <w:pPr>
      <w:widowControl/>
      <w:pBdr>
        <w:top w:val="single" w:color="auto" w:sz="4" w:space="0"/>
        <w:bottom w:val="single" w:color="auto" w:sz="4" w:space="0"/>
        <w:right w:val="single" w:color="auto" w:sz="4" w:space="0"/>
      </w:pBdr>
      <w:shd w:val="clear" w:color="auto" w:fill="E3E3E3"/>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504">
    <w:name w:val="xl226"/>
    <w:basedOn w:val="1"/>
    <w:autoRedefine/>
    <w:qFormat/>
    <w:uiPriority w:val="0"/>
    <w:pPr>
      <w:widowControl/>
      <w:pBdr>
        <w:top w:val="single" w:color="auto" w:sz="4" w:space="0"/>
        <w:bottom w:val="single" w:color="auto" w:sz="4" w:space="0"/>
      </w:pBdr>
      <w:shd w:val="clear" w:color="auto" w:fill="FFFF99"/>
      <w:spacing w:before="100" w:beforeLines="0" w:beforeAutospacing="1" w:after="100" w:afterLines="0" w:afterAutospacing="1"/>
      <w:jc w:val="left"/>
      <w:textAlignment w:val="center"/>
    </w:pPr>
    <w:rPr>
      <w:kern w:val="0"/>
      <w:sz w:val="24"/>
    </w:rPr>
  </w:style>
  <w:style w:type="paragraph" w:customStyle="1" w:styleId="505">
    <w:name w:val="xl34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4"/>
    </w:rPr>
  </w:style>
  <w:style w:type="paragraph" w:customStyle="1" w:styleId="506">
    <w:name w:val="xl356"/>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507">
    <w:name w:val="xl372"/>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08">
    <w:name w:val="xl388"/>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09">
    <w:name w:val="xl4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510">
    <w:name w:val="xl6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11">
    <w:name w:val="xl7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12">
    <w:name w:val="xl9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13">
    <w:name w:val="xl106"/>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14">
    <w:name w:val="font19"/>
    <w:basedOn w:val="1"/>
    <w:autoRedefine/>
    <w:qFormat/>
    <w:uiPriority w:val="0"/>
    <w:pPr>
      <w:widowControl/>
      <w:spacing w:before="100" w:beforeLines="0" w:beforeAutospacing="1" w:after="100" w:afterLines="0" w:afterAutospacing="1"/>
      <w:jc w:val="left"/>
    </w:pPr>
    <w:rPr>
      <w:kern w:val="0"/>
      <w:sz w:val="24"/>
    </w:rPr>
  </w:style>
  <w:style w:type="paragraph" w:customStyle="1" w:styleId="515">
    <w:name w:val="font35"/>
    <w:basedOn w:val="1"/>
    <w:autoRedefine/>
    <w:qFormat/>
    <w:uiPriority w:val="0"/>
    <w:pPr>
      <w:widowControl/>
      <w:spacing w:before="100" w:beforeLines="0" w:beforeAutospacing="1" w:after="100" w:afterLines="0" w:afterAutospacing="1"/>
      <w:jc w:val="left"/>
    </w:pPr>
    <w:rPr>
      <w:b/>
      <w:bCs/>
      <w:kern w:val="0"/>
      <w:sz w:val="20"/>
      <w:szCs w:val="20"/>
    </w:rPr>
  </w:style>
  <w:style w:type="paragraph" w:customStyle="1" w:styleId="516">
    <w:name w:val="xl152"/>
    <w:basedOn w:val="1"/>
    <w:autoRedefine/>
    <w:qFormat/>
    <w:uiPriority w:val="0"/>
    <w:pPr>
      <w:widowControl/>
      <w:pBdr>
        <w:top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17">
    <w:name w:val="xl168"/>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518">
    <w:name w:val="xl18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4"/>
    </w:rPr>
  </w:style>
  <w:style w:type="paragraph" w:customStyle="1" w:styleId="519">
    <w:name w:val="xl200"/>
    <w:basedOn w:val="1"/>
    <w:autoRedefine/>
    <w:qFormat/>
    <w:uiPriority w:val="0"/>
    <w:pPr>
      <w:widowControl/>
      <w:pBdr>
        <w:top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20">
    <w:name w:val="xl2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21">
    <w:name w:val="xl298"/>
    <w:basedOn w:val="1"/>
    <w:autoRedefine/>
    <w:qFormat/>
    <w:uiPriority w:val="0"/>
    <w:pPr>
      <w:widowControl/>
      <w:pBdr>
        <w:top w:val="single" w:color="auto" w:sz="4" w:space="0"/>
        <w:left w:val="single" w:color="auto" w:sz="4" w:space="0"/>
        <w:bottom w:val="single" w:color="auto" w:sz="4" w:space="0"/>
      </w:pBdr>
      <w:shd w:val="clear" w:color="auto" w:fill="FFFF00"/>
      <w:spacing w:before="100" w:beforeLines="0" w:beforeAutospacing="1" w:after="100" w:afterLines="0" w:afterAutospacing="1"/>
      <w:jc w:val="left"/>
      <w:textAlignment w:val="center"/>
    </w:pPr>
    <w:rPr>
      <w:kern w:val="0"/>
      <w:sz w:val="22"/>
      <w:szCs w:val="22"/>
    </w:rPr>
  </w:style>
  <w:style w:type="paragraph" w:customStyle="1" w:styleId="522">
    <w:name w:val="xl314"/>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pPr>
    <w:rPr>
      <w:kern w:val="0"/>
      <w:sz w:val="22"/>
      <w:szCs w:val="22"/>
    </w:rPr>
  </w:style>
  <w:style w:type="paragraph" w:customStyle="1" w:styleId="523">
    <w:name w:val="xl330"/>
    <w:basedOn w:val="1"/>
    <w:autoRedefine/>
    <w:qFormat/>
    <w:uiPriority w:val="0"/>
    <w:pPr>
      <w:widowControl/>
      <w:pBdr>
        <w:top w:val="single" w:color="auto" w:sz="4" w:space="0"/>
        <w:bottom w:val="single" w:color="auto" w:sz="4" w:space="0"/>
        <w:right w:val="single" w:color="auto" w:sz="4" w:space="0"/>
      </w:pBdr>
      <w:shd w:val="clear" w:color="auto" w:fill="FFFFFF"/>
      <w:spacing w:before="100" w:beforeLines="0" w:beforeAutospacing="1" w:after="100" w:afterLines="0" w:afterAutospacing="1"/>
      <w:jc w:val="left"/>
      <w:textAlignment w:val="center"/>
    </w:pPr>
    <w:rPr>
      <w:kern w:val="0"/>
      <w:sz w:val="22"/>
      <w:szCs w:val="22"/>
    </w:rPr>
  </w:style>
  <w:style w:type="paragraph" w:customStyle="1" w:styleId="524">
    <w:name w:val="font7"/>
    <w:basedOn w:val="1"/>
    <w:autoRedefine/>
    <w:qFormat/>
    <w:uiPriority w:val="0"/>
    <w:pPr>
      <w:widowControl/>
      <w:spacing w:before="100" w:beforeLines="0" w:beforeAutospacing="1" w:after="100" w:afterLines="0" w:afterAutospacing="1"/>
      <w:jc w:val="left"/>
    </w:pPr>
    <w:rPr>
      <w:rFonts w:ascii="宋体" w:hAnsi="宋体" w:cs="宋体"/>
      <w:kern w:val="0"/>
      <w:sz w:val="22"/>
      <w:szCs w:val="22"/>
    </w:rPr>
  </w:style>
  <w:style w:type="paragraph" w:customStyle="1" w:styleId="525">
    <w:name w:val="xl30"/>
    <w:basedOn w:val="1"/>
    <w:autoRedefine/>
    <w:qFormat/>
    <w:uiPriority w:val="0"/>
    <w:pPr>
      <w:widowControl/>
      <w:pBdr>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26">
    <w:name w:val="xl3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color w:val="000000"/>
      <w:kern w:val="0"/>
      <w:sz w:val="22"/>
      <w:szCs w:val="22"/>
    </w:rPr>
  </w:style>
  <w:style w:type="paragraph" w:customStyle="1" w:styleId="527">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28">
    <w:name w:val="xl256"/>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529">
    <w:name w:val="xl272"/>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4"/>
    </w:rPr>
  </w:style>
  <w:style w:type="paragraph" w:customStyle="1" w:styleId="530">
    <w:name w:val="xl245"/>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531">
    <w:name w:val="xl411"/>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32">
    <w:name w:val="xl225"/>
    <w:basedOn w:val="1"/>
    <w:autoRedefine/>
    <w:qFormat/>
    <w:uiPriority w:val="0"/>
    <w:pPr>
      <w:widowControl/>
      <w:pBdr>
        <w:top w:val="single" w:color="auto" w:sz="4" w:space="0"/>
        <w:left w:val="single" w:color="auto" w:sz="4" w:space="0"/>
        <w:bottom w:val="single" w:color="auto" w:sz="4" w:space="0"/>
      </w:pBdr>
      <w:shd w:val="clear" w:color="auto" w:fill="FFFF99"/>
      <w:spacing w:before="100" w:beforeLines="0" w:beforeAutospacing="1" w:after="100" w:afterLines="0" w:afterAutospacing="1"/>
      <w:jc w:val="left"/>
      <w:textAlignment w:val="center"/>
    </w:pPr>
    <w:rPr>
      <w:kern w:val="0"/>
      <w:sz w:val="24"/>
    </w:rPr>
  </w:style>
  <w:style w:type="paragraph" w:customStyle="1" w:styleId="533">
    <w:name w:val="xl241"/>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34">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0"/>
      <w:szCs w:val="20"/>
    </w:rPr>
  </w:style>
  <w:style w:type="paragraph" w:customStyle="1" w:styleId="535">
    <w:name w:val="xl339"/>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536">
    <w:name w:val="xl35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537">
    <w:name w:val="xl37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0"/>
      <w:szCs w:val="20"/>
    </w:rPr>
  </w:style>
  <w:style w:type="paragraph" w:customStyle="1" w:styleId="538">
    <w:name w:val="xl387"/>
    <w:basedOn w:val="1"/>
    <w:autoRedefine/>
    <w:qFormat/>
    <w:uiPriority w:val="0"/>
    <w:pPr>
      <w:widowControl/>
      <w:pBdr>
        <w:top w:val="single" w:color="auto" w:sz="8" w:space="0"/>
        <w:left w:val="single" w:color="auto" w:sz="4" w:space="0"/>
        <w:bottom w:val="single" w:color="auto" w:sz="4" w:space="0"/>
        <w:right w:val="single" w:color="auto" w:sz="8"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539">
    <w:name w:val="样式 标题 3 + 行距: 固定值 25 磅"/>
    <w:basedOn w:val="4"/>
    <w:autoRedefine/>
    <w:qFormat/>
    <w:uiPriority w:val="0"/>
    <w:pPr>
      <w:spacing w:before="120" w:beforeLines="0" w:after="0" w:afterLines="0" w:line="500" w:lineRule="exact"/>
    </w:pPr>
    <w:rPr>
      <w:rFonts w:cs="宋体"/>
      <w:sz w:val="28"/>
      <w:szCs w:val="20"/>
    </w:rPr>
  </w:style>
  <w:style w:type="paragraph" w:customStyle="1" w:styleId="540">
    <w:name w:val="xl44"/>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41">
    <w:name w:val="xl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42">
    <w:name w:val="xl73"/>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43">
    <w:name w:val="xl89"/>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44">
    <w:name w:val="xl105"/>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kern w:val="0"/>
      <w:sz w:val="22"/>
      <w:szCs w:val="22"/>
    </w:rPr>
  </w:style>
  <w:style w:type="paragraph" w:customStyle="1" w:styleId="545">
    <w:name w:val="font1"/>
    <w:basedOn w:val="1"/>
    <w:autoRedefine/>
    <w:qFormat/>
    <w:uiPriority w:val="0"/>
    <w:pPr>
      <w:widowControl/>
      <w:spacing w:before="100" w:beforeLines="0" w:beforeAutospacing="1" w:after="100" w:afterLines="0" w:afterAutospacing="1"/>
      <w:jc w:val="left"/>
    </w:pPr>
    <w:rPr>
      <w:rFonts w:ascii="宋体" w:hAnsi="宋体" w:cs="宋体"/>
      <w:b/>
      <w:bCs/>
      <w:kern w:val="0"/>
      <w:sz w:val="18"/>
      <w:szCs w:val="18"/>
    </w:rPr>
  </w:style>
  <w:style w:type="paragraph" w:customStyle="1" w:styleId="546">
    <w:name w:val="font34"/>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547">
    <w:name w:val="xl151"/>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48">
    <w:name w:val="xl167"/>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49">
    <w:name w:val="xl183"/>
    <w:basedOn w:val="1"/>
    <w:autoRedefine/>
    <w:qFormat/>
    <w:uiPriority w:val="0"/>
    <w:pPr>
      <w:widowControl/>
      <w:pBdr>
        <w:top w:val="single" w:color="auto" w:sz="4" w:space="0"/>
        <w:left w:val="single" w:color="auto" w:sz="8" w:space="0"/>
        <w:bottom w:val="single" w:color="auto" w:sz="4" w:space="0"/>
      </w:pBdr>
      <w:spacing w:before="100" w:beforeLines="0" w:beforeAutospacing="1" w:after="100" w:afterLines="0" w:afterAutospacing="1"/>
      <w:jc w:val="center"/>
      <w:textAlignment w:val="center"/>
    </w:pPr>
    <w:rPr>
      <w:rFonts w:ascii="宋体" w:hAnsi="宋体" w:cs="宋体"/>
      <w:kern w:val="0"/>
      <w:sz w:val="22"/>
      <w:szCs w:val="22"/>
    </w:rPr>
  </w:style>
  <w:style w:type="paragraph" w:customStyle="1" w:styleId="550">
    <w:name w:val="xl199"/>
    <w:basedOn w:val="1"/>
    <w:autoRedefine/>
    <w:qFormat/>
    <w:uiPriority w:val="0"/>
    <w:pPr>
      <w:widowControl/>
      <w:pBdr>
        <w:top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51">
    <w:name w:val="xl281"/>
    <w:basedOn w:val="1"/>
    <w:autoRedefine/>
    <w:qFormat/>
    <w:uiPriority w:val="0"/>
    <w:pPr>
      <w:widowControl/>
      <w:pBdr>
        <w:top w:val="single" w:color="auto" w:sz="8" w:space="0"/>
        <w:bottom w:val="single" w:color="auto" w:sz="4" w:space="0"/>
        <w:right w:val="single" w:color="auto" w:sz="4" w:space="0"/>
      </w:pBdr>
      <w:spacing w:before="100" w:beforeLines="0" w:beforeAutospacing="1" w:after="100" w:afterLines="0" w:afterAutospacing="1"/>
      <w:jc w:val="center"/>
      <w:textAlignment w:val="center"/>
    </w:pPr>
    <w:rPr>
      <w:kern w:val="0"/>
      <w:sz w:val="20"/>
      <w:szCs w:val="20"/>
    </w:rPr>
  </w:style>
  <w:style w:type="paragraph" w:customStyle="1" w:styleId="552">
    <w:name w:val="xl297"/>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color w:val="000000"/>
      <w:kern w:val="0"/>
      <w:sz w:val="22"/>
      <w:szCs w:val="22"/>
    </w:rPr>
  </w:style>
  <w:style w:type="paragraph" w:customStyle="1" w:styleId="553">
    <w:name w:val="xl313"/>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pPr>
    <w:rPr>
      <w:kern w:val="0"/>
      <w:sz w:val="22"/>
      <w:szCs w:val="22"/>
    </w:rPr>
  </w:style>
  <w:style w:type="paragraph" w:customStyle="1" w:styleId="554">
    <w:name w:val="xl329"/>
    <w:basedOn w:val="1"/>
    <w:autoRedefine/>
    <w:qFormat/>
    <w:uiPriority w:val="0"/>
    <w:pPr>
      <w:widowControl/>
      <w:pBdr>
        <w:top w:val="single" w:color="auto" w:sz="4" w:space="0"/>
        <w:bottom w:val="single" w:color="auto" w:sz="4" w:space="0"/>
      </w:pBdr>
      <w:shd w:val="clear" w:color="auto" w:fill="FFFFFF"/>
      <w:spacing w:before="100" w:beforeLines="0" w:beforeAutospacing="1" w:after="100" w:afterLines="0" w:afterAutospacing="1"/>
      <w:jc w:val="left"/>
      <w:textAlignment w:val="center"/>
    </w:pPr>
    <w:rPr>
      <w:kern w:val="0"/>
      <w:sz w:val="22"/>
      <w:szCs w:val="22"/>
    </w:rPr>
  </w:style>
  <w:style w:type="paragraph" w:customStyle="1" w:styleId="555">
    <w:name w:val="font5"/>
    <w:basedOn w:val="1"/>
    <w:autoRedefine/>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556">
    <w:name w:val="xl29"/>
    <w:basedOn w:val="1"/>
    <w:autoRedefine/>
    <w:qFormat/>
    <w:uiPriority w:val="0"/>
    <w:pPr>
      <w:widowControl/>
      <w:pBdr>
        <w:top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paragraph" w:customStyle="1" w:styleId="557">
    <w:name w:val="xl3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kern w:val="0"/>
      <w:sz w:val="22"/>
      <w:szCs w:val="22"/>
    </w:rPr>
  </w:style>
  <w:style w:type="paragraph" w:customStyle="1" w:styleId="558">
    <w:name w:val="xl14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right"/>
      <w:textAlignment w:val="center"/>
    </w:pPr>
    <w:rPr>
      <w:kern w:val="0"/>
      <w:sz w:val="22"/>
      <w:szCs w:val="22"/>
    </w:rPr>
  </w:style>
  <w:style w:type="paragraph" w:customStyle="1" w:styleId="559">
    <w:name w:val="xl255"/>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color w:val="FF0000"/>
      <w:kern w:val="0"/>
      <w:sz w:val="22"/>
      <w:szCs w:val="22"/>
    </w:rPr>
  </w:style>
  <w:style w:type="paragraph" w:customStyle="1" w:styleId="560">
    <w:name w:val="xl271"/>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4"/>
    </w:rPr>
  </w:style>
  <w:style w:type="paragraph" w:customStyle="1" w:styleId="561">
    <w:name w:val="正文表标题"/>
    <w:next w:val="1"/>
    <w:autoRedefine/>
    <w:qFormat/>
    <w:uiPriority w:val="0"/>
    <w:pPr>
      <w:jc w:val="center"/>
    </w:pPr>
    <w:rPr>
      <w:rFonts w:ascii="黑体" w:hAnsi="Times New Roman" w:eastAsia="黑体" w:cs="Times New Roman"/>
      <w:sz w:val="21"/>
      <w:lang w:val="en-US" w:eastAsia="zh-CN" w:bidi="ar-SA"/>
    </w:rPr>
  </w:style>
  <w:style w:type="paragraph" w:customStyle="1" w:styleId="562">
    <w:name w:val="p0"/>
    <w:autoRedefine/>
    <w:qFormat/>
    <w:uiPriority w:val="0"/>
    <w:rPr>
      <w:rFonts w:ascii="Times New Roman" w:hAnsi="Times New Roman" w:eastAsia="宋体" w:cs="Times New Roman"/>
      <w:szCs w:val="21"/>
      <w:lang w:val="en-US" w:eastAsia="zh-CN" w:bidi="ar-SA"/>
    </w:rPr>
  </w:style>
  <w:style w:type="paragraph" w:customStyle="1" w:styleId="563">
    <w:name w:val="xl244"/>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center"/>
      <w:textAlignment w:val="center"/>
    </w:pPr>
    <w:rPr>
      <w:rFonts w:ascii="宋体" w:hAnsi="宋体" w:cs="宋体"/>
      <w:color w:val="FF0000"/>
      <w:kern w:val="0"/>
      <w:sz w:val="22"/>
      <w:szCs w:val="22"/>
    </w:rPr>
  </w:style>
  <w:style w:type="paragraph" w:customStyle="1" w:styleId="564">
    <w:name w:val="xl403"/>
    <w:basedOn w:val="1"/>
    <w:autoRedefine/>
    <w:qFormat/>
    <w:uiPriority w:val="0"/>
    <w:pPr>
      <w:widowControl/>
      <w:pBdr>
        <w:top w:val="single" w:color="auto" w:sz="4" w:space="0"/>
        <w:left w:val="single" w:color="auto" w:sz="4" w:space="0"/>
        <w:bottom w:val="single" w:color="auto" w:sz="4" w:space="0"/>
        <w:right w:val="single" w:color="auto" w:sz="8"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65">
    <w:name w:val="xl410"/>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566">
    <w:name w:val="xl224"/>
    <w:basedOn w:val="1"/>
    <w:autoRedefine/>
    <w:qFormat/>
    <w:uiPriority w:val="0"/>
    <w:pPr>
      <w:widowControl/>
      <w:pBdr>
        <w:top w:val="single" w:color="auto" w:sz="4" w:space="0"/>
        <w:bottom w:val="single" w:color="auto" w:sz="4" w:space="0"/>
        <w:right w:val="single" w:color="auto" w:sz="4" w:space="0"/>
      </w:pBdr>
      <w:shd w:val="clear" w:color="auto" w:fill="FFFF99"/>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67">
    <w:name w:val="xl240"/>
    <w:basedOn w:val="1"/>
    <w:autoRedefine/>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2"/>
      <w:szCs w:val="22"/>
    </w:rPr>
  </w:style>
  <w:style w:type="paragraph" w:customStyle="1" w:styleId="568">
    <w:name w:val="xl338"/>
    <w:basedOn w:val="1"/>
    <w:autoRedefine/>
    <w:qFormat/>
    <w:uiPriority w:val="0"/>
    <w:pPr>
      <w:widowControl/>
      <w:pBdr>
        <w:top w:val="single" w:color="auto" w:sz="4" w:space="0"/>
        <w:bottom w:val="single" w:color="auto" w:sz="4" w:space="0"/>
      </w:pBdr>
      <w:spacing w:before="100" w:beforeLines="0" w:beforeAutospacing="1" w:after="100" w:afterLines="0" w:afterAutospacing="1"/>
      <w:jc w:val="left"/>
      <w:textAlignment w:val="center"/>
    </w:pPr>
    <w:rPr>
      <w:rFonts w:ascii="宋体" w:hAnsi="宋体" w:cs="宋体"/>
      <w:kern w:val="0"/>
      <w:sz w:val="28"/>
      <w:szCs w:val="28"/>
    </w:rPr>
  </w:style>
  <w:style w:type="paragraph" w:customStyle="1" w:styleId="569">
    <w:name w:val="xl354"/>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cs="宋体"/>
      <w:kern w:val="0"/>
      <w:sz w:val="28"/>
      <w:szCs w:val="28"/>
    </w:rPr>
  </w:style>
  <w:style w:type="paragraph" w:customStyle="1" w:styleId="570">
    <w:name w:val="xl370"/>
    <w:basedOn w:val="1"/>
    <w:autoRedefine/>
    <w:qFormat/>
    <w:uiPriority w:val="0"/>
    <w:pPr>
      <w:widowControl/>
      <w:pBdr>
        <w:top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宋体" w:hAnsi="宋体" w:cs="宋体"/>
      <w:kern w:val="0"/>
      <w:sz w:val="24"/>
    </w:rPr>
  </w:style>
  <w:style w:type="paragraph" w:customStyle="1" w:styleId="571">
    <w:name w:val="xl386"/>
    <w:basedOn w:val="1"/>
    <w:autoRedefine/>
    <w:qFormat/>
    <w:uiPriority w:val="0"/>
    <w:pPr>
      <w:widowControl/>
      <w:pBdr>
        <w:top w:val="single" w:color="auto" w:sz="4" w:space="0"/>
        <w:left w:val="single" w:color="auto" w:sz="4" w:space="0"/>
        <w:bottom w:val="single" w:color="auto" w:sz="4" w:space="0"/>
        <w:right w:val="single" w:color="auto" w:sz="8" w:space="0"/>
      </w:pBdr>
      <w:spacing w:before="100" w:beforeLines="0" w:beforeAutospacing="1" w:after="100" w:afterLines="0" w:afterAutospacing="1"/>
      <w:jc w:val="left"/>
      <w:textAlignment w:val="center"/>
    </w:pPr>
    <w:rPr>
      <w:kern w:val="0"/>
      <w:sz w:val="22"/>
      <w:szCs w:val="22"/>
    </w:rPr>
  </w:style>
  <w:style w:type="character" w:customStyle="1" w:styleId="572">
    <w:name w:val="表标题 Char"/>
    <w:link w:val="573"/>
    <w:autoRedefine/>
    <w:qFormat/>
    <w:locked/>
    <w:uiPriority w:val="0"/>
    <w:rPr>
      <w:rFonts w:ascii="Times New Roman" w:hAnsi="Times New Roman" w:eastAsia="宋体"/>
      <w:bCs/>
      <w:sz w:val="24"/>
      <w:szCs w:val="18"/>
    </w:rPr>
  </w:style>
  <w:style w:type="paragraph" w:customStyle="1" w:styleId="573">
    <w:name w:val="表标题"/>
    <w:basedOn w:val="38"/>
    <w:link w:val="572"/>
    <w:autoRedefine/>
    <w:qFormat/>
    <w:uiPriority w:val="0"/>
    <w:pPr>
      <w:spacing w:before="0" w:beforeAutospacing="0" w:after="0" w:afterAutospacing="0" w:line="560" w:lineRule="exact"/>
      <w:jc w:val="center"/>
    </w:pPr>
    <w:rPr>
      <w:rFonts w:ascii="Times New Roman" w:hAnsi="Times New Roman" w:eastAsia="宋体"/>
      <w:bCs/>
      <w:kern w:val="0"/>
      <w:szCs w:val="18"/>
    </w:rPr>
  </w:style>
  <w:style w:type="character" w:customStyle="1" w:styleId="574">
    <w:name w:val="表内容 Char"/>
    <w:link w:val="575"/>
    <w:autoRedefine/>
    <w:qFormat/>
    <w:locked/>
    <w:uiPriority w:val="99"/>
    <w:rPr>
      <w:rFonts w:eastAsia="仿宋"/>
      <w:sz w:val="24"/>
      <w:szCs w:val="24"/>
    </w:rPr>
  </w:style>
  <w:style w:type="paragraph" w:customStyle="1" w:styleId="575">
    <w:name w:val="表内容"/>
    <w:basedOn w:val="1"/>
    <w:link w:val="574"/>
    <w:autoRedefine/>
    <w:qFormat/>
    <w:uiPriority w:val="99"/>
    <w:pPr>
      <w:jc w:val="center"/>
    </w:pPr>
    <w:rPr>
      <w:rFonts w:eastAsia="仿宋"/>
      <w:kern w:val="0"/>
      <w:sz w:val="24"/>
    </w:rPr>
  </w:style>
  <w:style w:type="character" w:customStyle="1" w:styleId="576">
    <w:name w:val="标题 2 Char1"/>
    <w:autoRedefine/>
    <w:qFormat/>
    <w:uiPriority w:val="0"/>
    <w:rPr>
      <w:b/>
      <w:bCs/>
      <w:kern w:val="2"/>
      <w:sz w:val="28"/>
      <w:szCs w:val="24"/>
    </w:rPr>
  </w:style>
  <w:style w:type="paragraph" w:customStyle="1" w:styleId="577">
    <w:name w:val=" Char Char Char Char Char Char Char Char Char Char Char Char1 Char Char Char Char Char Char Char Char Char Char Char Char Char Char Char Char Char Char1 Char Char Char1 Char Char Char Char Char Char Char Char Char"/>
    <w:basedOn w:val="1"/>
    <w:autoRedefine/>
    <w:qFormat/>
    <w:uiPriority w:val="0"/>
    <w:rPr>
      <w:szCs w:val="20"/>
    </w:rPr>
  </w:style>
  <w:style w:type="paragraph" w:customStyle="1" w:styleId="578">
    <w:name w:val=" Char Char Char Char Char Char Char Char Char Char Char Char1 Char Char Char Char Char Char Char Char Char Char Char Char Char Char Char Char Char Char1 Char Char Char1 Char Char Char"/>
    <w:basedOn w:val="1"/>
    <w:autoRedefine/>
    <w:qFormat/>
    <w:uiPriority w:val="0"/>
    <w:pPr>
      <w:widowControl/>
      <w:spacing w:after="160" w:line="240" w:lineRule="exact"/>
      <w:jc w:val="left"/>
    </w:pPr>
    <w:rPr>
      <w:rFonts w:ascii="Verdana" w:hAnsi="Verdana"/>
      <w:kern w:val="0"/>
      <w:sz w:val="20"/>
      <w:szCs w:val="20"/>
      <w:lang w:eastAsia="en-US"/>
    </w:rPr>
  </w:style>
  <w:style w:type="character" w:customStyle="1" w:styleId="579">
    <w:name w:val="4"/>
    <w:basedOn w:val="46"/>
    <w:autoRedefine/>
    <w:qFormat/>
    <w:uiPriority w:val="0"/>
  </w:style>
  <w:style w:type="paragraph" w:customStyle="1" w:styleId="580">
    <w:name w:val="二级无标题条"/>
    <w:basedOn w:val="1"/>
    <w:autoRedefine/>
    <w:qFormat/>
    <w:uiPriority w:val="0"/>
  </w:style>
  <w:style w:type="paragraph" w:customStyle="1" w:styleId="581">
    <w:name w:val="3"/>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82">
    <w:name w:val="contentwordstext1"/>
    <w:autoRedefine/>
    <w:qFormat/>
    <w:uiPriority w:val="0"/>
    <w:rPr>
      <w:rFonts w:hint="default" w:ascii="_x000B__x000C_" w:hAnsi="_x000B__x000C_"/>
      <w:sz w:val="21"/>
      <w:szCs w:val="21"/>
    </w:rPr>
  </w:style>
  <w:style w:type="character" w:customStyle="1" w:styleId="583">
    <w:name w:val="lh15"/>
    <w:basedOn w:val="46"/>
    <w:autoRedefine/>
    <w:qFormat/>
    <w:uiPriority w:val="0"/>
  </w:style>
  <w:style w:type="paragraph" w:customStyle="1" w:styleId="584">
    <w:name w:val="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85">
    <w:name w:val="正文001"/>
    <w:basedOn w:val="1"/>
    <w:autoRedefine/>
    <w:qFormat/>
    <w:uiPriority w:val="0"/>
    <w:pPr>
      <w:spacing w:before="60" w:line="460" w:lineRule="exact"/>
      <w:ind w:firstLine="482"/>
    </w:pPr>
    <w:rPr>
      <w:sz w:val="24"/>
      <w:szCs w:val="20"/>
    </w:rPr>
  </w:style>
  <w:style w:type="paragraph" w:customStyle="1" w:styleId="586">
    <w:name w:val="正文01"/>
    <w:basedOn w:val="1"/>
    <w:autoRedefine/>
    <w:qFormat/>
    <w:uiPriority w:val="0"/>
    <w:pPr>
      <w:spacing w:before="60" w:line="460" w:lineRule="exact"/>
      <w:ind w:firstLine="200" w:firstLineChars="200"/>
    </w:pPr>
    <w:rPr>
      <w:rFonts w:ascii="Arial" w:hAnsi="Arial"/>
      <w:color w:val="000000"/>
      <w:sz w:val="24"/>
    </w:rPr>
  </w:style>
  <w:style w:type="character" w:customStyle="1" w:styleId="587">
    <w:name w:val="text1"/>
    <w:autoRedefine/>
    <w:qFormat/>
    <w:uiPriority w:val="0"/>
    <w:rPr>
      <w:rFonts w:hint="default" w:ascii="ˎ̥" w:hAnsi="ˎ̥"/>
      <w:sz w:val="20"/>
      <w:szCs w:val="20"/>
    </w:rPr>
  </w:style>
  <w:style w:type="character" w:customStyle="1" w:styleId="588">
    <w:name w:val="contents"/>
    <w:basedOn w:val="46"/>
    <w:autoRedefine/>
    <w:qFormat/>
    <w:uiPriority w:val="0"/>
  </w:style>
  <w:style w:type="paragraph" w:customStyle="1" w:styleId="589">
    <w:name w:val="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0">
    <w:name w:val="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1">
    <w:name w:val="Char Char Char Char"/>
    <w:basedOn w:val="1"/>
    <w:autoRedefine/>
    <w:qFormat/>
    <w:uiPriority w:val="0"/>
  </w:style>
  <w:style w:type="paragraph" w:customStyle="1" w:styleId="592">
    <w:name w:val=" Char Char Char Char Char Char Char Char Char Char Char Char1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3">
    <w:name w:val=" Char Char Char Char Char Char Char Char Char Char Char Char1 Char Char Char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4">
    <w:name w:val=" Char Char1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5">
    <w:name w:val="z2"/>
    <w:basedOn w:val="1"/>
    <w:autoRedefine/>
    <w:qFormat/>
    <w:uiPriority w:val="0"/>
    <w:pPr>
      <w:widowControl/>
      <w:spacing w:before="100" w:beforeAutospacing="1" w:after="100" w:afterAutospacing="1" w:line="300" w:lineRule="atLeast"/>
      <w:jc w:val="left"/>
    </w:pPr>
    <w:rPr>
      <w:rFonts w:ascii="Arial" w:hAnsi="Arial" w:cs="Arial"/>
      <w:color w:val="003399"/>
      <w:kern w:val="0"/>
      <w:sz w:val="18"/>
      <w:szCs w:val="18"/>
    </w:rPr>
  </w:style>
  <w:style w:type="character" w:customStyle="1" w:styleId="596">
    <w:name w:val="z21"/>
    <w:autoRedefine/>
    <w:qFormat/>
    <w:uiPriority w:val="0"/>
    <w:rPr>
      <w:rFonts w:hint="default" w:ascii="Arial" w:hAnsi="Arial" w:cs="Arial"/>
      <w:color w:val="003399"/>
      <w:sz w:val="18"/>
      <w:szCs w:val="18"/>
      <w:u w:val="none"/>
    </w:rPr>
  </w:style>
  <w:style w:type="paragraph" w:customStyle="1" w:styleId="597">
    <w:name w:val=" 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8">
    <w:name w:val=" Char Char1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99">
    <w:name w:val=" Char Char1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00">
    <w:name w:val=" Char Char Char Char Char Char Char Char Char Char Char Char1 Char Char Char Char Char Char Char Char Char Char Char Char Char Char Char Char Char Char1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01">
    <w:name w:val=" Char Char1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02">
    <w:name w:val="0"/>
    <w:basedOn w:val="1"/>
    <w:autoRedefine/>
    <w:qFormat/>
    <w:uiPriority w:val="0"/>
    <w:pPr>
      <w:widowControl/>
      <w:snapToGrid w:val="0"/>
      <w:spacing w:line="360" w:lineRule="auto"/>
    </w:pPr>
    <w:rPr>
      <w:spacing w:val="4"/>
      <w:kern w:val="0"/>
      <w:sz w:val="24"/>
      <w:szCs w:val="20"/>
    </w:rPr>
  </w:style>
  <w:style w:type="paragraph" w:customStyle="1" w:styleId="603">
    <w:name w:val=" Char Char1"/>
    <w:basedOn w:val="1"/>
    <w:autoRedefine/>
    <w:qFormat/>
    <w:uiPriority w:val="0"/>
    <w:rPr>
      <w:szCs w:val="20"/>
    </w:rPr>
  </w:style>
  <w:style w:type="paragraph" w:customStyle="1" w:styleId="604">
    <w:name w:val=" Char Char1 Char Char Char Char Char Char Char Char Char Char Char Char Char Char 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05">
    <w:name w:val="公式"/>
    <w:basedOn w:val="1"/>
    <w:next w:val="1"/>
    <w:autoRedefine/>
    <w:qFormat/>
    <w:uiPriority w:val="0"/>
    <w:pPr>
      <w:spacing w:before="120" w:after="120"/>
      <w:jc w:val="center"/>
    </w:pPr>
    <w:rPr>
      <w:rFonts w:eastAsia="华文仿宋"/>
      <w:snapToGrid w:val="0"/>
      <w:kern w:val="0"/>
      <w:sz w:val="28"/>
      <w:szCs w:val="18"/>
    </w:rPr>
  </w:style>
  <w:style w:type="paragraph" w:customStyle="1" w:styleId="606">
    <w:name w:val="16"/>
    <w:basedOn w:val="1"/>
    <w:autoRedefine/>
    <w:qFormat/>
    <w:uiPriority w:val="0"/>
    <w:pPr>
      <w:widowControl/>
      <w:snapToGrid w:val="0"/>
      <w:spacing w:before="100" w:beforeAutospacing="1" w:after="100" w:afterAutospacing="1" w:line="440" w:lineRule="atLeast"/>
    </w:pPr>
    <w:rPr>
      <w:kern w:val="0"/>
      <w:sz w:val="24"/>
      <w:szCs w:val="20"/>
    </w:rPr>
  </w:style>
  <w:style w:type="paragraph" w:customStyle="1" w:styleId="607">
    <w:name w:val=" Char1 Char Char Char Char Char Char Char Char"/>
    <w:basedOn w:val="1"/>
    <w:autoRedefine/>
    <w:qFormat/>
    <w:uiPriority w:val="0"/>
  </w:style>
  <w:style w:type="paragraph" w:customStyle="1" w:styleId="608">
    <w:name w:val=" Char Char1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09">
    <w:name w:val="3级标题"/>
    <w:basedOn w:val="1"/>
    <w:autoRedefine/>
    <w:qFormat/>
    <w:uiPriority w:val="0"/>
    <w:pPr>
      <w:spacing w:before="300" w:line="460" w:lineRule="exact"/>
      <w:outlineLvl w:val="2"/>
    </w:pPr>
    <w:rPr>
      <w:b/>
      <w:sz w:val="24"/>
    </w:rPr>
  </w:style>
  <w:style w:type="paragraph" w:customStyle="1" w:styleId="610">
    <w:name w:val="style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11">
    <w:name w:val="表格正文"/>
    <w:basedOn w:val="1"/>
    <w:autoRedefine/>
    <w:qFormat/>
    <w:uiPriority w:val="0"/>
    <w:pPr>
      <w:spacing w:line="360" w:lineRule="exact"/>
      <w:jc w:val="center"/>
    </w:pPr>
  </w:style>
  <w:style w:type="paragraph" w:customStyle="1" w:styleId="612">
    <w:name w:val=" Char Char1 Char Char Char Char Char Char Char Char Char Char Char Char Char Char Char1 Char1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13">
    <w:name w:val=" Char Char1 Char Char Char Char Char Char Char Char Char Char Char Char Char Char Char1 Char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14">
    <w:name w:val=" Char Char Char1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15">
    <w:name w:val="text"/>
    <w:basedOn w:val="1"/>
    <w:autoRedefine/>
    <w:qFormat/>
    <w:uiPriority w:val="0"/>
    <w:pPr>
      <w:widowControl/>
      <w:spacing w:before="100" w:beforeAutospacing="1" w:after="100" w:afterAutospacing="1" w:line="456" w:lineRule="atLeast"/>
      <w:jc w:val="left"/>
    </w:pPr>
    <w:rPr>
      <w:rFonts w:ascii="宋体" w:hAnsi="宋体" w:cs="宋体"/>
      <w:color w:val="26734D"/>
      <w:kern w:val="0"/>
      <w:sz w:val="26"/>
      <w:szCs w:val="26"/>
    </w:rPr>
  </w:style>
  <w:style w:type="paragraph" w:customStyle="1" w:styleId="616">
    <w:name w:val=" Char Char Char Char Char1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17">
    <w:name w:val=" Char Char Char Char Char Char Char Char Char Char Char Char1 Char Char Char Char Char Char Char Char Char Char Char Char Char Char Char Char Char Char1 Char Char Char1 Char Char Char Char Char Char Char Char Char Char Char"/>
    <w:basedOn w:val="1"/>
    <w:autoRedefine/>
    <w:qFormat/>
    <w:uiPriority w:val="0"/>
  </w:style>
  <w:style w:type="paragraph" w:customStyle="1" w:styleId="618">
    <w:name w:val=" Char Char1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619">
    <w:name w:val="pic-info"/>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20">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621">
    <w:name w:val="Char Char Char Char Char Char Char Char Char Char1 Char Char Char"/>
    <w:basedOn w:val="1"/>
    <w:autoRedefine/>
    <w:qFormat/>
    <w:uiPriority w:val="0"/>
    <w:pPr>
      <w:widowControl/>
      <w:spacing w:after="160" w:line="240" w:lineRule="exact"/>
      <w:jc w:val="left"/>
    </w:pPr>
    <w:rPr>
      <w:rFonts w:ascii="Verdana" w:hAnsi="Verdana" w:cs="Verdana"/>
      <w:kern w:val="0"/>
      <w:sz w:val="20"/>
      <w:szCs w:val="20"/>
      <w:lang w:eastAsia="en-US"/>
    </w:rPr>
  </w:style>
  <w:style w:type="character" w:customStyle="1" w:styleId="622">
    <w:name w:val="普通 (Web) Char Char"/>
    <w:autoRedefine/>
    <w:qFormat/>
    <w:uiPriority w:val="0"/>
    <w:rPr>
      <w:rFonts w:ascii="宋体" w:hAnsi="宋体" w:eastAsia="宋体" w:cs="宋体"/>
      <w:sz w:val="24"/>
      <w:szCs w:val="24"/>
      <w:lang w:val="en-US" w:eastAsia="zh-CN" w:bidi="ar-SA"/>
    </w:rPr>
  </w:style>
  <w:style w:type="paragraph" w:customStyle="1" w:styleId="623">
    <w:name w:val=" Char Char Char Char1 Char Char Char2"/>
    <w:basedOn w:val="1"/>
    <w:autoRedefine/>
    <w:qFormat/>
    <w:uiPriority w:val="0"/>
    <w:rPr>
      <w:sz w:val="28"/>
      <w:szCs w:val="28"/>
    </w:rPr>
  </w:style>
  <w:style w:type="character" w:customStyle="1" w:styleId="624">
    <w:name w:val="text_edit1"/>
    <w:autoRedefine/>
    <w:qFormat/>
    <w:uiPriority w:val="0"/>
    <w:rPr>
      <w:color w:val="3366CC"/>
      <w:sz w:val="18"/>
      <w:szCs w:val="18"/>
    </w:rPr>
  </w:style>
  <w:style w:type="character" w:customStyle="1" w:styleId="625">
    <w:name w:val="headline-content2"/>
    <w:autoRedefine/>
    <w:qFormat/>
    <w:uiPriority w:val="0"/>
  </w:style>
  <w:style w:type="character" w:customStyle="1" w:styleId="626">
    <w:name w:val="headline-content"/>
    <w:basedOn w:val="46"/>
    <w:autoRedefine/>
    <w:qFormat/>
    <w:uiPriority w:val="0"/>
  </w:style>
  <w:style w:type="paragraph" w:customStyle="1" w:styleId="627">
    <w:name w:val="段"/>
    <w:link w:val="628"/>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bidi="ar-SA"/>
    </w:rPr>
  </w:style>
  <w:style w:type="character" w:customStyle="1" w:styleId="628">
    <w:name w:val="段 Char"/>
    <w:link w:val="627"/>
    <w:autoRedefine/>
    <w:qFormat/>
    <w:uiPriority w:val="0"/>
    <w:rPr>
      <w:rFonts w:ascii="宋体"/>
      <w:sz w:val="21"/>
      <w:lang w:bidi="ar-SA"/>
    </w:rPr>
  </w:style>
  <w:style w:type="character" w:customStyle="1" w:styleId="629">
    <w:name w:val="日期 Char1"/>
    <w:basedOn w:val="46"/>
    <w:autoRedefine/>
    <w:semiHidden/>
    <w:qFormat/>
    <w:uiPriority w:val="99"/>
    <w:rPr>
      <w:rFonts w:ascii="Times New Roman" w:hAnsi="Times New Roman" w:eastAsia="宋体" w:cs="Times New Roman"/>
      <w:szCs w:val="24"/>
    </w:rPr>
  </w:style>
  <w:style w:type="character" w:customStyle="1" w:styleId="630">
    <w:name w:val="bt21"/>
    <w:basedOn w:val="46"/>
    <w:autoRedefine/>
    <w:qFormat/>
    <w:uiPriority w:val="0"/>
    <w:rPr>
      <w:rFonts w:hint="eastAsia" w:ascii="黑体" w:eastAsia="黑体"/>
      <w:sz w:val="22"/>
      <w:szCs w:val="22"/>
    </w:rPr>
  </w:style>
  <w:style w:type="paragraph" w:customStyle="1" w:styleId="631">
    <w:name w:val="框图"/>
    <w:basedOn w:val="1"/>
    <w:autoRedefine/>
    <w:qFormat/>
    <w:uiPriority w:val="0"/>
    <w:pPr>
      <w:autoSpaceDE w:val="0"/>
      <w:autoSpaceDN w:val="0"/>
      <w:adjustRightInd w:val="0"/>
      <w:snapToGrid w:val="0"/>
      <w:spacing w:line="300" w:lineRule="auto"/>
      <w:jc w:val="center"/>
    </w:pPr>
    <w:rPr>
      <w:color w:val="000000"/>
      <w:kern w:val="0"/>
      <w:szCs w:val="21"/>
    </w:rPr>
  </w:style>
  <w:style w:type="paragraph" w:customStyle="1" w:styleId="632">
    <w:name w:val="BIG BOLD"/>
    <w:basedOn w:val="1"/>
    <w:autoRedefine/>
    <w:qFormat/>
    <w:uiPriority w:val="0"/>
    <w:pPr>
      <w:tabs>
        <w:tab w:val="left" w:leader="underscore" w:pos="1134"/>
      </w:tabs>
    </w:pPr>
    <w:rPr>
      <w:szCs w:val="20"/>
    </w:rPr>
  </w:style>
  <w:style w:type="paragraph" w:customStyle="1" w:styleId="633">
    <w:name w:val="表"/>
    <w:basedOn w:val="1"/>
    <w:autoRedefine/>
    <w:qFormat/>
    <w:uiPriority w:val="0"/>
    <w:pPr>
      <w:spacing w:line="300" w:lineRule="auto"/>
    </w:pPr>
    <w:rPr>
      <w:rFonts w:eastAsia="仿宋_GB2312"/>
      <w:bCs/>
      <w:sz w:val="24"/>
    </w:rPr>
  </w:style>
  <w:style w:type="paragraph" w:customStyle="1" w:styleId="634">
    <w:name w:val="- 页码 -"/>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35">
    <w:name w:val="正文1"/>
    <w:basedOn w:val="46"/>
    <w:autoRedefine/>
    <w:qFormat/>
    <w:uiPriority w:val="0"/>
    <w:rPr>
      <w:rFonts w:hint="eastAsia" w:ascii="宋体" w:hAnsi="宋体" w:eastAsia="宋体"/>
      <w:sz w:val="22"/>
      <w:szCs w:val="22"/>
    </w:rPr>
  </w:style>
  <w:style w:type="character" w:customStyle="1" w:styleId="636">
    <w:name w:val="bluetxt1"/>
    <w:basedOn w:val="46"/>
    <w:autoRedefine/>
    <w:qFormat/>
    <w:uiPriority w:val="0"/>
  </w:style>
  <w:style w:type="paragraph" w:customStyle="1" w:styleId="637">
    <w:name w:val="TOC 标题"/>
    <w:basedOn w:val="2"/>
    <w:next w:val="1"/>
    <w:autoRedefine/>
    <w:qFormat/>
    <w:uiPriority w:val="39"/>
    <w:pPr>
      <w:keepLines/>
      <w:widowControl/>
      <w:spacing w:before="480" w:line="276" w:lineRule="auto"/>
      <w:jc w:val="left"/>
      <w:outlineLvl w:val="9"/>
    </w:pPr>
    <w:rPr>
      <w:rFonts w:ascii="Cambria" w:hAnsi="Cambria" w:eastAsia="宋体"/>
      <w:b w:val="0"/>
      <w:color w:val="365F91"/>
      <w:kern w:val="0"/>
      <w:szCs w:val="28"/>
      <w:lang w:val="en-US" w:eastAsia="zh-CN"/>
    </w:rPr>
  </w:style>
  <w:style w:type="paragraph" w:customStyle="1" w:styleId="638">
    <w:name w:val="a9"/>
    <w:basedOn w:val="1"/>
    <w:autoRedefine/>
    <w:qFormat/>
    <w:uiPriority w:val="0"/>
    <w:pPr>
      <w:widowControl/>
      <w:spacing w:before="100" w:beforeAutospacing="1" w:after="100" w:afterAutospacing="1"/>
      <w:jc w:val="left"/>
    </w:pPr>
    <w:rPr>
      <w:rFonts w:ascii="宋体" w:hAnsi="宋体"/>
      <w:color w:val="000000"/>
      <w:kern w:val="0"/>
      <w:sz w:val="24"/>
    </w:rPr>
  </w:style>
  <w:style w:type="character" w:customStyle="1" w:styleId="639">
    <w:name w:val="Font Style102"/>
    <w:basedOn w:val="46"/>
    <w:autoRedefine/>
    <w:qFormat/>
    <w:uiPriority w:val="99"/>
    <w:rPr>
      <w:rFonts w:ascii="宋体" w:eastAsia="宋体" w:cs="宋体"/>
      <w:b/>
      <w:bCs/>
      <w:spacing w:val="10"/>
      <w:sz w:val="22"/>
      <w:szCs w:val="22"/>
    </w:rPr>
  </w:style>
  <w:style w:type="character" w:customStyle="1" w:styleId="640">
    <w:name w:val="Font Style120"/>
    <w:basedOn w:val="46"/>
    <w:autoRedefine/>
    <w:qFormat/>
    <w:uiPriority w:val="99"/>
    <w:rPr>
      <w:rFonts w:ascii="Arial Unicode MS" w:eastAsia="Arial Unicode MS" w:cs="Arial Unicode MS"/>
      <w:sz w:val="22"/>
      <w:szCs w:val="22"/>
    </w:rPr>
  </w:style>
  <w:style w:type="paragraph" w:customStyle="1" w:styleId="641">
    <w:name w:val="Style8"/>
    <w:basedOn w:val="1"/>
    <w:autoRedefine/>
    <w:qFormat/>
    <w:uiPriority w:val="99"/>
    <w:pPr>
      <w:adjustRightInd w:val="0"/>
      <w:spacing w:line="400" w:lineRule="exact"/>
      <w:ind w:firstLine="504"/>
    </w:pPr>
    <w:rPr>
      <w:rFonts w:ascii="Arial Unicode MS" w:hAnsi="Calibri" w:eastAsia="Arial Unicode MS" w:cs="Arial Unicode MS"/>
      <w:kern w:val="0"/>
      <w:sz w:val="24"/>
    </w:rPr>
  </w:style>
  <w:style w:type="paragraph" w:customStyle="1" w:styleId="642">
    <w:name w:val="二级条标题"/>
    <w:basedOn w:val="1"/>
    <w:next w:val="1"/>
    <w:autoRedefine/>
    <w:qFormat/>
    <w:uiPriority w:val="0"/>
    <w:pPr>
      <w:widowControl/>
      <w:jc w:val="left"/>
      <w:outlineLvl w:val="3"/>
    </w:pPr>
    <w:rPr>
      <w:rFonts w:eastAsia="黑体"/>
      <w:kern w:val="0"/>
      <w:szCs w:val="20"/>
    </w:rPr>
  </w:style>
  <w:style w:type="paragraph" w:customStyle="1" w:styleId="643">
    <w:name w:val="reader-word-layer"/>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4">
    <w:name w:val="Style19"/>
    <w:basedOn w:val="1"/>
    <w:autoRedefine/>
    <w:qFormat/>
    <w:uiPriority w:val="99"/>
    <w:pPr>
      <w:adjustRightInd w:val="0"/>
      <w:spacing w:line="418" w:lineRule="exact"/>
    </w:pPr>
    <w:rPr>
      <w:rFonts w:ascii="Arial Unicode MS" w:hAnsi="Calibri" w:eastAsia="Arial Unicode MS" w:cs="Arial Unicode MS"/>
      <w:kern w:val="0"/>
      <w:sz w:val="24"/>
    </w:rPr>
  </w:style>
  <w:style w:type="paragraph" w:customStyle="1" w:styleId="645">
    <w:name w:val="正文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646">
    <w:name w:val="样式1 Char"/>
    <w:link w:val="647"/>
    <w:autoRedefine/>
    <w:qFormat/>
    <w:uiPriority w:val="0"/>
    <w:rPr>
      <w:sz w:val="28"/>
      <w:szCs w:val="28"/>
    </w:rPr>
  </w:style>
  <w:style w:type="paragraph" w:customStyle="1" w:styleId="647">
    <w:name w:val="样式1"/>
    <w:basedOn w:val="1"/>
    <w:link w:val="646"/>
    <w:autoRedefine/>
    <w:qFormat/>
    <w:uiPriority w:val="0"/>
    <w:pPr>
      <w:spacing w:line="600" w:lineRule="atLeast"/>
      <w:ind w:firstLine="420" w:firstLineChars="200"/>
    </w:pPr>
    <w:rPr>
      <w:kern w:val="0"/>
      <w:sz w:val="28"/>
      <w:szCs w:val="28"/>
    </w:rPr>
  </w:style>
  <w:style w:type="paragraph" w:customStyle="1" w:styleId="648">
    <w:name w:val=" Char Char Char Char Char Char Char Char Char"/>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649">
    <w:name w:val="Char1"/>
    <w:basedOn w:val="1"/>
    <w:autoRedefine/>
    <w:qFormat/>
    <w:uiPriority w:val="0"/>
    <w:pPr>
      <w:adjustRightInd w:val="0"/>
      <w:spacing w:line="360" w:lineRule="atLeast"/>
      <w:jc w:val="left"/>
    </w:pPr>
    <w:rPr>
      <w:rFonts w:ascii="Tahoma" w:hAnsi="Tahoma"/>
      <w:kern w:val="0"/>
      <w:sz w:val="24"/>
      <w:szCs w:val="20"/>
    </w:rPr>
  </w:style>
  <w:style w:type="paragraph" w:customStyle="1" w:styleId="650">
    <w:name w:val="列出段落"/>
    <w:basedOn w:val="1"/>
    <w:autoRedefine/>
    <w:qFormat/>
    <w:uiPriority w:val="34"/>
    <w:pPr>
      <w:ind w:firstLine="420" w:firstLineChars="200"/>
    </w:pPr>
  </w:style>
  <w:style w:type="paragraph" w:customStyle="1" w:styleId="651">
    <w:name w:val=" Char Char Char Char Char Char Char Char Char Char Char Char Char Char Char Char"/>
    <w:basedOn w:val="1"/>
    <w:autoRedefine/>
    <w:qFormat/>
    <w:uiPriority w:val="0"/>
    <w:pPr>
      <w:widowControl/>
      <w:spacing w:after="160" w:line="240" w:lineRule="exact"/>
      <w:jc w:val="left"/>
      <w:textAlignment w:val="baseline"/>
    </w:pPr>
    <w:rPr>
      <w:rFonts w:ascii="Verdana" w:hAnsi="Verdana"/>
      <w:color w:val="000000"/>
      <w:kern w:val="0"/>
      <w:sz w:val="20"/>
      <w:szCs w:val="20"/>
      <w:u w:val="none" w:color="000000"/>
      <w:lang w:eastAsia="en-US"/>
    </w:rPr>
  </w:style>
  <w:style w:type="character" w:customStyle="1" w:styleId="652">
    <w:name w:val="font01"/>
    <w:basedOn w:val="46"/>
    <w:autoRedefine/>
    <w:qFormat/>
    <w:uiPriority w:val="0"/>
    <w:rPr>
      <w:rFonts w:hint="eastAsia" w:ascii="宋体" w:hAnsi="宋体" w:eastAsia="宋体" w:cs="宋体"/>
      <w:color w:val="000000"/>
      <w:sz w:val="22"/>
      <w:szCs w:val="22"/>
      <w:u w:val="none"/>
    </w:rPr>
  </w:style>
  <w:style w:type="paragraph" w:customStyle="1" w:styleId="653">
    <w:name w:val="表格5号"/>
    <w:autoRedefine/>
    <w:qFormat/>
    <w:uiPriority w:val="0"/>
    <w:pPr>
      <w:adjustRightInd w:val="0"/>
      <w:snapToGrid w:val="0"/>
      <w:spacing w:line="360" w:lineRule="auto"/>
      <w:jc w:val="center"/>
    </w:pPr>
    <w:rPr>
      <w:rFonts w:ascii="Times New Roman" w:hAnsi="Times New Roman" w:eastAsia="宋体" w:cs="Times New Roman"/>
      <w:color w:val="000000"/>
      <w:sz w:val="21"/>
      <w:szCs w:val="21"/>
      <w:lang w:val="en-US" w:eastAsia="zh-CN" w:bidi="ar-SA"/>
    </w:rPr>
  </w:style>
  <w:style w:type="paragraph" w:customStyle="1" w:styleId="654">
    <w:name w:val=" 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eastAsia="Times New Roman"/>
      <w:kern w:val="0"/>
    </w:rPr>
  </w:style>
  <w:style w:type="paragraph" w:customStyle="1" w:styleId="655">
    <w:name w:val="样式10"/>
    <w:basedOn w:val="1"/>
    <w:autoRedefine/>
    <w:qFormat/>
    <w:uiPriority w:val="0"/>
    <w:pPr>
      <w:ind w:firstLine="200" w:firstLineChars="200"/>
    </w:pPr>
    <w:rPr>
      <w:rFonts w:ascii="宋体" w:hAnsi="宋体"/>
      <w:color w:val="000000"/>
      <w:kern w:val="0"/>
      <w:sz w:val="28"/>
      <w:szCs w:val="28"/>
    </w:rPr>
  </w:style>
  <w:style w:type="paragraph" w:customStyle="1" w:styleId="656">
    <w:name w:val="样式4"/>
    <w:basedOn w:val="1"/>
    <w:autoRedefine/>
    <w:qFormat/>
    <w:uiPriority w:val="0"/>
    <w:pPr>
      <w:keepNext w:val="0"/>
      <w:keepLines w:val="0"/>
      <w:widowControl/>
      <w:suppressLineNumbers w:val="0"/>
      <w:spacing w:before="0" w:beforeAutospacing="0" w:after="0" w:afterAutospacing="0" w:line="372" w:lineRule="exact"/>
      <w:ind w:left="0" w:right="0" w:firstLine="0" w:firstLineChars="0"/>
      <w:jc w:val="center"/>
    </w:pPr>
    <w:rPr>
      <w:rFonts w:hint="eastAsia" w:ascii="方正黑体简体" w:hAnsi="宋体" w:eastAsia="方正黑体简体" w:cs="Times New Roman"/>
      <w:kern w:val="0"/>
      <w:sz w:val="30"/>
      <w:szCs w:val="3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file:///D:\&#35780;&#20215;&#25253;&#21578;\18&#24180;\AppData\Roaming\Tencent\Users\19835720\QQ\WinTemp\RichOle\PF@S_YM0NC_ZAV%252525252525252525252525252525252525252525255DY~%252525252525252525252525252525252525252525257BG7W%252525252525252525252525252525252525252525255D4.png" TargetMode="External"/><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png"/><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wmf"/><Relationship Id="rId18" Type="http://schemas.openxmlformats.org/officeDocument/2006/relationships/oleObject" Target="embeddings/oleObject1.bin"/><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jx</Company>
  <Pages>323</Pages>
  <Words>89239</Words>
  <Characters>99120</Characters>
  <Lines>729</Lines>
  <Paragraphs>205</Paragraphs>
  <TotalTime>171</TotalTime>
  <ScaleCrop>false</ScaleCrop>
  <LinksUpToDate>false</LinksUpToDate>
  <CharactersWithSpaces>101096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2012-11-13T18:43:00Z</dcterms:created>
  <dc:creator>ahc</dc:creator>
  <cp:lastModifiedBy>长青藤</cp:lastModifiedBy>
  <cp:lastPrinted>2019-08-08T00:28:00Z</cp:lastPrinted>
  <dcterms:modified xsi:type="dcterms:W3CDTF">2024-05-17T06:24:28Z</dcterms:modified>
  <dc:title>1 评价概述</dc:title>
  <cp:revision>583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11ADCE294096426FAD317528DD47DDB5_13</vt:lpwstr>
  </property>
</Properties>
</file>