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544F5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color w:val="auto"/>
          <w:kern w:val="2"/>
          <w:sz w:val="44"/>
          <w:szCs w:val="44"/>
        </w:rPr>
      </w:pPr>
    </w:p>
    <w:p w14:paraId="6C3B8DA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44"/>
          <w:szCs w:val="44"/>
        </w:rPr>
      </w:pPr>
      <w:r>
        <w:rPr>
          <w:rFonts w:hint="eastAsia" w:ascii="Times New Roman" w:hAnsi="Times New Roman" w:eastAsia="宋体" w:cs="Times New Roman"/>
          <w:b/>
          <w:color w:val="auto"/>
          <w:kern w:val="2"/>
          <w:sz w:val="44"/>
          <w:szCs w:val="44"/>
        </w:rPr>
        <w:t>宜春钽铌矿有限公司</w:t>
      </w:r>
    </w:p>
    <w:p w14:paraId="6966321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44"/>
          <w:szCs w:val="44"/>
          <w:lang w:val="en-US" w:eastAsia="zh-CN"/>
        </w:rPr>
      </w:pPr>
      <w:r>
        <w:rPr>
          <w:rFonts w:hint="eastAsia" w:cs="Times New Roman"/>
          <w:b/>
          <w:color w:val="auto"/>
          <w:kern w:val="2"/>
          <w:sz w:val="44"/>
          <w:szCs w:val="44"/>
          <w:lang w:val="en-US" w:eastAsia="zh-CN"/>
        </w:rPr>
        <w:t>加油站升级改造项目</w:t>
      </w:r>
    </w:p>
    <w:p w14:paraId="05C74BC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kern w:val="2"/>
          <w:sz w:val="52"/>
          <w:szCs w:val="52"/>
        </w:rPr>
      </w:pPr>
      <w:r>
        <w:rPr>
          <w:rFonts w:hint="eastAsia" w:ascii="Times New Roman" w:hAnsi="Times New Roman" w:eastAsia="黑体" w:cs="Times New Roman"/>
          <w:b/>
          <w:color w:val="auto"/>
          <w:kern w:val="2"/>
          <w:sz w:val="52"/>
          <w:szCs w:val="52"/>
        </w:rPr>
        <w:t>安全条件评价报告</w:t>
      </w:r>
    </w:p>
    <w:p w14:paraId="77F2839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44"/>
          <w:szCs w:val="44"/>
          <w:lang w:eastAsia="zh-CN"/>
        </w:rPr>
      </w:pPr>
      <w:r>
        <w:rPr>
          <w:rFonts w:hint="eastAsia" w:ascii="Times New Roman" w:hAnsi="Times New Roman" w:eastAsia="黑体" w:cs="Times New Roman"/>
          <w:b/>
          <w:color w:val="auto"/>
          <w:kern w:val="2"/>
          <w:sz w:val="44"/>
          <w:szCs w:val="44"/>
          <w:lang w:eastAsia="zh-CN"/>
        </w:rPr>
        <w:t>（</w:t>
      </w:r>
      <w:r>
        <w:rPr>
          <w:rFonts w:hint="eastAsia" w:eastAsia="黑体" w:cs="Times New Roman"/>
          <w:b/>
          <w:color w:val="auto"/>
          <w:kern w:val="2"/>
          <w:sz w:val="44"/>
          <w:szCs w:val="44"/>
          <w:lang w:val="en-US" w:eastAsia="zh-CN"/>
        </w:rPr>
        <w:t>终</w:t>
      </w:r>
      <w:r>
        <w:rPr>
          <w:rFonts w:hint="eastAsia" w:ascii="Times New Roman" w:hAnsi="Times New Roman" w:eastAsia="黑体" w:cs="Times New Roman"/>
          <w:b/>
          <w:color w:val="auto"/>
          <w:kern w:val="2"/>
          <w:sz w:val="44"/>
          <w:szCs w:val="44"/>
          <w:lang w:val="en-US" w:eastAsia="zh-CN"/>
        </w:rPr>
        <w:t>稿</w:t>
      </w:r>
      <w:r>
        <w:rPr>
          <w:rFonts w:hint="eastAsia" w:ascii="Times New Roman" w:hAnsi="Times New Roman" w:eastAsia="黑体" w:cs="Times New Roman"/>
          <w:b/>
          <w:color w:val="auto"/>
          <w:kern w:val="2"/>
          <w:sz w:val="44"/>
          <w:szCs w:val="44"/>
          <w:lang w:eastAsia="zh-CN"/>
        </w:rPr>
        <w:t>）</w:t>
      </w:r>
    </w:p>
    <w:p w14:paraId="68B65D0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52"/>
          <w:szCs w:val="52"/>
        </w:rPr>
      </w:pPr>
    </w:p>
    <w:p w14:paraId="7A276B3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52"/>
          <w:szCs w:val="52"/>
        </w:rPr>
      </w:pPr>
    </w:p>
    <w:p w14:paraId="6AE87EC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52"/>
          <w:szCs w:val="52"/>
        </w:rPr>
      </w:pPr>
    </w:p>
    <w:p w14:paraId="47B7047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52"/>
          <w:szCs w:val="52"/>
        </w:rPr>
      </w:pPr>
    </w:p>
    <w:p w14:paraId="3E6F2FB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52"/>
          <w:szCs w:val="52"/>
        </w:rPr>
      </w:pPr>
    </w:p>
    <w:p w14:paraId="222F519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黑体" w:cs="Times New Roman"/>
          <w:b/>
          <w:color w:val="auto"/>
          <w:kern w:val="2"/>
          <w:sz w:val="52"/>
          <w:szCs w:val="52"/>
        </w:rPr>
      </w:pPr>
    </w:p>
    <w:p w14:paraId="27F9D2C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cs="Times New Roman"/>
          <w:b/>
          <w:color w:val="auto"/>
          <w:kern w:val="2"/>
          <w:sz w:val="52"/>
          <w:szCs w:val="52"/>
        </w:rPr>
      </w:pPr>
    </w:p>
    <w:p w14:paraId="4C1DD9C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cs="Times New Roman"/>
          <w:b/>
          <w:bCs/>
          <w:color w:val="auto"/>
          <w:kern w:val="2"/>
          <w:sz w:val="44"/>
          <w:szCs w:val="24"/>
        </w:rPr>
      </w:pPr>
      <w:r>
        <w:rPr>
          <w:rFonts w:ascii="Times New Roman" w:hAnsi="Times New Roman" w:eastAsia="宋体" w:cs="Times New Roman"/>
          <w:b/>
          <w:bCs/>
          <w:color w:val="auto"/>
          <w:kern w:val="2"/>
          <w:sz w:val="44"/>
          <w:szCs w:val="24"/>
        </w:rPr>
        <w:t>江西赣安安全生产科学技术咨询服务中心</w:t>
      </w:r>
    </w:p>
    <w:p w14:paraId="5AFB247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bCs/>
          <w:color w:val="auto"/>
          <w:kern w:val="2"/>
          <w:sz w:val="32"/>
          <w:szCs w:val="24"/>
        </w:rPr>
      </w:pPr>
      <w:r>
        <w:rPr>
          <w:rFonts w:ascii="Times New Roman" w:hAnsi="Times New Roman" w:eastAsia="宋体" w:cs="Times New Roman"/>
          <w:b/>
          <w:bCs/>
          <w:color w:val="auto"/>
          <w:kern w:val="2"/>
          <w:sz w:val="32"/>
          <w:szCs w:val="24"/>
        </w:rPr>
        <w:t>APJ</w:t>
      </w:r>
      <w:r>
        <w:rPr>
          <w:rFonts w:hint="eastAsia" w:ascii="Times New Roman" w:hAnsi="Times New Roman" w:eastAsia="宋体" w:cs="Times New Roman"/>
          <w:b/>
          <w:bCs/>
          <w:color w:val="auto"/>
          <w:kern w:val="2"/>
          <w:sz w:val="32"/>
          <w:szCs w:val="24"/>
        </w:rPr>
        <w:t>-（赣）-002</w:t>
      </w:r>
    </w:p>
    <w:p w14:paraId="7D5166C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bCs/>
          <w:color w:val="auto"/>
          <w:kern w:val="2"/>
          <w:sz w:val="32"/>
          <w:szCs w:val="24"/>
        </w:rPr>
      </w:pPr>
      <w:r>
        <w:rPr>
          <w:rFonts w:hint="eastAsia" w:ascii="Times New Roman" w:hAnsi="Times New Roman" w:eastAsia="宋体" w:cs="Times New Roman"/>
          <w:b/>
          <w:bCs/>
          <w:color w:val="auto"/>
          <w:kern w:val="2"/>
          <w:sz w:val="32"/>
          <w:szCs w:val="24"/>
        </w:rPr>
        <w:t>202</w:t>
      </w:r>
      <w:r>
        <w:rPr>
          <w:rFonts w:hint="eastAsia" w:cs="Times New Roman"/>
          <w:b/>
          <w:bCs/>
          <w:color w:val="auto"/>
          <w:kern w:val="2"/>
          <w:sz w:val="32"/>
          <w:szCs w:val="24"/>
          <w:lang w:val="en-US" w:eastAsia="zh-CN"/>
        </w:rPr>
        <w:t>5</w:t>
      </w:r>
      <w:r>
        <w:rPr>
          <w:rFonts w:ascii="Times New Roman" w:hAnsi="Times New Roman" w:eastAsia="宋体" w:cs="Times New Roman"/>
          <w:b/>
          <w:bCs/>
          <w:color w:val="auto"/>
          <w:kern w:val="2"/>
          <w:sz w:val="32"/>
          <w:szCs w:val="24"/>
        </w:rPr>
        <w:t>年</w:t>
      </w:r>
      <w:r>
        <w:rPr>
          <w:rFonts w:hint="eastAsia" w:cs="Times New Roman"/>
          <w:b/>
          <w:bCs/>
          <w:color w:val="auto"/>
          <w:kern w:val="2"/>
          <w:sz w:val="32"/>
          <w:szCs w:val="24"/>
          <w:lang w:val="en-US" w:eastAsia="zh-CN"/>
        </w:rPr>
        <w:t>1</w:t>
      </w:r>
      <w:r>
        <w:rPr>
          <w:rFonts w:ascii="Times New Roman" w:hAnsi="Times New Roman" w:eastAsia="宋体" w:cs="Times New Roman"/>
          <w:b/>
          <w:bCs/>
          <w:color w:val="auto"/>
          <w:kern w:val="2"/>
          <w:sz w:val="32"/>
          <w:szCs w:val="24"/>
        </w:rPr>
        <w:t>月</w:t>
      </w:r>
      <w:r>
        <w:rPr>
          <w:rFonts w:hint="eastAsia" w:cs="Times New Roman"/>
          <w:b/>
          <w:bCs/>
          <w:color w:val="auto"/>
          <w:kern w:val="2"/>
          <w:sz w:val="32"/>
          <w:szCs w:val="24"/>
          <w:lang w:val="en-US" w:eastAsia="zh-CN"/>
        </w:rPr>
        <w:t>21</w:t>
      </w:r>
      <w:r>
        <w:rPr>
          <w:rFonts w:hint="eastAsia" w:ascii="Times New Roman" w:hAnsi="Times New Roman" w:eastAsia="宋体" w:cs="Times New Roman"/>
          <w:b/>
          <w:bCs/>
          <w:color w:val="auto"/>
          <w:kern w:val="2"/>
          <w:sz w:val="32"/>
          <w:szCs w:val="24"/>
        </w:rPr>
        <w:t>日</w:t>
      </w:r>
    </w:p>
    <w:p w14:paraId="34F085A6">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b/>
          <w:color w:val="auto"/>
          <w:sz w:val="32"/>
          <w:szCs w:val="32"/>
        </w:rPr>
        <w:sectPr>
          <w:pgSz w:w="11906" w:h="16839"/>
          <w:pgMar w:top="1417" w:right="1417" w:bottom="1417" w:left="1417" w:header="850" w:footer="964" w:gutter="0"/>
          <w:cols w:space="720" w:num="1"/>
          <w:rtlGutter w:val="1"/>
          <w:docGrid w:linePitch="312" w:charSpace="0"/>
        </w:sectPr>
      </w:pPr>
    </w:p>
    <w:p w14:paraId="3EAE5134">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宋体" w:cs="Times New Roman"/>
          <w:b/>
          <w:color w:val="auto"/>
          <w:kern w:val="2"/>
          <w:sz w:val="32"/>
          <w:szCs w:val="32"/>
        </w:rPr>
      </w:pPr>
    </w:p>
    <w:p w14:paraId="6491A79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32"/>
          <w:szCs w:val="32"/>
        </w:rPr>
      </w:pPr>
    </w:p>
    <w:p w14:paraId="115B512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32"/>
          <w:szCs w:val="32"/>
        </w:rPr>
      </w:pPr>
      <w:r>
        <w:rPr>
          <w:rFonts w:hint="eastAsia" w:ascii="Times New Roman" w:hAnsi="Times New Roman" w:eastAsia="宋体" w:cs="Times New Roman"/>
          <w:b/>
          <w:color w:val="auto"/>
          <w:kern w:val="2"/>
          <w:sz w:val="32"/>
          <w:szCs w:val="32"/>
        </w:rPr>
        <w:t>宜春钽铌矿有限公司</w:t>
      </w:r>
    </w:p>
    <w:p w14:paraId="323285C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32"/>
          <w:szCs w:val="32"/>
          <w:lang w:eastAsia="zh-CN"/>
        </w:rPr>
      </w:pPr>
      <w:r>
        <w:rPr>
          <w:rFonts w:hint="eastAsia" w:cs="Times New Roman"/>
          <w:b/>
          <w:color w:val="auto"/>
          <w:kern w:val="2"/>
          <w:sz w:val="32"/>
          <w:szCs w:val="32"/>
          <w:lang w:eastAsia="zh-CN"/>
        </w:rPr>
        <w:t>加油站升级改造项目</w:t>
      </w:r>
    </w:p>
    <w:p w14:paraId="33F6830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44"/>
          <w:szCs w:val="44"/>
        </w:rPr>
      </w:pPr>
      <w:r>
        <w:rPr>
          <w:rFonts w:hint="eastAsia" w:ascii="Times New Roman" w:hAnsi="Times New Roman" w:eastAsia="宋体" w:cs="Times New Roman"/>
          <w:b/>
          <w:color w:val="auto"/>
          <w:kern w:val="2"/>
          <w:sz w:val="44"/>
          <w:szCs w:val="44"/>
        </w:rPr>
        <w:t>安全条件评价报告</w:t>
      </w:r>
    </w:p>
    <w:p w14:paraId="7371474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b/>
          <w:color w:val="auto"/>
          <w:kern w:val="2"/>
          <w:sz w:val="44"/>
          <w:szCs w:val="44"/>
        </w:rPr>
      </w:pPr>
      <w:r>
        <w:rPr>
          <w:rFonts w:hint="eastAsia" w:ascii="Times New Roman" w:hAnsi="Times New Roman" w:eastAsia="宋体" w:cs="Times New Roman"/>
          <w:b/>
          <w:color w:val="auto"/>
          <w:kern w:val="2"/>
          <w:sz w:val="44"/>
          <w:szCs w:val="44"/>
        </w:rPr>
        <w:t>（</w:t>
      </w:r>
      <w:r>
        <w:rPr>
          <w:rFonts w:hint="eastAsia" w:cs="Times New Roman"/>
          <w:b/>
          <w:color w:val="auto"/>
          <w:kern w:val="2"/>
          <w:sz w:val="44"/>
          <w:szCs w:val="44"/>
          <w:lang w:val="en-US" w:eastAsia="zh-CN"/>
        </w:rPr>
        <w:t>终</w:t>
      </w:r>
      <w:r>
        <w:rPr>
          <w:rFonts w:hint="eastAsia" w:ascii="Times New Roman" w:hAnsi="Times New Roman" w:eastAsia="宋体" w:cs="Times New Roman"/>
          <w:b/>
          <w:color w:val="auto"/>
          <w:kern w:val="2"/>
          <w:sz w:val="44"/>
          <w:szCs w:val="44"/>
        </w:rPr>
        <w:t>稿）</w:t>
      </w:r>
    </w:p>
    <w:p w14:paraId="3444A3E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b/>
          <w:color w:val="auto"/>
          <w:kern w:val="2"/>
          <w:sz w:val="44"/>
          <w:szCs w:val="44"/>
        </w:rPr>
      </w:pPr>
    </w:p>
    <w:p w14:paraId="358FC54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b/>
          <w:color w:val="auto"/>
          <w:kern w:val="2"/>
          <w:sz w:val="44"/>
          <w:szCs w:val="44"/>
        </w:rPr>
      </w:pPr>
    </w:p>
    <w:p w14:paraId="7A6FCD8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b/>
          <w:color w:val="auto"/>
          <w:kern w:val="2"/>
          <w:sz w:val="44"/>
          <w:szCs w:val="44"/>
        </w:rPr>
      </w:pPr>
    </w:p>
    <w:p w14:paraId="041BA5F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b/>
          <w:color w:val="auto"/>
          <w:kern w:val="2"/>
          <w:sz w:val="44"/>
          <w:szCs w:val="44"/>
        </w:rPr>
      </w:pPr>
    </w:p>
    <w:p w14:paraId="0AAA798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b/>
          <w:color w:val="auto"/>
          <w:kern w:val="2"/>
          <w:sz w:val="44"/>
          <w:szCs w:val="44"/>
        </w:rPr>
      </w:pPr>
    </w:p>
    <w:p w14:paraId="38CB075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黑体" w:cs="Times New Roman"/>
          <w:b/>
          <w:color w:val="auto"/>
          <w:kern w:val="2"/>
          <w:sz w:val="44"/>
          <w:szCs w:val="44"/>
        </w:rPr>
      </w:pPr>
    </w:p>
    <w:p w14:paraId="0DA8585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color w:val="auto"/>
          <w:kern w:val="2"/>
          <w:szCs w:val="24"/>
          <w:lang w:eastAsia="zh-CN"/>
        </w:rPr>
      </w:pPr>
      <w:r>
        <w:rPr>
          <w:rFonts w:ascii="Times New Roman" w:hAnsi="Times New Roman" w:eastAsia="宋体" w:cs="Times New Roman"/>
          <w:color w:val="auto"/>
          <w:kern w:val="2"/>
          <w:szCs w:val="24"/>
        </w:rPr>
        <w:t>法</w:t>
      </w:r>
      <w:r>
        <w:rPr>
          <w:rFonts w:hint="eastAsia" w:ascii="Times New Roman" w:hAnsi="Times New Roman" w:eastAsia="宋体" w:cs="Times New Roman"/>
          <w:color w:val="auto"/>
          <w:kern w:val="2"/>
          <w:szCs w:val="24"/>
        </w:rPr>
        <w:t xml:space="preserve"> 定 </w:t>
      </w:r>
      <w:r>
        <w:rPr>
          <w:rFonts w:ascii="Times New Roman" w:hAnsi="Times New Roman" w:eastAsia="宋体" w:cs="Times New Roman"/>
          <w:color w:val="auto"/>
          <w:kern w:val="2"/>
          <w:szCs w:val="24"/>
        </w:rPr>
        <w:t>代</w:t>
      </w:r>
      <w:r>
        <w:rPr>
          <w:rFonts w:hint="eastAsia" w:ascii="Times New Roman" w:hAnsi="Times New Roman" w:eastAsia="宋体" w:cs="Times New Roman"/>
          <w:color w:val="auto"/>
          <w:kern w:val="2"/>
          <w:szCs w:val="24"/>
        </w:rPr>
        <w:t xml:space="preserve"> </w:t>
      </w:r>
      <w:r>
        <w:rPr>
          <w:rFonts w:ascii="Times New Roman" w:hAnsi="Times New Roman" w:eastAsia="宋体" w:cs="Times New Roman"/>
          <w:color w:val="auto"/>
          <w:kern w:val="2"/>
          <w:szCs w:val="24"/>
        </w:rPr>
        <w:t>表</w:t>
      </w:r>
      <w:r>
        <w:rPr>
          <w:rFonts w:hint="eastAsia" w:ascii="Times New Roman" w:hAnsi="Times New Roman" w:eastAsia="宋体" w:cs="Times New Roman"/>
          <w:color w:val="auto"/>
          <w:kern w:val="2"/>
          <w:szCs w:val="24"/>
        </w:rPr>
        <w:t xml:space="preserve"> </w:t>
      </w:r>
      <w:r>
        <w:rPr>
          <w:rFonts w:ascii="Times New Roman" w:hAnsi="Times New Roman" w:eastAsia="宋体" w:cs="Times New Roman"/>
          <w:color w:val="auto"/>
          <w:kern w:val="2"/>
          <w:szCs w:val="24"/>
        </w:rPr>
        <w:t>人：</w:t>
      </w:r>
      <w:r>
        <w:rPr>
          <w:rFonts w:hint="eastAsia" w:ascii="Times New Roman" w:hAnsi="Times New Roman" w:eastAsia="宋体" w:cs="Times New Roman"/>
          <w:color w:val="auto"/>
          <w:kern w:val="2"/>
          <w:szCs w:val="24"/>
          <w:lang w:val="en-US" w:eastAsia="zh-CN"/>
        </w:rPr>
        <w:t>应  宏</w:t>
      </w:r>
    </w:p>
    <w:p w14:paraId="7A41831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color w:val="auto"/>
          <w:kern w:val="2"/>
          <w:szCs w:val="24"/>
        </w:rPr>
      </w:pPr>
      <w:r>
        <w:rPr>
          <w:rFonts w:ascii="Times New Roman" w:hAnsi="Times New Roman" w:eastAsia="宋体" w:cs="Times New Roman"/>
          <w:color w:val="auto"/>
          <w:kern w:val="2"/>
          <w:szCs w:val="24"/>
        </w:rPr>
        <w:t>技</w:t>
      </w:r>
      <w:r>
        <w:rPr>
          <w:rFonts w:hint="eastAsia" w:ascii="Times New Roman" w:hAnsi="Times New Roman" w:eastAsia="宋体" w:cs="Times New Roman"/>
          <w:color w:val="auto"/>
          <w:kern w:val="2"/>
          <w:szCs w:val="24"/>
        </w:rPr>
        <w:t xml:space="preserve"> </w:t>
      </w:r>
      <w:r>
        <w:rPr>
          <w:rFonts w:ascii="Times New Roman" w:hAnsi="Times New Roman" w:eastAsia="宋体" w:cs="Times New Roman"/>
          <w:color w:val="auto"/>
          <w:kern w:val="2"/>
          <w:szCs w:val="24"/>
        </w:rPr>
        <w:t>术</w:t>
      </w:r>
      <w:r>
        <w:rPr>
          <w:rFonts w:hint="eastAsia" w:ascii="Times New Roman" w:hAnsi="Times New Roman" w:eastAsia="宋体" w:cs="Times New Roman"/>
          <w:color w:val="auto"/>
          <w:kern w:val="2"/>
          <w:szCs w:val="24"/>
        </w:rPr>
        <w:t xml:space="preserve"> </w:t>
      </w:r>
      <w:r>
        <w:rPr>
          <w:rFonts w:ascii="Times New Roman" w:hAnsi="Times New Roman" w:eastAsia="宋体" w:cs="Times New Roman"/>
          <w:color w:val="auto"/>
          <w:kern w:val="2"/>
          <w:szCs w:val="24"/>
        </w:rPr>
        <w:t>负</w:t>
      </w:r>
      <w:r>
        <w:rPr>
          <w:rFonts w:hint="eastAsia" w:ascii="Times New Roman" w:hAnsi="Times New Roman" w:eastAsia="宋体" w:cs="Times New Roman"/>
          <w:color w:val="auto"/>
          <w:kern w:val="2"/>
          <w:szCs w:val="24"/>
        </w:rPr>
        <w:t xml:space="preserve"> </w:t>
      </w:r>
      <w:r>
        <w:rPr>
          <w:rFonts w:ascii="Times New Roman" w:hAnsi="Times New Roman" w:eastAsia="宋体" w:cs="Times New Roman"/>
          <w:color w:val="auto"/>
          <w:kern w:val="2"/>
          <w:szCs w:val="24"/>
        </w:rPr>
        <w:t>责</w:t>
      </w:r>
      <w:r>
        <w:rPr>
          <w:rFonts w:hint="eastAsia" w:ascii="Times New Roman" w:hAnsi="Times New Roman" w:eastAsia="宋体" w:cs="Times New Roman"/>
          <w:color w:val="auto"/>
          <w:kern w:val="2"/>
          <w:szCs w:val="24"/>
        </w:rPr>
        <w:t xml:space="preserve"> </w:t>
      </w:r>
      <w:r>
        <w:rPr>
          <w:rFonts w:ascii="Times New Roman" w:hAnsi="Times New Roman" w:eastAsia="宋体" w:cs="Times New Roman"/>
          <w:color w:val="auto"/>
          <w:kern w:val="2"/>
          <w:szCs w:val="24"/>
        </w:rPr>
        <w:t>人：</w:t>
      </w:r>
      <w:r>
        <w:rPr>
          <w:rFonts w:hint="eastAsia" w:ascii="Times New Roman" w:hAnsi="Times New Roman" w:eastAsia="宋体" w:cs="Times New Roman"/>
          <w:color w:val="auto"/>
          <w:kern w:val="2"/>
          <w:szCs w:val="24"/>
        </w:rPr>
        <w:t>周红波</w:t>
      </w:r>
    </w:p>
    <w:p w14:paraId="04F0713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color w:val="auto"/>
          <w:kern w:val="2"/>
          <w:szCs w:val="24"/>
          <w:lang w:eastAsia="zh-CN"/>
        </w:rPr>
      </w:pPr>
      <w:r>
        <w:rPr>
          <w:rFonts w:ascii="Times New Roman" w:hAnsi="Times New Roman" w:eastAsia="宋体" w:cs="Times New Roman"/>
          <w:color w:val="auto"/>
          <w:kern w:val="2"/>
          <w:szCs w:val="24"/>
        </w:rPr>
        <w:t>评价项目负责人：</w:t>
      </w:r>
      <w:r>
        <w:rPr>
          <w:rFonts w:hint="eastAsia" w:cs="Times New Roman"/>
          <w:color w:val="auto"/>
          <w:kern w:val="2"/>
          <w:szCs w:val="24"/>
          <w:lang w:val="en-US" w:eastAsia="zh-CN"/>
        </w:rPr>
        <w:t>许玉才</w:t>
      </w:r>
    </w:p>
    <w:p w14:paraId="6733CD2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color w:val="auto"/>
          <w:kern w:val="2"/>
          <w:szCs w:val="24"/>
        </w:rPr>
      </w:pPr>
    </w:p>
    <w:p w14:paraId="56C8CF3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color w:val="auto"/>
          <w:kern w:val="2"/>
          <w:szCs w:val="24"/>
        </w:rPr>
      </w:pPr>
    </w:p>
    <w:p w14:paraId="1491B15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宋体" w:cs="Times New Roman"/>
          <w:color w:val="auto"/>
          <w:kern w:val="2"/>
          <w:szCs w:val="24"/>
        </w:rPr>
      </w:pPr>
      <w:r>
        <w:rPr>
          <w:rFonts w:ascii="Times New Roman" w:hAnsi="Times New Roman" w:eastAsia="宋体" w:cs="Times New Roman"/>
          <w:b/>
          <w:bCs/>
          <w:color w:val="auto"/>
          <w:kern w:val="2"/>
          <w:sz w:val="24"/>
          <w:szCs w:val="24"/>
        </w:rPr>
        <w:t>评价报告完成日期：</w:t>
      </w:r>
      <w:r>
        <w:rPr>
          <w:rFonts w:hint="eastAsia" w:ascii="Times New Roman" w:hAnsi="Times New Roman" w:eastAsia="宋体" w:cs="Times New Roman"/>
          <w:b/>
          <w:bCs/>
          <w:color w:val="auto"/>
          <w:spacing w:val="20"/>
          <w:kern w:val="2"/>
          <w:sz w:val="24"/>
          <w:szCs w:val="24"/>
        </w:rPr>
        <w:t>202</w:t>
      </w:r>
      <w:r>
        <w:rPr>
          <w:rFonts w:hint="eastAsia" w:cs="Times New Roman"/>
          <w:b/>
          <w:bCs/>
          <w:color w:val="auto"/>
          <w:spacing w:val="20"/>
          <w:kern w:val="2"/>
          <w:sz w:val="24"/>
          <w:szCs w:val="24"/>
          <w:lang w:val="en-US" w:eastAsia="zh-CN"/>
        </w:rPr>
        <w:t>5</w:t>
      </w:r>
      <w:r>
        <w:rPr>
          <w:rFonts w:hint="eastAsia" w:ascii="Times New Roman" w:hAnsi="Times New Roman" w:eastAsia="宋体" w:cs="Times New Roman"/>
          <w:b/>
          <w:bCs/>
          <w:color w:val="auto"/>
          <w:spacing w:val="20"/>
          <w:kern w:val="2"/>
          <w:sz w:val="24"/>
          <w:szCs w:val="24"/>
        </w:rPr>
        <w:t>年</w:t>
      </w:r>
      <w:r>
        <w:rPr>
          <w:rFonts w:hint="eastAsia" w:cs="Times New Roman"/>
          <w:b/>
          <w:bCs/>
          <w:color w:val="auto"/>
          <w:spacing w:val="20"/>
          <w:kern w:val="2"/>
          <w:sz w:val="24"/>
          <w:szCs w:val="24"/>
          <w:lang w:val="en-US" w:eastAsia="zh-CN"/>
        </w:rPr>
        <w:t>1</w:t>
      </w:r>
      <w:r>
        <w:rPr>
          <w:rFonts w:hint="eastAsia" w:ascii="Times New Roman" w:hAnsi="Times New Roman" w:eastAsia="宋体" w:cs="Times New Roman"/>
          <w:b/>
          <w:bCs/>
          <w:color w:val="auto"/>
          <w:spacing w:val="20"/>
          <w:kern w:val="2"/>
          <w:sz w:val="24"/>
          <w:szCs w:val="24"/>
        </w:rPr>
        <w:t>月</w:t>
      </w:r>
      <w:r>
        <w:rPr>
          <w:rFonts w:hint="eastAsia" w:cs="Times New Roman"/>
          <w:b/>
          <w:bCs/>
          <w:color w:val="auto"/>
          <w:spacing w:val="20"/>
          <w:kern w:val="2"/>
          <w:sz w:val="24"/>
          <w:szCs w:val="24"/>
          <w:lang w:val="en-US" w:eastAsia="zh-CN"/>
        </w:rPr>
        <w:t>21</w:t>
      </w:r>
      <w:r>
        <w:rPr>
          <w:rFonts w:hint="eastAsia" w:ascii="Times New Roman" w:hAnsi="Times New Roman" w:eastAsia="宋体" w:cs="Times New Roman"/>
          <w:b/>
          <w:bCs/>
          <w:color w:val="auto"/>
          <w:spacing w:val="20"/>
          <w:kern w:val="2"/>
          <w:sz w:val="24"/>
          <w:szCs w:val="24"/>
        </w:rPr>
        <w:t>日</w:t>
      </w:r>
    </w:p>
    <w:p w14:paraId="02F2F201">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宋体" w:cs="Times New Roman"/>
          <w:b/>
          <w:color w:val="auto"/>
          <w:kern w:val="2"/>
          <w:sz w:val="32"/>
          <w:szCs w:val="32"/>
        </w:rPr>
      </w:pPr>
      <w:r>
        <w:rPr>
          <w:rFonts w:ascii="Times New Roman" w:hAnsi="Times New Roman" w:eastAsia="宋体" w:cs="Times New Roman"/>
          <w:b/>
          <w:color w:val="auto"/>
          <w:kern w:val="2"/>
          <w:sz w:val="32"/>
          <w:szCs w:val="32"/>
        </w:rPr>
        <w:br w:type="page"/>
      </w:r>
    </w:p>
    <w:p w14:paraId="1E0092E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Times New Roman" w:eastAsia="宋体" w:cs="Times New Roman"/>
          <w:color w:val="auto"/>
          <w:kern w:val="2"/>
          <w:sz w:val="36"/>
          <w:szCs w:val="36"/>
        </w:rPr>
      </w:pPr>
      <w:r>
        <w:rPr>
          <w:rFonts w:hint="eastAsia" w:ascii="宋体" w:hAnsi="Times New Roman" w:eastAsia="宋体" w:cs="Times New Roman"/>
          <w:color w:val="auto"/>
          <w:kern w:val="2"/>
          <w:sz w:val="36"/>
          <w:szCs w:val="36"/>
        </w:rPr>
        <w:t>宜春钽铌矿有限公司</w:t>
      </w:r>
    </w:p>
    <w:p w14:paraId="36EB5DA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Times New Roman" w:eastAsia="宋体" w:cs="Times New Roman"/>
          <w:color w:val="auto"/>
          <w:kern w:val="2"/>
          <w:sz w:val="36"/>
          <w:szCs w:val="36"/>
          <w:lang w:eastAsia="zh-CN"/>
        </w:rPr>
      </w:pPr>
      <w:r>
        <w:rPr>
          <w:rFonts w:hint="eastAsia" w:ascii="宋体" w:cs="Times New Roman"/>
          <w:color w:val="auto"/>
          <w:kern w:val="2"/>
          <w:sz w:val="36"/>
          <w:szCs w:val="36"/>
          <w:lang w:eastAsia="zh-CN"/>
        </w:rPr>
        <w:t>加油站升级改造项目</w:t>
      </w:r>
    </w:p>
    <w:p w14:paraId="313326A3">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0" w:firstLineChars="0"/>
        <w:jc w:val="center"/>
        <w:textAlignment w:val="auto"/>
        <w:rPr>
          <w:rFonts w:hint="eastAsia" w:ascii="宋体" w:hAnsi="Times New Roman" w:eastAsia="宋体" w:cs="宋体"/>
          <w:color w:val="auto"/>
          <w:kern w:val="0"/>
          <w:sz w:val="36"/>
          <w:szCs w:val="36"/>
        </w:rPr>
      </w:pPr>
      <w:r>
        <w:rPr>
          <w:rFonts w:hint="eastAsia" w:ascii="宋体" w:hAnsi="Times New Roman" w:eastAsia="宋体" w:cs="宋体"/>
          <w:color w:val="auto"/>
          <w:kern w:val="0"/>
          <w:sz w:val="36"/>
          <w:szCs w:val="36"/>
        </w:rPr>
        <w:t>安全条件评价技术服务</w:t>
      </w:r>
      <w:r>
        <w:rPr>
          <w:rFonts w:ascii="宋体" w:hAnsi="Times New Roman" w:eastAsia="宋体" w:cs="宋体"/>
          <w:color w:val="auto"/>
          <w:kern w:val="0"/>
          <w:sz w:val="36"/>
          <w:szCs w:val="36"/>
        </w:rPr>
        <w:t>承诺书</w:t>
      </w:r>
    </w:p>
    <w:p w14:paraId="75554FA8">
      <w:pPr>
        <w:keepNext w:val="0"/>
        <w:keepLines w:val="0"/>
        <w:pageBreakBefore w:val="0"/>
        <w:widowControl/>
        <w:kinsoku/>
        <w:wordWrap/>
        <w:overflowPunct/>
        <w:topLinePunct w:val="0"/>
        <w:autoSpaceDE/>
        <w:autoSpaceDN/>
        <w:bidi w:val="0"/>
        <w:adjustRightInd/>
        <w:snapToGrid/>
        <w:spacing w:line="480" w:lineRule="auto"/>
        <w:ind w:firstLine="320" w:firstLineChars="100"/>
        <w:textAlignment w:val="auto"/>
        <w:rPr>
          <w:rFonts w:hint="eastAsia" w:ascii="仿宋" w:hAnsi="Times New Roman" w:eastAsia="仿宋" w:cs="宋体"/>
          <w:color w:val="auto"/>
          <w:kern w:val="0"/>
          <w:sz w:val="32"/>
          <w:szCs w:val="32"/>
        </w:rPr>
      </w:pPr>
      <w:r>
        <w:rPr>
          <w:rFonts w:hint="eastAsia" w:ascii="仿宋" w:hAnsi="Times New Roman" w:eastAsia="仿宋" w:cs="宋体"/>
          <w:color w:val="auto"/>
          <w:kern w:val="0"/>
          <w:sz w:val="32"/>
          <w:szCs w:val="32"/>
        </w:rPr>
        <w:t>一、在</w:t>
      </w:r>
      <w:r>
        <w:rPr>
          <w:rFonts w:hint="eastAsia" w:ascii="仿宋" w:eastAsia="仿宋" w:cs="宋体"/>
          <w:color w:val="auto"/>
          <w:kern w:val="0"/>
          <w:sz w:val="32"/>
          <w:szCs w:val="32"/>
          <w:lang w:eastAsia="zh-CN"/>
        </w:rPr>
        <w:t>本项目</w:t>
      </w:r>
      <w:r>
        <w:rPr>
          <w:rFonts w:hint="eastAsia" w:ascii="仿宋" w:hAnsi="Times New Roman" w:eastAsia="仿宋" w:cs="宋体"/>
          <w:color w:val="auto"/>
          <w:kern w:val="0"/>
          <w:sz w:val="32"/>
          <w:szCs w:val="32"/>
        </w:rPr>
        <w:t>安全评价活动过程中，我单位严格遵守《安全生产法》及相关法律、法规和标准的要求。</w:t>
      </w:r>
    </w:p>
    <w:p w14:paraId="28CD9231">
      <w:pPr>
        <w:keepNext w:val="0"/>
        <w:keepLines w:val="0"/>
        <w:pageBreakBefore w:val="0"/>
        <w:widowControl/>
        <w:kinsoku/>
        <w:wordWrap/>
        <w:overflowPunct/>
        <w:topLinePunct w:val="0"/>
        <w:autoSpaceDE/>
        <w:autoSpaceDN/>
        <w:bidi w:val="0"/>
        <w:adjustRightInd/>
        <w:snapToGrid/>
        <w:spacing w:line="480" w:lineRule="auto"/>
        <w:ind w:firstLine="320" w:firstLineChars="100"/>
        <w:textAlignment w:val="auto"/>
        <w:rPr>
          <w:rFonts w:hint="eastAsia" w:ascii="宋体" w:hAnsi="Times New Roman" w:eastAsia="宋体" w:cs="宋体"/>
          <w:color w:val="auto"/>
          <w:kern w:val="0"/>
          <w:sz w:val="36"/>
          <w:szCs w:val="36"/>
        </w:rPr>
      </w:pPr>
      <w:r>
        <w:rPr>
          <w:rFonts w:hint="eastAsia" w:ascii="仿宋" w:hAnsi="Times New Roman" w:eastAsia="仿宋" w:cs="宋体"/>
          <w:color w:val="auto"/>
          <w:kern w:val="0"/>
          <w:sz w:val="32"/>
          <w:szCs w:val="32"/>
        </w:rPr>
        <w:t>二、在</w:t>
      </w:r>
      <w:r>
        <w:rPr>
          <w:rFonts w:hint="eastAsia" w:ascii="仿宋" w:eastAsia="仿宋" w:cs="宋体"/>
          <w:color w:val="auto"/>
          <w:kern w:val="0"/>
          <w:sz w:val="32"/>
          <w:szCs w:val="32"/>
          <w:lang w:eastAsia="zh-CN"/>
        </w:rPr>
        <w:t>本项目</w:t>
      </w:r>
      <w:r>
        <w:rPr>
          <w:rFonts w:hint="eastAsia" w:ascii="仿宋" w:hAnsi="Times New Roman" w:eastAsia="仿宋" w:cs="宋体"/>
          <w:color w:val="auto"/>
          <w:kern w:val="0"/>
          <w:sz w:val="32"/>
          <w:szCs w:val="32"/>
        </w:rPr>
        <w:t>安全评价活动过程中，我单位作为第三方，未受到任何组织和个人的干预和影响，依法独立开展工作，保证了技术服务活动的客观公正性。</w:t>
      </w:r>
    </w:p>
    <w:p w14:paraId="6AE42FD0">
      <w:pPr>
        <w:keepNext w:val="0"/>
        <w:keepLines w:val="0"/>
        <w:pageBreakBefore w:val="0"/>
        <w:widowControl/>
        <w:kinsoku/>
        <w:wordWrap/>
        <w:overflowPunct/>
        <w:topLinePunct w:val="0"/>
        <w:autoSpaceDE/>
        <w:autoSpaceDN/>
        <w:bidi w:val="0"/>
        <w:adjustRightInd/>
        <w:snapToGrid/>
        <w:spacing w:line="480" w:lineRule="auto"/>
        <w:ind w:firstLine="320" w:firstLineChars="100"/>
        <w:jc w:val="left"/>
        <w:textAlignment w:val="auto"/>
        <w:rPr>
          <w:rFonts w:hint="eastAsia" w:ascii="仿宋" w:hAnsi="Times New Roman" w:eastAsia="仿宋" w:cs="宋体"/>
          <w:color w:val="auto"/>
          <w:kern w:val="0"/>
          <w:sz w:val="32"/>
          <w:szCs w:val="32"/>
        </w:rPr>
      </w:pPr>
      <w:r>
        <w:rPr>
          <w:rFonts w:hint="eastAsia" w:ascii="仿宋" w:hAnsi="Times New Roman" w:eastAsia="仿宋" w:cs="宋体"/>
          <w:color w:val="auto"/>
          <w:kern w:val="0"/>
          <w:sz w:val="32"/>
          <w:szCs w:val="32"/>
        </w:rPr>
        <w:t>三、我单位按照实事求是的原则，对</w:t>
      </w:r>
      <w:r>
        <w:rPr>
          <w:rFonts w:hint="eastAsia" w:ascii="仿宋" w:eastAsia="仿宋" w:cs="宋体"/>
          <w:color w:val="auto"/>
          <w:kern w:val="0"/>
          <w:sz w:val="32"/>
          <w:szCs w:val="32"/>
          <w:lang w:eastAsia="zh-CN"/>
        </w:rPr>
        <w:t>本项目</w:t>
      </w:r>
      <w:r>
        <w:rPr>
          <w:rFonts w:hint="eastAsia" w:ascii="仿宋" w:hAnsi="Times New Roman" w:eastAsia="仿宋" w:cs="宋体"/>
          <w:color w:val="auto"/>
          <w:kern w:val="0"/>
          <w:sz w:val="32"/>
          <w:szCs w:val="32"/>
        </w:rPr>
        <w:t>进行安全评价，确保出具的报告均真实有效，报告所提出的措施具有针对性、有效性和可行性。</w:t>
      </w:r>
    </w:p>
    <w:p w14:paraId="753C0E5C">
      <w:pPr>
        <w:keepNext w:val="0"/>
        <w:keepLines w:val="0"/>
        <w:pageBreakBefore w:val="0"/>
        <w:widowControl/>
        <w:kinsoku/>
        <w:wordWrap/>
        <w:overflowPunct/>
        <w:topLinePunct w:val="0"/>
        <w:autoSpaceDE/>
        <w:autoSpaceDN/>
        <w:bidi w:val="0"/>
        <w:adjustRightInd/>
        <w:snapToGrid/>
        <w:spacing w:line="480" w:lineRule="auto"/>
        <w:ind w:firstLine="320" w:firstLineChars="100"/>
        <w:jc w:val="left"/>
        <w:textAlignment w:val="auto"/>
        <w:rPr>
          <w:rFonts w:hint="eastAsia" w:ascii="仿宋" w:hAnsi="Times New Roman" w:eastAsia="仿宋" w:cs="宋体"/>
          <w:color w:val="auto"/>
          <w:kern w:val="0"/>
          <w:sz w:val="32"/>
          <w:szCs w:val="32"/>
        </w:rPr>
      </w:pPr>
      <w:r>
        <w:rPr>
          <w:rFonts w:hint="eastAsia" w:ascii="仿宋" w:hAnsi="Times New Roman" w:eastAsia="仿宋" w:cs="宋体"/>
          <w:color w:val="auto"/>
          <w:kern w:val="0"/>
          <w:sz w:val="32"/>
          <w:szCs w:val="32"/>
        </w:rPr>
        <w:t>四、我单位对</w:t>
      </w:r>
      <w:r>
        <w:rPr>
          <w:rFonts w:hint="eastAsia" w:ascii="仿宋" w:eastAsia="仿宋" w:cs="宋体"/>
          <w:color w:val="auto"/>
          <w:kern w:val="0"/>
          <w:sz w:val="32"/>
          <w:szCs w:val="32"/>
          <w:lang w:eastAsia="zh-CN"/>
        </w:rPr>
        <w:t>本项目</w:t>
      </w:r>
      <w:r>
        <w:rPr>
          <w:rFonts w:hint="eastAsia" w:ascii="仿宋" w:hAnsi="Times New Roman" w:eastAsia="仿宋" w:cs="宋体"/>
          <w:color w:val="auto"/>
          <w:kern w:val="0"/>
          <w:sz w:val="32"/>
          <w:szCs w:val="32"/>
        </w:rPr>
        <w:t>安全评价报告中结论性内容承担法律责任。</w:t>
      </w:r>
    </w:p>
    <w:p w14:paraId="33A66CE9">
      <w:pPr>
        <w:bidi w:val="0"/>
        <w:ind w:firstLine="200"/>
        <w:rPr>
          <w:rFonts w:hint="eastAsia" w:ascii="Times New Roman" w:hAnsi="Times New Roman" w:eastAsia="宋体" w:cs="Times New Roman"/>
          <w:color w:val="auto"/>
          <w:kern w:val="2"/>
          <w:szCs w:val="24"/>
        </w:rPr>
      </w:pPr>
    </w:p>
    <w:p w14:paraId="3E7B768E">
      <w:pPr>
        <w:widowControl/>
        <w:spacing w:before="100" w:beforeAutospacing="1" w:after="100" w:afterAutospacing="1" w:line="360" w:lineRule="auto"/>
        <w:ind w:left="5258" w:leftChars="228" w:hanging="4620" w:hangingChars="1650"/>
        <w:jc w:val="right"/>
        <w:rPr>
          <w:rFonts w:ascii="Times New Roman" w:hAnsi="Times New Roman" w:eastAsia="宋体" w:cs="Times New Roman"/>
          <w:color w:val="auto"/>
          <w:kern w:val="2"/>
          <w:szCs w:val="28"/>
        </w:rPr>
      </w:pPr>
      <w:r>
        <w:rPr>
          <w:rFonts w:ascii="Times New Roman" w:hAnsi="Times New Roman" w:eastAsia="宋体" w:cs="Times New Roman"/>
          <w:color w:val="auto"/>
          <w:kern w:val="2"/>
          <w:szCs w:val="28"/>
        </w:rPr>
        <w:t>江西赣安安全生产科学技术咨询服务中心</w:t>
      </w:r>
    </w:p>
    <w:p w14:paraId="497A0567">
      <w:pPr>
        <w:widowControl/>
        <w:spacing w:before="100" w:beforeAutospacing="1" w:after="100" w:afterAutospacing="1" w:line="360" w:lineRule="auto"/>
        <w:ind w:left="4018" w:leftChars="1435" w:firstLine="2380" w:firstLineChars="850"/>
        <w:jc w:val="both"/>
        <w:rPr>
          <w:rFonts w:ascii="Times New Roman" w:hAnsi="Times New Roman" w:eastAsia="宋体" w:cs="Times New Roman"/>
          <w:color w:val="auto"/>
          <w:kern w:val="2"/>
          <w:szCs w:val="28"/>
        </w:rPr>
      </w:pPr>
      <w:r>
        <w:rPr>
          <w:rFonts w:hint="eastAsia" w:ascii="Times New Roman" w:hAnsi="Times New Roman" w:eastAsia="宋体" w:cs="Times New Roman"/>
          <w:color w:val="auto"/>
          <w:kern w:val="2"/>
          <w:szCs w:val="28"/>
        </w:rPr>
        <w:t>（公章）</w:t>
      </w:r>
    </w:p>
    <w:p w14:paraId="3547141B">
      <w:pPr>
        <w:ind w:firstLine="200"/>
        <w:jc w:val="center"/>
        <w:rPr>
          <w:rFonts w:hint="eastAsia" w:ascii="Times New Roman" w:hAnsi="Times New Roman" w:eastAsia="宋体" w:cs="Times New Roman"/>
          <w:color w:val="auto"/>
          <w:kern w:val="2"/>
          <w:sz w:val="32"/>
          <w:szCs w:val="32"/>
        </w:rPr>
      </w:pPr>
      <w:r>
        <w:rPr>
          <w:rFonts w:hint="eastAsia" w:ascii="Times New Roman" w:hAnsi="Times New Roman" w:eastAsia="宋体" w:cs="Times New Roman"/>
          <w:color w:val="auto"/>
          <w:kern w:val="0"/>
          <w:szCs w:val="28"/>
          <w:lang w:val="en-US" w:eastAsia="zh-CN"/>
        </w:rPr>
        <w:t xml:space="preserve">                              </w:t>
      </w:r>
      <w:r>
        <w:rPr>
          <w:rFonts w:ascii="Times New Roman" w:hAnsi="Times New Roman" w:eastAsia="宋体" w:cs="Times New Roman"/>
          <w:color w:val="auto"/>
          <w:kern w:val="0"/>
          <w:szCs w:val="28"/>
        </w:rPr>
        <w:t>202</w:t>
      </w:r>
      <w:r>
        <w:rPr>
          <w:rFonts w:hint="eastAsia" w:cs="Times New Roman"/>
          <w:color w:val="auto"/>
          <w:kern w:val="0"/>
          <w:szCs w:val="28"/>
          <w:lang w:val="en-US" w:eastAsia="zh-CN"/>
        </w:rPr>
        <w:t>5</w:t>
      </w:r>
      <w:r>
        <w:rPr>
          <w:rFonts w:ascii="Times New Roman" w:hAnsi="Times New Roman" w:eastAsia="宋体" w:cs="Times New Roman"/>
          <w:color w:val="auto"/>
          <w:kern w:val="0"/>
          <w:szCs w:val="28"/>
        </w:rPr>
        <w:t>年</w:t>
      </w:r>
      <w:r>
        <w:rPr>
          <w:rFonts w:hint="eastAsia" w:cs="Times New Roman"/>
          <w:color w:val="auto"/>
          <w:kern w:val="0"/>
          <w:szCs w:val="28"/>
          <w:lang w:val="en-US" w:eastAsia="zh-CN"/>
        </w:rPr>
        <w:t>1</w:t>
      </w:r>
      <w:r>
        <w:rPr>
          <w:rFonts w:ascii="Times New Roman" w:hAnsi="Times New Roman" w:eastAsia="宋体" w:cs="Times New Roman"/>
          <w:color w:val="auto"/>
          <w:kern w:val="0"/>
          <w:szCs w:val="28"/>
        </w:rPr>
        <w:t>月</w:t>
      </w:r>
      <w:r>
        <w:rPr>
          <w:rFonts w:hint="eastAsia" w:cs="Times New Roman"/>
          <w:color w:val="auto"/>
          <w:kern w:val="0"/>
          <w:szCs w:val="28"/>
          <w:lang w:val="en-US" w:eastAsia="zh-CN"/>
        </w:rPr>
        <w:t>21</w:t>
      </w:r>
      <w:r>
        <w:rPr>
          <w:rFonts w:ascii="Times New Roman" w:hAnsi="Times New Roman" w:eastAsia="宋体" w:cs="Times New Roman"/>
          <w:color w:val="auto"/>
          <w:kern w:val="0"/>
          <w:szCs w:val="28"/>
        </w:rPr>
        <w:t>日</w:t>
      </w:r>
      <w:r>
        <w:rPr>
          <w:rFonts w:ascii="Times New Roman" w:hAnsi="Times New Roman" w:eastAsia="宋体" w:cs="Times New Roman"/>
          <w:b/>
          <w:color w:val="auto"/>
          <w:kern w:val="2"/>
          <w:szCs w:val="28"/>
        </w:rPr>
        <w:br w:type="page"/>
      </w:r>
    </w:p>
    <w:p w14:paraId="04784C47">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44"/>
          <w:szCs w:val="44"/>
          <w:lang w:val="en-US" w:eastAsia="zh-CN" w:bidi="ar-SA"/>
        </w:rPr>
      </w:pPr>
      <w:r>
        <w:rPr>
          <w:rFonts w:hint="eastAsia" w:ascii="Times New Roman" w:hAnsi="Times New Roman" w:eastAsia="方正小标宋简体" w:cs="Times New Roman"/>
          <w:color w:val="auto"/>
          <w:kern w:val="0"/>
          <w:sz w:val="44"/>
          <w:szCs w:val="44"/>
          <w:lang w:val="en-US" w:eastAsia="zh-CN" w:bidi="ar-SA"/>
        </w:rPr>
        <w:t>规范安全生产中介行为的九条禁令</w:t>
      </w:r>
    </w:p>
    <w:p w14:paraId="13AF01A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0" w:firstLineChars="0"/>
        <w:jc w:val="center"/>
        <w:textAlignment w:val="auto"/>
        <w:rPr>
          <w:rFonts w:hint="eastAsia" w:ascii="Times New Roman" w:hAnsi="Times New Roman" w:eastAsia="方正小标宋简体" w:cs="Times New Roman"/>
          <w:color w:val="auto"/>
          <w:kern w:val="0"/>
          <w:sz w:val="32"/>
          <w:szCs w:val="32"/>
          <w:lang w:val="en-US" w:eastAsia="zh-CN" w:bidi="ar-SA"/>
        </w:rPr>
      </w:pPr>
      <w:r>
        <w:rPr>
          <w:rFonts w:hint="eastAsia" w:ascii="Times New Roman" w:hAnsi="Times New Roman" w:eastAsia="方正小标宋简体" w:cs="Times New Roman"/>
          <w:color w:val="auto"/>
          <w:kern w:val="0"/>
          <w:sz w:val="32"/>
          <w:szCs w:val="32"/>
          <w:lang w:val="en-US" w:eastAsia="zh-CN" w:bidi="ar-SA"/>
        </w:rPr>
        <w:t>赣安监管规划字〔2017〕178号</w:t>
      </w:r>
    </w:p>
    <w:p w14:paraId="018440DC">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一、禁止从事安全生产服务的中介服务机构（以下统称中介机构）租借资质证书、非法挂靠、转包服务项目的行为</w:t>
      </w:r>
      <w:r>
        <w:rPr>
          <w:rFonts w:hint="eastAsia" w:ascii="Times New Roman" w:hAnsi="Times New Roman" w:eastAsia="宋体" w:cs="Times New Roman"/>
          <w:color w:val="auto"/>
          <w:kern w:val="0"/>
          <w:sz w:val="28"/>
          <w:szCs w:val="28"/>
          <w:lang w:val="en-US" w:eastAsia="zh-CN" w:bidi="ar-SA"/>
        </w:rPr>
        <w:t>；</w:t>
      </w:r>
    </w:p>
    <w:p w14:paraId="2E60867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二、禁止中介机构假借、冒用他人名义要求服务对象接受有偿服务，或者恶意低价竞争以及采取串标、围标等不正当竞争手段，扰乱技术服务市场秩序的行为；</w:t>
      </w:r>
    </w:p>
    <w:p w14:paraId="370C9D12">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三、禁止中介机构出具虚假或漏项、缺项技术报告的行为；</w:t>
      </w:r>
    </w:p>
    <w:p w14:paraId="3B4B83D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四</w:t>
      </w:r>
      <w:r>
        <w:rPr>
          <w:rFonts w:ascii="Times New Roman" w:hAnsi="Times New Roman" w:eastAsia="宋体" w:cs="Times New Roman"/>
          <w:color w:val="auto"/>
          <w:kern w:val="2"/>
          <w:sz w:val="28"/>
          <w:szCs w:val="28"/>
        </w:rPr>
        <w:t>、</w:t>
      </w:r>
      <w:r>
        <w:rPr>
          <w:rFonts w:hint="eastAsia" w:ascii="Times New Roman" w:hAnsi="Times New Roman" w:eastAsia="宋体" w:cs="Times New Roman"/>
          <w:color w:val="auto"/>
          <w:kern w:val="0"/>
          <w:sz w:val="28"/>
          <w:szCs w:val="28"/>
          <w:lang w:val="en-US" w:eastAsia="zh-CN" w:bidi="ar-SA"/>
        </w:rPr>
        <w:t>禁止中介机构出租、出借资格证书、在报告上冒用他人签名的行为；</w:t>
      </w:r>
    </w:p>
    <w:p w14:paraId="75F7181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五、禁止中介机构有应到而不到现场开展技术服务的行为；</w:t>
      </w:r>
    </w:p>
    <w:p w14:paraId="06FF67E0">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六、禁止安全生产监管部门及其工作人员要求生产经营单位接受指定的中介机构开展技术服务的行为；</w:t>
      </w:r>
    </w:p>
    <w:p w14:paraId="3A672232">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七、禁止安全生产监管部门及其工作人员没有法律依据组织由生产经营单位或机构支付费用的行政性评审的行为；</w:t>
      </w:r>
    </w:p>
    <w:p w14:paraId="1C4C3534">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20" w:lineRule="auto"/>
        <w:ind w:firstLine="560" w:firstLineChars="200"/>
        <w:jc w:val="left"/>
        <w:textAlignment w:val="auto"/>
        <w:rPr>
          <w:rFonts w:ascii="Times New Roman" w:hAnsi="Times New Roman" w:eastAsia="宋体" w:cs="Times New Roman"/>
          <w:color w:val="auto"/>
          <w:kern w:val="0"/>
          <w:sz w:val="28"/>
          <w:szCs w:val="28"/>
          <w:lang w:val="en-US" w:eastAsia="zh-CN" w:bidi="ar-SA"/>
        </w:rPr>
      </w:pPr>
      <w:r>
        <w:rPr>
          <w:rFonts w:ascii="Times New Roman" w:hAnsi="Times New Roman" w:eastAsia="宋体" w:cs="Times New Roman"/>
          <w:color w:val="auto"/>
          <w:kern w:val="0"/>
          <w:sz w:val="28"/>
          <w:szCs w:val="28"/>
          <w:lang w:val="en-US" w:eastAsia="zh-CN" w:bidi="ar-SA"/>
        </w:rPr>
        <w:t>八、禁止安全生产监管部门及其工作人员干预市场定价，违规擅自出台技术服务收费标准的行为；</w:t>
      </w:r>
    </w:p>
    <w:p w14:paraId="437650DA">
      <w:pPr>
        <w:keepNext w:val="0"/>
        <w:keepLines w:val="0"/>
        <w:pageBreakBefore w:val="0"/>
        <w:kinsoku/>
        <w:wordWrap/>
        <w:overflowPunct/>
        <w:topLinePunct w:val="0"/>
        <w:autoSpaceDE/>
        <w:autoSpaceDN/>
        <w:bidi w:val="0"/>
        <w:adjustRightInd/>
        <w:snapToGrid/>
        <w:spacing w:line="420" w:lineRule="auto"/>
        <w:ind w:firstLine="560" w:firstLineChars="200"/>
        <w:jc w:val="left"/>
        <w:textAlignment w:val="auto"/>
        <w:rPr>
          <w:rFonts w:ascii="Times New Roman" w:hAnsi="Times New Roman" w:eastAsia="宋体" w:cs="Times New Roman"/>
          <w:color w:val="auto"/>
          <w:kern w:val="2"/>
          <w:szCs w:val="28"/>
        </w:rPr>
      </w:pPr>
      <w:r>
        <w:rPr>
          <w:rFonts w:ascii="Times New Roman" w:hAnsi="Times New Roman" w:eastAsia="宋体" w:cs="Times New Roman"/>
          <w:color w:val="auto"/>
          <w:kern w:val="2"/>
          <w:szCs w:val="28"/>
        </w:rPr>
        <w:t>九、禁止安全生产监管部门及其工作人员参与、擅自干预中介机构从业活动，或者有获取不正当利益的行为。</w:t>
      </w:r>
    </w:p>
    <w:p w14:paraId="325D5CC8">
      <w:pPr>
        <w:bidi w:val="0"/>
        <w:ind w:firstLine="200"/>
        <w:jc w:val="center"/>
        <w:rPr>
          <w:rFonts w:ascii="Times New Roman" w:hAnsi="Times New Roman" w:eastAsia="宋体" w:cs="Times New Roman"/>
          <w:color w:val="auto"/>
          <w:kern w:val="2"/>
          <w:szCs w:val="24"/>
        </w:rPr>
      </w:pPr>
      <w:r>
        <w:rPr>
          <w:rFonts w:ascii="Times New Roman" w:hAnsi="Times New Roman" w:eastAsia="宋体" w:cs="Times New Roman"/>
          <w:color w:val="auto"/>
          <w:kern w:val="2"/>
          <w:szCs w:val="28"/>
        </w:rPr>
        <w:br w:type="page"/>
      </w:r>
    </w:p>
    <w:p w14:paraId="17C63759">
      <w:pPr>
        <w:spacing w:line="240" w:lineRule="auto"/>
        <w:ind w:firstLine="0" w:firstLineChars="0"/>
        <w:jc w:val="center"/>
        <w:rPr>
          <w:rFonts w:hint="eastAsia" w:ascii="宋体" w:hAnsi="宋体" w:eastAsia="宋体" w:cs="宋体"/>
          <w:b/>
          <w:color w:val="auto"/>
          <w:kern w:val="2"/>
          <w:sz w:val="32"/>
          <w:szCs w:val="24"/>
          <w:lang w:eastAsia="zh-CN"/>
        </w:rPr>
      </w:pPr>
    </w:p>
    <w:p w14:paraId="36E657FC">
      <w:pPr>
        <w:spacing w:line="240" w:lineRule="auto"/>
        <w:ind w:firstLine="0" w:firstLineChars="0"/>
        <w:jc w:val="center"/>
        <w:rPr>
          <w:rFonts w:hint="eastAsia" w:ascii="宋体" w:hAnsi="宋体" w:eastAsia="宋体" w:cs="宋体"/>
          <w:b/>
          <w:color w:val="auto"/>
          <w:kern w:val="2"/>
          <w:sz w:val="32"/>
          <w:szCs w:val="24"/>
          <w:lang w:eastAsia="zh-CN"/>
        </w:rPr>
      </w:pPr>
    </w:p>
    <w:p w14:paraId="62D9396C">
      <w:pPr>
        <w:spacing w:line="240" w:lineRule="auto"/>
        <w:ind w:firstLine="0" w:firstLineChars="0"/>
        <w:jc w:val="center"/>
        <w:rPr>
          <w:rFonts w:hint="eastAsia" w:ascii="宋体" w:hAnsi="宋体" w:eastAsia="宋体" w:cs="宋体"/>
          <w:b/>
          <w:color w:val="auto"/>
          <w:kern w:val="2"/>
          <w:sz w:val="32"/>
          <w:szCs w:val="24"/>
        </w:rPr>
      </w:pPr>
      <w:r>
        <w:rPr>
          <w:rFonts w:hint="eastAsia" w:ascii="宋体" w:hAnsi="宋体" w:eastAsia="宋体" w:cs="宋体"/>
          <w:b/>
          <w:color w:val="auto"/>
          <w:kern w:val="2"/>
          <w:sz w:val="32"/>
          <w:szCs w:val="24"/>
        </w:rPr>
        <w:t>评 价 人 员</w:t>
      </w:r>
    </w:p>
    <w:p w14:paraId="0345C879">
      <w:pPr>
        <w:spacing w:line="240" w:lineRule="auto"/>
        <w:ind w:firstLine="0" w:firstLineChars="0"/>
        <w:jc w:val="center"/>
        <w:rPr>
          <w:rFonts w:hint="eastAsia" w:ascii="宋体" w:hAnsi="宋体" w:eastAsia="宋体" w:cs="宋体"/>
          <w:b/>
          <w:color w:val="auto"/>
          <w:kern w:val="2"/>
          <w:sz w:val="32"/>
          <w:szCs w:val="24"/>
        </w:rPr>
      </w:pPr>
    </w:p>
    <w:p w14:paraId="3978A38F">
      <w:pPr>
        <w:spacing w:line="240" w:lineRule="auto"/>
        <w:ind w:firstLine="0" w:firstLineChars="0"/>
        <w:jc w:val="center"/>
        <w:rPr>
          <w:rFonts w:hint="eastAsia" w:ascii="宋体" w:hAnsi="宋体" w:eastAsia="宋体" w:cs="宋体"/>
          <w:b/>
          <w:color w:val="auto"/>
          <w:kern w:val="2"/>
          <w:sz w:val="32"/>
          <w:szCs w:val="24"/>
        </w:rPr>
      </w:pPr>
    </w:p>
    <w:p w14:paraId="7490B065">
      <w:pPr>
        <w:spacing w:line="240" w:lineRule="auto"/>
        <w:ind w:firstLine="0" w:firstLineChars="0"/>
        <w:jc w:val="center"/>
        <w:rPr>
          <w:rFonts w:hint="eastAsia" w:ascii="宋体" w:hAnsi="宋体" w:eastAsia="宋体" w:cs="宋体"/>
          <w:b/>
          <w:color w:val="auto"/>
          <w:kern w:val="2"/>
          <w:sz w:val="32"/>
          <w:szCs w:val="24"/>
        </w:rPr>
      </w:pP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93"/>
        <w:gridCol w:w="1160"/>
        <w:gridCol w:w="3143"/>
        <w:gridCol w:w="1275"/>
        <w:gridCol w:w="1515"/>
      </w:tblGrid>
      <w:tr w14:paraId="779143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80" w:hRule="atLeast"/>
          <w:jc w:val="center"/>
        </w:trPr>
        <w:tc>
          <w:tcPr>
            <w:tcW w:w="2193" w:type="dxa"/>
            <w:noWrap w:val="0"/>
            <w:vAlign w:val="center"/>
          </w:tcPr>
          <w:p w14:paraId="6B5261AD">
            <w:pPr>
              <w:spacing w:line="240" w:lineRule="auto"/>
              <w:ind w:firstLine="0" w:firstLineChars="0"/>
              <w:jc w:val="center"/>
              <w:rPr>
                <w:rFonts w:ascii="Times New Roman" w:hAnsi="Times New Roman" w:eastAsia="宋体" w:cs="Times New Roman"/>
                <w:color w:val="auto"/>
                <w:kern w:val="2"/>
                <w:sz w:val="24"/>
                <w:szCs w:val="24"/>
              </w:rPr>
            </w:pPr>
          </w:p>
        </w:tc>
        <w:tc>
          <w:tcPr>
            <w:tcW w:w="1160" w:type="dxa"/>
            <w:noWrap w:val="0"/>
            <w:vAlign w:val="center"/>
          </w:tcPr>
          <w:p w14:paraId="7FDD8B5E">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姓  名</w:t>
            </w:r>
          </w:p>
        </w:tc>
        <w:tc>
          <w:tcPr>
            <w:tcW w:w="3143" w:type="dxa"/>
            <w:noWrap w:val="0"/>
            <w:vAlign w:val="center"/>
          </w:tcPr>
          <w:p w14:paraId="5FCB176A">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职业资格证书编号</w:t>
            </w:r>
          </w:p>
        </w:tc>
        <w:tc>
          <w:tcPr>
            <w:tcW w:w="1275" w:type="dxa"/>
            <w:noWrap w:val="0"/>
            <w:vAlign w:val="center"/>
          </w:tcPr>
          <w:p w14:paraId="3EFFF115">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从业编号</w:t>
            </w:r>
          </w:p>
        </w:tc>
        <w:tc>
          <w:tcPr>
            <w:tcW w:w="1515" w:type="dxa"/>
            <w:noWrap w:val="0"/>
            <w:vAlign w:val="center"/>
          </w:tcPr>
          <w:p w14:paraId="595D325D">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签字</w:t>
            </w:r>
          </w:p>
        </w:tc>
      </w:tr>
      <w:tr w14:paraId="4F59A4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noWrap w:val="0"/>
            <w:vAlign w:val="center"/>
          </w:tcPr>
          <w:p w14:paraId="00905AEF">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项目负责人</w:t>
            </w:r>
          </w:p>
        </w:tc>
        <w:tc>
          <w:tcPr>
            <w:tcW w:w="1160" w:type="dxa"/>
            <w:noWrap w:val="0"/>
            <w:vAlign w:val="center"/>
          </w:tcPr>
          <w:p w14:paraId="5B940833">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lang w:val="en-US" w:eastAsia="zh-CN"/>
              </w:rPr>
              <w:t>管自强</w:t>
            </w:r>
          </w:p>
        </w:tc>
        <w:tc>
          <w:tcPr>
            <w:tcW w:w="3143" w:type="dxa"/>
            <w:noWrap w:val="0"/>
            <w:vAlign w:val="center"/>
          </w:tcPr>
          <w:p w14:paraId="17239D6F">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rPr>
              <w:t>S011035000110191000614</w:t>
            </w:r>
          </w:p>
        </w:tc>
        <w:tc>
          <w:tcPr>
            <w:tcW w:w="1275" w:type="dxa"/>
            <w:noWrap w:val="0"/>
            <w:vAlign w:val="center"/>
          </w:tcPr>
          <w:p w14:paraId="38755B7B">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rPr>
              <w:t>020516</w:t>
            </w:r>
          </w:p>
        </w:tc>
        <w:tc>
          <w:tcPr>
            <w:tcW w:w="1515" w:type="dxa"/>
            <w:noWrap w:val="0"/>
            <w:vAlign w:val="center"/>
          </w:tcPr>
          <w:p w14:paraId="181A7119">
            <w:pPr>
              <w:spacing w:line="240" w:lineRule="auto"/>
              <w:ind w:firstLine="0" w:firstLineChars="0"/>
              <w:jc w:val="center"/>
              <w:rPr>
                <w:rFonts w:ascii="Times New Roman" w:hAnsi="Times New Roman" w:eastAsia="宋体" w:cs="Times New Roman"/>
                <w:color w:val="auto"/>
                <w:kern w:val="2"/>
                <w:sz w:val="24"/>
                <w:szCs w:val="24"/>
              </w:rPr>
            </w:pPr>
          </w:p>
        </w:tc>
      </w:tr>
      <w:tr w14:paraId="0BF48F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vMerge w:val="restart"/>
            <w:noWrap w:val="0"/>
            <w:vAlign w:val="center"/>
          </w:tcPr>
          <w:p w14:paraId="6317D20E">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项目组成员</w:t>
            </w:r>
          </w:p>
        </w:tc>
        <w:tc>
          <w:tcPr>
            <w:tcW w:w="1160" w:type="dxa"/>
            <w:noWrap w:val="0"/>
            <w:vAlign w:val="center"/>
          </w:tcPr>
          <w:p w14:paraId="4A0615BA">
            <w:pPr>
              <w:spacing w:line="240" w:lineRule="auto"/>
              <w:ind w:firstLine="0" w:firstLineChars="0"/>
              <w:jc w:val="center"/>
              <w:rPr>
                <w:rFonts w:hint="default" w:ascii="Times New Roman" w:hAnsi="Times New Roman" w:eastAsia="宋体" w:cs="Times New Roman"/>
                <w:strike w:val="0"/>
                <w:dstrike w:val="0"/>
                <w:color w:val="auto"/>
                <w:kern w:val="2"/>
                <w:sz w:val="24"/>
                <w:szCs w:val="24"/>
                <w:lang w:val="en-US" w:eastAsia="zh-CN"/>
              </w:rPr>
            </w:pPr>
            <w:r>
              <w:rPr>
                <w:rFonts w:hint="default" w:ascii="Times New Roman" w:hAnsi="Times New Roman" w:eastAsia="宋体" w:cs="Times New Roman"/>
                <w:strike w:val="0"/>
                <w:dstrike w:val="0"/>
                <w:color w:val="auto"/>
                <w:kern w:val="2"/>
                <w:sz w:val="24"/>
                <w:szCs w:val="24"/>
              </w:rPr>
              <w:t>许玉才</w:t>
            </w:r>
          </w:p>
        </w:tc>
        <w:tc>
          <w:tcPr>
            <w:tcW w:w="3143" w:type="dxa"/>
            <w:noWrap w:val="0"/>
            <w:vAlign w:val="center"/>
          </w:tcPr>
          <w:p w14:paraId="3991C066">
            <w:pPr>
              <w:spacing w:line="240" w:lineRule="auto"/>
              <w:ind w:firstLine="0" w:firstLineChars="0"/>
              <w:jc w:val="center"/>
              <w:rPr>
                <w:rFonts w:hint="default" w:ascii="Times New Roman" w:hAnsi="Times New Roman" w:eastAsia="宋体" w:cs="Times New Roman"/>
                <w:strike w:val="0"/>
                <w:dstrike w:val="0"/>
                <w:color w:val="auto"/>
                <w:kern w:val="2"/>
                <w:sz w:val="24"/>
                <w:szCs w:val="24"/>
                <w:lang w:val="en-US" w:eastAsia="zh-CN"/>
              </w:rPr>
            </w:pPr>
            <w:r>
              <w:rPr>
                <w:rFonts w:hint="default" w:ascii="Times New Roman" w:hAnsi="Times New Roman" w:eastAsia="宋体" w:cs="Times New Roman"/>
                <w:strike w:val="0"/>
                <w:dstrike w:val="0"/>
                <w:color w:val="auto"/>
                <w:kern w:val="2"/>
                <w:sz w:val="24"/>
                <w:szCs w:val="24"/>
              </w:rPr>
              <w:t>1800000000200658</w:t>
            </w:r>
          </w:p>
        </w:tc>
        <w:tc>
          <w:tcPr>
            <w:tcW w:w="1275" w:type="dxa"/>
            <w:noWrap w:val="0"/>
            <w:vAlign w:val="center"/>
          </w:tcPr>
          <w:p w14:paraId="382FCDBB">
            <w:pPr>
              <w:spacing w:line="240" w:lineRule="auto"/>
              <w:ind w:firstLine="0" w:firstLineChars="0"/>
              <w:jc w:val="center"/>
              <w:rPr>
                <w:rFonts w:hint="default" w:ascii="Times New Roman" w:hAnsi="Times New Roman" w:eastAsia="宋体" w:cs="Times New Roman"/>
                <w:strike w:val="0"/>
                <w:dstrike w:val="0"/>
                <w:color w:val="auto"/>
                <w:kern w:val="2"/>
                <w:sz w:val="24"/>
                <w:szCs w:val="24"/>
                <w:lang w:val="en-US" w:eastAsia="zh-CN"/>
              </w:rPr>
            </w:pPr>
            <w:r>
              <w:rPr>
                <w:rFonts w:hint="default" w:ascii="Times New Roman" w:hAnsi="Times New Roman" w:eastAsia="宋体" w:cs="Times New Roman"/>
                <w:strike w:val="0"/>
                <w:dstrike w:val="0"/>
                <w:color w:val="auto"/>
                <w:kern w:val="2"/>
                <w:sz w:val="24"/>
                <w:szCs w:val="24"/>
              </w:rPr>
              <w:t>033460</w:t>
            </w:r>
          </w:p>
        </w:tc>
        <w:tc>
          <w:tcPr>
            <w:tcW w:w="1515" w:type="dxa"/>
            <w:noWrap w:val="0"/>
            <w:vAlign w:val="center"/>
          </w:tcPr>
          <w:p w14:paraId="6FE2C4A6">
            <w:pPr>
              <w:spacing w:line="240" w:lineRule="auto"/>
              <w:ind w:firstLine="0" w:firstLineChars="0"/>
              <w:jc w:val="center"/>
              <w:rPr>
                <w:rFonts w:ascii="Times New Roman" w:hAnsi="Times New Roman" w:eastAsia="宋体" w:cs="Times New Roman"/>
                <w:color w:val="auto"/>
                <w:kern w:val="2"/>
                <w:sz w:val="24"/>
                <w:szCs w:val="24"/>
              </w:rPr>
            </w:pPr>
          </w:p>
        </w:tc>
      </w:tr>
      <w:tr w14:paraId="6924CB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vMerge w:val="continue"/>
            <w:noWrap w:val="0"/>
            <w:vAlign w:val="center"/>
          </w:tcPr>
          <w:p w14:paraId="744D2B9C">
            <w:pPr>
              <w:spacing w:line="240" w:lineRule="auto"/>
              <w:ind w:firstLine="0" w:firstLineChars="0"/>
              <w:jc w:val="center"/>
              <w:rPr>
                <w:rFonts w:ascii="Times New Roman" w:hAnsi="Times New Roman" w:eastAsia="宋体" w:cs="Times New Roman"/>
                <w:color w:val="auto"/>
                <w:kern w:val="2"/>
                <w:sz w:val="24"/>
                <w:szCs w:val="24"/>
              </w:rPr>
            </w:pPr>
          </w:p>
        </w:tc>
        <w:tc>
          <w:tcPr>
            <w:tcW w:w="1160" w:type="dxa"/>
            <w:noWrap w:val="0"/>
            <w:vAlign w:val="center"/>
          </w:tcPr>
          <w:p w14:paraId="558EC77F">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谢寒梅</w:t>
            </w:r>
          </w:p>
        </w:tc>
        <w:tc>
          <w:tcPr>
            <w:tcW w:w="3143" w:type="dxa"/>
            <w:noWrap w:val="0"/>
            <w:vAlign w:val="center"/>
          </w:tcPr>
          <w:p w14:paraId="1191F98B">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S011035000110192001584</w:t>
            </w:r>
          </w:p>
        </w:tc>
        <w:tc>
          <w:tcPr>
            <w:tcW w:w="1275" w:type="dxa"/>
            <w:noWrap w:val="0"/>
            <w:vAlign w:val="center"/>
          </w:tcPr>
          <w:p w14:paraId="1CB16023">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027089</w:t>
            </w:r>
          </w:p>
        </w:tc>
        <w:tc>
          <w:tcPr>
            <w:tcW w:w="1515" w:type="dxa"/>
            <w:noWrap w:val="0"/>
            <w:vAlign w:val="center"/>
          </w:tcPr>
          <w:p w14:paraId="06A17825">
            <w:pPr>
              <w:spacing w:line="240" w:lineRule="auto"/>
              <w:ind w:firstLine="0" w:firstLineChars="0"/>
              <w:jc w:val="center"/>
              <w:rPr>
                <w:rFonts w:ascii="Times New Roman" w:hAnsi="Times New Roman" w:eastAsia="宋体" w:cs="Times New Roman"/>
                <w:color w:val="auto"/>
                <w:kern w:val="2"/>
                <w:sz w:val="24"/>
                <w:szCs w:val="24"/>
              </w:rPr>
            </w:pPr>
          </w:p>
        </w:tc>
      </w:tr>
      <w:tr w14:paraId="2D2B01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vMerge w:val="continue"/>
            <w:noWrap w:val="0"/>
            <w:vAlign w:val="center"/>
          </w:tcPr>
          <w:p w14:paraId="3A45FC25">
            <w:pPr>
              <w:spacing w:line="240" w:lineRule="auto"/>
              <w:ind w:firstLine="0" w:firstLineChars="0"/>
              <w:jc w:val="center"/>
              <w:rPr>
                <w:rFonts w:ascii="Times New Roman" w:hAnsi="Times New Roman" w:eastAsia="宋体" w:cs="Times New Roman"/>
                <w:color w:val="auto"/>
                <w:kern w:val="2"/>
                <w:sz w:val="24"/>
                <w:szCs w:val="24"/>
              </w:rPr>
            </w:pPr>
          </w:p>
        </w:tc>
        <w:tc>
          <w:tcPr>
            <w:tcW w:w="1160" w:type="dxa"/>
            <w:noWrap w:val="0"/>
            <w:vAlign w:val="center"/>
          </w:tcPr>
          <w:p w14:paraId="64209FEC">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eastAsia" w:ascii="Times New Roman" w:hAnsi="Times New Roman" w:eastAsia="宋体" w:cs="宋体"/>
                <w:color w:val="auto"/>
                <w:sz w:val="24"/>
                <w:lang w:val="en-US" w:eastAsia="zh-CN"/>
              </w:rPr>
              <w:t>曾华玉</w:t>
            </w:r>
          </w:p>
        </w:tc>
        <w:tc>
          <w:tcPr>
            <w:tcW w:w="3143" w:type="dxa"/>
            <w:noWrap w:val="0"/>
            <w:vAlign w:val="center"/>
          </w:tcPr>
          <w:p w14:paraId="76D17689">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eastAsia" w:ascii="Times New Roman" w:hAnsi="Times New Roman" w:eastAsia="宋体" w:cs="宋体"/>
                <w:color w:val="auto"/>
                <w:sz w:val="24"/>
              </w:rPr>
              <w:t>0800000000203970</w:t>
            </w:r>
          </w:p>
        </w:tc>
        <w:tc>
          <w:tcPr>
            <w:tcW w:w="1275" w:type="dxa"/>
            <w:noWrap w:val="0"/>
            <w:vAlign w:val="center"/>
          </w:tcPr>
          <w:p w14:paraId="1ABC1B4A">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eastAsia" w:ascii="Times New Roman" w:hAnsi="Times New Roman" w:eastAsia="宋体" w:cs="宋体"/>
                <w:color w:val="auto"/>
                <w:sz w:val="24"/>
              </w:rPr>
              <w:t>007037</w:t>
            </w:r>
          </w:p>
        </w:tc>
        <w:tc>
          <w:tcPr>
            <w:tcW w:w="1515" w:type="dxa"/>
            <w:noWrap w:val="0"/>
            <w:vAlign w:val="center"/>
          </w:tcPr>
          <w:p w14:paraId="0792057C">
            <w:pPr>
              <w:spacing w:line="240" w:lineRule="auto"/>
              <w:ind w:firstLine="0" w:firstLineChars="0"/>
              <w:jc w:val="center"/>
              <w:rPr>
                <w:rFonts w:ascii="Times New Roman" w:hAnsi="Times New Roman" w:eastAsia="宋体" w:cs="Times New Roman"/>
                <w:color w:val="auto"/>
                <w:kern w:val="2"/>
                <w:sz w:val="24"/>
                <w:szCs w:val="24"/>
              </w:rPr>
            </w:pPr>
          </w:p>
        </w:tc>
      </w:tr>
      <w:tr w14:paraId="61EAC3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vMerge w:val="continue"/>
            <w:noWrap w:val="0"/>
            <w:vAlign w:val="center"/>
          </w:tcPr>
          <w:p w14:paraId="2FA94760">
            <w:pPr>
              <w:spacing w:line="240" w:lineRule="auto"/>
              <w:ind w:firstLine="0" w:firstLineChars="0"/>
              <w:jc w:val="center"/>
              <w:rPr>
                <w:rFonts w:ascii="Times New Roman" w:hAnsi="Times New Roman" w:eastAsia="宋体" w:cs="Times New Roman"/>
                <w:color w:val="auto"/>
                <w:kern w:val="2"/>
                <w:sz w:val="24"/>
                <w:szCs w:val="24"/>
              </w:rPr>
            </w:pPr>
          </w:p>
        </w:tc>
        <w:tc>
          <w:tcPr>
            <w:tcW w:w="1160" w:type="dxa"/>
            <w:noWrap w:val="0"/>
            <w:vAlign w:val="center"/>
          </w:tcPr>
          <w:p w14:paraId="562A1620">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王  波</w:t>
            </w:r>
          </w:p>
        </w:tc>
        <w:tc>
          <w:tcPr>
            <w:tcW w:w="3143" w:type="dxa"/>
            <w:noWrap w:val="0"/>
            <w:vAlign w:val="center"/>
          </w:tcPr>
          <w:p w14:paraId="34B99061">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S011035000110202001263</w:t>
            </w:r>
          </w:p>
        </w:tc>
        <w:tc>
          <w:tcPr>
            <w:tcW w:w="1275" w:type="dxa"/>
            <w:noWrap w:val="0"/>
            <w:vAlign w:val="center"/>
          </w:tcPr>
          <w:p w14:paraId="4529FAFD">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040122</w:t>
            </w:r>
          </w:p>
        </w:tc>
        <w:tc>
          <w:tcPr>
            <w:tcW w:w="1515" w:type="dxa"/>
            <w:noWrap w:val="0"/>
            <w:vAlign w:val="center"/>
          </w:tcPr>
          <w:p w14:paraId="57D41098">
            <w:pPr>
              <w:spacing w:line="240" w:lineRule="auto"/>
              <w:ind w:firstLine="0" w:firstLineChars="0"/>
              <w:jc w:val="center"/>
              <w:rPr>
                <w:rFonts w:ascii="Times New Roman" w:hAnsi="Times New Roman" w:eastAsia="宋体" w:cs="Times New Roman"/>
                <w:color w:val="auto"/>
                <w:kern w:val="2"/>
                <w:sz w:val="24"/>
                <w:szCs w:val="24"/>
              </w:rPr>
            </w:pPr>
          </w:p>
        </w:tc>
      </w:tr>
      <w:tr w14:paraId="04EA6B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vMerge w:val="continue"/>
            <w:noWrap w:val="0"/>
            <w:vAlign w:val="center"/>
          </w:tcPr>
          <w:p w14:paraId="45273A4A">
            <w:pPr>
              <w:spacing w:line="240" w:lineRule="auto"/>
              <w:ind w:firstLine="0" w:firstLineChars="0"/>
              <w:jc w:val="center"/>
              <w:rPr>
                <w:rFonts w:ascii="Times New Roman" w:hAnsi="Times New Roman" w:eastAsia="宋体" w:cs="Times New Roman"/>
                <w:color w:val="auto"/>
                <w:kern w:val="2"/>
                <w:sz w:val="24"/>
                <w:szCs w:val="24"/>
              </w:rPr>
            </w:pPr>
          </w:p>
        </w:tc>
        <w:tc>
          <w:tcPr>
            <w:tcW w:w="1160" w:type="dxa"/>
            <w:noWrap w:val="0"/>
            <w:vAlign w:val="center"/>
          </w:tcPr>
          <w:p w14:paraId="519483E1">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郑  强</w:t>
            </w:r>
          </w:p>
        </w:tc>
        <w:tc>
          <w:tcPr>
            <w:tcW w:w="3143" w:type="dxa"/>
            <w:noWrap w:val="0"/>
            <w:vAlign w:val="center"/>
          </w:tcPr>
          <w:p w14:paraId="2D86DC41">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0800000000101605</w:t>
            </w:r>
          </w:p>
        </w:tc>
        <w:tc>
          <w:tcPr>
            <w:tcW w:w="1275" w:type="dxa"/>
            <w:noWrap w:val="0"/>
            <w:vAlign w:val="center"/>
          </w:tcPr>
          <w:p w14:paraId="2472CFFC">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001851</w:t>
            </w:r>
          </w:p>
        </w:tc>
        <w:tc>
          <w:tcPr>
            <w:tcW w:w="1515" w:type="dxa"/>
            <w:noWrap w:val="0"/>
            <w:vAlign w:val="center"/>
          </w:tcPr>
          <w:p w14:paraId="2EB25C1E">
            <w:pPr>
              <w:spacing w:line="240" w:lineRule="auto"/>
              <w:ind w:firstLine="0" w:firstLineChars="0"/>
              <w:jc w:val="center"/>
              <w:rPr>
                <w:rFonts w:ascii="Times New Roman" w:hAnsi="Times New Roman" w:eastAsia="宋体" w:cs="Times New Roman"/>
                <w:color w:val="auto"/>
                <w:kern w:val="2"/>
                <w:sz w:val="24"/>
                <w:szCs w:val="24"/>
              </w:rPr>
            </w:pPr>
          </w:p>
        </w:tc>
      </w:tr>
      <w:tr w14:paraId="0C20B3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noWrap w:val="0"/>
            <w:vAlign w:val="center"/>
          </w:tcPr>
          <w:p w14:paraId="4B28FB80">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报告编制人</w:t>
            </w:r>
          </w:p>
        </w:tc>
        <w:tc>
          <w:tcPr>
            <w:tcW w:w="1160" w:type="dxa"/>
            <w:noWrap w:val="0"/>
            <w:vAlign w:val="center"/>
          </w:tcPr>
          <w:p w14:paraId="7771DA61">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rPr>
              <w:t>许玉才</w:t>
            </w:r>
          </w:p>
        </w:tc>
        <w:tc>
          <w:tcPr>
            <w:tcW w:w="3143" w:type="dxa"/>
            <w:noWrap w:val="0"/>
            <w:vAlign w:val="center"/>
          </w:tcPr>
          <w:p w14:paraId="5D9F6A06">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rPr>
              <w:t>1800000000200658</w:t>
            </w:r>
          </w:p>
        </w:tc>
        <w:tc>
          <w:tcPr>
            <w:tcW w:w="1275" w:type="dxa"/>
            <w:noWrap w:val="0"/>
            <w:vAlign w:val="center"/>
          </w:tcPr>
          <w:p w14:paraId="6BED0F66">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rPr>
              <w:t>033460</w:t>
            </w:r>
          </w:p>
        </w:tc>
        <w:tc>
          <w:tcPr>
            <w:tcW w:w="1515" w:type="dxa"/>
            <w:noWrap w:val="0"/>
            <w:vAlign w:val="center"/>
          </w:tcPr>
          <w:p w14:paraId="330CEA69">
            <w:pPr>
              <w:spacing w:line="240" w:lineRule="auto"/>
              <w:ind w:firstLine="0" w:firstLineChars="0"/>
              <w:jc w:val="center"/>
              <w:rPr>
                <w:rFonts w:ascii="Times New Roman" w:hAnsi="Times New Roman" w:eastAsia="宋体" w:cs="Times New Roman"/>
                <w:color w:val="auto"/>
                <w:kern w:val="2"/>
                <w:sz w:val="24"/>
                <w:szCs w:val="24"/>
              </w:rPr>
            </w:pPr>
          </w:p>
        </w:tc>
      </w:tr>
      <w:tr w14:paraId="40BAB8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noWrap w:val="0"/>
            <w:vAlign w:val="center"/>
          </w:tcPr>
          <w:p w14:paraId="17D36015">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报告审核人</w:t>
            </w:r>
          </w:p>
        </w:tc>
        <w:tc>
          <w:tcPr>
            <w:tcW w:w="1160" w:type="dxa"/>
            <w:noWrap w:val="0"/>
            <w:vAlign w:val="center"/>
          </w:tcPr>
          <w:p w14:paraId="276633F2">
            <w:pPr>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2"/>
                <w:sz w:val="24"/>
                <w:szCs w:val="24"/>
                <w:lang w:bidi="ar"/>
              </w:rPr>
              <w:t>黄香港</w:t>
            </w:r>
          </w:p>
        </w:tc>
        <w:tc>
          <w:tcPr>
            <w:tcW w:w="3143" w:type="dxa"/>
            <w:noWrap w:val="0"/>
            <w:vAlign w:val="center"/>
          </w:tcPr>
          <w:p w14:paraId="3A926A24">
            <w:pPr>
              <w:overflowPunct w:val="0"/>
              <w:adjustRightInd w:val="0"/>
              <w:spacing w:before="40" w:after="60" w:line="200" w:lineRule="atLeast"/>
              <w:ind w:firstLine="0" w:firstLineChars="0"/>
              <w:jc w:val="center"/>
              <w:textAlignment w:val="baseline"/>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0"/>
                <w:sz w:val="24"/>
                <w:szCs w:val="24"/>
              </w:rPr>
              <w:t>S011035000110191000617</w:t>
            </w:r>
          </w:p>
        </w:tc>
        <w:tc>
          <w:tcPr>
            <w:tcW w:w="1275" w:type="dxa"/>
            <w:noWrap w:val="0"/>
            <w:vAlign w:val="center"/>
          </w:tcPr>
          <w:p w14:paraId="26DA2F47">
            <w:pPr>
              <w:overflowPunct w:val="0"/>
              <w:adjustRightInd w:val="0"/>
              <w:spacing w:before="40" w:after="60" w:line="200" w:lineRule="atLeast"/>
              <w:ind w:firstLine="0" w:firstLineChars="0"/>
              <w:jc w:val="center"/>
              <w:textAlignment w:val="baseline"/>
              <w:rPr>
                <w:rFonts w:hint="default" w:ascii="Times New Roman" w:hAnsi="Times New Roman" w:eastAsia="宋体" w:cs="Times New Roman"/>
                <w:strike w:val="0"/>
                <w:dstrike w:val="0"/>
                <w:color w:val="auto"/>
                <w:kern w:val="2"/>
                <w:sz w:val="24"/>
                <w:szCs w:val="24"/>
              </w:rPr>
            </w:pPr>
            <w:r>
              <w:rPr>
                <w:rFonts w:hint="default" w:ascii="Times New Roman" w:hAnsi="Times New Roman" w:eastAsia="宋体" w:cs="Times New Roman"/>
                <w:strike w:val="0"/>
                <w:dstrike w:val="0"/>
                <w:color w:val="auto"/>
                <w:kern w:val="0"/>
                <w:sz w:val="24"/>
                <w:szCs w:val="24"/>
              </w:rPr>
              <w:t>024436</w:t>
            </w:r>
          </w:p>
        </w:tc>
        <w:tc>
          <w:tcPr>
            <w:tcW w:w="1515" w:type="dxa"/>
            <w:noWrap w:val="0"/>
            <w:vAlign w:val="center"/>
          </w:tcPr>
          <w:p w14:paraId="634A96E6">
            <w:pPr>
              <w:spacing w:line="240" w:lineRule="auto"/>
              <w:ind w:firstLine="0" w:firstLineChars="0"/>
              <w:jc w:val="center"/>
              <w:rPr>
                <w:rFonts w:ascii="Times New Roman" w:hAnsi="Times New Roman" w:eastAsia="宋体" w:cs="Times New Roman"/>
                <w:color w:val="auto"/>
                <w:kern w:val="2"/>
                <w:sz w:val="24"/>
                <w:szCs w:val="24"/>
              </w:rPr>
            </w:pPr>
          </w:p>
        </w:tc>
      </w:tr>
      <w:tr w14:paraId="6865BD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noWrap w:val="0"/>
            <w:vAlign w:val="center"/>
          </w:tcPr>
          <w:p w14:paraId="23DBC214">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过程控制负责人</w:t>
            </w:r>
          </w:p>
        </w:tc>
        <w:tc>
          <w:tcPr>
            <w:tcW w:w="1160" w:type="dxa"/>
            <w:noWrap w:val="0"/>
            <w:vAlign w:val="center"/>
          </w:tcPr>
          <w:p w14:paraId="7A80B2FC">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eastAsia" w:ascii="Times New Roman" w:hAnsi="Times New Roman" w:eastAsia="宋体" w:cs="Times New Roman"/>
                <w:color w:val="auto"/>
                <w:kern w:val="2"/>
                <w:sz w:val="24"/>
                <w:szCs w:val="24"/>
              </w:rPr>
              <w:t>王海波</w:t>
            </w:r>
          </w:p>
        </w:tc>
        <w:tc>
          <w:tcPr>
            <w:tcW w:w="3143" w:type="dxa"/>
            <w:noWrap w:val="0"/>
            <w:vAlign w:val="center"/>
          </w:tcPr>
          <w:p w14:paraId="6CB36E50">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hint="eastAsia" w:ascii="Times New Roman" w:hAnsi="Times New Roman" w:eastAsia="宋体" w:cs="Times New Roman"/>
                <w:color w:val="auto"/>
                <w:kern w:val="2"/>
                <w:sz w:val="24"/>
                <w:szCs w:val="24"/>
              </w:rPr>
              <w:t>S011035000110201000579</w:t>
            </w:r>
          </w:p>
        </w:tc>
        <w:tc>
          <w:tcPr>
            <w:tcW w:w="1275" w:type="dxa"/>
            <w:noWrap w:val="0"/>
            <w:vAlign w:val="center"/>
          </w:tcPr>
          <w:p w14:paraId="709D1545">
            <w:pPr>
              <w:keepNext w:val="0"/>
              <w:keepLines w:val="0"/>
              <w:pageBreakBefore w:val="0"/>
              <w:widowControl w:val="0"/>
              <w:kinsoku/>
              <w:wordWrap/>
              <w:topLinePunct w:val="0"/>
              <w:autoSpaceDE/>
              <w:autoSpaceDN/>
              <w:bidi w:val="0"/>
              <w:snapToGrid/>
              <w:spacing w:line="240" w:lineRule="auto"/>
              <w:ind w:firstLine="0" w:firstLineChars="0"/>
              <w:jc w:val="center"/>
              <w:rPr>
                <w:rFonts w:hint="default" w:ascii="Times New Roman" w:hAnsi="Times New Roman" w:eastAsia="宋体" w:cs="Times New Roman"/>
                <w:strike w:val="0"/>
                <w:dstrike w:val="0"/>
                <w:color w:val="auto"/>
                <w:kern w:val="2"/>
                <w:sz w:val="24"/>
                <w:szCs w:val="24"/>
              </w:rPr>
            </w:pPr>
            <w:r>
              <w:rPr>
                <w:rFonts w:ascii="Times New Roman" w:hAnsi="Times New Roman" w:eastAsia="宋体" w:cs="Times New Roman"/>
                <w:color w:val="auto"/>
                <w:kern w:val="2"/>
                <w:sz w:val="24"/>
                <w:szCs w:val="24"/>
              </w:rPr>
              <w:t>032727</w:t>
            </w:r>
          </w:p>
        </w:tc>
        <w:tc>
          <w:tcPr>
            <w:tcW w:w="1515" w:type="dxa"/>
            <w:noWrap w:val="0"/>
            <w:vAlign w:val="center"/>
          </w:tcPr>
          <w:p w14:paraId="0AE963FD">
            <w:pPr>
              <w:spacing w:line="240" w:lineRule="auto"/>
              <w:ind w:firstLine="0" w:firstLineChars="0"/>
              <w:jc w:val="center"/>
              <w:rPr>
                <w:rFonts w:ascii="Times New Roman" w:hAnsi="Times New Roman" w:eastAsia="宋体" w:cs="Times New Roman"/>
                <w:color w:val="auto"/>
                <w:kern w:val="2"/>
                <w:sz w:val="24"/>
                <w:szCs w:val="24"/>
              </w:rPr>
            </w:pPr>
          </w:p>
        </w:tc>
      </w:tr>
      <w:tr w14:paraId="7F45A5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93" w:type="dxa"/>
            <w:noWrap w:val="0"/>
            <w:vAlign w:val="center"/>
          </w:tcPr>
          <w:p w14:paraId="09C8AD97">
            <w:pPr>
              <w:spacing w:line="240" w:lineRule="auto"/>
              <w:ind w:firstLine="0" w:firstLineChars="0"/>
              <w:jc w:val="center"/>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技术负责人</w:t>
            </w:r>
          </w:p>
        </w:tc>
        <w:tc>
          <w:tcPr>
            <w:tcW w:w="1160" w:type="dxa"/>
            <w:noWrap w:val="0"/>
            <w:vAlign w:val="center"/>
          </w:tcPr>
          <w:p w14:paraId="68AA2352">
            <w:pPr>
              <w:spacing w:line="240" w:lineRule="auto"/>
              <w:ind w:firstLine="0" w:firstLineChars="0"/>
              <w:jc w:val="center"/>
              <w:rPr>
                <w:rFonts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周红波</w:t>
            </w:r>
          </w:p>
        </w:tc>
        <w:tc>
          <w:tcPr>
            <w:tcW w:w="3143" w:type="dxa"/>
            <w:noWrap w:val="0"/>
            <w:vAlign w:val="center"/>
          </w:tcPr>
          <w:p w14:paraId="2B63B91B">
            <w:pPr>
              <w:spacing w:line="240" w:lineRule="auto"/>
              <w:ind w:firstLine="0" w:firstLineChars="0"/>
              <w:jc w:val="center"/>
              <w:rPr>
                <w:rFonts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1700000000100121</w:t>
            </w:r>
          </w:p>
        </w:tc>
        <w:tc>
          <w:tcPr>
            <w:tcW w:w="1275" w:type="dxa"/>
            <w:noWrap w:val="0"/>
            <w:vAlign w:val="center"/>
          </w:tcPr>
          <w:p w14:paraId="2C5A3317">
            <w:pPr>
              <w:spacing w:line="240" w:lineRule="auto"/>
              <w:ind w:firstLine="0" w:firstLineChars="0"/>
              <w:jc w:val="center"/>
              <w:rPr>
                <w:rFonts w:ascii="Times New Roman" w:hAnsi="Times New Roman" w:eastAsia="宋体" w:cs="Times New Roman"/>
                <w:strike w:val="0"/>
                <w:dstrike w:val="0"/>
                <w:color w:val="auto"/>
                <w:kern w:val="2"/>
                <w:sz w:val="24"/>
                <w:szCs w:val="24"/>
              </w:rPr>
            </w:pPr>
            <w:r>
              <w:rPr>
                <w:rFonts w:ascii="Times New Roman" w:hAnsi="Times New Roman" w:eastAsia="宋体" w:cs="Times New Roman"/>
                <w:strike w:val="0"/>
                <w:dstrike w:val="0"/>
                <w:color w:val="auto"/>
                <w:kern w:val="2"/>
                <w:sz w:val="24"/>
                <w:szCs w:val="24"/>
              </w:rPr>
              <w:t>020702</w:t>
            </w:r>
          </w:p>
        </w:tc>
        <w:tc>
          <w:tcPr>
            <w:tcW w:w="1515" w:type="dxa"/>
            <w:noWrap w:val="0"/>
            <w:vAlign w:val="center"/>
          </w:tcPr>
          <w:p w14:paraId="328603AD">
            <w:pPr>
              <w:spacing w:line="240" w:lineRule="auto"/>
              <w:ind w:firstLine="0" w:firstLineChars="0"/>
              <w:jc w:val="center"/>
              <w:rPr>
                <w:rFonts w:ascii="Times New Roman" w:hAnsi="Times New Roman" w:eastAsia="宋体" w:cs="Times New Roman"/>
                <w:color w:val="auto"/>
                <w:kern w:val="2"/>
                <w:sz w:val="24"/>
                <w:szCs w:val="24"/>
              </w:rPr>
            </w:pPr>
          </w:p>
        </w:tc>
      </w:tr>
    </w:tbl>
    <w:p w14:paraId="32581E76">
      <w:pPr>
        <w:bidi w:val="0"/>
        <w:ind w:firstLine="200"/>
        <w:rPr>
          <w:rFonts w:ascii="Times New Roman" w:hAnsi="Times New Roman" w:eastAsia="宋体" w:cs="Times New Roman"/>
          <w:color w:val="auto"/>
          <w:kern w:val="2"/>
          <w:szCs w:val="24"/>
        </w:rPr>
      </w:pPr>
    </w:p>
    <w:p w14:paraId="124B0FE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宋体" w:cs="Times New Roman"/>
          <w:b/>
          <w:bCs/>
          <w:color w:val="auto"/>
          <w:kern w:val="2"/>
          <w:szCs w:val="28"/>
        </w:rPr>
      </w:pPr>
      <w:r>
        <w:rPr>
          <w:rFonts w:ascii="宋体" w:hAnsi="Times New Roman" w:eastAsia="宋体" w:cs="Times New Roman"/>
          <w:color w:val="auto"/>
          <w:kern w:val="2"/>
          <w:sz w:val="28"/>
          <w:szCs w:val="28"/>
        </w:rPr>
        <w:br w:type="page"/>
      </w:r>
      <w:r>
        <w:rPr>
          <w:rFonts w:hint="eastAsia" w:ascii="黑体" w:hAnsi="Times New Roman" w:eastAsia="黑体" w:cs="黑体"/>
          <w:b/>
          <w:bCs/>
          <w:color w:val="auto"/>
          <w:kern w:val="2"/>
          <w:sz w:val="32"/>
          <w:szCs w:val="32"/>
        </w:rPr>
        <w:t>前    言</w:t>
      </w:r>
    </w:p>
    <w:p w14:paraId="3E605F57">
      <w:pPr>
        <w:bidi w:val="0"/>
        <w:ind w:firstLine="200"/>
        <w:rPr>
          <w:rFonts w:hint="eastAsia"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宜春钽铌矿有限公司是目前亚洲最大的钽铌锂露采矿山，“亚洲锂都”主要的原料基地。是江西钨业控股集团有限公司的全资矿山企业。系采、选联合企业，为江西省属重点企业。</w:t>
      </w:r>
    </w:p>
    <w:p w14:paraId="06834795">
      <w:pPr>
        <w:bidi w:val="0"/>
        <w:ind w:firstLine="200"/>
        <w:rPr>
          <w:rFonts w:hint="eastAsia" w:ascii="Times New Roman" w:hAnsi="Times New Roman" w:eastAsia="宋体" w:cs="Times New Roman"/>
          <w:color w:val="auto"/>
          <w:kern w:val="2"/>
          <w:szCs w:val="24"/>
          <w:lang w:eastAsia="zh-CN"/>
        </w:rPr>
      </w:pPr>
      <w:r>
        <w:rPr>
          <w:rFonts w:hint="eastAsia" w:ascii="Times New Roman" w:hAnsi="Times New Roman" w:eastAsia="宋体" w:cs="Times New Roman"/>
          <w:color w:val="auto"/>
          <w:kern w:val="2"/>
          <w:szCs w:val="24"/>
        </w:rPr>
        <w:t>宜春钽铌矿有限公司</w:t>
      </w:r>
      <w:r>
        <w:rPr>
          <w:rFonts w:hint="eastAsia" w:cs="Times New Roman"/>
          <w:color w:val="auto"/>
          <w:kern w:val="2"/>
          <w:szCs w:val="24"/>
          <w:lang w:eastAsia="zh-CN"/>
        </w:rPr>
        <w:t>加油站升级改造项目</w:t>
      </w:r>
      <w:r>
        <w:rPr>
          <w:rFonts w:hint="eastAsia" w:ascii="Times New Roman" w:hAnsi="Times New Roman" w:eastAsia="宋体" w:cs="Times New Roman"/>
          <w:color w:val="auto"/>
          <w:kern w:val="2"/>
          <w:szCs w:val="24"/>
        </w:rPr>
        <w:t>位于江西省宜春市袁州区新坊镇</w:t>
      </w:r>
      <w:r>
        <w:rPr>
          <w:rFonts w:hint="eastAsia" w:ascii="Times New Roman" w:hAnsi="Times New Roman" w:eastAsia="宋体" w:cs="Times New Roman"/>
          <w:color w:val="auto"/>
          <w:kern w:val="2"/>
          <w:szCs w:val="24"/>
          <w:lang w:eastAsia="zh-CN"/>
        </w:rPr>
        <w:t>，现有采矿场加油站及汽车队加油站各一座，各设有2座50m</w:t>
      </w:r>
      <w:r>
        <w:rPr>
          <w:rFonts w:hint="eastAsia" w:ascii="Times New Roman" w:hAnsi="Times New Roman" w:eastAsia="宋体" w:cs="Times New Roman"/>
          <w:color w:val="auto"/>
          <w:kern w:val="2"/>
          <w:szCs w:val="24"/>
          <w:vertAlign w:val="superscript"/>
          <w:lang w:val="en-US" w:eastAsia="zh-CN"/>
        </w:rPr>
        <w:t>3</w:t>
      </w:r>
      <w:r>
        <w:rPr>
          <w:rFonts w:hint="eastAsia" w:ascii="Times New Roman" w:hAnsi="Times New Roman" w:eastAsia="宋体" w:cs="Times New Roman"/>
          <w:color w:val="auto"/>
          <w:kern w:val="2"/>
          <w:szCs w:val="24"/>
          <w:lang w:eastAsia="zh-CN"/>
        </w:rPr>
        <w:t>柴油储罐及一座加油机，</w:t>
      </w:r>
      <w:r>
        <w:rPr>
          <w:rFonts w:hint="eastAsia" w:ascii="Times New Roman" w:hAnsi="Times New Roman" w:eastAsia="宋体" w:cs="Times New Roman"/>
          <w:color w:val="auto"/>
          <w:kern w:val="2"/>
          <w:szCs w:val="24"/>
          <w:lang w:val="en-US" w:eastAsia="zh-CN"/>
        </w:rPr>
        <w:t>目前</w:t>
      </w:r>
      <w:r>
        <w:rPr>
          <w:rFonts w:hint="eastAsia" w:ascii="Times New Roman" w:hAnsi="Times New Roman" w:eastAsia="宋体" w:cs="Times New Roman"/>
          <w:color w:val="auto"/>
          <w:kern w:val="2"/>
          <w:szCs w:val="24"/>
          <w:lang w:eastAsia="zh-CN"/>
        </w:rPr>
        <w:t>采矿场加油站</w:t>
      </w:r>
      <w:r>
        <w:rPr>
          <w:rFonts w:hint="eastAsia" w:cs="Times New Roman"/>
          <w:color w:val="auto"/>
          <w:kern w:val="2"/>
          <w:szCs w:val="24"/>
          <w:lang w:val="en-US" w:eastAsia="zh-CN"/>
        </w:rPr>
        <w:t>和</w:t>
      </w:r>
      <w:r>
        <w:rPr>
          <w:rFonts w:hint="eastAsia" w:ascii="Times New Roman" w:hAnsi="Times New Roman" w:eastAsia="宋体" w:cs="Times New Roman"/>
          <w:color w:val="auto"/>
          <w:kern w:val="2"/>
          <w:szCs w:val="24"/>
          <w:lang w:eastAsia="zh-CN"/>
        </w:rPr>
        <w:t>汽车队加油站</w:t>
      </w:r>
      <w:r>
        <w:rPr>
          <w:rFonts w:hint="eastAsia" w:cs="Times New Roman"/>
          <w:color w:val="auto"/>
          <w:kern w:val="2"/>
          <w:szCs w:val="24"/>
          <w:lang w:val="en-US" w:eastAsia="zh-CN"/>
        </w:rPr>
        <w:t>均不符合《汽车加油加气加氢站技术标准》（GB50156-2021）的要求，</w:t>
      </w:r>
      <w:r>
        <w:rPr>
          <w:rFonts w:hint="eastAsia" w:ascii="Times New Roman" w:hAnsi="Times New Roman" w:eastAsia="宋体" w:cs="Times New Roman"/>
          <w:color w:val="auto"/>
          <w:kern w:val="2"/>
          <w:szCs w:val="24"/>
          <w:lang w:val="en-US" w:eastAsia="zh-CN"/>
        </w:rPr>
        <w:t>故本次</w:t>
      </w:r>
      <w:r>
        <w:rPr>
          <w:rFonts w:hint="eastAsia" w:cs="Times New Roman"/>
          <w:color w:val="auto"/>
          <w:kern w:val="2"/>
          <w:szCs w:val="24"/>
          <w:lang w:eastAsia="zh-CN"/>
        </w:rPr>
        <w:t>升级改造</w:t>
      </w:r>
      <w:r>
        <w:rPr>
          <w:rFonts w:hint="eastAsia" w:ascii="Times New Roman" w:hAnsi="Times New Roman" w:eastAsia="宋体" w:cs="Times New Roman"/>
          <w:color w:val="auto"/>
          <w:kern w:val="2"/>
          <w:szCs w:val="24"/>
          <w:lang w:val="en-US" w:eastAsia="zh-CN"/>
        </w:rPr>
        <w:t>将</w:t>
      </w:r>
      <w:r>
        <w:rPr>
          <w:rFonts w:hint="eastAsia" w:ascii="Times New Roman" w:hAnsi="Times New Roman" w:eastAsia="宋体" w:cs="Times New Roman"/>
          <w:color w:val="auto"/>
          <w:kern w:val="2"/>
          <w:szCs w:val="24"/>
          <w:lang w:eastAsia="zh-CN"/>
        </w:rPr>
        <w:t>采矿场加油站及汽车队加油站原有地下室储罐停用，分别新建1座50</w:t>
      </w:r>
      <w:r>
        <w:rPr>
          <w:rFonts w:hint="eastAsia" w:cs="Times New Roman"/>
          <w:color w:val="auto"/>
          <w:kern w:val="2"/>
          <w:szCs w:val="24"/>
          <w:lang w:val="en-US" w:eastAsia="zh-CN"/>
        </w:rPr>
        <w:t>m</w:t>
      </w:r>
      <w:r>
        <w:rPr>
          <w:rFonts w:hint="eastAsia" w:cs="Times New Roman"/>
          <w:color w:val="auto"/>
          <w:kern w:val="2"/>
          <w:szCs w:val="24"/>
          <w:vertAlign w:val="superscript"/>
          <w:lang w:val="en-US" w:eastAsia="zh-CN"/>
        </w:rPr>
        <w:t>3</w:t>
      </w:r>
      <w:r>
        <w:rPr>
          <w:rFonts w:hint="eastAsia" w:ascii="Times New Roman" w:hAnsi="Times New Roman" w:eastAsia="宋体" w:cs="Times New Roman"/>
          <w:color w:val="auto"/>
          <w:kern w:val="2"/>
          <w:szCs w:val="24"/>
          <w:lang w:eastAsia="zh-CN"/>
        </w:rPr>
        <w:t>柴油地上撬装加油站</w:t>
      </w:r>
      <w:r>
        <w:rPr>
          <w:rFonts w:hint="eastAsia" w:cs="Times New Roman"/>
          <w:color w:val="auto"/>
          <w:kern w:val="2"/>
          <w:szCs w:val="24"/>
          <w:lang w:eastAsia="zh-CN"/>
        </w:rPr>
        <w:t>（符合撬装加油站设计规范要求），</w:t>
      </w:r>
      <w:r>
        <w:rPr>
          <w:rFonts w:hint="eastAsia" w:ascii="Times New Roman" w:hAnsi="Times New Roman" w:eastAsia="宋体" w:cs="Times New Roman"/>
          <w:color w:val="auto"/>
          <w:kern w:val="2"/>
          <w:szCs w:val="24"/>
          <w:lang w:eastAsia="zh-CN"/>
        </w:rPr>
        <w:t>新建25</w:t>
      </w:r>
      <w:r>
        <w:rPr>
          <w:rFonts w:hint="eastAsia" w:cs="Times New Roman"/>
          <w:color w:val="auto"/>
          <w:kern w:val="2"/>
          <w:szCs w:val="24"/>
          <w:lang w:val="en-US" w:eastAsia="zh-CN"/>
        </w:rPr>
        <w:t>m</w:t>
      </w:r>
      <w:r>
        <w:rPr>
          <w:rFonts w:hint="eastAsia" w:cs="Times New Roman"/>
          <w:color w:val="auto"/>
          <w:kern w:val="2"/>
          <w:szCs w:val="24"/>
          <w:vertAlign w:val="superscript"/>
          <w:lang w:val="en-US" w:eastAsia="zh-CN"/>
        </w:rPr>
        <w:t>3</w:t>
      </w:r>
      <w:r>
        <w:rPr>
          <w:rFonts w:hint="eastAsia" w:ascii="Times New Roman" w:hAnsi="Times New Roman" w:eastAsia="宋体" w:cs="Times New Roman"/>
          <w:color w:val="auto"/>
          <w:kern w:val="2"/>
          <w:szCs w:val="24"/>
          <w:lang w:eastAsia="zh-CN"/>
        </w:rPr>
        <w:t>漏油收集池，配套建筑、电气、自控、给排水改造。</w:t>
      </w:r>
    </w:p>
    <w:p w14:paraId="30796270">
      <w:pPr>
        <w:bidi w:val="0"/>
        <w:ind w:firstLine="200"/>
        <w:rPr>
          <w:rFonts w:hint="eastAsia" w:ascii="Times New Roman" w:hAnsi="Times New Roman" w:eastAsia="宋体" w:cs="Times New Roman"/>
          <w:strike/>
          <w:dstrike w:val="0"/>
          <w:color w:val="auto"/>
          <w:kern w:val="2"/>
          <w:szCs w:val="24"/>
          <w:lang w:eastAsia="zh-CN"/>
        </w:rPr>
      </w:pPr>
      <w:r>
        <w:rPr>
          <w:rFonts w:hint="eastAsia" w:ascii="Times New Roman" w:hAnsi="Times New Roman" w:eastAsia="宋体" w:cs="Times New Roman"/>
          <w:color w:val="auto"/>
          <w:kern w:val="2"/>
          <w:szCs w:val="24"/>
          <w:lang w:eastAsia="zh-CN"/>
        </w:rPr>
        <w:t>宜春钽铌矿有限公司</w:t>
      </w:r>
      <w:r>
        <w:rPr>
          <w:rFonts w:hint="eastAsia" w:cs="Times New Roman"/>
          <w:color w:val="auto"/>
          <w:kern w:val="2"/>
          <w:szCs w:val="24"/>
          <w:lang w:eastAsia="zh-CN"/>
        </w:rPr>
        <w:t>加油站升级改造项目（</w:t>
      </w:r>
      <w:r>
        <w:rPr>
          <w:rFonts w:hint="eastAsia" w:cs="Times New Roman"/>
          <w:color w:val="auto"/>
          <w:kern w:val="2"/>
          <w:szCs w:val="24"/>
          <w:lang w:val="en-US" w:eastAsia="zh-CN"/>
        </w:rPr>
        <w:t>以下简称“本项目”</w:t>
      </w:r>
      <w:r>
        <w:rPr>
          <w:rFonts w:hint="eastAsia" w:cs="Times New Roman"/>
          <w:color w:val="auto"/>
          <w:kern w:val="2"/>
          <w:szCs w:val="24"/>
          <w:lang w:eastAsia="zh-CN"/>
        </w:rPr>
        <w:t>）</w:t>
      </w:r>
      <w:r>
        <w:rPr>
          <w:rFonts w:hint="eastAsia" w:ascii="Times New Roman" w:hAnsi="Times New Roman" w:eastAsia="宋体" w:cs="Times New Roman"/>
          <w:color w:val="auto"/>
          <w:kern w:val="2"/>
          <w:szCs w:val="24"/>
          <w:lang w:eastAsia="zh-CN"/>
        </w:rPr>
        <w:t>由天津中德工程设计有限公司设计</w:t>
      </w:r>
      <w:r>
        <w:rPr>
          <w:rFonts w:hint="eastAsia" w:ascii="Times New Roman" w:hAnsi="Times New Roman" w:eastAsia="宋体" w:cs="Times New Roman"/>
          <w:strike w:val="0"/>
          <w:dstrike w:val="0"/>
          <w:color w:val="auto"/>
          <w:kern w:val="2"/>
          <w:szCs w:val="24"/>
          <w:lang w:eastAsia="zh-CN"/>
        </w:rPr>
        <w:t>。</w:t>
      </w:r>
      <w:r>
        <w:rPr>
          <w:rFonts w:hint="eastAsia" w:cs="Times New Roman"/>
          <w:color w:val="auto"/>
          <w:kern w:val="2"/>
          <w:szCs w:val="24"/>
          <w:lang w:val="en-US" w:eastAsia="zh-CN"/>
        </w:rPr>
        <w:t>本项目</w:t>
      </w:r>
      <w:r>
        <w:rPr>
          <w:rFonts w:hint="eastAsia" w:ascii="Times New Roman" w:hAnsi="Times New Roman" w:eastAsia="宋体" w:cs="Times New Roman"/>
          <w:strike w:val="0"/>
          <w:dstrike w:val="0"/>
          <w:color w:val="auto"/>
          <w:kern w:val="2"/>
          <w:szCs w:val="24"/>
          <w:lang w:eastAsia="zh-CN"/>
        </w:rPr>
        <w:t>采矿场加油站改造后</w:t>
      </w:r>
      <w:r>
        <w:rPr>
          <w:rFonts w:hint="eastAsia" w:cs="Times New Roman"/>
          <w:strike w:val="0"/>
          <w:dstrike w:val="0"/>
          <w:color w:val="auto"/>
          <w:kern w:val="2"/>
          <w:szCs w:val="24"/>
          <w:lang w:val="en-US" w:eastAsia="zh-CN"/>
        </w:rPr>
        <w:t>由1台</w:t>
      </w:r>
      <w:r>
        <w:rPr>
          <w:rFonts w:hint="eastAsia" w:ascii="Times New Roman" w:hAnsi="Times New Roman" w:eastAsia="宋体" w:cs="Times New Roman"/>
          <w:strike w:val="0"/>
          <w:dstrike w:val="0"/>
          <w:color w:val="auto"/>
          <w:kern w:val="2"/>
          <w:szCs w:val="24"/>
          <w:lang w:eastAsia="zh-CN"/>
        </w:rPr>
        <w:t>50</w:t>
      </w:r>
      <w:r>
        <w:rPr>
          <w:rFonts w:hint="eastAsia" w:cs="Times New Roman"/>
          <w:strike w:val="0"/>
          <w:dstrike w:val="0"/>
          <w:color w:val="auto"/>
          <w:kern w:val="2"/>
          <w:szCs w:val="24"/>
          <w:lang w:val="en-US" w:eastAsia="zh-CN"/>
        </w:rPr>
        <w:t>m</w:t>
      </w:r>
      <w:r>
        <w:rPr>
          <w:rFonts w:hint="eastAsia" w:cs="Times New Roman"/>
          <w:strike w:val="0"/>
          <w:dstrike w:val="0"/>
          <w:color w:val="auto"/>
          <w:kern w:val="2"/>
          <w:szCs w:val="24"/>
          <w:vertAlign w:val="superscript"/>
          <w:lang w:val="en-US" w:eastAsia="zh-CN"/>
        </w:rPr>
        <w:t>3</w:t>
      </w:r>
      <w:r>
        <w:rPr>
          <w:rFonts w:hint="eastAsia" w:cs="Times New Roman"/>
          <w:strike w:val="0"/>
          <w:dstrike w:val="0"/>
          <w:color w:val="auto"/>
          <w:kern w:val="2"/>
          <w:szCs w:val="24"/>
          <w:vertAlign w:val="baseline"/>
          <w:lang w:val="en-US" w:eastAsia="zh-CN"/>
        </w:rPr>
        <w:t>撬装加油机</w:t>
      </w:r>
      <w:r>
        <w:rPr>
          <w:rFonts w:hint="eastAsia" w:ascii="Times New Roman" w:hAnsi="Times New Roman" w:eastAsia="宋体" w:cs="Times New Roman"/>
          <w:strike w:val="0"/>
          <w:dstrike w:val="0"/>
          <w:color w:val="auto"/>
          <w:kern w:val="2"/>
          <w:szCs w:val="24"/>
          <w:lang w:eastAsia="zh-CN"/>
        </w:rPr>
        <w:t>、</w:t>
      </w:r>
      <w:r>
        <w:rPr>
          <w:rFonts w:hint="eastAsia" w:ascii="Times New Roman" w:hAnsi="Times New Roman" w:eastAsia="宋体" w:cs="Times New Roman"/>
          <w:strike w:val="0"/>
          <w:dstrike w:val="0"/>
          <w:color w:val="auto"/>
          <w:kern w:val="2"/>
          <w:szCs w:val="24"/>
          <w:lang w:val="en-US" w:eastAsia="zh-CN"/>
        </w:rPr>
        <w:t>值班室、密闭漏油收集池等</w:t>
      </w:r>
      <w:r>
        <w:rPr>
          <w:rFonts w:hint="eastAsia" w:cs="Times New Roman"/>
          <w:strike w:val="0"/>
          <w:dstrike w:val="0"/>
          <w:color w:val="auto"/>
          <w:kern w:val="2"/>
          <w:szCs w:val="24"/>
          <w:lang w:val="en-US" w:eastAsia="zh-CN"/>
        </w:rPr>
        <w:t>构成</w:t>
      </w:r>
      <w:r>
        <w:rPr>
          <w:rFonts w:hint="eastAsia" w:ascii="Times New Roman" w:hAnsi="Times New Roman" w:eastAsia="宋体" w:cs="Times New Roman"/>
          <w:strike w:val="0"/>
          <w:dstrike w:val="0"/>
          <w:color w:val="auto"/>
          <w:kern w:val="2"/>
          <w:szCs w:val="24"/>
          <w:lang w:eastAsia="zh-CN"/>
        </w:rPr>
        <w:t>，属</w:t>
      </w:r>
      <w:r>
        <w:rPr>
          <w:rFonts w:hint="eastAsia" w:ascii="Times New Roman" w:hAnsi="Times New Roman" w:eastAsia="宋体" w:cs="Times New Roman"/>
          <w:strike w:val="0"/>
          <w:dstrike w:val="0"/>
          <w:color w:val="auto"/>
          <w:kern w:val="2"/>
          <w:szCs w:val="24"/>
          <w:lang w:val="en-US" w:eastAsia="zh-CN"/>
        </w:rPr>
        <w:t>三</w:t>
      </w:r>
      <w:r>
        <w:rPr>
          <w:rFonts w:hint="eastAsia" w:ascii="Times New Roman" w:hAnsi="Times New Roman" w:eastAsia="宋体" w:cs="Times New Roman"/>
          <w:strike w:val="0"/>
          <w:dstrike w:val="0"/>
          <w:color w:val="auto"/>
          <w:kern w:val="2"/>
          <w:szCs w:val="24"/>
          <w:lang w:eastAsia="zh-CN"/>
        </w:rPr>
        <w:t>级加油站；汽车队加油站改造后</w:t>
      </w:r>
      <w:r>
        <w:rPr>
          <w:rFonts w:hint="eastAsia" w:cs="Times New Roman"/>
          <w:strike w:val="0"/>
          <w:dstrike w:val="0"/>
          <w:color w:val="auto"/>
          <w:kern w:val="2"/>
          <w:szCs w:val="24"/>
          <w:lang w:val="en-US" w:eastAsia="zh-CN"/>
        </w:rPr>
        <w:t>由1台</w:t>
      </w:r>
      <w:r>
        <w:rPr>
          <w:rFonts w:hint="eastAsia" w:ascii="Times New Roman" w:hAnsi="Times New Roman" w:eastAsia="宋体" w:cs="Times New Roman"/>
          <w:strike w:val="0"/>
          <w:dstrike w:val="0"/>
          <w:color w:val="auto"/>
          <w:kern w:val="2"/>
          <w:szCs w:val="24"/>
          <w:lang w:eastAsia="zh-CN"/>
        </w:rPr>
        <w:t>50</w:t>
      </w:r>
      <w:r>
        <w:rPr>
          <w:rFonts w:hint="eastAsia" w:cs="Times New Roman"/>
          <w:strike w:val="0"/>
          <w:dstrike w:val="0"/>
          <w:color w:val="auto"/>
          <w:kern w:val="2"/>
          <w:szCs w:val="24"/>
          <w:lang w:val="en-US" w:eastAsia="zh-CN"/>
        </w:rPr>
        <w:t>m</w:t>
      </w:r>
      <w:r>
        <w:rPr>
          <w:rFonts w:hint="eastAsia" w:cs="Times New Roman"/>
          <w:strike w:val="0"/>
          <w:dstrike w:val="0"/>
          <w:color w:val="auto"/>
          <w:kern w:val="2"/>
          <w:szCs w:val="24"/>
          <w:vertAlign w:val="superscript"/>
          <w:lang w:val="en-US" w:eastAsia="zh-CN"/>
        </w:rPr>
        <w:t>3</w:t>
      </w:r>
      <w:r>
        <w:rPr>
          <w:rFonts w:hint="eastAsia" w:cs="Times New Roman"/>
          <w:strike w:val="0"/>
          <w:dstrike w:val="0"/>
          <w:color w:val="auto"/>
          <w:kern w:val="2"/>
          <w:szCs w:val="24"/>
          <w:vertAlign w:val="baseline"/>
          <w:lang w:val="en-US" w:eastAsia="zh-CN"/>
        </w:rPr>
        <w:t>撬装加油机</w:t>
      </w:r>
      <w:r>
        <w:rPr>
          <w:rFonts w:hint="eastAsia" w:ascii="Times New Roman" w:hAnsi="Times New Roman" w:eastAsia="宋体" w:cs="Times New Roman"/>
          <w:strike w:val="0"/>
          <w:dstrike w:val="0"/>
          <w:color w:val="auto"/>
          <w:kern w:val="2"/>
          <w:szCs w:val="24"/>
          <w:lang w:eastAsia="zh-CN"/>
        </w:rPr>
        <w:t>、</w:t>
      </w:r>
      <w:r>
        <w:rPr>
          <w:rFonts w:hint="eastAsia" w:ascii="Times New Roman" w:hAnsi="Times New Roman" w:eastAsia="宋体" w:cs="Times New Roman"/>
          <w:strike w:val="0"/>
          <w:dstrike w:val="0"/>
          <w:color w:val="auto"/>
          <w:kern w:val="2"/>
          <w:szCs w:val="24"/>
          <w:lang w:val="en-US" w:eastAsia="zh-CN"/>
        </w:rPr>
        <w:t>值班室、密闭漏油收集池等</w:t>
      </w:r>
      <w:r>
        <w:rPr>
          <w:rFonts w:hint="eastAsia" w:cs="Times New Roman"/>
          <w:strike w:val="0"/>
          <w:dstrike w:val="0"/>
          <w:color w:val="auto"/>
          <w:kern w:val="2"/>
          <w:szCs w:val="24"/>
          <w:lang w:val="en-US" w:eastAsia="zh-CN"/>
        </w:rPr>
        <w:t>构成</w:t>
      </w:r>
      <w:r>
        <w:rPr>
          <w:rFonts w:hint="eastAsia" w:ascii="Times New Roman" w:hAnsi="Times New Roman" w:eastAsia="宋体" w:cs="Times New Roman"/>
          <w:strike w:val="0"/>
          <w:dstrike w:val="0"/>
          <w:color w:val="auto"/>
          <w:kern w:val="2"/>
          <w:szCs w:val="24"/>
          <w:lang w:eastAsia="zh-CN"/>
        </w:rPr>
        <w:t>，属</w:t>
      </w:r>
      <w:r>
        <w:rPr>
          <w:rFonts w:hint="eastAsia" w:ascii="Times New Roman" w:hAnsi="Times New Roman" w:eastAsia="宋体" w:cs="Times New Roman"/>
          <w:strike w:val="0"/>
          <w:dstrike w:val="0"/>
          <w:color w:val="auto"/>
          <w:kern w:val="2"/>
          <w:szCs w:val="24"/>
          <w:lang w:val="en-US" w:eastAsia="zh-CN"/>
        </w:rPr>
        <w:t>三</w:t>
      </w:r>
      <w:r>
        <w:rPr>
          <w:rFonts w:hint="eastAsia" w:ascii="Times New Roman" w:hAnsi="Times New Roman" w:eastAsia="宋体" w:cs="Times New Roman"/>
          <w:strike w:val="0"/>
          <w:dstrike w:val="0"/>
          <w:color w:val="auto"/>
          <w:kern w:val="2"/>
          <w:szCs w:val="24"/>
          <w:lang w:eastAsia="zh-CN"/>
        </w:rPr>
        <w:t>级加油站。</w:t>
      </w:r>
    </w:p>
    <w:p w14:paraId="5ED54501">
      <w:pPr>
        <w:ind w:firstLine="200"/>
        <w:rPr>
          <w:rFonts w:hint="eastAsia" w:ascii="Times New Roman" w:hAnsi="Times New Roman" w:eastAsia="宋体" w:cs="Times New Roman"/>
          <w:color w:val="auto"/>
          <w:kern w:val="2"/>
          <w:szCs w:val="24"/>
          <w:highlight w:val="none"/>
        </w:rPr>
      </w:pPr>
      <w:r>
        <w:rPr>
          <w:rFonts w:hint="eastAsia" w:ascii="Times New Roman" w:hAnsi="Times New Roman" w:eastAsia="宋体" w:cs="Times New Roman"/>
          <w:color w:val="auto"/>
          <w:kern w:val="2"/>
          <w:szCs w:val="24"/>
          <w:highlight w:val="none"/>
        </w:rPr>
        <w:t>车用0#柴油是可燃液体，闪点不</w:t>
      </w:r>
      <w:r>
        <w:rPr>
          <w:rFonts w:hint="eastAsia" w:cs="Times New Roman"/>
          <w:color w:val="auto"/>
          <w:kern w:val="2"/>
          <w:szCs w:val="24"/>
          <w:highlight w:val="none"/>
          <w:lang w:val="en-US" w:eastAsia="zh-CN"/>
        </w:rPr>
        <w:t>小于</w:t>
      </w:r>
      <w:r>
        <w:rPr>
          <w:rFonts w:hint="eastAsia" w:ascii="Times New Roman" w:hAnsi="Times New Roman" w:eastAsia="宋体" w:cs="Times New Roman"/>
          <w:color w:val="auto"/>
          <w:kern w:val="2"/>
          <w:szCs w:val="24"/>
          <w:highlight w:val="none"/>
        </w:rPr>
        <w:t>60°，属于危险化学品，火险分级为丙类，遇明火、高热或与氧化剂接触，有引起燃烧爆炸的危险。根据《中华人民共和国安全生产法》和《危险化学品建设项目安全监督管理办法》的要求</w:t>
      </w:r>
      <w:r>
        <w:rPr>
          <w:rFonts w:hint="eastAsia" w:cs="Times New Roman"/>
          <w:color w:val="auto"/>
          <w:kern w:val="2"/>
          <w:szCs w:val="24"/>
          <w:highlight w:val="none"/>
          <w:lang w:eastAsia="zh-CN"/>
        </w:rPr>
        <w:t>，</w:t>
      </w:r>
      <w:r>
        <w:rPr>
          <w:rFonts w:hint="eastAsia" w:ascii="Times New Roman" w:hAnsi="Times New Roman" w:eastAsia="宋体" w:cs="Times New Roman"/>
          <w:color w:val="auto"/>
          <w:kern w:val="2"/>
          <w:szCs w:val="24"/>
          <w:highlight w:val="none"/>
        </w:rPr>
        <w:t>“申请新建、改建、扩建的建设项目设立安全审查前，建设单位应当选择有资质的安全评价机构对建设项目设立进行安全条件评价。”以确保</w:t>
      </w:r>
      <w:r>
        <w:rPr>
          <w:rFonts w:hint="eastAsia" w:cs="Times New Roman"/>
          <w:color w:val="auto"/>
          <w:kern w:val="2"/>
          <w:szCs w:val="24"/>
          <w:highlight w:val="none"/>
          <w:lang w:eastAsia="zh-CN"/>
        </w:rPr>
        <w:t>本项目</w:t>
      </w:r>
      <w:r>
        <w:rPr>
          <w:rFonts w:hint="eastAsia" w:ascii="Times New Roman" w:hAnsi="Times New Roman" w:eastAsia="宋体" w:cs="Times New Roman"/>
          <w:color w:val="auto"/>
          <w:kern w:val="2"/>
          <w:szCs w:val="24"/>
          <w:highlight w:val="none"/>
        </w:rPr>
        <w:t>的安全设施与主体工程同时设计、同时施工和同时投产使用</w:t>
      </w:r>
      <w:r>
        <w:rPr>
          <w:rFonts w:hint="eastAsia" w:cs="Times New Roman"/>
          <w:color w:val="auto"/>
          <w:kern w:val="2"/>
          <w:szCs w:val="24"/>
          <w:highlight w:val="none"/>
          <w:lang w:eastAsia="zh-CN"/>
        </w:rPr>
        <w:t>；</w:t>
      </w:r>
      <w:r>
        <w:rPr>
          <w:rFonts w:hint="eastAsia" w:ascii="Times New Roman" w:hAnsi="Times New Roman" w:eastAsia="宋体" w:cs="Times New Roman"/>
          <w:color w:val="auto"/>
          <w:kern w:val="2"/>
          <w:szCs w:val="24"/>
          <w:highlight w:val="none"/>
        </w:rPr>
        <w:t>保证</w:t>
      </w:r>
      <w:r>
        <w:rPr>
          <w:rFonts w:hint="eastAsia" w:cs="Times New Roman"/>
          <w:color w:val="auto"/>
          <w:kern w:val="2"/>
          <w:szCs w:val="24"/>
          <w:highlight w:val="none"/>
          <w:lang w:eastAsia="zh-CN"/>
        </w:rPr>
        <w:t>本项目</w:t>
      </w:r>
      <w:r>
        <w:rPr>
          <w:rFonts w:hint="eastAsia" w:ascii="Times New Roman" w:hAnsi="Times New Roman" w:eastAsia="宋体" w:cs="Times New Roman"/>
          <w:color w:val="auto"/>
          <w:kern w:val="2"/>
          <w:szCs w:val="24"/>
          <w:highlight w:val="none"/>
        </w:rPr>
        <w:t>完成后在安全方面符合国家有关法规和标准的要求。</w:t>
      </w:r>
    </w:p>
    <w:p w14:paraId="59686720">
      <w:pPr>
        <w:ind w:firstLine="200"/>
        <w:rPr>
          <w:rFonts w:hint="eastAsia"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受宜春钽铌矿有限公司的委托，江西赣安安全生产科学技术咨询服务中心承担其</w:t>
      </w:r>
      <w:r>
        <w:rPr>
          <w:rFonts w:hint="eastAsia" w:cs="Times New Roman"/>
          <w:color w:val="auto"/>
          <w:kern w:val="2"/>
          <w:szCs w:val="24"/>
          <w:lang w:eastAsia="zh-CN"/>
        </w:rPr>
        <w:t>加油站升级改造项目</w:t>
      </w:r>
      <w:r>
        <w:rPr>
          <w:rFonts w:hint="eastAsia" w:ascii="Times New Roman" w:hAnsi="Times New Roman" w:eastAsia="宋体" w:cs="Times New Roman"/>
          <w:color w:val="auto"/>
          <w:kern w:val="2"/>
          <w:szCs w:val="24"/>
        </w:rPr>
        <w:t>安全条件评价工作，组成评价小组，对所提供的资料、文件进行了审核，对现场进行了实地勘查，并与已经建成的加油站项目进行类比，对项目的危险、有害因素进行辨识与分析，运用现代安全理论和分析评价方法对项目进行了定性、定量评价。评价小组根据《安全评价通则》（AQ8001-2007）、《安全预评价导则》（AQ8002-2007）等的要求，在分析各单元评价结果的基础上综合汇总，对拟建项目提出了安全对策措施建议，编制完成本报告。</w:t>
      </w:r>
    </w:p>
    <w:p w14:paraId="356F49D2">
      <w:pPr>
        <w:ind w:firstLine="200"/>
        <w:rPr>
          <w:rFonts w:hint="eastAsia" w:ascii="Times New Roman" w:hAnsi="Times New Roman" w:eastAsia="宋体" w:cs="Times New Roman"/>
          <w:color w:val="auto"/>
          <w:kern w:val="2"/>
          <w:szCs w:val="24"/>
        </w:rPr>
      </w:pPr>
      <w:r>
        <w:rPr>
          <w:rFonts w:hint="eastAsia" w:ascii="Times New Roman" w:hAnsi="Times New Roman" w:eastAsia="宋体" w:cs="Times New Roman"/>
          <w:color w:val="auto"/>
          <w:kern w:val="2"/>
          <w:szCs w:val="24"/>
        </w:rPr>
        <w:t>评价小组在工作中得到了宜春钽铌矿有限公司的大力支持和帮助，在此表示感谢。</w:t>
      </w:r>
    </w:p>
    <w:p w14:paraId="6B51702A">
      <w:pPr>
        <w:ind w:left="0" w:leftChars="0" w:firstLine="0" w:firstLineChars="0"/>
        <w:jc w:val="center"/>
        <w:rPr>
          <w:rFonts w:hint="eastAsia" w:ascii="黑体" w:hAnsi="Times New Roman" w:eastAsia="黑体" w:cs="黑体"/>
          <w:b/>
          <w:bCs/>
          <w:color w:val="auto"/>
          <w:kern w:val="2"/>
          <w:sz w:val="32"/>
          <w:szCs w:val="32"/>
          <w:lang w:val="en-US" w:eastAsia="zh-CN"/>
        </w:rPr>
      </w:pPr>
      <w:r>
        <w:rPr>
          <w:rFonts w:hint="eastAsia" w:ascii="Times New Roman" w:hAnsi="Times New Roman" w:eastAsia="宋体" w:cs="Times New Roman"/>
          <w:color w:val="auto"/>
          <w:kern w:val="2"/>
          <w:szCs w:val="24"/>
        </w:rPr>
        <w:br w:type="page"/>
      </w:r>
      <w:r>
        <w:rPr>
          <w:rFonts w:hint="eastAsia" w:ascii="黑体" w:hAnsi="Times New Roman" w:eastAsia="黑体" w:cs="黑体"/>
          <w:b/>
          <w:bCs/>
          <w:color w:val="auto"/>
          <w:kern w:val="2"/>
          <w:sz w:val="32"/>
          <w:szCs w:val="32"/>
          <w:lang w:val="en-US" w:eastAsia="zh-CN"/>
        </w:rPr>
        <w:t>目   录</w:t>
      </w:r>
    </w:p>
    <w:p w14:paraId="337B2506">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TOC \o "1-3" \h \u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_Toc29049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 安全评价工作经过</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_Toc29049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BF860F7">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_Toc10041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1.1 安全条件评价目的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_Toc10041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F2D88C0">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_Toc20621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 安全条件评价原则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_Toc20621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5C7846F">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_Toc30340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1.3 安全条件评价对象和范围</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_Toc30340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0E20515">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_Toc22968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1.4 安全条件评价程序</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_Toc22968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A44261B">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_Toc16383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1.5</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附加说明</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_Toc16383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0A88E41">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_Toc28659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 建设项目概况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_Toc28659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6716D0D">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_Toc16488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 建设单位简介及项目由来</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_Toc16488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2EDCF00">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_Toc21512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eastAsia="zh-CN"/>
        </w:rPr>
        <w:t>2.2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建设项目基本概况</w:t>
      </w:r>
      <w:bookmarkStart w:id="295" w:name="_GoBack"/>
      <w:bookmarkEnd w:id="295"/>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_Toc21512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512C5B">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_Toc22623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 建设项目选址概况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_Toc22623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E475AD3">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_Toc25381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建设项目所在地的自然条件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_Toc25381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EBA2158">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_Toc15134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2.4.1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站区地质</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_Toc15134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8463FFF">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_Toc19266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2.4.2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气象条件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_Toc19266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A1039F0">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_Toc4062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2.4.3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水文</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_Toc4062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50F4A4C">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_Toc27490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2.4.4</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地震烈度</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_Toc27490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FC856E3">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_Toc890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2.4.5</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交通运输</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_Toc890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69CCAF6">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_Toc1851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bCs/>
          <w:color w:val="auto"/>
          <w:szCs w:val="32"/>
          <w:lang w:val="en-US" w:eastAsia="zh-CN" w:bidi="ar-SA"/>
        </w:rPr>
        <w:t>2.5 总平面布置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_Toc1851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1093910">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_Toc29707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2.6 主要设备</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_Toc29707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13D2C5D">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_Toc28879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 xml:space="preserve">2.6.1 </w:t>
      </w:r>
      <w:r>
        <w:rPr>
          <w:rFonts w:hint="default" w:ascii="Times New Roman" w:hAnsi="Times New Roman" w:eastAsia="宋体" w:cs="Times New Roman"/>
          <w:color w:val="auto"/>
        </w:rPr>
        <w:t>卸油工艺流程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_Toc28879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EF324B5">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_Toc28313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 xml:space="preserve">2.6.2 </w:t>
      </w:r>
      <w:r>
        <w:rPr>
          <w:rFonts w:hint="default" w:ascii="Times New Roman" w:hAnsi="Times New Roman" w:eastAsia="宋体" w:cs="Times New Roman"/>
          <w:color w:val="auto"/>
          <w:lang w:eastAsia="zh-CN"/>
        </w:rPr>
        <w:t>加油工艺流程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_Toc28313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5FC6A33">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_Toc8172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eastAsia="zh-CN"/>
        </w:rPr>
        <w:t>2.9</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公用工程及辅助设施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_Toc8172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9A7ED2C">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_Toc14096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eastAsia="zh-CN"/>
        </w:rPr>
        <w:t>2.9.1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lang w:eastAsia="zh-CN"/>
        </w:rPr>
        <w:t>供配电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_Toc14096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27BF5B3">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_Toc11966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2.9.2 给排水及消防</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_Toc11966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C1FACFD">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_Toc5399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2.10 加油站组织及劳动定员</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_Toc5399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81BB4F6">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_Toc11216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 危险、有害因素的辨识结果及依据说明</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_Toc11216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69009EF">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_Toc13446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3.1 危险物质的辨识结果及依据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_Toc13446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1A1F88A">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_Toc29999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3.2 危险化学品及危险工艺辨识结果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_Toc29999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5473DB2">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_Toc7810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3.3 重大危险源辨识结果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_Toc7810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0070BDC">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_Toc11662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3.4 危险、有害因素的辨识结果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_Toc11662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E316B93">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_Toc14478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3.5 爆炸危险区域划分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_Toc14478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0FEC18A">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_Toc9111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3.6 事故案例的后果及原因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_Toc9111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17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82C11F5">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_Toc24847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 安全评价单元的划分结果及理由说明</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_Toc24847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1F447A3">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_Toc1240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4.1 评价单元的划分目的</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_Toc1240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E167C97">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_Toc15645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4.2 评价单元的划分原则</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_Toc15645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85E46A8">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_Toc16609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4.3 评价单元的划分结果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_Toc16609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8DEF344">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_Toc10636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5. 采用的安全评价方法及理由说明</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_Toc10636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46D4E42">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_Toc26259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6. 定性定量评价的结果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_Toc26259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8BBE26A">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_Toc4503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6.1 预先危险性分析评价结果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_Toc4503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E0D56E4">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_Toc21683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定性、定量分析评价结果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_Toc21683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0246041">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_Toc16278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6.3</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储存装置的安全性评价结果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_Toc16278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9C67C73">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_Toc8248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7. 符合性评价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_Toc8248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3C0865">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_Toc8352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7.1 周边环境与总平面布置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_Toc8352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93C9B15">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_Toc26098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7.2 设备设施</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_Toc26098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F51CBF8">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_Toc31244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 安全对策措施与建议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_Toc31244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9E27BEE">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_Toc10874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 安全对策措施及要求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_Toc10874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8951AA9">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_Toc18479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8.1.1 规模和选址要求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_Toc18479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AAD842A">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_Toc17032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8.1.2 装置技术要求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_Toc17032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76C6C6DC">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_Toc30660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8.1.2 装置设计要求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_Toc30660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90E5E72">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_Toc20265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8.1.3 阻隔防爆要求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_Toc20265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29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631419B">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_Toc30691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8.1.4 防雷防静电要求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_Toc30691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CC36D66">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_Toc29797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8.1.5 安全管理要求</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_Toc29797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31DCB04">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_Toc20604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8.2 补充的相关建议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_Toc20604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37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863BE81">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_Toc26198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9. 安全评价结论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_Toc26198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273FA64">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_Toc2459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9.1 危险、有害因素辨识结果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_Toc2459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06C3ADD">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_Toc1987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9.2 评价结论</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_Toc1987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294F5A8">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_Toc21011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附件一 选用的安全评价方法简介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_Toc21011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99A0B3E">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_Toc28344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1.1 预先危险性分析评价（PHA）</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_Toc28344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4740818">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_Toc2113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1.2 危险度评价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_Toc2113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93A30D9">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_Toc1711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1.4 作业条件危险性评价法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_Toc1711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48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67124CC">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_Toc7673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1.5 安全检查表法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_Toc7673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D25B347">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_Toc1358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附件二 危险、有害因素的辨识及分析过程</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_Toc1358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4FB976A">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_Toc22758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2.1 辨识依据及产生原因</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_Toc22758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51</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3407762">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_Toc19909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2.2 重大危险源辨识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_Toc19909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1A2C6E2">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_Toc15076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bCs/>
          <w:color w:val="auto"/>
          <w:kern w:val="2"/>
          <w:szCs w:val="28"/>
          <w:lang w:val="en-US" w:eastAsia="zh-CN" w:bidi="ar-SA"/>
        </w:rPr>
        <w:t>2.2.1重大危险源辨识依据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_Toc15076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53</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BA61597">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_Toc70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2.2.2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危险化学品重大危险源的辨识情况</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_Toc70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6E7790B">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_Toc31252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 主要危险、有害因素辨识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_Toc31252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6C4F682">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_Toc7739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2.3.1 主要危险因素辨识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_Toc7739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55</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38B8AAC3">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_Toc28356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2.3.2 主要有害因素辨识</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_Toc28356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6FFA3987">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_Toc12574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2.4 环境、自然危害因素分析</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_Toc12574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58</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08C068F">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_Toc19807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附件三 定性定量评价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_Toc19807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7E9659">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_Toc4385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3.1 安全检查表法评价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_Toc4385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80950FE">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_Toc29946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3.2 预先危险性分析评价（PHA）</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_Toc29946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D833C2C">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_Toc4617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3.3 危险度评价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_Toc4617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66</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5C12947B">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_Toc7998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lang w:val="en-US" w:eastAsia="zh-CN"/>
        </w:rPr>
        <w:t xml:space="preserve">4 </w:t>
      </w:r>
      <w:r>
        <w:rPr>
          <w:rFonts w:hint="default" w:ascii="Times New Roman" w:hAnsi="Times New Roman" w:eastAsia="宋体" w:cs="Times New Roman"/>
          <w:color w:val="auto"/>
        </w:rPr>
        <w:t>作业条件危险性评价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_Toc7998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3EB4052">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_Toc20454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3.</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评价单元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_Toc20454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968D69F">
      <w:pPr>
        <w:pStyle w:val="8"/>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_Toc25796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3.4.2 作业条件危险性评价结果</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_Toc25796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67</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235C7F8">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_Toc25236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3.5 储存装置的安全性评价</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_Toc25236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69</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14EC3806">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_Toc24857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附件四 安全评价依据</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_Toc24857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205F29D7">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_Toc13855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4.1</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法律、法规、规定和规范性技术文件</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_Toc13855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70</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03C746D2">
      <w:pPr>
        <w:pStyle w:val="13"/>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_Toc23548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rPr>
        <w:t>4.2</w:t>
      </w:r>
      <w:r>
        <w:rPr>
          <w:rFonts w:hint="default" w:ascii="Times New Roman" w:hAnsi="Times New Roman" w:eastAsia="宋体" w:cs="Times New Roman"/>
          <w:color w:val="auto"/>
          <w:lang w:val="en-US" w:eastAsia="zh-CN"/>
        </w:rPr>
        <w:t xml:space="preserve"> </w:t>
      </w:r>
      <w:r>
        <w:rPr>
          <w:rFonts w:hint="default" w:ascii="Times New Roman" w:hAnsi="Times New Roman" w:eastAsia="宋体" w:cs="Times New Roman"/>
          <w:color w:val="auto"/>
        </w:rPr>
        <w:t>标准、规范</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_Toc23548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72</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B681C36">
      <w:pPr>
        <w:pStyle w:val="12"/>
        <w:keepNext w:val="0"/>
        <w:keepLines w:val="0"/>
        <w:pageBreakBefore w:val="0"/>
        <w:widowControl w:val="0"/>
        <w:tabs>
          <w:tab w:val="right" w:leader="dot" w:pos="9072"/>
        </w:tabs>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fldChar w:fldCharType="begin"/>
      </w:r>
      <w:r>
        <w:rPr>
          <w:rFonts w:hint="default" w:ascii="Times New Roman" w:hAnsi="Times New Roman" w:eastAsia="宋体" w:cs="Times New Roman"/>
          <w:color w:val="auto"/>
          <w:lang w:val="en-US" w:eastAsia="zh-CN"/>
        </w:rPr>
        <w:instrText xml:space="preserve"> HYPERLINK \l _Toc30601 </w:instrText>
      </w:r>
      <w:r>
        <w:rPr>
          <w:rFonts w:hint="default" w:ascii="Times New Roman" w:hAnsi="Times New Roman" w:eastAsia="宋体" w:cs="Times New Roman"/>
          <w:color w:val="auto"/>
          <w:lang w:val="en-US" w:eastAsia="zh-CN"/>
        </w:rPr>
        <w:fldChar w:fldCharType="separate"/>
      </w:r>
      <w:r>
        <w:rPr>
          <w:rFonts w:hint="default" w:ascii="Times New Roman" w:hAnsi="Times New Roman" w:eastAsia="宋体" w:cs="Times New Roman"/>
          <w:color w:val="auto"/>
          <w:lang w:val="en-US" w:eastAsia="zh-CN"/>
        </w:rPr>
        <w:t>附件五 收集的文件、资料目录</w:t>
      </w:r>
      <w:r>
        <w:rPr>
          <w:rFonts w:hint="default" w:ascii="Times New Roman" w:hAnsi="Times New Roman" w:eastAsia="宋体" w:cs="Times New Roman"/>
          <w:color w:val="auto"/>
        </w:rPr>
        <w:tab/>
      </w:r>
      <w:r>
        <w:rPr>
          <w:rFonts w:hint="default" w:ascii="Times New Roman" w:hAnsi="Times New Roman" w:eastAsia="宋体" w:cs="Times New Roman"/>
          <w:color w:val="auto"/>
        </w:rPr>
        <w:fldChar w:fldCharType="begin"/>
      </w:r>
      <w:r>
        <w:rPr>
          <w:rFonts w:hint="default" w:ascii="Times New Roman" w:hAnsi="Times New Roman" w:eastAsia="宋体" w:cs="Times New Roman"/>
          <w:color w:val="auto"/>
        </w:rPr>
        <w:instrText xml:space="preserve"> PAGEREF _Toc30601 \h </w:instrText>
      </w:r>
      <w:r>
        <w:rPr>
          <w:rFonts w:hint="default" w:ascii="Times New Roman" w:hAnsi="Times New Roman" w:eastAsia="宋体" w:cs="Times New Roman"/>
          <w:color w:val="auto"/>
        </w:rPr>
        <w:fldChar w:fldCharType="separate"/>
      </w:r>
      <w:r>
        <w:rPr>
          <w:rFonts w:hint="default" w:ascii="Times New Roman" w:hAnsi="Times New Roman" w:eastAsia="宋体" w:cs="Times New Roman"/>
          <w:color w:val="auto"/>
        </w:rPr>
        <w:t>74</w:t>
      </w:r>
      <w:r>
        <w:rPr>
          <w:rFonts w:hint="default" w:ascii="Times New Roman" w:hAnsi="Times New Roman" w:eastAsia="宋体" w:cs="Times New Roman"/>
          <w:color w:val="auto"/>
        </w:rPr>
        <w:fldChar w:fldCharType="end"/>
      </w:r>
      <w:r>
        <w:rPr>
          <w:rFonts w:hint="default" w:ascii="Times New Roman" w:hAnsi="Times New Roman" w:eastAsia="宋体" w:cs="Times New Roman"/>
          <w:color w:val="auto"/>
          <w:lang w:val="en-US" w:eastAsia="zh-CN"/>
        </w:rPr>
        <w:fldChar w:fldCharType="end"/>
      </w:r>
    </w:p>
    <w:p w14:paraId="4C77D9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color w:val="auto"/>
          <w:lang w:val="en-US" w:eastAsia="zh-CN"/>
        </w:rPr>
      </w:pPr>
      <w:r>
        <w:rPr>
          <w:rFonts w:hint="default" w:ascii="Times New Roman" w:hAnsi="Times New Roman" w:eastAsia="宋体" w:cs="Times New Roman"/>
          <w:color w:val="auto"/>
          <w:lang w:val="en-US" w:eastAsia="zh-CN"/>
        </w:rPr>
        <w:fldChar w:fldCharType="end"/>
      </w:r>
    </w:p>
    <w:p w14:paraId="751DE4CA">
      <w:pPr>
        <w:bidi w:val="0"/>
        <w:rPr>
          <w:color w:val="auto"/>
        </w:rPr>
        <w:sectPr>
          <w:headerReference r:id="rId5" w:type="default"/>
          <w:footerReference r:id="rId6" w:type="default"/>
          <w:pgSz w:w="11906" w:h="16839"/>
          <w:pgMar w:top="1417" w:right="1417" w:bottom="1417" w:left="1417" w:header="850" w:footer="992" w:gutter="0"/>
          <w:pgNumType w:fmt="upperRoman" w:start="1"/>
          <w:cols w:space="720" w:num="1"/>
          <w:rtlGutter w:val="0"/>
          <w:docGrid w:linePitch="312" w:charSpace="0"/>
        </w:sectPr>
      </w:pPr>
    </w:p>
    <w:p w14:paraId="696B2E3D">
      <w:pPr>
        <w:pStyle w:val="2"/>
        <w:keepNext/>
        <w:keepLines/>
        <w:pageBreakBefore w:val="0"/>
        <w:widowControl w:val="0"/>
        <w:kinsoku/>
        <w:wordWrap/>
        <w:overflowPunct/>
        <w:topLinePunct w:val="0"/>
        <w:autoSpaceDE/>
        <w:autoSpaceDN/>
        <w:bidi w:val="0"/>
        <w:adjustRightInd/>
        <w:snapToGrid/>
        <w:jc w:val="center"/>
        <w:textAlignment w:val="auto"/>
        <w:rPr>
          <w:color w:val="auto"/>
          <w:lang w:val="en-US" w:eastAsia="zh-CN"/>
        </w:rPr>
      </w:pPr>
      <w:bookmarkStart w:id="0" w:name="_Toc24461"/>
      <w:bookmarkStart w:id="1" w:name="_Toc3246"/>
      <w:bookmarkStart w:id="2" w:name="_Toc8383"/>
      <w:bookmarkStart w:id="3" w:name="_Toc12036"/>
      <w:bookmarkStart w:id="4" w:name="_Toc29049"/>
      <w:bookmarkStart w:id="5" w:name="_Toc14517"/>
      <w:r>
        <w:rPr>
          <w:color w:val="auto"/>
          <w:lang w:val="en-US" w:eastAsia="zh-CN"/>
        </w:rPr>
        <w:t>1</w:t>
      </w:r>
      <w:r>
        <w:rPr>
          <w:rFonts w:hint="eastAsia"/>
          <w:color w:val="auto"/>
          <w:lang w:val="en-US" w:eastAsia="zh-CN"/>
        </w:rPr>
        <w:t>.</w:t>
      </w:r>
      <w:bookmarkEnd w:id="0"/>
      <w:r>
        <w:rPr>
          <w:rFonts w:hint="eastAsia"/>
          <w:color w:val="auto"/>
          <w:lang w:val="en-US" w:eastAsia="zh-CN"/>
        </w:rPr>
        <w:t xml:space="preserve"> 安全评价工作经过</w:t>
      </w:r>
      <w:bookmarkEnd w:id="1"/>
      <w:bookmarkEnd w:id="2"/>
      <w:bookmarkEnd w:id="3"/>
      <w:bookmarkEnd w:id="4"/>
      <w:bookmarkEnd w:id="5"/>
    </w:p>
    <w:p w14:paraId="4A499FF5">
      <w:pPr>
        <w:pStyle w:val="3"/>
        <w:bidi w:val="0"/>
        <w:rPr>
          <w:color w:val="auto"/>
          <w:lang w:val="en-US" w:eastAsia="zh-CN"/>
        </w:rPr>
      </w:pPr>
      <w:bookmarkStart w:id="6" w:name="_Toc4562"/>
      <w:bookmarkStart w:id="7" w:name="_Toc2602"/>
      <w:bookmarkStart w:id="8" w:name="_Toc18588"/>
      <w:bookmarkStart w:id="9" w:name="_Toc13035"/>
      <w:bookmarkStart w:id="10" w:name="_Toc10041"/>
      <w:r>
        <w:rPr>
          <w:color w:val="auto"/>
          <w:lang w:val="en-US" w:eastAsia="zh-CN"/>
        </w:rPr>
        <w:t>1.1</w:t>
      </w:r>
      <w:r>
        <w:rPr>
          <w:rFonts w:hint="eastAsia"/>
          <w:color w:val="auto"/>
          <w:lang w:val="en-US" w:eastAsia="zh-CN"/>
        </w:rPr>
        <w:t xml:space="preserve"> </w:t>
      </w:r>
      <w:r>
        <w:rPr>
          <w:color w:val="auto"/>
          <w:lang w:val="en-US" w:eastAsia="zh-CN"/>
        </w:rPr>
        <w:t>安全</w:t>
      </w:r>
      <w:r>
        <w:rPr>
          <w:rFonts w:hint="eastAsia"/>
          <w:color w:val="auto"/>
          <w:lang w:val="en-US" w:eastAsia="zh-CN"/>
        </w:rPr>
        <w:t>条件</w:t>
      </w:r>
      <w:r>
        <w:rPr>
          <w:color w:val="auto"/>
          <w:lang w:val="en-US" w:eastAsia="zh-CN"/>
        </w:rPr>
        <w:t>评价目的</w:t>
      </w:r>
      <w:bookmarkEnd w:id="6"/>
      <w:bookmarkEnd w:id="7"/>
      <w:bookmarkEnd w:id="8"/>
      <w:bookmarkEnd w:id="9"/>
      <w:bookmarkEnd w:id="10"/>
    </w:p>
    <w:p w14:paraId="2288CD94">
      <w:pPr>
        <w:bidi w:val="0"/>
        <w:rPr>
          <w:color w:val="auto"/>
        </w:rPr>
      </w:pPr>
      <w:r>
        <w:rPr>
          <w:color w:val="auto"/>
        </w:rPr>
        <w:t>1</w:t>
      </w:r>
      <w:r>
        <w:rPr>
          <w:rFonts w:hint="eastAsia"/>
          <w:color w:val="auto"/>
          <w:lang w:val="en-US" w:eastAsia="zh-CN"/>
        </w:rPr>
        <w:t xml:space="preserve">. </w:t>
      </w:r>
      <w:r>
        <w:rPr>
          <w:color w:val="auto"/>
        </w:rPr>
        <w:t>分析识别</w:t>
      </w:r>
      <w:r>
        <w:rPr>
          <w:rFonts w:hint="eastAsia"/>
          <w:color w:val="auto"/>
        </w:rPr>
        <w:t>建设项目</w:t>
      </w:r>
      <w:r>
        <w:rPr>
          <w:color w:val="auto"/>
        </w:rPr>
        <w:t>在</w:t>
      </w:r>
      <w:r>
        <w:rPr>
          <w:rFonts w:hint="eastAsia"/>
          <w:color w:val="auto"/>
        </w:rPr>
        <w:t>建设</w:t>
      </w:r>
      <w:r>
        <w:rPr>
          <w:color w:val="auto"/>
        </w:rPr>
        <w:t>和运行过程中存在的主要危险、有害因素。</w:t>
      </w:r>
    </w:p>
    <w:p w14:paraId="0D844BE9">
      <w:pPr>
        <w:bidi w:val="0"/>
        <w:rPr>
          <w:color w:val="auto"/>
        </w:rPr>
      </w:pPr>
      <w:r>
        <w:rPr>
          <w:color w:val="auto"/>
        </w:rPr>
        <w:t>2</w:t>
      </w:r>
      <w:r>
        <w:rPr>
          <w:rFonts w:hint="eastAsia"/>
          <w:color w:val="auto"/>
          <w:lang w:val="en-US" w:eastAsia="zh-CN"/>
        </w:rPr>
        <w:t xml:space="preserve">. </w:t>
      </w:r>
      <w:r>
        <w:rPr>
          <w:rFonts w:hint="eastAsia"/>
          <w:color w:val="auto"/>
        </w:rPr>
        <w:t>对项目运行过程中的固有危险、有害因素及控制手段进行安全条件评价，预测其安全等级。</w:t>
      </w:r>
    </w:p>
    <w:p w14:paraId="1A11055A">
      <w:pPr>
        <w:bidi w:val="0"/>
        <w:rPr>
          <w:color w:val="auto"/>
        </w:rPr>
      </w:pPr>
      <w:r>
        <w:rPr>
          <w:color w:val="auto"/>
        </w:rPr>
        <w:t>3</w:t>
      </w:r>
      <w:r>
        <w:rPr>
          <w:rFonts w:hint="eastAsia"/>
          <w:color w:val="auto"/>
          <w:lang w:val="en-US" w:eastAsia="zh-CN"/>
        </w:rPr>
        <w:t xml:space="preserve">. </w:t>
      </w:r>
      <w:r>
        <w:rPr>
          <w:color w:val="auto"/>
        </w:rPr>
        <w:t>提出提高建设项目安全等级的对策措施，为</w:t>
      </w:r>
      <w:r>
        <w:rPr>
          <w:rFonts w:hint="eastAsia"/>
          <w:color w:val="auto"/>
          <w:lang w:eastAsia="zh-CN"/>
        </w:rPr>
        <w:t>本项目</w:t>
      </w:r>
      <w:r>
        <w:rPr>
          <w:color w:val="auto"/>
        </w:rPr>
        <w:t>的设计、</w:t>
      </w:r>
      <w:r>
        <w:rPr>
          <w:rFonts w:hint="eastAsia"/>
          <w:color w:val="auto"/>
          <w:lang w:val="en-US" w:eastAsia="zh-CN"/>
        </w:rPr>
        <w:t>运行</w:t>
      </w:r>
      <w:r>
        <w:rPr>
          <w:color w:val="auto"/>
        </w:rPr>
        <w:t>和安全管理提供依据。</w:t>
      </w:r>
    </w:p>
    <w:p w14:paraId="6C0C7112">
      <w:pPr>
        <w:bidi w:val="0"/>
        <w:rPr>
          <w:rFonts w:hint="eastAsia"/>
          <w:color w:val="auto"/>
        </w:rPr>
      </w:pPr>
      <w:r>
        <w:rPr>
          <w:rFonts w:hint="eastAsia"/>
          <w:color w:val="auto"/>
        </w:rPr>
        <w:t>4</w:t>
      </w:r>
      <w:r>
        <w:rPr>
          <w:rFonts w:hint="eastAsia"/>
          <w:color w:val="auto"/>
          <w:lang w:val="en-US" w:eastAsia="zh-CN"/>
        </w:rPr>
        <w:t xml:space="preserve">. </w:t>
      </w:r>
      <w:r>
        <w:rPr>
          <w:rFonts w:hint="eastAsia"/>
          <w:color w:val="auto"/>
        </w:rPr>
        <w:t>为建设单位安全管理的系统化、标准化和科学化提供依据和条件。</w:t>
      </w:r>
    </w:p>
    <w:p w14:paraId="01CE4D90">
      <w:pPr>
        <w:bidi w:val="0"/>
        <w:rPr>
          <w:color w:val="auto"/>
        </w:rPr>
      </w:pPr>
      <w:r>
        <w:rPr>
          <w:rFonts w:hint="eastAsia"/>
          <w:color w:val="auto"/>
        </w:rPr>
        <w:t>5</w:t>
      </w:r>
      <w:r>
        <w:rPr>
          <w:rFonts w:hint="eastAsia"/>
          <w:color w:val="auto"/>
          <w:lang w:val="en-US" w:eastAsia="zh-CN"/>
        </w:rPr>
        <w:t xml:space="preserve">. </w:t>
      </w:r>
      <w:r>
        <w:rPr>
          <w:rFonts w:hint="eastAsia"/>
          <w:color w:val="auto"/>
        </w:rPr>
        <w:t>为应急管理部门对建设项目安全审查提供依据。</w:t>
      </w:r>
    </w:p>
    <w:p w14:paraId="6EB7F72E">
      <w:pPr>
        <w:pStyle w:val="3"/>
        <w:bidi w:val="0"/>
        <w:rPr>
          <w:color w:val="auto"/>
          <w:lang w:val="en-US" w:eastAsia="zh-CN"/>
        </w:rPr>
      </w:pPr>
      <w:bookmarkStart w:id="11" w:name="_Toc20621"/>
      <w:bookmarkStart w:id="12" w:name="_Toc21253"/>
      <w:bookmarkStart w:id="13" w:name="_Toc29929"/>
      <w:bookmarkStart w:id="14" w:name="_Toc18566"/>
      <w:bookmarkStart w:id="15" w:name="_Toc27027"/>
      <w:r>
        <w:rPr>
          <w:color w:val="auto"/>
          <w:lang w:val="en-US" w:eastAsia="zh-CN"/>
        </w:rPr>
        <w:t>1.2</w:t>
      </w:r>
      <w:r>
        <w:rPr>
          <w:rFonts w:hint="eastAsia"/>
          <w:color w:val="auto"/>
          <w:lang w:val="en-US" w:eastAsia="zh-CN"/>
        </w:rPr>
        <w:t xml:space="preserve"> </w:t>
      </w:r>
      <w:r>
        <w:rPr>
          <w:color w:val="auto"/>
          <w:lang w:val="en-US" w:eastAsia="zh-CN"/>
        </w:rPr>
        <w:t>安全</w:t>
      </w:r>
      <w:r>
        <w:rPr>
          <w:rFonts w:hint="eastAsia"/>
          <w:color w:val="auto"/>
          <w:lang w:val="en-US" w:eastAsia="zh-CN"/>
        </w:rPr>
        <w:t>条件</w:t>
      </w:r>
      <w:r>
        <w:rPr>
          <w:color w:val="auto"/>
          <w:lang w:val="en-US" w:eastAsia="zh-CN"/>
        </w:rPr>
        <w:t>评价原则</w:t>
      </w:r>
      <w:bookmarkEnd w:id="11"/>
      <w:bookmarkEnd w:id="12"/>
      <w:bookmarkEnd w:id="13"/>
      <w:bookmarkEnd w:id="14"/>
      <w:bookmarkEnd w:id="15"/>
    </w:p>
    <w:p w14:paraId="1602F9D2">
      <w:pPr>
        <w:bidi w:val="0"/>
        <w:rPr>
          <w:color w:val="auto"/>
        </w:rPr>
      </w:pPr>
      <w:r>
        <w:rPr>
          <w:color w:val="auto"/>
        </w:rPr>
        <w:t>本次对</w:t>
      </w:r>
      <w:r>
        <w:rPr>
          <w:rFonts w:hint="eastAsia"/>
          <w:color w:val="auto"/>
          <w:lang w:eastAsia="zh-CN"/>
        </w:rPr>
        <w:t>宜春钽铌矿有限公司加油站升级改造项目</w:t>
      </w:r>
      <w:r>
        <w:rPr>
          <w:rFonts w:hint="eastAsia"/>
          <w:color w:val="auto"/>
        </w:rPr>
        <w:t>的</w:t>
      </w:r>
      <w:r>
        <w:rPr>
          <w:color w:val="auto"/>
        </w:rPr>
        <w:t>安全</w:t>
      </w:r>
      <w:r>
        <w:rPr>
          <w:rFonts w:hint="eastAsia"/>
          <w:color w:val="auto"/>
        </w:rPr>
        <w:t>条件</w:t>
      </w:r>
      <w:r>
        <w:rPr>
          <w:color w:val="auto"/>
        </w:rPr>
        <w:t>评价所遵循的原则是：</w:t>
      </w:r>
    </w:p>
    <w:p w14:paraId="65E29E47">
      <w:pPr>
        <w:bidi w:val="0"/>
        <w:rPr>
          <w:color w:val="auto"/>
        </w:rPr>
      </w:pPr>
      <w:r>
        <w:rPr>
          <w:color w:val="auto"/>
        </w:rPr>
        <w:t>（1）认真贯彻国家现行安全生产法律、法规，严格执行国家标准与规范，力求评价的科学性与公正性。</w:t>
      </w:r>
    </w:p>
    <w:p w14:paraId="1C2FE540">
      <w:pPr>
        <w:bidi w:val="0"/>
        <w:rPr>
          <w:color w:val="auto"/>
        </w:rPr>
      </w:pPr>
      <w:r>
        <w:rPr>
          <w:color w:val="auto"/>
        </w:rPr>
        <w:t>（2）采用科学、适用的评价技术方法，力求使评价结论客观，符合拟建项目的生产实际。</w:t>
      </w:r>
    </w:p>
    <w:p w14:paraId="507A5FD6">
      <w:pPr>
        <w:bidi w:val="0"/>
        <w:rPr>
          <w:color w:val="auto"/>
        </w:rPr>
      </w:pPr>
      <w:r>
        <w:rPr>
          <w:color w:val="auto"/>
        </w:rPr>
        <w:t>（3）深入现场，深入实际，充分发挥评价人员和有关专家的专业技术优势，在全面分析危险、有害因素的基础上，提出较为有效的安全对策措施建议。</w:t>
      </w:r>
    </w:p>
    <w:p w14:paraId="7086C298">
      <w:pPr>
        <w:bidi w:val="0"/>
        <w:rPr>
          <w:color w:val="auto"/>
        </w:rPr>
      </w:pPr>
      <w:r>
        <w:rPr>
          <w:color w:val="auto"/>
        </w:rPr>
        <w:t>（4）诚信、负责，为企业服务。</w:t>
      </w:r>
    </w:p>
    <w:p w14:paraId="1208B396">
      <w:pPr>
        <w:pStyle w:val="3"/>
        <w:bidi w:val="0"/>
        <w:rPr>
          <w:color w:val="auto"/>
          <w:lang w:val="en-US" w:eastAsia="zh-CN"/>
        </w:rPr>
      </w:pPr>
      <w:bookmarkStart w:id="16" w:name="_Toc922"/>
      <w:bookmarkStart w:id="17" w:name="_Toc19607"/>
      <w:bookmarkStart w:id="18" w:name="_Toc17912"/>
      <w:bookmarkStart w:id="19" w:name="_Toc30340"/>
      <w:bookmarkStart w:id="20" w:name="_Toc17153"/>
      <w:r>
        <w:rPr>
          <w:rFonts w:hint="eastAsia"/>
          <w:color w:val="auto"/>
          <w:lang w:val="en-US" w:eastAsia="zh-CN"/>
        </w:rPr>
        <w:t>1</w:t>
      </w:r>
      <w:r>
        <w:rPr>
          <w:color w:val="auto"/>
          <w:lang w:val="en-US" w:eastAsia="zh-CN"/>
        </w:rPr>
        <w:t>.3</w:t>
      </w:r>
      <w:r>
        <w:rPr>
          <w:rFonts w:hint="eastAsia"/>
          <w:color w:val="auto"/>
          <w:lang w:val="en-US" w:eastAsia="zh-CN"/>
        </w:rPr>
        <w:t xml:space="preserve"> 安全条件</w:t>
      </w:r>
      <w:r>
        <w:rPr>
          <w:color w:val="auto"/>
          <w:lang w:val="en-US" w:eastAsia="zh-CN"/>
        </w:rPr>
        <w:t>评价对象和范围</w:t>
      </w:r>
      <w:bookmarkEnd w:id="16"/>
      <w:bookmarkEnd w:id="17"/>
      <w:bookmarkEnd w:id="18"/>
      <w:bookmarkEnd w:id="19"/>
      <w:bookmarkEnd w:id="20"/>
    </w:p>
    <w:p w14:paraId="4078ECBA">
      <w:pPr>
        <w:bidi w:val="0"/>
        <w:rPr>
          <w:color w:val="auto"/>
          <w:lang w:val="zh-CN"/>
        </w:rPr>
      </w:pPr>
      <w:r>
        <w:rPr>
          <w:color w:val="auto"/>
        </w:rPr>
        <w:t>本</w:t>
      </w:r>
      <w:r>
        <w:rPr>
          <w:rFonts w:hint="eastAsia"/>
          <w:color w:val="auto"/>
        </w:rPr>
        <w:t>次</w:t>
      </w:r>
      <w:r>
        <w:rPr>
          <w:color w:val="auto"/>
        </w:rPr>
        <w:t>安全</w:t>
      </w:r>
      <w:r>
        <w:rPr>
          <w:rFonts w:hint="eastAsia"/>
          <w:color w:val="auto"/>
        </w:rPr>
        <w:t>条件</w:t>
      </w:r>
      <w:r>
        <w:rPr>
          <w:color w:val="auto"/>
        </w:rPr>
        <w:t>评价</w:t>
      </w:r>
      <w:r>
        <w:rPr>
          <w:rFonts w:hint="eastAsia"/>
          <w:color w:val="auto"/>
        </w:rPr>
        <w:t>对象为</w:t>
      </w:r>
      <w:r>
        <w:rPr>
          <w:rFonts w:hint="eastAsia"/>
          <w:color w:val="auto"/>
          <w:lang w:eastAsia="zh-CN"/>
        </w:rPr>
        <w:t>宜春钽铌矿有限公司加油站升级改造项目</w:t>
      </w:r>
      <w:r>
        <w:rPr>
          <w:rFonts w:hint="eastAsia"/>
          <w:color w:val="auto"/>
        </w:rPr>
        <w:t>（</w:t>
      </w:r>
      <w:r>
        <w:rPr>
          <w:rFonts w:hint="eastAsia" w:cs="Times New Roman"/>
          <w:color w:val="auto"/>
          <w:kern w:val="2"/>
          <w:szCs w:val="24"/>
          <w:lang w:val="en-US" w:eastAsia="zh-CN"/>
        </w:rPr>
        <w:t>以下简称“本项目”</w:t>
      </w:r>
      <w:r>
        <w:rPr>
          <w:rFonts w:hint="eastAsia"/>
          <w:color w:val="auto"/>
        </w:rPr>
        <w:t>）</w:t>
      </w:r>
      <w:r>
        <w:rPr>
          <w:rFonts w:hint="eastAsia"/>
          <w:color w:val="auto"/>
          <w:lang w:eastAsia="zh-CN"/>
        </w:rPr>
        <w:t>，</w:t>
      </w:r>
      <w:r>
        <w:rPr>
          <w:rFonts w:hint="eastAsia"/>
          <w:color w:val="auto"/>
        </w:rPr>
        <w:t>评价</w:t>
      </w:r>
      <w:r>
        <w:rPr>
          <w:color w:val="auto"/>
        </w:rPr>
        <w:t>范围</w:t>
      </w:r>
      <w:r>
        <w:rPr>
          <w:rFonts w:hint="eastAsia"/>
          <w:color w:val="auto"/>
        </w:rPr>
        <w:t>主要包括</w:t>
      </w:r>
      <w:r>
        <w:rPr>
          <w:rFonts w:hint="eastAsia"/>
          <w:color w:val="auto"/>
          <w:lang w:eastAsia="zh-CN"/>
        </w:rPr>
        <w:t>本项目</w:t>
      </w:r>
      <w:r>
        <w:rPr>
          <w:color w:val="auto"/>
        </w:rPr>
        <w:t>的</w:t>
      </w:r>
      <w:r>
        <w:rPr>
          <w:rFonts w:hint="eastAsia"/>
          <w:color w:val="auto"/>
        </w:rPr>
        <w:t>站址和总平面布置</w:t>
      </w:r>
      <w:r>
        <w:rPr>
          <w:rFonts w:hint="eastAsia"/>
          <w:color w:val="auto"/>
          <w:lang w:eastAsia="zh-CN"/>
        </w:rPr>
        <w:t>、</w:t>
      </w:r>
      <w:r>
        <w:rPr>
          <w:rFonts w:hint="eastAsia"/>
          <w:color w:val="auto"/>
        </w:rPr>
        <w:t>设备设施的条件评价，提出对企业未来安全管理的要求建议</w:t>
      </w:r>
      <w:r>
        <w:rPr>
          <w:color w:val="auto"/>
        </w:rPr>
        <w:t>。</w:t>
      </w:r>
    </w:p>
    <w:p w14:paraId="1E8450D2">
      <w:pPr>
        <w:bidi w:val="0"/>
        <w:rPr>
          <w:color w:val="auto"/>
        </w:rPr>
      </w:pPr>
      <w:r>
        <w:rPr>
          <w:rFonts w:hint="eastAsia"/>
          <w:color w:val="auto"/>
          <w:lang w:eastAsia="zh-CN"/>
        </w:rPr>
        <w:t>本项目</w:t>
      </w:r>
      <w:r>
        <w:rPr>
          <w:rFonts w:hint="eastAsia"/>
          <w:color w:val="auto"/>
        </w:rPr>
        <w:t>危险化学品的厂外运输问题，应执行国家有关标准和规定，不在本次评价范围内。涉及</w:t>
      </w:r>
      <w:r>
        <w:rPr>
          <w:rFonts w:hint="eastAsia"/>
          <w:color w:val="auto"/>
          <w:lang w:eastAsia="zh-CN"/>
        </w:rPr>
        <w:t>本项目</w:t>
      </w:r>
      <w:r>
        <w:rPr>
          <w:rFonts w:hint="eastAsia"/>
          <w:color w:val="auto"/>
        </w:rPr>
        <w:t>的职业危害评价应由取得职业卫生技术服务机构进行，本报告仅对有害因素进行简要辨识与分析，不给予评价。</w:t>
      </w:r>
    </w:p>
    <w:p w14:paraId="36777CE3">
      <w:pPr>
        <w:pStyle w:val="3"/>
        <w:bidi w:val="0"/>
        <w:rPr>
          <w:color w:val="auto"/>
          <w:lang w:val="en-US" w:eastAsia="zh-CN"/>
        </w:rPr>
      </w:pPr>
      <w:bookmarkStart w:id="21" w:name="_Toc24298"/>
      <w:bookmarkStart w:id="22" w:name="_Toc22968"/>
      <w:bookmarkStart w:id="23" w:name="_Toc1022"/>
      <w:bookmarkStart w:id="24" w:name="_Toc27139"/>
      <w:bookmarkStart w:id="25" w:name="_Toc4168"/>
      <w:r>
        <w:rPr>
          <w:rFonts w:hint="eastAsia"/>
          <w:color w:val="auto"/>
          <w:lang w:val="en-US" w:eastAsia="zh-CN"/>
        </w:rPr>
        <w:t>1</w:t>
      </w:r>
      <w:r>
        <w:rPr>
          <w:color w:val="auto"/>
          <w:lang w:val="en-US" w:eastAsia="zh-CN"/>
        </w:rPr>
        <w:t>.4</w:t>
      </w:r>
      <w:r>
        <w:rPr>
          <w:rFonts w:hint="eastAsia"/>
          <w:color w:val="auto"/>
          <w:lang w:val="en-US" w:eastAsia="zh-CN"/>
        </w:rPr>
        <w:t xml:space="preserve"> 安全条件评价程序</w:t>
      </w:r>
      <w:bookmarkEnd w:id="21"/>
      <w:bookmarkEnd w:id="22"/>
      <w:bookmarkEnd w:id="23"/>
      <w:bookmarkEnd w:id="24"/>
      <w:bookmarkEnd w:id="25"/>
    </w:p>
    <w:p w14:paraId="3968F5BE">
      <w:pPr>
        <w:bidi w:val="0"/>
        <w:rPr>
          <w:rFonts w:hint="eastAsia" w:ascii="Times New Roman" w:hAnsi="Times New Roman" w:cs="Times New Roman"/>
          <w:color w:val="auto"/>
          <w:kern w:val="2"/>
          <w:szCs w:val="36"/>
        </w:rPr>
      </w:pPr>
      <w:r>
        <w:rPr>
          <w:rFonts w:hint="eastAsia"/>
          <w:color w:val="auto"/>
        </w:rPr>
        <w:t>本次安全条件评价程序见图1</w:t>
      </w:r>
      <w:r>
        <w:rPr>
          <w:color w:val="auto"/>
        </w:rPr>
        <w:t>.4-1</w:t>
      </w:r>
      <w:r>
        <w:rPr>
          <w:rFonts w:hint="eastAsia"/>
          <w:color w:val="auto"/>
        </w:rPr>
        <w:t>。</w:t>
      </w:r>
    </w:p>
    <w:p w14:paraId="5265D921">
      <w:pPr>
        <w:spacing w:line="240" w:lineRule="auto"/>
        <w:ind w:firstLine="0" w:firstLineChars="0"/>
        <w:jc w:val="center"/>
        <w:rPr>
          <w:rFonts w:ascii="黑体" w:hAnsi="黑体" w:eastAsia="黑体" w:cs="Times New Roman"/>
          <w:bCs/>
          <w:color w:val="auto"/>
          <w:kern w:val="2"/>
          <w:sz w:val="24"/>
          <w:szCs w:val="22"/>
        </w:rPr>
      </w:pPr>
      <w:r>
        <w:rPr>
          <w:rFonts w:ascii="黑体" w:hAnsi="黑体" w:eastAsia="黑体" w:cs="Times New Roman"/>
          <w:bCs/>
          <w:color w:val="auto"/>
          <w:kern w:val="2"/>
          <w:sz w:val="20"/>
          <w:szCs w:val="22"/>
        </w:rPr>
        <mc:AlternateContent>
          <mc:Choice Requires="wpg">
            <w:drawing>
              <wp:inline distT="0" distB="0" distL="114300" distR="114300">
                <wp:extent cx="2444115" cy="6492875"/>
                <wp:effectExtent l="0" t="0" r="0" b="0"/>
                <wp:docPr id="24" name="Group 35"/>
                <wp:cNvGraphicFramePr/>
                <a:graphic xmlns:a="http://schemas.openxmlformats.org/drawingml/2006/main">
                  <a:graphicData uri="http://schemas.microsoft.com/office/word/2010/wordprocessingGroup">
                    <wpg:wgp>
                      <wpg:cNvGrpSpPr/>
                      <wpg:grpSpPr>
                        <a:xfrm>
                          <a:off x="0" y="0"/>
                          <a:ext cx="2444115" cy="6492875"/>
                          <a:chOff x="0" y="0"/>
                          <a:chExt cx="3030" cy="8534"/>
                        </a:xfrm>
                      </wpg:grpSpPr>
                      <wps:wsp>
                        <wps:cNvPr id="9" name="Text Box 4"/>
                        <wps:cNvSpPr txBox="1"/>
                        <wps:spPr>
                          <a:xfrm>
                            <a:off x="0" y="0"/>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F34B99">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前期准备</w:t>
                              </w:r>
                            </w:p>
                          </w:txbxContent>
                        </wps:txbx>
                        <wps:bodyPr wrap="square" upright="1"/>
                      </wps:wsp>
                      <wps:wsp>
                        <wps:cNvPr id="10" name="Text Box 5"/>
                        <wps:cNvSpPr txBox="1"/>
                        <wps:spPr>
                          <a:xfrm>
                            <a:off x="0" y="1104"/>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B0E7A9">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辨识与分析危险、有害因素</w:t>
                              </w:r>
                            </w:p>
                          </w:txbxContent>
                        </wps:txbx>
                        <wps:bodyPr wrap="square" upright="1"/>
                      </wps:wsp>
                      <wps:wsp>
                        <wps:cNvPr id="11" name="Text Box 6"/>
                        <wps:cNvSpPr txBox="1"/>
                        <wps:spPr>
                          <a:xfrm>
                            <a:off x="0" y="2214"/>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B83481">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划分评价单元</w:t>
                              </w:r>
                            </w:p>
                          </w:txbxContent>
                        </wps:txbx>
                        <wps:bodyPr wrap="square" upright="1"/>
                      </wps:wsp>
                      <wps:wsp>
                        <wps:cNvPr id="12" name="Text Box 7"/>
                        <wps:cNvSpPr txBox="1"/>
                        <wps:spPr>
                          <a:xfrm>
                            <a:off x="0" y="3394"/>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88696B">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选择评价方法</w:t>
                              </w:r>
                            </w:p>
                          </w:txbxContent>
                        </wps:txbx>
                        <wps:bodyPr wrap="square" upright="1"/>
                      </wps:wsp>
                      <wps:wsp>
                        <wps:cNvPr id="13" name="Text Box 8"/>
                        <wps:cNvSpPr txBox="1"/>
                        <wps:spPr>
                          <a:xfrm>
                            <a:off x="0" y="4523"/>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67C4D89">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定性、定量评价</w:t>
                              </w:r>
                            </w:p>
                          </w:txbxContent>
                        </wps:txbx>
                        <wps:bodyPr wrap="square" upright="1"/>
                      </wps:wsp>
                      <wps:wsp>
                        <wps:cNvPr id="14" name="Text Box 9"/>
                        <wps:cNvSpPr txBox="1"/>
                        <wps:spPr>
                          <a:xfrm>
                            <a:off x="0" y="5722"/>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65804B">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提出安全对策措施建议</w:t>
                              </w:r>
                            </w:p>
                          </w:txbxContent>
                        </wps:txbx>
                        <wps:bodyPr wrap="square" upright="1"/>
                      </wps:wsp>
                      <wps:wsp>
                        <wps:cNvPr id="15" name="Text Box 10"/>
                        <wps:cNvSpPr txBox="1"/>
                        <wps:spPr>
                          <a:xfrm>
                            <a:off x="0" y="6908"/>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F66298">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做出评价结论</w:t>
                              </w:r>
                            </w:p>
                          </w:txbxContent>
                        </wps:txbx>
                        <wps:bodyPr wrap="square" upright="1"/>
                      </wps:wsp>
                      <wps:wsp>
                        <wps:cNvPr id="16" name="Text Box 11"/>
                        <wps:cNvSpPr txBox="1"/>
                        <wps:spPr>
                          <a:xfrm>
                            <a:off x="0" y="8069"/>
                            <a:ext cx="3030" cy="4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263F4D">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编制安全条件评价报告</w:t>
                              </w:r>
                            </w:p>
                          </w:txbxContent>
                        </wps:txbx>
                        <wps:bodyPr wrap="square" upright="1"/>
                      </wps:wsp>
                      <wps:wsp>
                        <wps:cNvPr id="17" name="Line 12"/>
                        <wps:cNvCnPr/>
                        <wps:spPr>
                          <a:xfrm>
                            <a:off x="1500" y="450"/>
                            <a:ext cx="0" cy="652"/>
                          </a:xfrm>
                          <a:prstGeom prst="line">
                            <a:avLst/>
                          </a:prstGeom>
                          <a:ln w="9525" cap="flat" cmpd="sng">
                            <a:solidFill>
                              <a:srgbClr val="000000"/>
                            </a:solidFill>
                            <a:prstDash val="solid"/>
                            <a:headEnd type="none" w="med" len="med"/>
                            <a:tailEnd type="triangle" w="med" len="med"/>
                          </a:ln>
                        </wps:spPr>
                        <wps:bodyPr upright="1"/>
                      </wps:wsp>
                      <wps:wsp>
                        <wps:cNvPr id="18" name="Line 13"/>
                        <wps:cNvCnPr/>
                        <wps:spPr>
                          <a:xfrm>
                            <a:off x="1500" y="1554"/>
                            <a:ext cx="0" cy="652"/>
                          </a:xfrm>
                          <a:prstGeom prst="line">
                            <a:avLst/>
                          </a:prstGeom>
                          <a:ln w="9525" cap="flat" cmpd="sng">
                            <a:solidFill>
                              <a:srgbClr val="000000"/>
                            </a:solidFill>
                            <a:prstDash val="solid"/>
                            <a:headEnd type="none" w="med" len="med"/>
                            <a:tailEnd type="triangle" w="med" len="med"/>
                          </a:ln>
                        </wps:spPr>
                        <wps:bodyPr upright="1"/>
                      </wps:wsp>
                      <wps:wsp>
                        <wps:cNvPr id="19" name="Line 14"/>
                        <wps:cNvCnPr/>
                        <wps:spPr>
                          <a:xfrm>
                            <a:off x="1514" y="2664"/>
                            <a:ext cx="0" cy="680"/>
                          </a:xfrm>
                          <a:prstGeom prst="line">
                            <a:avLst/>
                          </a:prstGeom>
                          <a:ln w="9525" cap="flat" cmpd="sng">
                            <a:solidFill>
                              <a:srgbClr val="000000"/>
                            </a:solidFill>
                            <a:prstDash val="solid"/>
                            <a:headEnd type="none" w="med" len="med"/>
                            <a:tailEnd type="triangle" w="med" len="med"/>
                          </a:ln>
                        </wps:spPr>
                        <wps:bodyPr upright="1"/>
                      </wps:wsp>
                      <wps:wsp>
                        <wps:cNvPr id="20" name="Line 15"/>
                        <wps:cNvCnPr/>
                        <wps:spPr>
                          <a:xfrm>
                            <a:off x="1514" y="3844"/>
                            <a:ext cx="0" cy="680"/>
                          </a:xfrm>
                          <a:prstGeom prst="line">
                            <a:avLst/>
                          </a:prstGeom>
                          <a:ln w="9525" cap="flat" cmpd="sng">
                            <a:solidFill>
                              <a:srgbClr val="000000"/>
                            </a:solidFill>
                            <a:prstDash val="solid"/>
                            <a:headEnd type="none" w="med" len="med"/>
                            <a:tailEnd type="triangle" w="med" len="med"/>
                          </a:ln>
                        </wps:spPr>
                        <wps:bodyPr upright="1"/>
                      </wps:wsp>
                      <wps:wsp>
                        <wps:cNvPr id="21" name="Line 16"/>
                        <wps:cNvCnPr/>
                        <wps:spPr>
                          <a:xfrm>
                            <a:off x="1514" y="4973"/>
                            <a:ext cx="0" cy="680"/>
                          </a:xfrm>
                          <a:prstGeom prst="line">
                            <a:avLst/>
                          </a:prstGeom>
                          <a:ln w="9525" cap="flat" cmpd="sng">
                            <a:solidFill>
                              <a:srgbClr val="000000"/>
                            </a:solidFill>
                            <a:prstDash val="solid"/>
                            <a:headEnd type="none" w="med" len="med"/>
                            <a:tailEnd type="triangle" w="med" len="med"/>
                          </a:ln>
                        </wps:spPr>
                        <wps:bodyPr upright="1"/>
                      </wps:wsp>
                      <wps:wsp>
                        <wps:cNvPr id="22" name="Line 17"/>
                        <wps:cNvCnPr/>
                        <wps:spPr>
                          <a:xfrm>
                            <a:off x="1500" y="6172"/>
                            <a:ext cx="0" cy="680"/>
                          </a:xfrm>
                          <a:prstGeom prst="line">
                            <a:avLst/>
                          </a:prstGeom>
                          <a:ln w="9525" cap="flat" cmpd="sng">
                            <a:solidFill>
                              <a:srgbClr val="000000"/>
                            </a:solidFill>
                            <a:prstDash val="solid"/>
                            <a:headEnd type="none" w="med" len="med"/>
                            <a:tailEnd type="triangle" w="med" len="med"/>
                          </a:ln>
                        </wps:spPr>
                        <wps:bodyPr upright="1"/>
                      </wps:wsp>
                      <wps:wsp>
                        <wps:cNvPr id="23" name="Line 18"/>
                        <wps:cNvCnPr/>
                        <wps:spPr>
                          <a:xfrm>
                            <a:off x="1500" y="7358"/>
                            <a:ext cx="0" cy="680"/>
                          </a:xfrm>
                          <a:prstGeom prst="line">
                            <a:avLst/>
                          </a:prstGeom>
                          <a:ln w="9525" cap="flat" cmpd="sng">
                            <a:solidFill>
                              <a:srgbClr val="000000"/>
                            </a:solidFill>
                            <a:prstDash val="solid"/>
                            <a:headEnd type="none" w="med" len="med"/>
                            <a:tailEnd type="triangle" w="med" len="med"/>
                          </a:ln>
                        </wps:spPr>
                        <wps:bodyPr upright="1"/>
                      </wps:wsp>
                    </wpg:wgp>
                  </a:graphicData>
                </a:graphic>
              </wp:inline>
            </w:drawing>
          </mc:Choice>
          <mc:Fallback>
            <w:pict>
              <v:group id="Group 35" o:spid="_x0000_s1026" o:spt="203" style="height:511.25pt;width:192.45pt;" coordsize="3030,8534" o:gfxdata="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">
                <o:lock v:ext="edit" aspectratio="f"/>
                <v:shape id="Text Box 4" o:spid="_x0000_s1026" o:spt="202" type="#_x0000_t202" style="position:absolute;left:0;top:0;height:465;width:3030;"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FF34B99">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前期准备</w:t>
                        </w:r>
                      </w:p>
                    </w:txbxContent>
                  </v:textbox>
                </v:shape>
                <v:shape id="Text Box 5" o:spid="_x0000_s1026" o:spt="202" type="#_x0000_t202" style="position:absolute;left:0;top:1104;height:465;width:3030;" fillcolor="#FFFFFF" filled="t" stroked="t" coordsize="21600,21600" o:gfxdata="UEsDBAoAAAAAAIdO4kAAAAAAAAAAAAAAAAAEAAAAZHJzL1BLAwQUAAAACACHTuJAeUTf2b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3r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Tf2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4B0E7A9">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辨识与分析危险、有害因素</w:t>
                        </w:r>
                      </w:p>
                    </w:txbxContent>
                  </v:textbox>
                </v:shape>
                <v:shape id="Text Box 6" o:spid="_x0000_s1026" o:spt="202" type="#_x0000_t202" style="position:absolute;left:0;top:2214;height:465;width:3030;" fillcolor="#FFFFFF" filled="t" stroked="t" coordsize="21600,21600" o:gfxdata="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gh6Q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1AB83481">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划分评价单元</w:t>
                        </w:r>
                      </w:p>
                    </w:txbxContent>
                  </v:textbox>
                </v:shape>
                <v:shape id="Text Box 7" o:spid="_x0000_s1026" o:spt="202" type="#_x0000_t202" style="position:absolute;left:0;top:3394;height:465;width:3030;" fillcolor="#FFFFFF" filled="t" stroked="t" coordsize="21600,21600" o:gfxdata="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2uQ1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6688696B">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选择评价方法</w:t>
                        </w:r>
                      </w:p>
                    </w:txbxContent>
                  </v:textbox>
                </v:shape>
                <v:shape id="Text Box 8" o:spid="_x0000_s1026" o:spt="202" type="#_x0000_t202" style="position:absolute;left:0;top:4523;height:465;width:3030;" fillcolor="#FFFFFF" filled="t" stroked="t" coordsize="21600,21600" o:gfxdata="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ZBr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667C4D89">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定性、定量评价</w:t>
                        </w:r>
                      </w:p>
                    </w:txbxContent>
                  </v:textbox>
                </v:shape>
                <v:shape id="Text Box 9" o:spid="_x0000_s1026" o:spt="202" type="#_x0000_t202" style="position:absolute;left:0;top:5722;height:465;width:3030;" fillcolor="#FFFFFF" filled="t" stroked="t" coordsize="21600,21600" o:gfxdata="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n/Z2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965804B">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提出安全对策措施建议</w:t>
                        </w:r>
                      </w:p>
                    </w:txbxContent>
                  </v:textbox>
                </v:shape>
                <v:shape id="Text Box 10" o:spid="_x0000_s1026" o:spt="202" type="#_x0000_t202" style="position:absolute;left:0;top:6908;height:465;width:3030;" fillcolor="#FFFFFF" filled="t" stroked="t" coordsize="21600,21600" o:gfxdata="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N8Q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29F66298">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做出评价结论</w:t>
                        </w:r>
                      </w:p>
                    </w:txbxContent>
                  </v:textbox>
                </v:shape>
                <v:shape id="Text Box 11" o:spid="_x0000_s1026" o:spt="202" type="#_x0000_t202" style="position:absolute;left:0;top:8069;height:465;width:3030;" fillcolor="#FFFFFF" filled="t" stroked="t" coordsize="21600,21600" o:gfxdata="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h4j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7263F4D">
                        <w:pPr>
                          <w:spacing w:line="240" w:lineRule="auto"/>
                          <w:ind w:firstLine="0" w:firstLineChars="0"/>
                          <w:jc w:val="center"/>
                          <w:rPr>
                            <w:rFonts w:hint="eastAsia" w:ascii="Times New Roman" w:hAnsi="Times New Roman" w:cs="Times New Roman"/>
                            <w:kern w:val="2"/>
                            <w:sz w:val="21"/>
                            <w:szCs w:val="24"/>
                          </w:rPr>
                        </w:pPr>
                        <w:r>
                          <w:rPr>
                            <w:rFonts w:hint="eastAsia" w:ascii="Times New Roman" w:hAnsi="Times New Roman" w:cs="Times New Roman"/>
                            <w:kern w:val="2"/>
                            <w:sz w:val="21"/>
                            <w:szCs w:val="24"/>
                          </w:rPr>
                          <w:t>编制安全条件评价报告</w:t>
                        </w:r>
                      </w:p>
                    </w:txbxContent>
                  </v:textbox>
                </v:shape>
                <v:line id="Line 12" o:spid="_x0000_s1026" o:spt="20" style="position:absolute;left:1500;top:450;height:652;width:0;"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Line 13" o:spid="_x0000_s1026" o:spt="20" style="position:absolute;left:1500;top:1554;height:652;width:0;" filled="f" stroked="t" coordsize="21600,21600" o:gfxdata="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f8K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4" o:spid="_x0000_s1026" o:spt="20" style="position:absolute;left:1514;top:2664;height:680;width:0;" filled="f" stroked="t" coordsize="21600,21600" o:gfxdata="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k1U2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Line 15" o:spid="_x0000_s1026" o:spt="20" style="position:absolute;left:1514;top:3844;height:680;width:0;" filled="f" stroked="t" coordsize="21600,21600" o:gfxdata="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FNha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Line 16" o:spid="_x0000_s1026" o:spt="20" style="position:absolute;left:1514;top:4973;height:680;width:0;" filled="f" stroked="t" coordsize="21600,21600" o:gfxdata="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ImTj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Line 17" o:spid="_x0000_s1026" o:spt="20" style="position:absolute;left:1500;top:6172;height:680;width:0;" filled="f" stroked="t" coordsize="21600,21600" o:gfxdata="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bDfq/&#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Line 18" o:spid="_x0000_s1026" o:spt="20" style="position:absolute;left:1500;top:7358;height:680;width:0;" filled="f" stroked="t" coordsize="21600,21600" o:gfxdata="UEsDBAoAAAAAAIdO4kAAAAAAAAAAAAAAAAAEAAAAZHJzL1BLAwQUAAAACACHTuJAVxeoYb8AAADb&#10;AAAADwAAAGRycy9kb3ducmV2LnhtbEWPT2vCQBTE7wW/w/IEb3UTh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XqGG/&#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w10:wrap type="none"/>
                <w10:anchorlock/>
              </v:group>
            </w:pict>
          </mc:Fallback>
        </mc:AlternateContent>
      </w:r>
    </w:p>
    <w:p w14:paraId="5500AE07">
      <w:pPr>
        <w:bidi w:val="0"/>
        <w:ind w:left="0" w:leftChars="0" w:firstLine="0" w:firstLineChars="0"/>
        <w:jc w:val="center"/>
        <w:rPr>
          <w:rFonts w:hint="default"/>
          <w:color w:val="auto"/>
          <w:sz w:val="21"/>
          <w:szCs w:val="21"/>
        </w:rPr>
      </w:pPr>
    </w:p>
    <w:p w14:paraId="27A753C3">
      <w:pPr>
        <w:bidi w:val="0"/>
        <w:ind w:left="0" w:leftChars="0" w:firstLine="0" w:firstLineChars="0"/>
        <w:jc w:val="center"/>
        <w:rPr>
          <w:rFonts w:hint="default"/>
          <w:color w:val="auto"/>
        </w:rPr>
      </w:pPr>
      <w:r>
        <w:rPr>
          <w:rFonts w:hint="default"/>
          <w:color w:val="auto"/>
        </w:rPr>
        <w:t>图1.4-1</w:t>
      </w:r>
      <w:r>
        <w:rPr>
          <w:rFonts w:hint="eastAsia"/>
          <w:color w:val="auto"/>
          <w:lang w:val="en-US" w:eastAsia="zh-CN"/>
        </w:rPr>
        <w:t xml:space="preserve"> </w:t>
      </w:r>
      <w:r>
        <w:rPr>
          <w:rFonts w:hint="default"/>
          <w:color w:val="auto"/>
        </w:rPr>
        <w:t>安全条件评价程序图</w:t>
      </w:r>
    </w:p>
    <w:p w14:paraId="727BCB8C">
      <w:pPr>
        <w:pStyle w:val="3"/>
        <w:bidi w:val="0"/>
        <w:rPr>
          <w:rFonts w:hint="default"/>
          <w:color w:val="auto"/>
        </w:rPr>
      </w:pPr>
      <w:bookmarkStart w:id="26" w:name="_Toc19239"/>
      <w:bookmarkStart w:id="27" w:name="_Toc13769"/>
      <w:bookmarkStart w:id="28" w:name="_Toc16383"/>
      <w:bookmarkStart w:id="29" w:name="_Toc12558"/>
      <w:r>
        <w:rPr>
          <w:rFonts w:hint="default"/>
          <w:color w:val="auto"/>
        </w:rPr>
        <w:t>1.5</w:t>
      </w:r>
      <w:r>
        <w:rPr>
          <w:rFonts w:hint="eastAsia"/>
          <w:color w:val="auto"/>
          <w:lang w:val="en-US" w:eastAsia="zh-CN"/>
        </w:rPr>
        <w:t xml:space="preserve"> </w:t>
      </w:r>
      <w:r>
        <w:rPr>
          <w:rFonts w:hint="default"/>
          <w:color w:val="auto"/>
        </w:rPr>
        <w:t>附加说明</w:t>
      </w:r>
      <w:bookmarkEnd w:id="26"/>
      <w:bookmarkEnd w:id="27"/>
      <w:bookmarkEnd w:id="28"/>
      <w:bookmarkEnd w:id="29"/>
    </w:p>
    <w:p w14:paraId="5929C1B5">
      <w:pPr>
        <w:rPr>
          <w:rFonts w:hint="default"/>
          <w:color w:val="auto"/>
        </w:rPr>
      </w:pPr>
      <w:r>
        <w:rPr>
          <w:rFonts w:hint="default"/>
          <w:color w:val="auto"/>
        </w:rPr>
        <w:t>本报告是在宜春钽铌矿有限公司提供的资料基础上完成的，如提供的资料有虚假内容，并由此导致的经济和法律责任及其它后果均由委托方自行承担。</w:t>
      </w:r>
    </w:p>
    <w:p w14:paraId="6DDD2707">
      <w:pPr>
        <w:rPr>
          <w:rFonts w:hint="default"/>
          <w:color w:val="auto"/>
        </w:rPr>
      </w:pPr>
      <w:r>
        <w:rPr>
          <w:rFonts w:hint="default"/>
          <w:color w:val="auto"/>
        </w:rPr>
        <w:t>委托方在我中心出具报告后，如</w:t>
      </w:r>
      <w:r>
        <w:rPr>
          <w:rFonts w:hint="eastAsia"/>
          <w:color w:val="auto"/>
          <w:lang w:eastAsia="zh-CN"/>
        </w:rPr>
        <w:t>本项目</w:t>
      </w:r>
      <w:r>
        <w:rPr>
          <w:rFonts w:hint="default"/>
          <w:color w:val="auto"/>
        </w:rPr>
        <w:t>周边条件发生重大变化的，变更建设地址的，主要工艺装置、油品品种或者储存装置规模发生重大变化的，造成系统的安全程度也随之发生变化，本报告将失去有效性。</w:t>
      </w:r>
    </w:p>
    <w:p w14:paraId="7CFA8965">
      <w:pPr>
        <w:rPr>
          <w:rFonts w:hint="default"/>
          <w:color w:val="auto"/>
        </w:rPr>
      </w:pPr>
      <w:r>
        <w:rPr>
          <w:rFonts w:hint="default"/>
          <w:color w:val="auto"/>
        </w:rPr>
        <w:t>本安全评价报告未盖</w:t>
      </w:r>
      <w:r>
        <w:rPr>
          <w:rFonts w:hint="eastAsia"/>
          <w:color w:val="auto"/>
          <w:lang w:eastAsia="zh-CN"/>
        </w:rPr>
        <w:t>“</w:t>
      </w:r>
      <w:r>
        <w:rPr>
          <w:rFonts w:hint="default"/>
          <w:color w:val="auto"/>
        </w:rPr>
        <w:t>江西赣安安全生产科学技术咨询服务中心</w:t>
      </w:r>
      <w:r>
        <w:rPr>
          <w:rFonts w:hint="eastAsia"/>
          <w:color w:val="auto"/>
          <w:lang w:eastAsia="zh-CN"/>
        </w:rPr>
        <w:t>”</w:t>
      </w:r>
      <w:r>
        <w:rPr>
          <w:rFonts w:hint="default"/>
          <w:color w:val="auto"/>
        </w:rPr>
        <w:t>公章无效；涂改、缺页无效；安全评价人员未签名无效；安全评价报告未经授权不得复印，复印的报告未重新加盖</w:t>
      </w:r>
      <w:r>
        <w:rPr>
          <w:rFonts w:hint="eastAsia"/>
          <w:color w:val="auto"/>
          <w:lang w:eastAsia="zh-CN"/>
        </w:rPr>
        <w:t>“</w:t>
      </w:r>
      <w:r>
        <w:rPr>
          <w:rFonts w:hint="default"/>
          <w:color w:val="auto"/>
        </w:rPr>
        <w:t>江西赣安安全生产科学技术咨询服务中心</w:t>
      </w:r>
      <w:r>
        <w:rPr>
          <w:rFonts w:hint="eastAsia"/>
          <w:color w:val="auto"/>
          <w:lang w:eastAsia="zh-CN"/>
        </w:rPr>
        <w:t>”</w:t>
      </w:r>
      <w:r>
        <w:rPr>
          <w:rFonts w:hint="default"/>
          <w:color w:val="auto"/>
        </w:rPr>
        <w:t>公章无效。</w:t>
      </w:r>
    </w:p>
    <w:p w14:paraId="0B50A3A6">
      <w:pPr>
        <w:pStyle w:val="2"/>
        <w:bidi w:val="0"/>
        <w:rPr>
          <w:rFonts w:hint="eastAsia"/>
          <w:color w:val="auto"/>
          <w:lang w:val="en-US" w:eastAsia="zh-CN"/>
        </w:rPr>
      </w:pPr>
      <w:r>
        <w:rPr>
          <w:rFonts w:hint="eastAsia"/>
          <w:color w:val="auto"/>
          <w:lang w:val="en-US" w:eastAsia="zh-CN"/>
        </w:rPr>
        <w:br w:type="page"/>
      </w:r>
      <w:bookmarkStart w:id="30" w:name="_Toc21515"/>
      <w:bookmarkStart w:id="31" w:name="_Toc17660"/>
      <w:bookmarkStart w:id="32" w:name="_Toc16391"/>
      <w:bookmarkStart w:id="33" w:name="_Toc28659"/>
      <w:r>
        <w:rPr>
          <w:rFonts w:hint="eastAsia"/>
          <w:color w:val="auto"/>
          <w:lang w:val="en-US" w:eastAsia="zh-CN"/>
        </w:rPr>
        <w:t>2. 建设项目概况</w:t>
      </w:r>
      <w:bookmarkEnd w:id="30"/>
      <w:bookmarkEnd w:id="31"/>
      <w:bookmarkEnd w:id="32"/>
      <w:bookmarkEnd w:id="33"/>
    </w:p>
    <w:p w14:paraId="600F9B50">
      <w:pPr>
        <w:pStyle w:val="3"/>
        <w:bidi w:val="0"/>
        <w:rPr>
          <w:rFonts w:hint="eastAsia"/>
          <w:color w:val="auto"/>
          <w:lang w:val="en-US" w:eastAsia="zh-CN"/>
        </w:rPr>
      </w:pPr>
      <w:bookmarkStart w:id="34" w:name="_Toc2956"/>
      <w:bookmarkStart w:id="35" w:name="_Toc16488"/>
      <w:bookmarkStart w:id="36" w:name="_Toc3548"/>
      <w:bookmarkStart w:id="37" w:name="_Toc24698"/>
      <w:r>
        <w:rPr>
          <w:rFonts w:hint="eastAsia"/>
          <w:color w:val="auto"/>
          <w:lang w:val="en-US" w:eastAsia="zh-CN"/>
        </w:rPr>
        <w:t>2.1 建设单位简介及项目由来</w:t>
      </w:r>
      <w:bookmarkEnd w:id="34"/>
      <w:bookmarkEnd w:id="35"/>
      <w:bookmarkEnd w:id="36"/>
      <w:bookmarkEnd w:id="37"/>
    </w:p>
    <w:p w14:paraId="2A1AB112">
      <w:pPr>
        <w:rPr>
          <w:rFonts w:hint="eastAsia"/>
          <w:b/>
          <w:bCs/>
          <w:color w:val="auto"/>
        </w:rPr>
      </w:pPr>
      <w:r>
        <w:rPr>
          <w:rFonts w:hint="eastAsia"/>
          <w:b/>
          <w:bCs/>
          <w:color w:val="auto"/>
        </w:rPr>
        <w:t>一、建设单位简介</w:t>
      </w:r>
    </w:p>
    <w:p w14:paraId="769F74CB">
      <w:pPr>
        <w:rPr>
          <w:rFonts w:hint="eastAsia"/>
          <w:color w:val="auto"/>
        </w:rPr>
      </w:pPr>
      <w:r>
        <w:rPr>
          <w:rFonts w:hint="eastAsia"/>
          <w:color w:val="auto"/>
        </w:rPr>
        <w:t>宜春钽铌矿有限公司是目前亚洲最大的钽铌锂露采矿山，“亚洲锂都”主要的原料基地。是江西钨业控股集团有限公司的全资矿山企业。系采、选联合企业，为江西省属重点企业。</w:t>
      </w:r>
    </w:p>
    <w:p w14:paraId="25838785">
      <w:pPr>
        <w:rPr>
          <w:rFonts w:hint="eastAsia"/>
          <w:color w:val="auto"/>
        </w:rPr>
      </w:pPr>
      <w:r>
        <w:rPr>
          <w:rFonts w:hint="eastAsia"/>
          <w:color w:val="auto"/>
        </w:rPr>
        <w:t>公司注册资本贰亿元，资产8.57亿元，其中净资产5.13亿元，主营：钽铌矿、锂云母、（锂、铝）长石、白花岩石、高岭土（瓷土）的采选加工与销售；钽、铌、锂、铷、铯等矿产品冶炼加工；矿产品来料加工、收购。</w:t>
      </w:r>
    </w:p>
    <w:p w14:paraId="3B2CDE67">
      <w:pPr>
        <w:rPr>
          <w:rFonts w:hint="eastAsia"/>
          <w:b/>
          <w:bCs/>
          <w:color w:val="auto"/>
        </w:rPr>
      </w:pPr>
      <w:r>
        <w:rPr>
          <w:rFonts w:hint="eastAsia"/>
          <w:b/>
          <w:bCs/>
          <w:color w:val="auto"/>
        </w:rPr>
        <w:t>二、项目由来</w:t>
      </w:r>
    </w:p>
    <w:p w14:paraId="7AFA282D">
      <w:pPr>
        <w:bidi w:val="0"/>
        <w:ind w:firstLine="200"/>
        <w:rPr>
          <w:rFonts w:hint="eastAsia" w:ascii="Times New Roman" w:hAnsi="Times New Roman" w:eastAsia="宋体" w:cs="Times New Roman"/>
          <w:color w:val="auto"/>
          <w:kern w:val="2"/>
          <w:szCs w:val="24"/>
          <w:lang w:eastAsia="zh-CN"/>
        </w:rPr>
      </w:pPr>
      <w:r>
        <w:rPr>
          <w:rFonts w:hint="eastAsia" w:ascii="Times New Roman" w:hAnsi="Times New Roman" w:eastAsia="宋体" w:cs="Times New Roman"/>
          <w:color w:val="auto"/>
          <w:kern w:val="2"/>
          <w:szCs w:val="24"/>
        </w:rPr>
        <w:t>宜春钽铌矿有限公司</w:t>
      </w:r>
      <w:r>
        <w:rPr>
          <w:rFonts w:hint="eastAsia" w:cs="Times New Roman"/>
          <w:color w:val="auto"/>
          <w:kern w:val="2"/>
          <w:szCs w:val="24"/>
          <w:lang w:eastAsia="zh-CN"/>
        </w:rPr>
        <w:t>加油站升级改造项目</w:t>
      </w:r>
      <w:r>
        <w:rPr>
          <w:rFonts w:hint="eastAsia" w:ascii="Times New Roman" w:hAnsi="Times New Roman" w:eastAsia="宋体" w:cs="Times New Roman"/>
          <w:color w:val="auto"/>
          <w:kern w:val="2"/>
          <w:szCs w:val="24"/>
        </w:rPr>
        <w:t>位于江西省宜春市袁州区新坊镇</w:t>
      </w:r>
      <w:r>
        <w:rPr>
          <w:rFonts w:hint="eastAsia" w:ascii="Times New Roman" w:hAnsi="Times New Roman" w:eastAsia="宋体" w:cs="Times New Roman"/>
          <w:color w:val="auto"/>
          <w:kern w:val="2"/>
          <w:szCs w:val="24"/>
          <w:lang w:eastAsia="zh-CN"/>
        </w:rPr>
        <w:t>，现有采矿场加油站及汽车队加油站各一座，各设有2座50m</w:t>
      </w:r>
      <w:r>
        <w:rPr>
          <w:rFonts w:hint="eastAsia" w:ascii="Times New Roman" w:hAnsi="Times New Roman" w:eastAsia="宋体" w:cs="Times New Roman"/>
          <w:color w:val="auto"/>
          <w:kern w:val="2"/>
          <w:szCs w:val="24"/>
          <w:vertAlign w:val="superscript"/>
          <w:lang w:val="en-US" w:eastAsia="zh-CN"/>
        </w:rPr>
        <w:t>3</w:t>
      </w:r>
      <w:r>
        <w:rPr>
          <w:rFonts w:hint="eastAsia" w:ascii="Times New Roman" w:hAnsi="Times New Roman" w:eastAsia="宋体" w:cs="Times New Roman"/>
          <w:color w:val="auto"/>
          <w:kern w:val="2"/>
          <w:szCs w:val="24"/>
          <w:lang w:eastAsia="zh-CN"/>
        </w:rPr>
        <w:t>柴油储罐及一座加油机，</w:t>
      </w:r>
      <w:r>
        <w:rPr>
          <w:rFonts w:hint="eastAsia" w:ascii="Times New Roman" w:hAnsi="Times New Roman" w:eastAsia="宋体" w:cs="Times New Roman"/>
          <w:color w:val="auto"/>
          <w:kern w:val="2"/>
          <w:szCs w:val="24"/>
          <w:lang w:val="en-US" w:eastAsia="zh-CN"/>
        </w:rPr>
        <w:t>目前</w:t>
      </w:r>
      <w:r>
        <w:rPr>
          <w:rFonts w:hint="eastAsia" w:ascii="Times New Roman" w:hAnsi="Times New Roman" w:eastAsia="宋体" w:cs="Times New Roman"/>
          <w:color w:val="auto"/>
          <w:kern w:val="2"/>
          <w:szCs w:val="24"/>
          <w:lang w:eastAsia="zh-CN"/>
        </w:rPr>
        <w:t>采矿场加油站</w:t>
      </w:r>
      <w:r>
        <w:rPr>
          <w:rFonts w:hint="eastAsia" w:cs="Times New Roman"/>
          <w:color w:val="auto"/>
          <w:kern w:val="2"/>
          <w:szCs w:val="24"/>
          <w:lang w:val="en-US" w:eastAsia="zh-CN"/>
        </w:rPr>
        <w:t>和</w:t>
      </w:r>
      <w:r>
        <w:rPr>
          <w:rFonts w:hint="eastAsia" w:ascii="Times New Roman" w:hAnsi="Times New Roman" w:eastAsia="宋体" w:cs="Times New Roman"/>
          <w:color w:val="auto"/>
          <w:kern w:val="2"/>
          <w:szCs w:val="24"/>
          <w:lang w:eastAsia="zh-CN"/>
        </w:rPr>
        <w:t>汽车队加油站</w:t>
      </w:r>
      <w:r>
        <w:rPr>
          <w:rFonts w:hint="eastAsia" w:cs="Times New Roman"/>
          <w:color w:val="auto"/>
          <w:kern w:val="2"/>
          <w:szCs w:val="24"/>
          <w:lang w:val="en-US" w:eastAsia="zh-CN"/>
        </w:rPr>
        <w:t>均不符合《汽车加油加气加氢站技术标准》（GB50156-2021）的要求，</w:t>
      </w:r>
      <w:r>
        <w:rPr>
          <w:rFonts w:hint="eastAsia" w:ascii="Times New Roman" w:hAnsi="Times New Roman" w:eastAsia="宋体" w:cs="Times New Roman"/>
          <w:color w:val="auto"/>
          <w:kern w:val="2"/>
          <w:szCs w:val="24"/>
          <w:lang w:val="en-US" w:eastAsia="zh-CN"/>
        </w:rPr>
        <w:t>故本次</w:t>
      </w:r>
      <w:r>
        <w:rPr>
          <w:rFonts w:hint="eastAsia" w:cs="Times New Roman"/>
          <w:color w:val="auto"/>
          <w:kern w:val="2"/>
          <w:szCs w:val="24"/>
          <w:lang w:eastAsia="zh-CN"/>
        </w:rPr>
        <w:t>升级改造</w:t>
      </w:r>
      <w:r>
        <w:rPr>
          <w:rFonts w:hint="eastAsia" w:ascii="Times New Roman" w:hAnsi="Times New Roman" w:eastAsia="宋体" w:cs="Times New Roman"/>
          <w:color w:val="auto"/>
          <w:kern w:val="2"/>
          <w:szCs w:val="24"/>
          <w:lang w:val="en-US" w:eastAsia="zh-CN"/>
        </w:rPr>
        <w:t>将</w:t>
      </w:r>
      <w:r>
        <w:rPr>
          <w:rFonts w:hint="eastAsia" w:ascii="Times New Roman" w:hAnsi="Times New Roman" w:eastAsia="宋体" w:cs="Times New Roman"/>
          <w:color w:val="auto"/>
          <w:kern w:val="2"/>
          <w:szCs w:val="24"/>
          <w:lang w:eastAsia="zh-CN"/>
        </w:rPr>
        <w:t>采矿场加油站及汽车队加油站原有地下室储罐停用，分别新建1座50</w:t>
      </w:r>
      <w:r>
        <w:rPr>
          <w:rFonts w:hint="eastAsia" w:cs="Times New Roman"/>
          <w:color w:val="auto"/>
          <w:kern w:val="2"/>
          <w:szCs w:val="24"/>
          <w:lang w:val="en-US" w:eastAsia="zh-CN"/>
        </w:rPr>
        <w:t>m</w:t>
      </w:r>
      <w:r>
        <w:rPr>
          <w:rFonts w:hint="eastAsia" w:cs="Times New Roman"/>
          <w:color w:val="auto"/>
          <w:kern w:val="2"/>
          <w:szCs w:val="24"/>
          <w:vertAlign w:val="superscript"/>
          <w:lang w:val="en-US" w:eastAsia="zh-CN"/>
        </w:rPr>
        <w:t>3</w:t>
      </w:r>
      <w:r>
        <w:rPr>
          <w:rFonts w:hint="eastAsia" w:ascii="Times New Roman" w:hAnsi="Times New Roman" w:eastAsia="宋体" w:cs="Times New Roman"/>
          <w:color w:val="auto"/>
          <w:kern w:val="2"/>
          <w:szCs w:val="24"/>
          <w:lang w:eastAsia="zh-CN"/>
        </w:rPr>
        <w:t>柴油地上撬装加油站</w:t>
      </w:r>
      <w:r>
        <w:rPr>
          <w:rFonts w:hint="eastAsia" w:cs="Times New Roman"/>
          <w:color w:val="auto"/>
          <w:kern w:val="2"/>
          <w:szCs w:val="24"/>
          <w:lang w:eastAsia="zh-CN"/>
        </w:rPr>
        <w:t>（符合撬装加油站设计规范要求），</w:t>
      </w:r>
      <w:r>
        <w:rPr>
          <w:rFonts w:hint="eastAsia" w:ascii="Times New Roman" w:hAnsi="Times New Roman" w:eastAsia="宋体" w:cs="Times New Roman"/>
          <w:color w:val="auto"/>
          <w:kern w:val="2"/>
          <w:szCs w:val="24"/>
          <w:lang w:eastAsia="zh-CN"/>
        </w:rPr>
        <w:t>新建25</w:t>
      </w:r>
      <w:r>
        <w:rPr>
          <w:rFonts w:hint="eastAsia" w:cs="Times New Roman"/>
          <w:color w:val="auto"/>
          <w:kern w:val="2"/>
          <w:szCs w:val="24"/>
          <w:lang w:val="en-US" w:eastAsia="zh-CN"/>
        </w:rPr>
        <w:t>m</w:t>
      </w:r>
      <w:r>
        <w:rPr>
          <w:rFonts w:hint="eastAsia" w:cs="Times New Roman"/>
          <w:color w:val="auto"/>
          <w:kern w:val="2"/>
          <w:szCs w:val="24"/>
          <w:vertAlign w:val="superscript"/>
          <w:lang w:val="en-US" w:eastAsia="zh-CN"/>
        </w:rPr>
        <w:t>3</w:t>
      </w:r>
      <w:r>
        <w:rPr>
          <w:rFonts w:hint="eastAsia" w:ascii="Times New Roman" w:hAnsi="Times New Roman" w:eastAsia="宋体" w:cs="Times New Roman"/>
          <w:color w:val="auto"/>
          <w:kern w:val="2"/>
          <w:szCs w:val="24"/>
          <w:lang w:eastAsia="zh-CN"/>
        </w:rPr>
        <w:t>漏油收集池，配套建筑、电气、自控、给排水改造。</w:t>
      </w:r>
    </w:p>
    <w:p w14:paraId="478668BB">
      <w:pPr>
        <w:pStyle w:val="3"/>
        <w:bidi w:val="0"/>
        <w:rPr>
          <w:rFonts w:hint="eastAsia"/>
          <w:color w:val="auto"/>
          <w:lang w:eastAsia="zh-CN"/>
        </w:rPr>
      </w:pPr>
      <w:bookmarkStart w:id="38" w:name="_Toc21512"/>
      <w:bookmarkStart w:id="39" w:name="_Toc20026"/>
      <w:bookmarkStart w:id="40" w:name="_Toc8188"/>
      <w:bookmarkStart w:id="41" w:name="_Toc4463"/>
      <w:r>
        <w:rPr>
          <w:rFonts w:hint="eastAsia"/>
          <w:color w:val="auto"/>
          <w:lang w:eastAsia="zh-CN"/>
        </w:rPr>
        <w:t>2.2</w:t>
      </w:r>
      <w:r>
        <w:rPr>
          <w:rFonts w:hint="eastAsia"/>
          <w:color w:val="auto"/>
          <w:lang w:val="en-US" w:eastAsia="zh-CN"/>
        </w:rPr>
        <w:t xml:space="preserve"> </w:t>
      </w:r>
      <w:r>
        <w:rPr>
          <w:rFonts w:hint="eastAsia"/>
          <w:color w:val="auto"/>
          <w:lang w:eastAsia="zh-CN"/>
        </w:rPr>
        <w:t>建设项目基本概况</w:t>
      </w:r>
      <w:bookmarkEnd w:id="38"/>
      <w:bookmarkEnd w:id="39"/>
      <w:bookmarkEnd w:id="40"/>
      <w:bookmarkEnd w:id="41"/>
    </w:p>
    <w:p w14:paraId="5087B570">
      <w:pPr>
        <w:rPr>
          <w:rFonts w:hint="eastAsia"/>
          <w:color w:val="auto"/>
          <w:lang w:eastAsia="zh-CN"/>
        </w:rPr>
      </w:pPr>
      <w:r>
        <w:rPr>
          <w:rFonts w:hint="eastAsia"/>
          <w:color w:val="auto"/>
          <w:lang w:eastAsia="zh-CN"/>
        </w:rPr>
        <w:t>项目名称：宜春钽铌矿有限公司</w:t>
      </w:r>
      <w:r>
        <w:rPr>
          <w:rFonts w:hint="eastAsia" w:cs="Times New Roman"/>
          <w:color w:val="auto"/>
          <w:kern w:val="2"/>
          <w:szCs w:val="24"/>
          <w:lang w:eastAsia="zh-CN"/>
        </w:rPr>
        <w:t>加油站升级改造</w:t>
      </w:r>
    </w:p>
    <w:p w14:paraId="65A702BA">
      <w:pPr>
        <w:rPr>
          <w:rFonts w:hint="eastAsia"/>
          <w:color w:val="auto"/>
          <w:lang w:eastAsia="zh-CN"/>
        </w:rPr>
      </w:pPr>
      <w:r>
        <w:rPr>
          <w:rFonts w:hint="eastAsia"/>
          <w:color w:val="auto"/>
          <w:lang w:eastAsia="zh-CN"/>
        </w:rPr>
        <w:t>建设单位：宜春钽铌矿有限公司</w:t>
      </w:r>
    </w:p>
    <w:p w14:paraId="2FB1E3BE">
      <w:pPr>
        <w:rPr>
          <w:rFonts w:hint="eastAsia"/>
          <w:color w:val="auto"/>
          <w:lang w:eastAsia="zh-CN"/>
        </w:rPr>
      </w:pPr>
      <w:r>
        <w:rPr>
          <w:rFonts w:hint="eastAsia"/>
          <w:color w:val="auto"/>
          <w:lang w:eastAsia="zh-CN"/>
        </w:rPr>
        <w:t>项目地址：江西省宜春市袁州区新坊镇</w:t>
      </w:r>
    </w:p>
    <w:p w14:paraId="37ECDBBA">
      <w:pPr>
        <w:rPr>
          <w:rFonts w:hint="eastAsia"/>
          <w:color w:val="auto"/>
          <w:lang w:eastAsia="zh-CN"/>
        </w:rPr>
      </w:pPr>
      <w:r>
        <w:rPr>
          <w:rFonts w:hint="eastAsia"/>
          <w:color w:val="auto"/>
          <w:lang w:eastAsia="zh-CN"/>
        </w:rPr>
        <w:t>企业类型：有限责任公司（非自然人投资或控股的法人独资）</w:t>
      </w:r>
    </w:p>
    <w:p w14:paraId="7D4A3656">
      <w:pPr>
        <w:rPr>
          <w:rFonts w:hint="eastAsia"/>
          <w:color w:val="auto"/>
          <w:lang w:eastAsia="zh-CN"/>
        </w:rPr>
      </w:pPr>
      <w:r>
        <w:rPr>
          <w:rFonts w:hint="eastAsia"/>
          <w:color w:val="auto"/>
          <w:lang w:eastAsia="zh-CN"/>
        </w:rPr>
        <w:t>负责人：曾令挥</w:t>
      </w:r>
    </w:p>
    <w:p w14:paraId="7A266996">
      <w:pPr>
        <w:rPr>
          <w:rFonts w:hint="eastAsia"/>
          <w:color w:val="auto"/>
          <w:lang w:eastAsia="zh-CN"/>
        </w:rPr>
      </w:pPr>
      <w:r>
        <w:rPr>
          <w:rFonts w:hint="eastAsia"/>
          <w:color w:val="auto"/>
          <w:lang w:eastAsia="zh-CN"/>
        </w:rPr>
        <w:t>项目性质：</w:t>
      </w:r>
      <w:r>
        <w:rPr>
          <w:rFonts w:hint="eastAsia"/>
          <w:color w:val="auto"/>
          <w:lang w:val="en-US" w:eastAsia="zh-CN"/>
        </w:rPr>
        <w:t>改建</w:t>
      </w:r>
      <w:r>
        <w:rPr>
          <w:rFonts w:hint="eastAsia"/>
          <w:color w:val="auto"/>
          <w:lang w:eastAsia="zh-CN"/>
        </w:rPr>
        <w:t>项目</w:t>
      </w:r>
    </w:p>
    <w:p w14:paraId="05EC88F2">
      <w:pPr>
        <w:rPr>
          <w:rFonts w:hint="eastAsia"/>
          <w:color w:val="auto"/>
          <w:lang w:eastAsia="zh-CN"/>
        </w:rPr>
      </w:pPr>
      <w:r>
        <w:rPr>
          <w:rFonts w:hint="eastAsia"/>
          <w:color w:val="auto"/>
          <w:lang w:eastAsia="zh-CN"/>
        </w:rPr>
        <w:t>项目规模：（1）项目面积：</w:t>
      </w:r>
      <w:r>
        <w:rPr>
          <w:rFonts w:hint="eastAsia" w:ascii="Times New Roman" w:hAnsi="Times New Roman" w:eastAsia="宋体" w:cs="Times New Roman"/>
          <w:color w:val="auto"/>
          <w:kern w:val="2"/>
          <w:szCs w:val="24"/>
          <w:lang w:eastAsia="zh-CN"/>
        </w:rPr>
        <w:t>采矿场加油站</w:t>
      </w:r>
      <w:r>
        <w:rPr>
          <w:rFonts w:hint="eastAsia" w:ascii="Times New Roman" w:hAnsi="Times New Roman" w:eastAsia="宋体" w:cs="Times New Roman"/>
          <w:color w:val="auto"/>
          <w:kern w:val="2"/>
          <w:szCs w:val="24"/>
          <w:lang w:val="en-US" w:eastAsia="zh-CN"/>
        </w:rPr>
        <w:t>131423.12m</w:t>
      </w:r>
      <w:r>
        <w:rPr>
          <w:rFonts w:hint="eastAsia" w:ascii="Times New Roman" w:hAnsi="Times New Roman" w:eastAsia="宋体" w:cs="Times New Roman"/>
          <w:color w:val="auto"/>
          <w:kern w:val="2"/>
          <w:szCs w:val="24"/>
          <w:vertAlign w:val="superscript"/>
          <w:lang w:val="en-US" w:eastAsia="zh-CN"/>
        </w:rPr>
        <w:t>2</w:t>
      </w:r>
      <w:r>
        <w:rPr>
          <w:rFonts w:hint="eastAsia" w:ascii="Times New Roman" w:hAnsi="Times New Roman" w:eastAsia="宋体" w:cs="Times New Roman"/>
          <w:color w:val="auto"/>
          <w:kern w:val="2"/>
          <w:szCs w:val="24"/>
          <w:vertAlign w:val="baseline"/>
          <w:lang w:val="en-US" w:eastAsia="zh-CN"/>
        </w:rPr>
        <w:t>，</w:t>
      </w:r>
      <w:r>
        <w:rPr>
          <w:rFonts w:hint="eastAsia" w:ascii="Times New Roman" w:hAnsi="Times New Roman" w:eastAsia="宋体" w:cs="Times New Roman"/>
          <w:color w:val="auto"/>
          <w:kern w:val="2"/>
          <w:szCs w:val="24"/>
          <w:lang w:eastAsia="zh-CN"/>
        </w:rPr>
        <w:t>汽车队加油站</w:t>
      </w:r>
      <w:r>
        <w:rPr>
          <w:rFonts w:hint="eastAsia" w:ascii="Times New Roman" w:hAnsi="Times New Roman" w:eastAsia="宋体" w:cs="Times New Roman"/>
          <w:color w:val="auto"/>
          <w:kern w:val="2"/>
          <w:szCs w:val="24"/>
          <w:lang w:val="en-US" w:eastAsia="zh-CN"/>
        </w:rPr>
        <w:t>45115.24m</w:t>
      </w:r>
      <w:r>
        <w:rPr>
          <w:rFonts w:hint="eastAsia" w:ascii="Times New Roman" w:hAnsi="Times New Roman" w:eastAsia="宋体" w:cs="Times New Roman"/>
          <w:color w:val="auto"/>
          <w:kern w:val="2"/>
          <w:szCs w:val="24"/>
          <w:vertAlign w:val="superscript"/>
          <w:lang w:val="en-US" w:eastAsia="zh-CN"/>
        </w:rPr>
        <w:t>2</w:t>
      </w:r>
      <w:r>
        <w:rPr>
          <w:rFonts w:hint="eastAsia"/>
          <w:color w:val="auto"/>
          <w:lang w:eastAsia="zh-CN"/>
        </w:rPr>
        <w:t>；（2）成品油（储量）：</w:t>
      </w:r>
      <w:r>
        <w:rPr>
          <w:rFonts w:hint="eastAsia" w:ascii="Times New Roman" w:hAnsi="Times New Roman" w:eastAsia="宋体" w:cs="Times New Roman"/>
          <w:color w:val="auto"/>
          <w:kern w:val="2"/>
          <w:szCs w:val="24"/>
          <w:lang w:eastAsia="zh-CN"/>
        </w:rPr>
        <w:t>采矿场撬装加油站</w:t>
      </w:r>
      <w:r>
        <w:rPr>
          <w:rFonts w:hint="eastAsia"/>
          <w:color w:val="auto"/>
          <w:lang w:val="en-US" w:eastAsia="zh-CN"/>
        </w:rPr>
        <w:t>和</w:t>
      </w:r>
      <w:r>
        <w:rPr>
          <w:rFonts w:hint="eastAsia" w:ascii="Times New Roman" w:hAnsi="Times New Roman" w:eastAsia="宋体" w:cs="Times New Roman"/>
          <w:color w:val="auto"/>
          <w:kern w:val="2"/>
          <w:szCs w:val="24"/>
          <w:lang w:eastAsia="zh-CN"/>
        </w:rPr>
        <w:t>汽车队撬装加油站</w:t>
      </w:r>
      <w:r>
        <w:rPr>
          <w:rFonts w:hint="eastAsia" w:ascii="Times New Roman" w:hAnsi="Times New Roman" w:eastAsia="宋体" w:cs="Times New Roman"/>
          <w:color w:val="auto"/>
          <w:kern w:val="2"/>
          <w:szCs w:val="24"/>
          <w:lang w:val="en-US" w:eastAsia="zh-CN"/>
        </w:rPr>
        <w:t>均为</w:t>
      </w:r>
      <w:r>
        <w:rPr>
          <w:rFonts w:hint="eastAsia" w:cs="Times New Roman"/>
          <w:color w:val="auto"/>
          <w:kern w:val="2"/>
          <w:szCs w:val="24"/>
          <w:lang w:val="en-US" w:eastAsia="zh-CN"/>
        </w:rPr>
        <w:t>50</w:t>
      </w:r>
      <w:r>
        <w:rPr>
          <w:rFonts w:hint="eastAsia" w:ascii="Times New Roman" w:hAnsi="Times New Roman" w:eastAsia="宋体" w:cs="Times New Roman"/>
          <w:color w:val="auto"/>
          <w:kern w:val="2"/>
          <w:szCs w:val="24"/>
          <w:lang w:val="en-US" w:eastAsia="zh-CN"/>
        </w:rPr>
        <w:t>m</w:t>
      </w:r>
      <w:r>
        <w:rPr>
          <w:rFonts w:hint="eastAsia" w:ascii="Times New Roman" w:hAnsi="Times New Roman" w:eastAsia="宋体" w:cs="Times New Roman"/>
          <w:color w:val="auto"/>
          <w:kern w:val="2"/>
          <w:szCs w:val="24"/>
          <w:vertAlign w:val="superscript"/>
          <w:lang w:val="en-US" w:eastAsia="zh-CN"/>
        </w:rPr>
        <w:t>3</w:t>
      </w:r>
      <w:r>
        <w:rPr>
          <w:rFonts w:hint="eastAsia"/>
          <w:color w:val="auto"/>
          <w:lang w:eastAsia="zh-CN"/>
        </w:rPr>
        <w:t>，折算总容</w:t>
      </w:r>
      <w:r>
        <w:rPr>
          <w:rFonts w:hint="eastAsia"/>
          <w:color w:val="auto"/>
          <w:lang w:val="en-US" w:eastAsia="zh-CN"/>
        </w:rPr>
        <w:t>积均</w:t>
      </w:r>
      <w:r>
        <w:rPr>
          <w:rFonts w:hint="eastAsia"/>
          <w:color w:val="auto"/>
          <w:lang w:eastAsia="zh-CN"/>
        </w:rPr>
        <w:t>为</w:t>
      </w:r>
      <w:r>
        <w:rPr>
          <w:rFonts w:hint="eastAsia"/>
          <w:color w:val="auto"/>
          <w:lang w:val="en-US" w:eastAsia="zh-CN"/>
        </w:rPr>
        <w:t>25</w:t>
      </w:r>
      <w:r>
        <w:rPr>
          <w:rFonts w:hint="eastAsia"/>
          <w:color w:val="auto"/>
          <w:lang w:eastAsia="zh-CN"/>
        </w:rPr>
        <w:t>m</w:t>
      </w:r>
      <w:r>
        <w:rPr>
          <w:rFonts w:hint="eastAsia"/>
          <w:color w:val="auto"/>
          <w:vertAlign w:val="superscript"/>
          <w:lang w:eastAsia="zh-CN"/>
        </w:rPr>
        <w:t>3</w:t>
      </w:r>
      <w:r>
        <w:rPr>
          <w:rFonts w:hint="eastAsia"/>
          <w:color w:val="auto"/>
          <w:lang w:eastAsia="zh-CN"/>
        </w:rPr>
        <w:t>，</w:t>
      </w:r>
      <w:r>
        <w:rPr>
          <w:rFonts w:hint="eastAsia"/>
          <w:color w:val="auto"/>
          <w:lang w:val="en-US" w:eastAsia="zh-CN"/>
        </w:rPr>
        <w:t>均</w:t>
      </w:r>
      <w:r>
        <w:rPr>
          <w:rFonts w:hint="eastAsia"/>
          <w:color w:val="auto"/>
          <w:lang w:eastAsia="zh-CN"/>
        </w:rPr>
        <w:t>属</w:t>
      </w:r>
      <w:r>
        <w:rPr>
          <w:rFonts w:hint="eastAsia"/>
          <w:color w:val="auto"/>
          <w:lang w:val="en-US" w:eastAsia="zh-CN"/>
        </w:rPr>
        <w:t>三</w:t>
      </w:r>
      <w:r>
        <w:rPr>
          <w:rFonts w:hint="eastAsia"/>
          <w:color w:val="auto"/>
          <w:lang w:eastAsia="zh-CN"/>
        </w:rPr>
        <w:t>级加油站。</w:t>
      </w:r>
    </w:p>
    <w:p w14:paraId="01CC141A">
      <w:pPr>
        <w:rPr>
          <w:rFonts w:hint="eastAsia"/>
          <w:color w:val="auto"/>
          <w:lang w:eastAsia="zh-CN"/>
        </w:rPr>
      </w:pPr>
      <w:r>
        <w:rPr>
          <w:rFonts w:hint="eastAsia"/>
          <w:color w:val="auto"/>
          <w:lang w:eastAsia="zh-CN"/>
        </w:rPr>
        <w:t>设计单位：天津中德工程设计有限公司［化工石化医药行业（石油及化工产品储运）专业甲级，证书编号：A112002794］</w:t>
      </w:r>
    </w:p>
    <w:p w14:paraId="73FFD4EC">
      <w:pPr>
        <w:rPr>
          <w:rFonts w:hint="eastAsia"/>
          <w:color w:val="auto"/>
          <w:lang w:eastAsia="zh-CN"/>
        </w:rPr>
      </w:pPr>
      <w:r>
        <w:rPr>
          <w:rFonts w:hint="eastAsia"/>
          <w:color w:val="auto"/>
          <w:lang w:eastAsia="zh-CN"/>
        </w:rPr>
        <w:t>项目备案：202</w:t>
      </w:r>
      <w:r>
        <w:rPr>
          <w:rFonts w:hint="eastAsia"/>
          <w:color w:val="auto"/>
          <w:lang w:val="en-US" w:eastAsia="zh-CN"/>
        </w:rPr>
        <w:t>4</w:t>
      </w:r>
      <w:r>
        <w:rPr>
          <w:rFonts w:hint="eastAsia"/>
          <w:color w:val="auto"/>
          <w:lang w:eastAsia="zh-CN"/>
        </w:rPr>
        <w:t>年</w:t>
      </w:r>
      <w:r>
        <w:rPr>
          <w:rFonts w:hint="eastAsia"/>
          <w:color w:val="auto"/>
          <w:lang w:val="en-US" w:eastAsia="zh-CN"/>
        </w:rPr>
        <w:t>5</w:t>
      </w:r>
      <w:r>
        <w:rPr>
          <w:rFonts w:hint="eastAsia"/>
          <w:color w:val="auto"/>
          <w:lang w:eastAsia="zh-CN"/>
        </w:rPr>
        <w:t>月</w:t>
      </w:r>
      <w:r>
        <w:rPr>
          <w:rFonts w:hint="eastAsia"/>
          <w:color w:val="auto"/>
          <w:lang w:val="en-US" w:eastAsia="zh-CN"/>
        </w:rPr>
        <w:t>14</w:t>
      </w:r>
      <w:r>
        <w:rPr>
          <w:rFonts w:hint="eastAsia"/>
          <w:color w:val="auto"/>
          <w:lang w:eastAsia="zh-CN"/>
        </w:rPr>
        <w:t>日在江西钨业股份有限公司备案，江钨股份生字〔2024〕42号</w:t>
      </w:r>
    </w:p>
    <w:p w14:paraId="393A61DD">
      <w:pPr>
        <w:rPr>
          <w:rFonts w:hint="default"/>
          <w:color w:val="auto"/>
          <w:lang w:val="en-US" w:eastAsia="zh-CN"/>
        </w:rPr>
      </w:pPr>
      <w:r>
        <w:rPr>
          <w:rFonts w:hint="eastAsia"/>
          <w:color w:val="auto"/>
          <w:lang w:val="en-US" w:eastAsia="zh-CN"/>
        </w:rPr>
        <w:t>本项目</w:t>
      </w:r>
      <w:r>
        <w:rPr>
          <w:rFonts w:hint="default"/>
          <w:color w:val="auto"/>
          <w:lang w:val="en-US" w:eastAsia="zh-CN"/>
        </w:rPr>
        <w:t>的主要改造内容：见表2.2-1。</w:t>
      </w:r>
    </w:p>
    <w:p w14:paraId="01574EBD">
      <w:pPr>
        <w:ind w:left="0" w:leftChars="0" w:firstLine="0" w:firstLineChars="0"/>
        <w:jc w:val="center"/>
        <w:rPr>
          <w:rFonts w:hint="default"/>
          <w:color w:val="auto"/>
          <w:lang w:val="en-US" w:eastAsia="zh-CN"/>
        </w:rPr>
      </w:pPr>
      <w:r>
        <w:rPr>
          <w:rFonts w:hint="default"/>
          <w:color w:val="auto"/>
          <w:lang w:val="en-US" w:eastAsia="zh-CN"/>
        </w:rPr>
        <w:t>表2.2-1</w:t>
      </w:r>
      <w:r>
        <w:rPr>
          <w:rFonts w:hint="eastAsia"/>
          <w:color w:val="auto"/>
          <w:lang w:val="en-US" w:eastAsia="zh-CN"/>
        </w:rPr>
        <w:t xml:space="preserve"> </w:t>
      </w:r>
      <w:r>
        <w:rPr>
          <w:rFonts w:hint="default"/>
          <w:color w:val="auto"/>
          <w:lang w:val="en-US" w:eastAsia="zh-CN"/>
        </w:rPr>
        <w:t>项目主要改造内容</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487"/>
        <w:gridCol w:w="4843"/>
        <w:gridCol w:w="2210"/>
      </w:tblGrid>
      <w:tr w14:paraId="5C80C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0FF8600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序号</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243734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名称</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3535592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lang w:val="en-US" w:eastAsia="zh-CN"/>
              </w:rPr>
              <w:t>改造内容</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494B676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val="0"/>
                <w:color w:val="auto"/>
                <w:kern w:val="2"/>
                <w:sz w:val="21"/>
                <w:szCs w:val="21"/>
              </w:rPr>
            </w:pPr>
            <w:r>
              <w:rPr>
                <w:rFonts w:hint="default" w:ascii="Times New Roman" w:hAnsi="Times New Roman" w:eastAsia="宋体" w:cs="Times New Roman"/>
                <w:b/>
                <w:bCs w:val="0"/>
                <w:color w:val="auto"/>
                <w:kern w:val="2"/>
                <w:sz w:val="21"/>
                <w:szCs w:val="21"/>
              </w:rPr>
              <w:t>备注</w:t>
            </w:r>
          </w:p>
        </w:tc>
      </w:tr>
      <w:tr w14:paraId="28CE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center"/>
          </w:tcPr>
          <w:p w14:paraId="58AA55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val="0"/>
                <w:color w:val="auto"/>
                <w:kern w:val="2"/>
                <w:sz w:val="21"/>
                <w:szCs w:val="21"/>
                <w:lang w:val="en-US" w:eastAsia="zh-CN"/>
              </w:rPr>
            </w:pPr>
            <w:r>
              <w:rPr>
                <w:rFonts w:hint="eastAsia" w:ascii="Times New Roman" w:hAnsi="Times New Roman" w:cs="Times New Roman"/>
                <w:b/>
                <w:bCs w:val="0"/>
                <w:color w:val="auto"/>
                <w:kern w:val="2"/>
                <w:sz w:val="21"/>
                <w:szCs w:val="21"/>
                <w:lang w:val="en-US" w:eastAsia="zh-CN"/>
              </w:rPr>
              <w:t>一、采矿场撬装加油站</w:t>
            </w:r>
          </w:p>
        </w:tc>
      </w:tr>
      <w:tr w14:paraId="1F4C7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7"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392448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eastAsia="zh-CN"/>
              </w:rPr>
            </w:pPr>
            <w:r>
              <w:rPr>
                <w:rFonts w:hint="eastAsia" w:ascii="Times New Roman" w:hAnsi="Times New Roman" w:eastAsia="宋体" w:cs="Times New Roman"/>
                <w:bCs/>
                <w:color w:val="auto"/>
                <w:kern w:val="2"/>
                <w:sz w:val="21"/>
                <w:szCs w:val="21"/>
                <w:lang w:val="en-US" w:eastAsia="zh-CN"/>
              </w:rPr>
              <w:t>1</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5974315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50m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撬装加油</w:t>
            </w:r>
            <w:r>
              <w:rPr>
                <w:rFonts w:hint="eastAsia" w:cs="Times New Roman"/>
                <w:bCs/>
                <w:color w:val="auto"/>
                <w:kern w:val="2"/>
                <w:sz w:val="21"/>
                <w:szCs w:val="21"/>
                <w:lang w:val="en-US" w:eastAsia="zh-CN"/>
              </w:rPr>
              <w:t>机</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49D095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将加油区原有房屋及加油机拆除，新建1座50</w:t>
            </w:r>
            <w:r>
              <w:rPr>
                <w:rFonts w:hint="eastAsia" w:cs="Times New Roman"/>
                <w:bCs/>
                <w:color w:val="auto"/>
                <w:kern w:val="2"/>
                <w:sz w:val="21"/>
                <w:szCs w:val="21"/>
                <w:lang w:val="en-US" w:eastAsia="zh-CN"/>
              </w:rPr>
              <w:t>m</w:t>
            </w:r>
            <w:r>
              <w:rPr>
                <w:rFonts w:hint="eastAsia"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撬装加油</w:t>
            </w:r>
            <w:r>
              <w:rPr>
                <w:rFonts w:hint="eastAsia" w:cs="Times New Roman"/>
                <w:bCs/>
                <w:color w:val="auto"/>
                <w:kern w:val="2"/>
                <w:sz w:val="21"/>
                <w:szCs w:val="21"/>
                <w:lang w:val="en-US" w:eastAsia="zh-CN"/>
              </w:rPr>
              <w:t>机</w:t>
            </w:r>
            <w:r>
              <w:rPr>
                <w:rFonts w:hint="default" w:ascii="Times New Roman" w:hAnsi="Times New Roman" w:eastAsia="宋体" w:cs="Times New Roman"/>
                <w:bCs/>
                <w:color w:val="auto"/>
                <w:kern w:val="2"/>
                <w:sz w:val="21"/>
                <w:szCs w:val="21"/>
                <w:lang w:val="en-US" w:eastAsia="zh-CN"/>
              </w:rPr>
              <w:t>。</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4EBB26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rPr>
            </w:pPr>
            <w:r>
              <w:rPr>
                <w:rFonts w:hint="eastAsia" w:cs="Times New Roman"/>
                <w:bCs/>
                <w:color w:val="auto"/>
                <w:kern w:val="2"/>
                <w:sz w:val="21"/>
                <w:szCs w:val="21"/>
                <w:lang w:val="en-US" w:eastAsia="zh-CN"/>
              </w:rPr>
              <w:t>新建</w:t>
            </w:r>
          </w:p>
        </w:tc>
      </w:tr>
      <w:tr w14:paraId="7B01D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1F9F323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2</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6EAB7B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密闭漏油收集池</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2710618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新建25</w:t>
            </w:r>
            <w:r>
              <w:rPr>
                <w:rFonts w:hint="eastAsia" w:cs="Times New Roman"/>
                <w:bCs/>
                <w:color w:val="auto"/>
                <w:kern w:val="2"/>
                <w:sz w:val="21"/>
                <w:szCs w:val="21"/>
                <w:lang w:val="en-US" w:eastAsia="zh-CN"/>
              </w:rPr>
              <w:t>m</w:t>
            </w:r>
            <w:r>
              <w:rPr>
                <w:rFonts w:hint="eastAsia"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漏油收集池。</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022FB67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新建</w:t>
            </w:r>
          </w:p>
        </w:tc>
      </w:tr>
      <w:tr w14:paraId="53539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6D2D470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eastAsia="zh-CN"/>
              </w:rPr>
            </w:pPr>
            <w:r>
              <w:rPr>
                <w:rFonts w:hint="eastAsia" w:ascii="Times New Roman" w:hAnsi="Times New Roman" w:eastAsia="宋体" w:cs="Times New Roman"/>
                <w:bCs/>
                <w:color w:val="auto"/>
                <w:kern w:val="2"/>
                <w:sz w:val="21"/>
                <w:szCs w:val="21"/>
                <w:lang w:val="en-US" w:eastAsia="zh-CN"/>
              </w:rPr>
              <w:t>3</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295C92F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eastAsia="zh-CN"/>
              </w:rPr>
            </w:pPr>
            <w:r>
              <w:rPr>
                <w:rFonts w:hint="eastAsia" w:cs="Times New Roman"/>
                <w:bCs/>
                <w:color w:val="auto"/>
                <w:kern w:val="2"/>
                <w:sz w:val="21"/>
                <w:szCs w:val="21"/>
                <w:lang w:val="en-US" w:eastAsia="zh-CN"/>
              </w:rPr>
              <w:t>值班室</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0E2E75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rPr>
            </w:pPr>
            <w:r>
              <w:rPr>
                <w:rFonts w:hint="default" w:ascii="Times New Roman" w:hAnsi="Times New Roman" w:eastAsia="宋体" w:cs="Times New Roman"/>
                <w:bCs/>
                <w:color w:val="auto"/>
                <w:kern w:val="2"/>
                <w:sz w:val="21"/>
                <w:szCs w:val="21"/>
              </w:rPr>
              <w:t>一层，</w:t>
            </w:r>
            <w:r>
              <w:rPr>
                <w:rFonts w:hint="eastAsia" w:ascii="宋体" w:hAnsi="宋体" w:eastAsia="宋体" w:cs="宋体"/>
                <w:bCs/>
                <w:color w:val="auto"/>
                <w:sz w:val="21"/>
                <w:szCs w:val="21"/>
              </w:rPr>
              <w:t>砖混</w:t>
            </w:r>
            <w:r>
              <w:rPr>
                <w:rFonts w:hint="default" w:ascii="Times New Roman" w:hAnsi="Times New Roman" w:eastAsia="宋体" w:cs="Times New Roman"/>
                <w:bCs/>
                <w:color w:val="auto"/>
                <w:kern w:val="2"/>
                <w:sz w:val="21"/>
                <w:szCs w:val="21"/>
              </w:rPr>
              <w:t>结构。</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6B8A900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利旧</w:t>
            </w:r>
          </w:p>
        </w:tc>
      </w:tr>
      <w:tr w14:paraId="71354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center"/>
          </w:tcPr>
          <w:p w14:paraId="357C768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val="0"/>
                <w:color w:val="auto"/>
                <w:kern w:val="2"/>
                <w:sz w:val="21"/>
                <w:szCs w:val="21"/>
                <w:lang w:val="en-US" w:eastAsia="zh-CN"/>
              </w:rPr>
            </w:pPr>
            <w:r>
              <w:rPr>
                <w:rFonts w:hint="eastAsia" w:ascii="Times New Roman" w:hAnsi="Times New Roman" w:eastAsia="宋体" w:cs="Times New Roman"/>
                <w:b/>
                <w:bCs w:val="0"/>
                <w:color w:val="auto"/>
                <w:kern w:val="2"/>
                <w:sz w:val="21"/>
                <w:szCs w:val="21"/>
                <w:lang w:val="en-US" w:eastAsia="zh-CN"/>
              </w:rPr>
              <w:t>二、</w:t>
            </w:r>
            <w:r>
              <w:rPr>
                <w:rFonts w:hint="eastAsia" w:ascii="Times New Roman" w:hAnsi="Times New Roman" w:cs="Times New Roman"/>
                <w:b/>
                <w:bCs w:val="0"/>
                <w:color w:val="auto"/>
                <w:kern w:val="2"/>
                <w:sz w:val="21"/>
                <w:szCs w:val="21"/>
                <w:lang w:val="en-US" w:eastAsia="zh-CN"/>
              </w:rPr>
              <w:t>汽车队撬装加油站</w:t>
            </w:r>
          </w:p>
        </w:tc>
      </w:tr>
      <w:tr w14:paraId="34C0A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538C1C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1</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4F458EE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Cs/>
                <w:color w:val="auto"/>
                <w:kern w:val="2"/>
                <w:sz w:val="21"/>
                <w:szCs w:val="21"/>
              </w:rPr>
            </w:pPr>
            <w:r>
              <w:rPr>
                <w:rFonts w:hint="default" w:ascii="Times New Roman" w:hAnsi="Times New Roman" w:eastAsia="宋体" w:cs="Times New Roman"/>
                <w:bCs/>
                <w:color w:val="auto"/>
                <w:kern w:val="2"/>
                <w:sz w:val="21"/>
                <w:szCs w:val="21"/>
                <w:lang w:val="en-US" w:eastAsia="zh-CN"/>
              </w:rPr>
              <w:t>50m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撬装加油</w:t>
            </w:r>
            <w:r>
              <w:rPr>
                <w:rFonts w:hint="eastAsia" w:cs="Times New Roman"/>
                <w:bCs/>
                <w:color w:val="auto"/>
                <w:kern w:val="2"/>
                <w:sz w:val="21"/>
                <w:szCs w:val="21"/>
                <w:lang w:val="en-US" w:eastAsia="zh-CN"/>
              </w:rPr>
              <w:t>机</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6065BBC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将加油区原有房屋及加油机拆除，新建1座50</w:t>
            </w:r>
            <w:r>
              <w:rPr>
                <w:rFonts w:hint="eastAsia" w:cs="Times New Roman"/>
                <w:bCs/>
                <w:color w:val="auto"/>
                <w:kern w:val="2"/>
                <w:sz w:val="21"/>
                <w:szCs w:val="21"/>
                <w:lang w:val="en-US" w:eastAsia="zh-CN"/>
              </w:rPr>
              <w:t>m</w:t>
            </w:r>
            <w:r>
              <w:rPr>
                <w:rFonts w:hint="eastAsia"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撬装加油</w:t>
            </w:r>
            <w:r>
              <w:rPr>
                <w:rFonts w:hint="eastAsia" w:cs="Times New Roman"/>
                <w:bCs/>
                <w:color w:val="auto"/>
                <w:kern w:val="2"/>
                <w:sz w:val="21"/>
                <w:szCs w:val="21"/>
                <w:lang w:val="en-US" w:eastAsia="zh-CN"/>
              </w:rPr>
              <w:t>机</w:t>
            </w:r>
            <w:r>
              <w:rPr>
                <w:rFonts w:hint="default" w:ascii="Times New Roman" w:hAnsi="Times New Roman" w:eastAsia="宋体" w:cs="Times New Roman"/>
                <w:bCs/>
                <w:color w:val="auto"/>
                <w:kern w:val="2"/>
                <w:sz w:val="21"/>
                <w:szCs w:val="21"/>
                <w:lang w:val="en-US" w:eastAsia="zh-CN"/>
              </w:rPr>
              <w:t>。</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650436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新建</w:t>
            </w:r>
          </w:p>
        </w:tc>
      </w:tr>
      <w:tr w14:paraId="779E2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3428F24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kern w:val="2"/>
                <w:sz w:val="21"/>
                <w:szCs w:val="21"/>
                <w:lang w:val="en-US" w:eastAsia="zh-CN"/>
              </w:rPr>
              <w:t>2</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6BA772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kern w:val="2"/>
                <w:sz w:val="21"/>
                <w:szCs w:val="21"/>
                <w:lang w:val="en-US" w:eastAsia="zh-CN"/>
              </w:rPr>
              <w:t>密闭漏油收集池</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2619D8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kern w:val="2"/>
                <w:sz w:val="21"/>
                <w:szCs w:val="21"/>
                <w:lang w:val="en-US" w:eastAsia="zh-CN"/>
              </w:rPr>
              <w:t>新建25</w:t>
            </w:r>
            <w:r>
              <w:rPr>
                <w:rFonts w:hint="eastAsia" w:cs="Times New Roman"/>
                <w:bCs/>
                <w:color w:val="auto"/>
                <w:kern w:val="2"/>
                <w:sz w:val="21"/>
                <w:szCs w:val="21"/>
                <w:lang w:val="en-US" w:eastAsia="zh-CN"/>
              </w:rPr>
              <w:t>m</w:t>
            </w:r>
            <w:r>
              <w:rPr>
                <w:rFonts w:hint="eastAsia"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漏油收集池。</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59278A9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cs="Times New Roman"/>
                <w:bCs/>
                <w:color w:val="auto"/>
                <w:kern w:val="2"/>
                <w:sz w:val="21"/>
                <w:szCs w:val="21"/>
                <w:lang w:val="en-US" w:eastAsia="zh-CN"/>
              </w:rPr>
              <w:t>新建</w:t>
            </w:r>
          </w:p>
        </w:tc>
      </w:tr>
      <w:tr w14:paraId="328F9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 w:hRule="atLeast"/>
          <w:jc w:val="center"/>
        </w:trPr>
        <w:tc>
          <w:tcPr>
            <w:tcW w:w="401" w:type="pct"/>
            <w:tcBorders>
              <w:top w:val="single" w:color="auto" w:sz="4" w:space="0"/>
              <w:left w:val="single" w:color="auto" w:sz="4" w:space="0"/>
              <w:bottom w:val="single" w:color="auto" w:sz="4" w:space="0"/>
              <w:right w:val="single" w:color="auto" w:sz="4" w:space="0"/>
            </w:tcBorders>
            <w:noWrap w:val="0"/>
            <w:vAlign w:val="center"/>
          </w:tcPr>
          <w:p w14:paraId="2830916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val="en-US" w:eastAsia="zh-CN"/>
              </w:rPr>
              <w:t>3</w:t>
            </w:r>
          </w:p>
        </w:tc>
        <w:tc>
          <w:tcPr>
            <w:tcW w:w="801" w:type="pct"/>
            <w:tcBorders>
              <w:top w:val="single" w:color="auto" w:sz="4" w:space="0"/>
              <w:left w:val="single" w:color="auto" w:sz="4" w:space="0"/>
              <w:bottom w:val="single" w:color="auto" w:sz="4" w:space="0"/>
              <w:right w:val="single" w:color="auto" w:sz="4" w:space="0"/>
            </w:tcBorders>
            <w:noWrap w:val="0"/>
            <w:vAlign w:val="center"/>
          </w:tcPr>
          <w:p w14:paraId="7454BC2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Cs/>
                <w:color w:val="auto"/>
                <w:kern w:val="2"/>
                <w:sz w:val="21"/>
                <w:szCs w:val="21"/>
              </w:rPr>
            </w:pPr>
            <w:r>
              <w:rPr>
                <w:rFonts w:hint="eastAsia" w:cs="Times New Roman"/>
                <w:bCs/>
                <w:color w:val="auto"/>
                <w:kern w:val="2"/>
                <w:sz w:val="21"/>
                <w:szCs w:val="21"/>
                <w:lang w:val="en-US" w:eastAsia="zh-CN"/>
              </w:rPr>
              <w:t>值班室</w:t>
            </w:r>
          </w:p>
        </w:tc>
        <w:tc>
          <w:tcPr>
            <w:tcW w:w="2608" w:type="pct"/>
            <w:tcBorders>
              <w:top w:val="single" w:color="auto" w:sz="4" w:space="0"/>
              <w:left w:val="single" w:color="auto" w:sz="4" w:space="0"/>
              <w:bottom w:val="single" w:color="auto" w:sz="4" w:space="0"/>
              <w:right w:val="single" w:color="auto" w:sz="4" w:space="0"/>
            </w:tcBorders>
            <w:noWrap w:val="0"/>
            <w:vAlign w:val="center"/>
          </w:tcPr>
          <w:p w14:paraId="718EFB6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rPr>
              <w:t>新建1座18</w:t>
            </w:r>
            <w:r>
              <w:rPr>
                <w:rFonts w:hint="eastAsia" w:cs="Times New Roman"/>
                <w:bCs/>
                <w:color w:val="auto"/>
                <w:kern w:val="2"/>
                <w:sz w:val="21"/>
                <w:szCs w:val="21"/>
                <w:lang w:val="en-US" w:eastAsia="zh-CN"/>
              </w:rPr>
              <w:t>m</w:t>
            </w:r>
            <w:r>
              <w:rPr>
                <w:rFonts w:hint="eastAsia" w:cs="Times New Roman"/>
                <w:bCs/>
                <w:color w:val="auto"/>
                <w:kern w:val="2"/>
                <w:sz w:val="21"/>
                <w:szCs w:val="21"/>
                <w:vertAlign w:val="superscript"/>
                <w:lang w:val="en-US" w:eastAsia="zh-CN"/>
              </w:rPr>
              <w:t>2</w:t>
            </w:r>
            <w:r>
              <w:rPr>
                <w:rFonts w:hint="default" w:ascii="Times New Roman" w:hAnsi="Times New Roman" w:eastAsia="宋体" w:cs="Times New Roman"/>
                <w:bCs/>
                <w:color w:val="auto"/>
                <w:kern w:val="2"/>
                <w:sz w:val="21"/>
                <w:szCs w:val="21"/>
              </w:rPr>
              <w:t>成品站房用于值班等。</w:t>
            </w:r>
          </w:p>
        </w:tc>
        <w:tc>
          <w:tcPr>
            <w:tcW w:w="1188" w:type="pct"/>
            <w:tcBorders>
              <w:top w:val="single" w:color="auto" w:sz="4" w:space="0"/>
              <w:left w:val="single" w:color="auto" w:sz="4" w:space="0"/>
              <w:bottom w:val="single" w:color="auto" w:sz="4" w:space="0"/>
              <w:right w:val="single" w:color="auto" w:sz="4" w:space="0"/>
            </w:tcBorders>
            <w:noWrap w:val="0"/>
            <w:vAlign w:val="center"/>
          </w:tcPr>
          <w:p w14:paraId="1BED98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新建</w:t>
            </w:r>
          </w:p>
        </w:tc>
      </w:tr>
    </w:tbl>
    <w:p w14:paraId="27BA33D8">
      <w:pPr>
        <w:pStyle w:val="3"/>
        <w:bidi w:val="0"/>
        <w:rPr>
          <w:rFonts w:hint="default"/>
          <w:color w:val="auto"/>
          <w:lang w:val="en-US" w:eastAsia="zh-CN"/>
        </w:rPr>
      </w:pPr>
      <w:bookmarkStart w:id="42" w:name="_Toc22623"/>
      <w:bookmarkStart w:id="43" w:name="_Toc4326"/>
      <w:bookmarkStart w:id="44" w:name="_Toc29376"/>
      <w:bookmarkStart w:id="45" w:name="_Toc29455"/>
      <w:r>
        <w:rPr>
          <w:rFonts w:hint="default"/>
          <w:color w:val="auto"/>
          <w:lang w:val="en-US" w:eastAsia="zh-CN"/>
        </w:rPr>
        <w:t>2.3</w:t>
      </w:r>
      <w:r>
        <w:rPr>
          <w:rFonts w:hint="eastAsia"/>
          <w:color w:val="auto"/>
          <w:lang w:val="en-US" w:eastAsia="zh-CN"/>
        </w:rPr>
        <w:t xml:space="preserve"> </w:t>
      </w:r>
      <w:r>
        <w:rPr>
          <w:rFonts w:hint="default"/>
          <w:color w:val="auto"/>
          <w:lang w:val="en-US" w:eastAsia="zh-CN"/>
        </w:rPr>
        <w:t>建设项目选址概况</w:t>
      </w:r>
      <w:bookmarkEnd w:id="42"/>
      <w:bookmarkEnd w:id="43"/>
      <w:bookmarkEnd w:id="44"/>
      <w:bookmarkEnd w:id="45"/>
    </w:p>
    <w:p w14:paraId="7B8C692E">
      <w:pPr>
        <w:bidi w:val="0"/>
        <w:ind w:firstLine="200"/>
        <w:rPr>
          <w:rFonts w:hint="eastAsia" w:ascii="Times New Roman" w:hAnsi="Times New Roman" w:eastAsia="宋体" w:cs="Times New Roman"/>
          <w:b/>
          <w:bCs/>
          <w:color w:val="auto"/>
          <w:kern w:val="2"/>
          <w:szCs w:val="24"/>
          <w:lang w:eastAsia="zh-CN"/>
        </w:rPr>
      </w:pPr>
      <w:r>
        <w:rPr>
          <w:rFonts w:hint="eastAsia" w:ascii="Times New Roman" w:hAnsi="Times New Roman" w:eastAsia="宋体" w:cs="Times New Roman"/>
          <w:b/>
          <w:bCs/>
          <w:color w:val="auto"/>
          <w:kern w:val="2"/>
          <w:szCs w:val="24"/>
          <w:lang w:eastAsia="zh-CN"/>
        </w:rPr>
        <w:t>一、站址</w:t>
      </w:r>
    </w:p>
    <w:p w14:paraId="7B7B27EA">
      <w:pPr>
        <w:bidi w:val="0"/>
        <w:ind w:firstLine="200"/>
        <w:rPr>
          <w:rFonts w:hint="eastAsia" w:ascii="Times New Roman" w:hAnsi="Times New Roman" w:eastAsia="宋体" w:cs="Times New Roman"/>
          <w:color w:val="auto"/>
          <w:kern w:val="2"/>
          <w:szCs w:val="24"/>
          <w:lang w:eastAsia="zh-CN"/>
        </w:rPr>
      </w:pPr>
      <w:r>
        <w:rPr>
          <w:rFonts w:hint="eastAsia" w:cs="Times New Roman"/>
          <w:color w:val="auto"/>
          <w:kern w:val="2"/>
          <w:szCs w:val="24"/>
          <w:lang w:val="en-US" w:eastAsia="zh-CN"/>
        </w:rPr>
        <w:t>本项目</w:t>
      </w:r>
      <w:r>
        <w:rPr>
          <w:rFonts w:hint="eastAsia" w:ascii="Times New Roman" w:hAnsi="Times New Roman" w:eastAsia="宋体" w:cs="Times New Roman"/>
          <w:color w:val="auto"/>
          <w:kern w:val="2"/>
          <w:szCs w:val="24"/>
          <w:lang w:eastAsia="zh-CN"/>
        </w:rPr>
        <w:t>位于江西省宜春市袁州区新坊镇，</w:t>
      </w:r>
      <w:r>
        <w:rPr>
          <w:rFonts w:hint="eastAsia" w:ascii="Times New Roman" w:hAnsi="Times New Roman" w:eastAsia="宋体" w:cs="Times New Roman"/>
          <w:color w:val="auto"/>
          <w:kern w:val="2"/>
          <w:szCs w:val="24"/>
          <w:lang w:val="en-US" w:eastAsia="zh-CN"/>
        </w:rPr>
        <w:t>其中</w:t>
      </w:r>
      <w:r>
        <w:rPr>
          <w:rFonts w:hint="eastAsia" w:ascii="Times New Roman" w:hAnsi="Times New Roman" w:eastAsia="宋体" w:cs="Times New Roman"/>
          <w:color w:val="auto"/>
          <w:kern w:val="2"/>
          <w:szCs w:val="24"/>
          <w:lang w:eastAsia="zh-CN"/>
        </w:rPr>
        <w:t>采矿场撬装加油站</w:t>
      </w:r>
      <w:r>
        <w:rPr>
          <w:rFonts w:hint="eastAsia" w:ascii="Times New Roman" w:hAnsi="Times New Roman" w:eastAsia="宋体" w:cs="Times New Roman"/>
          <w:color w:val="auto"/>
          <w:kern w:val="2"/>
          <w:szCs w:val="24"/>
          <w:lang w:val="en-US" w:eastAsia="zh-CN"/>
        </w:rPr>
        <w:t>位于宜春钽铌矿采矿权范围线内工人村东南侧</w:t>
      </w:r>
      <w:r>
        <w:rPr>
          <w:rFonts w:hint="eastAsia" w:ascii="Times New Roman" w:hAnsi="Times New Roman" w:eastAsia="宋体" w:cs="Times New Roman"/>
          <w:color w:val="auto"/>
          <w:kern w:val="2"/>
          <w:szCs w:val="24"/>
          <w:lang w:eastAsia="zh-CN"/>
        </w:rPr>
        <w:t>，汽车队撬装加油站</w:t>
      </w:r>
      <w:r>
        <w:rPr>
          <w:rFonts w:hint="eastAsia" w:ascii="Times New Roman" w:hAnsi="Times New Roman" w:eastAsia="宋体" w:cs="Times New Roman"/>
          <w:color w:val="auto"/>
          <w:kern w:val="2"/>
          <w:szCs w:val="24"/>
          <w:lang w:val="en-US" w:eastAsia="zh-CN"/>
        </w:rPr>
        <w:t>位于宜春钽铌矿产品堆存库东北侧</w:t>
      </w:r>
      <w:r>
        <w:rPr>
          <w:rFonts w:hint="eastAsia" w:ascii="Times New Roman" w:hAnsi="Times New Roman" w:eastAsia="宋体" w:cs="Times New Roman"/>
          <w:color w:val="auto"/>
          <w:kern w:val="2"/>
          <w:szCs w:val="24"/>
          <w:lang w:eastAsia="zh-CN"/>
        </w:rPr>
        <w:t>。</w:t>
      </w:r>
    </w:p>
    <w:p w14:paraId="0F9288B8">
      <w:pPr>
        <w:rPr>
          <w:rFonts w:hint="eastAsia"/>
          <w:b/>
          <w:bCs/>
          <w:color w:val="auto"/>
        </w:rPr>
      </w:pPr>
      <w:r>
        <w:rPr>
          <w:rFonts w:hint="eastAsia"/>
          <w:b/>
          <w:bCs/>
          <w:color w:val="auto"/>
        </w:rPr>
        <w:t>二、周边环境</w:t>
      </w:r>
    </w:p>
    <w:p w14:paraId="57397731">
      <w:pPr>
        <w:rPr>
          <w:rFonts w:hint="default" w:eastAsia="宋体"/>
          <w:b w:val="0"/>
          <w:bCs w:val="0"/>
          <w:color w:val="auto"/>
          <w:lang w:val="en-US" w:eastAsia="zh-CN"/>
        </w:rPr>
      </w:pPr>
      <w:r>
        <w:rPr>
          <w:rFonts w:hint="eastAsia"/>
          <w:b w:val="0"/>
          <w:bCs w:val="0"/>
          <w:color w:val="auto"/>
          <w:lang w:val="en-US" w:eastAsia="zh-CN"/>
        </w:rPr>
        <w:t>1. 采矿场撬装加油站</w:t>
      </w:r>
    </w:p>
    <w:p w14:paraId="3A2DD7CF">
      <w:pPr>
        <w:rPr>
          <w:rFonts w:hint="eastAsia"/>
          <w:color w:val="auto"/>
        </w:rPr>
      </w:pPr>
      <w:r>
        <w:rPr>
          <w:rFonts w:hint="eastAsia" w:ascii="Times New Roman" w:hAnsi="Times New Roman" w:eastAsia="宋体" w:cs="Times New Roman"/>
          <w:color w:val="auto"/>
          <w:kern w:val="2"/>
          <w:szCs w:val="24"/>
          <w:lang w:eastAsia="zh-CN"/>
        </w:rPr>
        <w:t>采矿场撬装加油站</w:t>
      </w:r>
      <w:r>
        <w:rPr>
          <w:rFonts w:hint="eastAsia"/>
          <w:color w:val="auto"/>
        </w:rPr>
        <w:t>整体为</w:t>
      </w:r>
      <w:r>
        <w:rPr>
          <w:rFonts w:hint="eastAsia"/>
          <w:color w:val="auto"/>
          <w:lang w:val="en-US" w:eastAsia="zh-CN"/>
        </w:rPr>
        <w:t>东</w:t>
      </w:r>
      <w:r>
        <w:rPr>
          <w:rFonts w:hint="default"/>
          <w:color w:val="auto"/>
          <w:lang w:eastAsia="zh-CN"/>
        </w:rPr>
        <w:t>南</w:t>
      </w:r>
      <w:r>
        <w:rPr>
          <w:rFonts w:hint="eastAsia"/>
          <w:color w:val="auto"/>
        </w:rPr>
        <w:t>朝</w:t>
      </w:r>
      <w:r>
        <w:rPr>
          <w:rFonts w:hint="default"/>
          <w:color w:val="auto"/>
          <w:lang w:eastAsia="zh-CN"/>
        </w:rPr>
        <w:t>西北</w:t>
      </w:r>
      <w:r>
        <w:rPr>
          <w:rFonts w:hint="eastAsia"/>
          <w:color w:val="auto"/>
        </w:rPr>
        <w:t>方向，</w:t>
      </w:r>
      <w:r>
        <w:rPr>
          <w:rFonts w:hint="eastAsia"/>
          <w:color w:val="auto"/>
          <w:lang w:val="en-US" w:eastAsia="zh-CN"/>
        </w:rPr>
        <w:t>西北</w:t>
      </w:r>
      <w:r>
        <w:rPr>
          <w:rFonts w:hint="eastAsia"/>
          <w:color w:val="auto"/>
        </w:rPr>
        <w:t>侧</w:t>
      </w:r>
      <w:r>
        <w:rPr>
          <w:rFonts w:hint="eastAsia"/>
          <w:color w:val="auto"/>
          <w:lang w:val="en-US" w:eastAsia="zh-CN"/>
        </w:rPr>
        <w:t>约75m处</w:t>
      </w:r>
      <w:r>
        <w:rPr>
          <w:rFonts w:hint="eastAsia"/>
          <w:color w:val="auto"/>
        </w:rPr>
        <w:t>为矿山</w:t>
      </w:r>
      <w:r>
        <w:rPr>
          <w:rFonts w:hint="eastAsia"/>
          <w:color w:val="auto"/>
          <w:lang w:val="en-US" w:eastAsia="zh-CN"/>
        </w:rPr>
        <w:t>工人村</w:t>
      </w:r>
      <w:r>
        <w:rPr>
          <w:rFonts w:hint="eastAsia"/>
          <w:color w:val="auto"/>
        </w:rPr>
        <w:t>，东侧为矿山运输道路</w:t>
      </w:r>
      <w:r>
        <w:rPr>
          <w:rFonts w:hint="eastAsia"/>
          <w:color w:val="auto"/>
          <w:lang w:eastAsia="zh-CN"/>
        </w:rPr>
        <w:t>，</w:t>
      </w:r>
      <w:r>
        <w:rPr>
          <w:rFonts w:hint="eastAsia"/>
          <w:color w:val="auto"/>
          <w:lang w:val="en-US" w:eastAsia="zh-CN"/>
        </w:rPr>
        <w:t>其余</w:t>
      </w:r>
      <w:r>
        <w:rPr>
          <w:rFonts w:hint="eastAsia"/>
          <w:color w:val="auto"/>
        </w:rPr>
        <w:t>与山</w:t>
      </w:r>
      <w:r>
        <w:rPr>
          <w:rFonts w:hint="eastAsia"/>
          <w:color w:val="auto"/>
          <w:lang w:val="en-US" w:eastAsia="zh-CN"/>
        </w:rPr>
        <w:t>体</w:t>
      </w:r>
      <w:r>
        <w:rPr>
          <w:rFonts w:hint="eastAsia"/>
          <w:color w:val="auto"/>
        </w:rPr>
        <w:t>相邻，</w:t>
      </w:r>
      <w:r>
        <w:rPr>
          <w:rFonts w:hint="eastAsia"/>
          <w:color w:val="auto"/>
          <w:lang w:val="en-US" w:eastAsia="zh-CN"/>
        </w:rPr>
        <w:t>东侧</w:t>
      </w:r>
      <w:r>
        <w:rPr>
          <w:rFonts w:hint="eastAsia"/>
          <w:color w:val="auto"/>
        </w:rPr>
        <w:t>矿山运输道路</w:t>
      </w:r>
      <w:r>
        <w:rPr>
          <w:rFonts w:hint="eastAsia"/>
          <w:color w:val="auto"/>
          <w:lang w:val="en-US" w:eastAsia="zh-CN"/>
        </w:rPr>
        <w:t>旁存在</w:t>
      </w:r>
      <w:r>
        <w:rPr>
          <w:rFonts w:hint="eastAsia"/>
          <w:color w:val="auto"/>
        </w:rPr>
        <w:t>架空电力线</w:t>
      </w:r>
      <w:r>
        <w:rPr>
          <w:rFonts w:hint="eastAsia"/>
          <w:color w:val="auto"/>
          <w:lang w:val="en-US" w:eastAsia="zh-CN"/>
        </w:rPr>
        <w:t>路和架空通讯线路，</w:t>
      </w:r>
      <w:r>
        <w:rPr>
          <w:rFonts w:hint="eastAsia"/>
          <w:color w:val="auto"/>
        </w:rPr>
        <w:t>架空电力线</w:t>
      </w:r>
      <w:r>
        <w:rPr>
          <w:rFonts w:hint="eastAsia"/>
          <w:color w:val="auto"/>
          <w:lang w:val="en-US" w:eastAsia="zh-CN"/>
        </w:rPr>
        <w:t>路杆高9m，架空通讯线路杆高7m，间距均为16m</w:t>
      </w:r>
      <w:r>
        <w:rPr>
          <w:rFonts w:hint="eastAsia"/>
          <w:color w:val="auto"/>
        </w:rPr>
        <w:t>。</w:t>
      </w:r>
      <w:r>
        <w:rPr>
          <w:rFonts w:hint="eastAsia" w:ascii="Times New Roman" w:hAnsi="Times New Roman" w:cs="Times New Roman"/>
          <w:color w:val="auto"/>
          <w:sz w:val="28"/>
          <w:szCs w:val="28"/>
        </w:rPr>
        <w:t>周围</w:t>
      </w:r>
      <w:r>
        <w:rPr>
          <w:rFonts w:ascii="Times New Roman" w:hAnsi="Times New Roman" w:cs="Times New Roman"/>
          <w:color w:val="auto"/>
          <w:sz w:val="28"/>
          <w:szCs w:val="28"/>
        </w:rPr>
        <w:t>50m</w:t>
      </w:r>
      <w:r>
        <w:rPr>
          <w:rFonts w:hint="eastAsia" w:ascii="Times New Roman" w:hAnsi="Times New Roman" w:cs="Times New Roman"/>
          <w:color w:val="auto"/>
          <w:sz w:val="28"/>
          <w:szCs w:val="28"/>
        </w:rPr>
        <w:t>内无重要公共建筑物。</w:t>
      </w:r>
      <w:r>
        <w:rPr>
          <w:rFonts w:hint="eastAsia" w:ascii="Times New Roman" w:hAnsi="Times New Roman" w:eastAsia="宋体" w:cs="Times New Roman"/>
          <w:color w:val="auto"/>
          <w:kern w:val="2"/>
          <w:szCs w:val="24"/>
          <w:lang w:eastAsia="zh-CN"/>
        </w:rPr>
        <w:t>采矿场</w:t>
      </w:r>
      <w:r>
        <w:rPr>
          <w:rFonts w:hint="eastAsia"/>
          <w:color w:val="auto"/>
        </w:rPr>
        <w:t>加油站周边环境见图2.3-1。</w:t>
      </w:r>
    </w:p>
    <w:p w14:paraId="4B04A991">
      <w:pPr>
        <w:ind w:left="0" w:leftChars="0" w:firstLine="0" w:firstLineChars="0"/>
        <w:jc w:val="center"/>
        <w:rPr>
          <w:color w:val="auto"/>
        </w:rPr>
      </w:pPr>
      <w:r>
        <w:rPr>
          <w:color w:val="auto"/>
        </w:rPr>
        <w:drawing>
          <wp:inline distT="0" distB="0" distL="114300" distR="114300">
            <wp:extent cx="5039995" cy="3497580"/>
            <wp:effectExtent l="0" t="0" r="8255" b="7620"/>
            <wp:docPr id="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
                    <pic:cNvPicPr>
                      <a:picLocks noChangeAspect="1"/>
                    </pic:cNvPicPr>
                  </pic:nvPicPr>
                  <pic:blipFill>
                    <a:blip r:embed="rId9"/>
                    <a:stretch>
                      <a:fillRect/>
                    </a:stretch>
                  </pic:blipFill>
                  <pic:spPr>
                    <a:xfrm>
                      <a:off x="0" y="0"/>
                      <a:ext cx="5039995" cy="3497580"/>
                    </a:xfrm>
                    <a:prstGeom prst="rect">
                      <a:avLst/>
                    </a:prstGeom>
                    <a:noFill/>
                    <a:ln>
                      <a:noFill/>
                    </a:ln>
                  </pic:spPr>
                </pic:pic>
              </a:graphicData>
            </a:graphic>
          </wp:inline>
        </w:drawing>
      </w:r>
    </w:p>
    <w:p w14:paraId="4E7FCBB1">
      <w:pPr>
        <w:ind w:left="0" w:leftChars="0" w:firstLine="0" w:firstLineChars="0"/>
        <w:jc w:val="center"/>
        <w:rPr>
          <w:rFonts w:hint="eastAsia"/>
          <w:color w:val="auto"/>
        </w:rPr>
      </w:pPr>
      <w:r>
        <w:rPr>
          <w:rFonts w:hint="eastAsia"/>
          <w:color w:val="auto"/>
        </w:rPr>
        <w:t>图2.3-1</w:t>
      </w:r>
      <w:r>
        <w:rPr>
          <w:rFonts w:hint="eastAsia"/>
          <w:color w:val="auto"/>
          <w:lang w:val="en-US" w:eastAsia="zh-CN"/>
        </w:rPr>
        <w:t xml:space="preserve"> </w:t>
      </w:r>
      <w:r>
        <w:rPr>
          <w:rFonts w:hint="eastAsia" w:ascii="Times New Roman" w:hAnsi="Times New Roman" w:eastAsia="宋体" w:cs="Times New Roman"/>
          <w:color w:val="auto"/>
          <w:kern w:val="2"/>
          <w:szCs w:val="24"/>
          <w:lang w:eastAsia="zh-CN"/>
        </w:rPr>
        <w:t>采矿场</w:t>
      </w:r>
      <w:r>
        <w:rPr>
          <w:rFonts w:hint="eastAsia"/>
          <w:color w:val="auto"/>
        </w:rPr>
        <w:t>加油站周边环境图</w:t>
      </w:r>
    </w:p>
    <w:p w14:paraId="2D786EFA">
      <w:pPr>
        <w:bidi w:val="0"/>
        <w:rPr>
          <w:rFonts w:hint="eastAsia"/>
          <w:color w:val="auto"/>
        </w:rPr>
      </w:pPr>
      <w:r>
        <w:rPr>
          <w:rFonts w:hint="eastAsia"/>
          <w:color w:val="auto"/>
          <w:lang w:val="en-US" w:eastAsia="zh-CN"/>
        </w:rPr>
        <w:t>2</w:t>
      </w:r>
      <w:r>
        <w:rPr>
          <w:rFonts w:hint="eastAsia"/>
          <w:color w:val="auto"/>
        </w:rPr>
        <w:t>. 汽车队</w:t>
      </w:r>
      <w:r>
        <w:rPr>
          <w:rFonts w:hint="eastAsia"/>
          <w:b w:val="0"/>
          <w:bCs w:val="0"/>
          <w:color w:val="auto"/>
          <w:lang w:val="en-US" w:eastAsia="zh-CN"/>
        </w:rPr>
        <w:t>撬装加油站</w:t>
      </w:r>
    </w:p>
    <w:p w14:paraId="0C401AFB">
      <w:pPr>
        <w:bidi w:val="0"/>
        <w:rPr>
          <w:rFonts w:hint="eastAsia"/>
          <w:color w:val="auto"/>
        </w:rPr>
      </w:pPr>
      <w:r>
        <w:rPr>
          <w:rFonts w:hint="eastAsia" w:ascii="Times New Roman" w:hAnsi="Times New Roman" w:eastAsia="宋体" w:cs="Times New Roman"/>
          <w:color w:val="auto"/>
          <w:kern w:val="2"/>
          <w:szCs w:val="24"/>
          <w:lang w:eastAsia="zh-CN"/>
        </w:rPr>
        <w:t>汽车队</w:t>
      </w:r>
      <w:r>
        <w:rPr>
          <w:rFonts w:hint="eastAsia"/>
          <w:b w:val="0"/>
          <w:bCs w:val="0"/>
          <w:color w:val="auto"/>
          <w:lang w:val="en-US" w:eastAsia="zh-CN"/>
        </w:rPr>
        <w:t>撬装加油站</w:t>
      </w:r>
      <w:r>
        <w:rPr>
          <w:rFonts w:hint="eastAsia"/>
          <w:color w:val="auto"/>
        </w:rPr>
        <w:t>整体为</w:t>
      </w:r>
      <w:r>
        <w:rPr>
          <w:rFonts w:hint="eastAsia"/>
          <w:color w:val="auto"/>
          <w:lang w:val="en-US" w:eastAsia="zh-CN"/>
        </w:rPr>
        <w:t>西南</w:t>
      </w:r>
      <w:r>
        <w:rPr>
          <w:rFonts w:hint="eastAsia"/>
          <w:color w:val="auto"/>
        </w:rPr>
        <w:t>朝</w:t>
      </w:r>
      <w:r>
        <w:rPr>
          <w:rFonts w:hint="eastAsia"/>
          <w:color w:val="auto"/>
          <w:lang w:val="en-US" w:eastAsia="zh-CN"/>
        </w:rPr>
        <w:t>东北</w:t>
      </w:r>
      <w:r>
        <w:rPr>
          <w:rFonts w:hint="eastAsia"/>
          <w:color w:val="auto"/>
        </w:rPr>
        <w:t>方向，</w:t>
      </w:r>
      <w:r>
        <w:rPr>
          <w:rFonts w:hint="eastAsia"/>
          <w:color w:val="auto"/>
          <w:lang w:val="en-US" w:eastAsia="zh-CN"/>
        </w:rPr>
        <w:t>东北</w:t>
      </w:r>
      <w:r>
        <w:rPr>
          <w:rFonts w:hint="eastAsia"/>
          <w:color w:val="auto"/>
        </w:rPr>
        <w:t>侧</w:t>
      </w:r>
      <w:r>
        <w:rPr>
          <w:rFonts w:hint="eastAsia"/>
          <w:color w:val="auto"/>
          <w:lang w:val="en-US" w:eastAsia="zh-CN"/>
        </w:rPr>
        <w:t>19.7m处</w:t>
      </w:r>
      <w:r>
        <w:rPr>
          <w:rFonts w:hint="eastAsia"/>
          <w:color w:val="auto"/>
        </w:rPr>
        <w:t>为</w:t>
      </w:r>
      <w:r>
        <w:rPr>
          <w:rFonts w:hint="eastAsia" w:ascii="Times New Roman" w:hAnsi="Times New Roman" w:eastAsia="宋体" w:cs="Times New Roman"/>
          <w:color w:val="auto"/>
          <w:kern w:val="2"/>
          <w:szCs w:val="24"/>
          <w:lang w:eastAsia="zh-CN"/>
        </w:rPr>
        <w:t>产品堆存库</w:t>
      </w:r>
      <w:r>
        <w:rPr>
          <w:rFonts w:hint="eastAsia"/>
          <w:color w:val="auto"/>
        </w:rPr>
        <w:t>，东侧为矿山运输道路</w:t>
      </w:r>
      <w:r>
        <w:rPr>
          <w:rFonts w:hint="eastAsia"/>
          <w:color w:val="auto"/>
          <w:lang w:eastAsia="zh-CN"/>
        </w:rPr>
        <w:t>，</w:t>
      </w:r>
      <w:r>
        <w:rPr>
          <w:rFonts w:hint="eastAsia"/>
          <w:color w:val="auto"/>
          <w:lang w:val="en-US" w:eastAsia="zh-CN"/>
        </w:rPr>
        <w:t>其余</w:t>
      </w:r>
      <w:r>
        <w:rPr>
          <w:rFonts w:hint="eastAsia"/>
          <w:color w:val="auto"/>
        </w:rPr>
        <w:t>与山区相邻。</w:t>
      </w:r>
      <w:r>
        <w:rPr>
          <w:rFonts w:hint="eastAsia" w:ascii="Times New Roman" w:hAnsi="Times New Roman" w:cs="Times New Roman"/>
          <w:color w:val="auto"/>
          <w:sz w:val="28"/>
          <w:szCs w:val="28"/>
        </w:rPr>
        <w:t>周围</w:t>
      </w:r>
      <w:r>
        <w:rPr>
          <w:rFonts w:ascii="Times New Roman" w:hAnsi="Times New Roman" w:cs="Times New Roman"/>
          <w:color w:val="auto"/>
          <w:sz w:val="28"/>
          <w:szCs w:val="28"/>
        </w:rPr>
        <w:t>50m</w:t>
      </w:r>
      <w:r>
        <w:rPr>
          <w:rFonts w:hint="eastAsia" w:ascii="Times New Roman" w:hAnsi="Times New Roman" w:cs="Times New Roman"/>
          <w:color w:val="auto"/>
          <w:sz w:val="28"/>
          <w:szCs w:val="28"/>
        </w:rPr>
        <w:t>内无重要公共建筑物。</w:t>
      </w:r>
      <w:r>
        <w:rPr>
          <w:rFonts w:hint="eastAsia" w:ascii="Times New Roman" w:hAnsi="Times New Roman" w:eastAsia="宋体" w:cs="Times New Roman"/>
          <w:color w:val="auto"/>
          <w:kern w:val="2"/>
          <w:szCs w:val="24"/>
          <w:lang w:eastAsia="zh-CN"/>
        </w:rPr>
        <w:t>汽车队</w:t>
      </w:r>
      <w:r>
        <w:rPr>
          <w:rFonts w:hint="eastAsia"/>
          <w:color w:val="auto"/>
        </w:rPr>
        <w:t>加油站周边环境见图2.3-</w:t>
      </w:r>
      <w:r>
        <w:rPr>
          <w:rFonts w:hint="eastAsia"/>
          <w:color w:val="auto"/>
          <w:lang w:val="en-US" w:eastAsia="zh-CN"/>
        </w:rPr>
        <w:t>2</w:t>
      </w:r>
      <w:r>
        <w:rPr>
          <w:rFonts w:hint="eastAsia"/>
          <w:color w:val="auto"/>
        </w:rPr>
        <w:t>。</w:t>
      </w:r>
    </w:p>
    <w:p w14:paraId="19890733">
      <w:pPr>
        <w:bidi w:val="0"/>
        <w:ind w:left="0" w:leftChars="0" w:firstLine="0" w:firstLineChars="0"/>
        <w:jc w:val="center"/>
        <w:rPr>
          <w:color w:val="auto"/>
        </w:rPr>
      </w:pPr>
      <w:r>
        <w:rPr>
          <w:color w:val="auto"/>
        </w:rPr>
        <w:drawing>
          <wp:inline distT="0" distB="0" distL="114300" distR="114300">
            <wp:extent cx="5039995" cy="3121660"/>
            <wp:effectExtent l="0" t="0" r="8255" b="2540"/>
            <wp:docPr id="3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7"/>
                    <pic:cNvPicPr>
                      <a:picLocks noChangeAspect="1"/>
                    </pic:cNvPicPr>
                  </pic:nvPicPr>
                  <pic:blipFill>
                    <a:blip r:embed="rId10"/>
                    <a:stretch>
                      <a:fillRect/>
                    </a:stretch>
                  </pic:blipFill>
                  <pic:spPr>
                    <a:xfrm>
                      <a:off x="0" y="0"/>
                      <a:ext cx="5039995" cy="3121660"/>
                    </a:xfrm>
                    <a:prstGeom prst="rect">
                      <a:avLst/>
                    </a:prstGeom>
                    <a:noFill/>
                    <a:ln>
                      <a:noFill/>
                    </a:ln>
                  </pic:spPr>
                </pic:pic>
              </a:graphicData>
            </a:graphic>
          </wp:inline>
        </w:drawing>
      </w:r>
    </w:p>
    <w:p w14:paraId="1E901B7E">
      <w:pPr>
        <w:ind w:left="0" w:leftChars="0" w:firstLine="0" w:firstLineChars="0"/>
        <w:jc w:val="center"/>
        <w:rPr>
          <w:rFonts w:hint="eastAsia"/>
          <w:color w:val="auto"/>
        </w:rPr>
      </w:pPr>
      <w:r>
        <w:rPr>
          <w:rFonts w:hint="eastAsia"/>
          <w:color w:val="auto"/>
        </w:rPr>
        <w:t>图2.3-</w:t>
      </w:r>
      <w:r>
        <w:rPr>
          <w:rFonts w:hint="default"/>
          <w:color w:val="auto"/>
        </w:rPr>
        <w:t>2</w:t>
      </w:r>
      <w:r>
        <w:rPr>
          <w:rFonts w:hint="eastAsia"/>
          <w:color w:val="auto"/>
          <w:lang w:val="en-US" w:eastAsia="zh-CN"/>
        </w:rPr>
        <w:t xml:space="preserve"> </w:t>
      </w:r>
      <w:r>
        <w:rPr>
          <w:rFonts w:hint="eastAsia" w:ascii="Times New Roman" w:hAnsi="Times New Roman" w:eastAsia="宋体" w:cs="Times New Roman"/>
          <w:color w:val="auto"/>
          <w:kern w:val="2"/>
          <w:szCs w:val="24"/>
          <w:lang w:eastAsia="zh-CN"/>
        </w:rPr>
        <w:t>汽车队加油站</w:t>
      </w:r>
      <w:r>
        <w:rPr>
          <w:rFonts w:hint="eastAsia"/>
          <w:color w:val="auto"/>
        </w:rPr>
        <w:t>周边环境图</w:t>
      </w:r>
    </w:p>
    <w:p w14:paraId="63B15C5A">
      <w:pPr>
        <w:bidi w:val="0"/>
        <w:rPr>
          <w:rFonts w:hint="eastAsia"/>
          <w:color w:val="auto"/>
        </w:rPr>
      </w:pPr>
      <w:r>
        <w:rPr>
          <w:rFonts w:hint="eastAsia"/>
          <w:color w:val="auto"/>
        </w:rPr>
        <w:t>根据设计单位提供的总平面布置图，和现场实地勘查</w:t>
      </w:r>
      <w:r>
        <w:rPr>
          <w:rFonts w:hint="eastAsia"/>
          <w:color w:val="auto"/>
          <w:lang w:val="en-US" w:eastAsia="zh-CN"/>
        </w:rPr>
        <w:t>改</w:t>
      </w:r>
      <w:r>
        <w:rPr>
          <w:rFonts w:hint="eastAsia"/>
          <w:color w:val="auto"/>
        </w:rPr>
        <w:t>建项目拟设的橇装加油装置，橇装式加油装置与站外建（构）筑物的安全间距见表2.3-1。</w:t>
      </w:r>
    </w:p>
    <w:p w14:paraId="7CF26740">
      <w:pPr>
        <w:bidi w:val="0"/>
        <w:ind w:left="0" w:leftChars="0" w:firstLine="0" w:firstLineChars="0"/>
        <w:jc w:val="center"/>
        <w:rPr>
          <w:rFonts w:hint="eastAsia"/>
          <w:color w:val="auto"/>
          <w:sz w:val="24"/>
          <w:szCs w:val="24"/>
        </w:rPr>
      </w:pPr>
      <w:bookmarkStart w:id="46" w:name="_Hlk142169284"/>
      <w:r>
        <w:rPr>
          <w:rFonts w:hint="default"/>
          <w:color w:val="auto"/>
          <w:sz w:val="24"/>
          <w:szCs w:val="24"/>
        </w:rPr>
        <w:t>表2.3.-1</w:t>
      </w:r>
      <w:r>
        <w:rPr>
          <w:rFonts w:hint="eastAsia"/>
          <w:color w:val="auto"/>
          <w:sz w:val="24"/>
          <w:szCs w:val="24"/>
          <w:lang w:val="en-US" w:eastAsia="zh-CN"/>
        </w:rPr>
        <w:t xml:space="preserve"> </w:t>
      </w:r>
      <w:r>
        <w:rPr>
          <w:rFonts w:hint="eastAsia"/>
          <w:color w:val="auto"/>
          <w:sz w:val="24"/>
          <w:szCs w:val="24"/>
        </w:rPr>
        <w:t>橇装式加油装置与站外建</w:t>
      </w:r>
      <w:r>
        <w:rPr>
          <w:rFonts w:hint="eastAsia"/>
          <w:color w:val="auto"/>
          <w:sz w:val="24"/>
          <w:szCs w:val="24"/>
          <w:lang w:eastAsia="zh-CN"/>
        </w:rPr>
        <w:t>（</w:t>
      </w:r>
      <w:r>
        <w:rPr>
          <w:rFonts w:hint="eastAsia"/>
          <w:color w:val="auto"/>
          <w:sz w:val="24"/>
          <w:szCs w:val="24"/>
        </w:rPr>
        <w:t>构</w:t>
      </w:r>
      <w:r>
        <w:rPr>
          <w:rFonts w:hint="eastAsia"/>
          <w:color w:val="auto"/>
          <w:sz w:val="24"/>
          <w:szCs w:val="24"/>
          <w:lang w:eastAsia="zh-CN"/>
        </w:rPr>
        <w:t>）</w:t>
      </w:r>
      <w:r>
        <w:rPr>
          <w:rFonts w:hint="eastAsia"/>
          <w:color w:val="auto"/>
          <w:sz w:val="24"/>
          <w:szCs w:val="24"/>
        </w:rPr>
        <w:t>筑物的安全间距</w:t>
      </w:r>
    </w:p>
    <w:tbl>
      <w:tblPr>
        <w:tblStyle w:val="14"/>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31"/>
        <w:gridCol w:w="1192"/>
        <w:gridCol w:w="2343"/>
        <w:gridCol w:w="1875"/>
        <w:gridCol w:w="1940"/>
      </w:tblGrid>
      <w:tr w14:paraId="7DD114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8" w:hRule="exact"/>
          <w:jc w:val="center"/>
        </w:trPr>
        <w:tc>
          <w:tcPr>
            <w:tcW w:w="1041" w:type="pct"/>
            <w:tcBorders>
              <w:tl2br w:val="nil"/>
              <w:tr2bl w:val="nil"/>
            </w:tcBorders>
            <w:noWrap w:val="0"/>
            <w:vAlign w:val="center"/>
          </w:tcPr>
          <w:p w14:paraId="2B033A65">
            <w:pPr>
              <w:spacing w:line="240" w:lineRule="auto"/>
              <w:ind w:firstLine="0" w:firstLineChars="0"/>
              <w:jc w:val="center"/>
              <w:rPr>
                <w:rFonts w:ascii="Times New Roman" w:hAnsi="Times New Roman" w:cs="Times New Roman"/>
                <w:b/>
                <w:bCs/>
                <w:color w:val="auto"/>
                <w:kern w:val="2"/>
                <w:sz w:val="21"/>
                <w:szCs w:val="21"/>
              </w:rPr>
            </w:pPr>
            <w:r>
              <w:rPr>
                <w:rFonts w:ascii="Times New Roman" w:hAnsi="Times New Roman" w:cs="Times New Roman"/>
                <w:b/>
                <w:color w:val="auto"/>
                <w:kern w:val="2"/>
                <w:sz w:val="21"/>
                <w:szCs w:val="21"/>
                <w:lang w:val="zh-CN"/>
              </w:rPr>
              <w:t>工艺装置</w:t>
            </w:r>
            <w:r>
              <w:rPr>
                <w:rFonts w:ascii="Times New Roman" w:hAnsi="Times New Roman" w:cs="Times New Roman"/>
                <w:b/>
                <w:bCs/>
                <w:color w:val="auto"/>
                <w:kern w:val="2"/>
                <w:sz w:val="21"/>
                <w:szCs w:val="21"/>
              </w:rPr>
              <w:t>名称</w:t>
            </w:r>
          </w:p>
        </w:tc>
        <w:tc>
          <w:tcPr>
            <w:tcW w:w="642" w:type="pct"/>
            <w:tcBorders>
              <w:tl2br w:val="nil"/>
              <w:tr2bl w:val="nil"/>
            </w:tcBorders>
            <w:noWrap w:val="0"/>
            <w:vAlign w:val="center"/>
          </w:tcPr>
          <w:p w14:paraId="4FB139AE">
            <w:pPr>
              <w:spacing w:line="240" w:lineRule="auto"/>
              <w:ind w:firstLine="0" w:firstLineChars="0"/>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相对位置</w:t>
            </w:r>
          </w:p>
        </w:tc>
        <w:tc>
          <w:tcPr>
            <w:tcW w:w="1262" w:type="pct"/>
            <w:tcBorders>
              <w:tl2br w:val="nil"/>
              <w:tr2bl w:val="nil"/>
            </w:tcBorders>
            <w:noWrap w:val="0"/>
            <w:vAlign w:val="center"/>
          </w:tcPr>
          <w:p w14:paraId="6A1C722D">
            <w:pPr>
              <w:spacing w:line="240" w:lineRule="auto"/>
              <w:ind w:firstLine="0" w:firstLineChars="0"/>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建（构）筑物名称</w:t>
            </w:r>
          </w:p>
        </w:tc>
        <w:tc>
          <w:tcPr>
            <w:tcW w:w="1010" w:type="pct"/>
            <w:tcBorders>
              <w:tl2br w:val="nil"/>
              <w:tr2bl w:val="nil"/>
            </w:tcBorders>
            <w:noWrap w:val="0"/>
            <w:vAlign w:val="center"/>
          </w:tcPr>
          <w:p w14:paraId="260D96E0">
            <w:pPr>
              <w:spacing w:line="240" w:lineRule="auto"/>
              <w:ind w:firstLine="0" w:firstLineChars="0"/>
              <w:jc w:val="center"/>
              <w:rPr>
                <w:rFonts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zh-CN"/>
              </w:rPr>
              <w:t>拟定</w:t>
            </w:r>
            <w:r>
              <w:rPr>
                <w:rFonts w:hint="eastAsia" w:ascii="Times New Roman" w:hAnsi="Times New Roman" w:eastAsia="宋体" w:cs="Times New Roman"/>
                <w:b/>
                <w:bCs/>
                <w:color w:val="auto"/>
                <w:kern w:val="2"/>
                <w:sz w:val="21"/>
                <w:szCs w:val="21"/>
              </w:rPr>
              <w:t>间距</w:t>
            </w:r>
            <w:r>
              <w:rPr>
                <w:rFonts w:ascii="Times New Roman" w:hAnsi="Times New Roman" w:eastAsia="宋体" w:cs="Times New Roman"/>
                <w:b/>
                <w:bCs/>
                <w:color w:val="auto"/>
                <w:kern w:val="2"/>
                <w:sz w:val="21"/>
                <w:szCs w:val="21"/>
              </w:rPr>
              <w:t>(m)</w:t>
            </w:r>
          </w:p>
        </w:tc>
        <w:tc>
          <w:tcPr>
            <w:tcW w:w="1044" w:type="pct"/>
            <w:tcBorders>
              <w:tl2br w:val="nil"/>
              <w:tr2bl w:val="nil"/>
            </w:tcBorders>
            <w:noWrap w:val="0"/>
            <w:vAlign w:val="center"/>
          </w:tcPr>
          <w:p w14:paraId="3829762E">
            <w:pPr>
              <w:spacing w:line="240" w:lineRule="auto"/>
              <w:ind w:firstLine="0" w:firstLineChars="0"/>
              <w:jc w:val="center"/>
              <w:rPr>
                <w:rFonts w:ascii="Times New Roman" w:hAnsi="Times New Roman" w:eastAsia="宋体" w:cs="Times New Roman"/>
                <w:b/>
                <w:bCs/>
                <w:color w:val="auto"/>
                <w:kern w:val="2"/>
                <w:sz w:val="21"/>
                <w:szCs w:val="21"/>
              </w:rPr>
            </w:pPr>
            <w:r>
              <w:rPr>
                <w:rFonts w:hint="eastAsia" w:ascii="Times New Roman" w:hAnsi="Times New Roman" w:eastAsia="宋体" w:cs="Times New Roman"/>
                <w:b/>
                <w:bCs/>
                <w:color w:val="auto"/>
                <w:kern w:val="2"/>
                <w:sz w:val="21"/>
                <w:szCs w:val="21"/>
                <w:lang w:val="zh-CN"/>
              </w:rPr>
              <w:t>标准间距（</w:t>
            </w:r>
            <w:r>
              <w:rPr>
                <w:rFonts w:ascii="Times New Roman" w:hAnsi="Times New Roman" w:eastAsia="宋体" w:cs="Times New Roman"/>
                <w:b/>
                <w:bCs/>
                <w:color w:val="auto"/>
                <w:kern w:val="2"/>
                <w:sz w:val="21"/>
                <w:szCs w:val="21"/>
              </w:rPr>
              <w:t>m</w:t>
            </w:r>
            <w:r>
              <w:rPr>
                <w:rFonts w:hint="eastAsia" w:ascii="Times New Roman" w:hAnsi="Times New Roman" w:eastAsia="宋体" w:cs="Times New Roman"/>
                <w:b/>
                <w:bCs/>
                <w:color w:val="auto"/>
                <w:kern w:val="2"/>
                <w:sz w:val="21"/>
                <w:szCs w:val="21"/>
                <w:lang w:val="zh-CN"/>
              </w:rPr>
              <w:t>）</w:t>
            </w:r>
          </w:p>
        </w:tc>
      </w:tr>
      <w:tr w14:paraId="64DEBF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2" w:hRule="exact"/>
          <w:jc w:val="center"/>
        </w:trPr>
        <w:tc>
          <w:tcPr>
            <w:tcW w:w="5000" w:type="pct"/>
            <w:gridSpan w:val="5"/>
            <w:tcBorders>
              <w:tl2br w:val="nil"/>
              <w:tr2bl w:val="nil"/>
            </w:tcBorders>
            <w:noWrap w:val="0"/>
            <w:vAlign w:val="center"/>
          </w:tcPr>
          <w:p w14:paraId="0B24F3DA">
            <w:pPr>
              <w:spacing w:line="240" w:lineRule="auto"/>
              <w:ind w:firstLine="0" w:firstLineChars="0"/>
              <w:jc w:val="center"/>
              <w:rPr>
                <w:rFonts w:ascii="Times New Roman" w:hAnsi="Times New Roman" w:cs="Times New Roman"/>
                <w:b/>
                <w:bCs/>
                <w:color w:val="auto"/>
                <w:kern w:val="2"/>
                <w:sz w:val="21"/>
                <w:szCs w:val="21"/>
              </w:rPr>
            </w:pPr>
            <w:r>
              <w:rPr>
                <w:rFonts w:hint="eastAsia" w:ascii="Times New Roman" w:hAnsi="Times New Roman" w:cs="Times New Roman"/>
                <w:b/>
                <w:bCs w:val="0"/>
                <w:color w:val="auto"/>
                <w:kern w:val="2"/>
                <w:sz w:val="21"/>
                <w:szCs w:val="21"/>
                <w:lang w:val="en-US" w:eastAsia="zh-CN"/>
              </w:rPr>
              <w:t>一、采矿场撬装加油站</w:t>
            </w:r>
          </w:p>
        </w:tc>
      </w:tr>
      <w:tr w14:paraId="423D64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041" w:type="pct"/>
            <w:vMerge w:val="restart"/>
            <w:tcBorders>
              <w:tl2br w:val="nil"/>
              <w:tr2bl w:val="nil"/>
            </w:tcBorders>
            <w:noWrap w:val="0"/>
            <w:vAlign w:val="center"/>
          </w:tcPr>
          <w:p w14:paraId="0E08D3A1">
            <w:pPr>
              <w:spacing w:line="240" w:lineRule="auto"/>
              <w:ind w:firstLine="0" w:firstLineChars="0"/>
              <w:jc w:val="center"/>
              <w:rPr>
                <w:rFonts w:ascii="Times New Roman" w:hAnsi="Times New Roman" w:cs="Times New Roman"/>
                <w:bCs/>
                <w:color w:val="auto"/>
                <w:kern w:val="2"/>
                <w:sz w:val="21"/>
                <w:szCs w:val="21"/>
              </w:rPr>
            </w:pPr>
            <w:r>
              <w:rPr>
                <w:rFonts w:hint="eastAsia" w:ascii="Times New Roman" w:hAnsi="Times New Roman" w:cs="Times New Roman"/>
                <w:bCs/>
                <w:color w:val="auto"/>
                <w:kern w:val="2"/>
                <w:sz w:val="21"/>
                <w:szCs w:val="21"/>
              </w:rPr>
              <w:t>橇装加油装置</w:t>
            </w:r>
          </w:p>
        </w:tc>
        <w:tc>
          <w:tcPr>
            <w:tcW w:w="642" w:type="pct"/>
            <w:vMerge w:val="restart"/>
            <w:tcBorders>
              <w:tl2br w:val="nil"/>
              <w:tr2bl w:val="nil"/>
            </w:tcBorders>
            <w:noWrap w:val="0"/>
            <w:vAlign w:val="center"/>
          </w:tcPr>
          <w:p w14:paraId="17C1A0DD">
            <w:pPr>
              <w:spacing w:line="240" w:lineRule="auto"/>
              <w:ind w:firstLine="0" w:firstLineChars="0"/>
              <w:jc w:val="center"/>
              <w:rPr>
                <w:rFonts w:hint="eastAsia" w:ascii="Times New Roman" w:hAnsi="Times New Roman" w:eastAsia="宋体" w:cs="Times New Roman"/>
                <w:bCs/>
                <w:color w:val="auto"/>
                <w:kern w:val="2"/>
                <w:sz w:val="21"/>
                <w:szCs w:val="21"/>
                <w:lang w:eastAsia="zh-CN"/>
              </w:rPr>
            </w:pPr>
            <w:r>
              <w:rPr>
                <w:rFonts w:hint="eastAsia" w:ascii="Times New Roman" w:hAnsi="Times New Roman" w:eastAsia="宋体" w:cs="Times New Roman"/>
                <w:bCs/>
                <w:color w:val="auto"/>
                <w:kern w:val="2"/>
                <w:sz w:val="21"/>
                <w:szCs w:val="21"/>
                <w:lang w:eastAsia="zh-CN"/>
              </w:rPr>
              <w:t>东</w:t>
            </w:r>
          </w:p>
        </w:tc>
        <w:tc>
          <w:tcPr>
            <w:tcW w:w="1262" w:type="pct"/>
            <w:tcBorders>
              <w:tl2br w:val="nil"/>
              <w:tr2bl w:val="nil"/>
            </w:tcBorders>
            <w:noWrap w:val="0"/>
            <w:vAlign w:val="center"/>
          </w:tcPr>
          <w:p w14:paraId="4F7313D8">
            <w:pPr>
              <w:spacing w:line="240" w:lineRule="auto"/>
              <w:ind w:firstLine="0" w:firstLineChars="0"/>
              <w:jc w:val="center"/>
              <w:rPr>
                <w:rFonts w:hint="eastAsia" w:ascii="Times New Roman" w:hAnsi="Times New Roman" w:cs="Times New Roman"/>
                <w:color w:val="auto"/>
                <w:kern w:val="2"/>
                <w:sz w:val="21"/>
                <w:szCs w:val="21"/>
              </w:rPr>
            </w:pPr>
            <w:r>
              <w:rPr>
                <w:rFonts w:hint="default" w:ascii="Times New Roman" w:hAnsi="Times New Roman" w:cs="Times New Roman"/>
                <w:color w:val="auto"/>
                <w:sz w:val="21"/>
                <w:szCs w:val="21"/>
                <w:lang w:val="en-US" w:eastAsia="zh-CN"/>
              </w:rPr>
              <w:t>矿山道路</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三</w:t>
            </w:r>
            <w:r>
              <w:rPr>
                <w:rFonts w:hint="default" w:ascii="Times New Roman" w:hAnsi="Times New Roman" w:cs="Times New Roman"/>
                <w:color w:val="auto"/>
                <w:sz w:val="21"/>
                <w:szCs w:val="21"/>
                <w:lang w:val="en-US" w:eastAsia="zh-CN"/>
              </w:rPr>
              <w:t>级公路</w:t>
            </w:r>
            <w:r>
              <w:rPr>
                <w:rFonts w:hint="eastAsia" w:ascii="Times New Roman" w:hAnsi="Times New Roman" w:cs="Times New Roman"/>
                <w:color w:val="auto"/>
                <w:sz w:val="21"/>
                <w:szCs w:val="21"/>
                <w:lang w:val="en-US" w:eastAsia="zh-CN"/>
              </w:rPr>
              <w:t>）</w:t>
            </w:r>
          </w:p>
        </w:tc>
        <w:tc>
          <w:tcPr>
            <w:tcW w:w="1010" w:type="pct"/>
            <w:tcBorders>
              <w:tl2br w:val="nil"/>
              <w:tr2bl w:val="nil"/>
            </w:tcBorders>
            <w:noWrap w:val="0"/>
            <w:vAlign w:val="center"/>
          </w:tcPr>
          <w:p w14:paraId="21D54C65">
            <w:pPr>
              <w:spacing w:line="240" w:lineRule="auto"/>
              <w:ind w:firstLine="0" w:firstLineChars="0"/>
              <w:jc w:val="center"/>
              <w:rPr>
                <w:rFonts w:hint="default"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5</w:t>
            </w:r>
          </w:p>
        </w:tc>
        <w:tc>
          <w:tcPr>
            <w:tcW w:w="1044" w:type="pct"/>
            <w:tcBorders>
              <w:tl2br w:val="nil"/>
              <w:tr2bl w:val="nil"/>
            </w:tcBorders>
            <w:noWrap w:val="0"/>
            <w:vAlign w:val="center"/>
          </w:tcPr>
          <w:p w14:paraId="38BCE9F0">
            <w:pPr>
              <w:spacing w:line="240" w:lineRule="auto"/>
              <w:ind w:firstLine="0" w:firstLineChars="0"/>
              <w:jc w:val="center"/>
              <w:rPr>
                <w:rFonts w:hint="default"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6</w:t>
            </w:r>
          </w:p>
        </w:tc>
      </w:tr>
      <w:tr w14:paraId="1F57DD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1041" w:type="pct"/>
            <w:vMerge w:val="continue"/>
            <w:tcBorders>
              <w:tl2br w:val="nil"/>
              <w:tr2bl w:val="nil"/>
            </w:tcBorders>
            <w:noWrap w:val="0"/>
            <w:vAlign w:val="center"/>
          </w:tcPr>
          <w:p w14:paraId="454A98B2">
            <w:pPr>
              <w:pStyle w:val="23"/>
              <w:jc w:val="center"/>
              <w:rPr>
                <w:rFonts w:hint="eastAsia"/>
                <w:color w:val="auto"/>
                <w:sz w:val="21"/>
                <w:szCs w:val="21"/>
                <w:lang w:eastAsia="zh-CN"/>
              </w:rPr>
            </w:pPr>
          </w:p>
        </w:tc>
        <w:tc>
          <w:tcPr>
            <w:tcW w:w="642" w:type="pct"/>
            <w:vMerge w:val="continue"/>
            <w:tcBorders>
              <w:tl2br w:val="nil"/>
              <w:tr2bl w:val="nil"/>
            </w:tcBorders>
            <w:noWrap w:val="0"/>
            <w:vAlign w:val="center"/>
          </w:tcPr>
          <w:p w14:paraId="1C945570">
            <w:pPr>
              <w:spacing w:line="240" w:lineRule="auto"/>
              <w:ind w:firstLine="0" w:firstLineChars="0"/>
              <w:jc w:val="center"/>
              <w:rPr>
                <w:rFonts w:hint="eastAsia" w:ascii="Times New Roman" w:hAnsi="Times New Roman" w:eastAsia="宋体" w:cs="Times New Roman"/>
                <w:bCs/>
                <w:color w:val="auto"/>
                <w:kern w:val="2"/>
                <w:sz w:val="21"/>
                <w:szCs w:val="21"/>
                <w:lang w:eastAsia="zh-CN"/>
              </w:rPr>
            </w:pPr>
          </w:p>
        </w:tc>
        <w:tc>
          <w:tcPr>
            <w:tcW w:w="1262" w:type="pct"/>
            <w:tcBorders>
              <w:tl2br w:val="nil"/>
              <w:tr2bl w:val="nil"/>
            </w:tcBorders>
            <w:noWrap w:val="0"/>
            <w:vAlign w:val="center"/>
          </w:tcPr>
          <w:p w14:paraId="38DB2115">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架空电力线路</w:t>
            </w:r>
          </w:p>
        </w:tc>
        <w:tc>
          <w:tcPr>
            <w:tcW w:w="1010" w:type="pct"/>
            <w:tcBorders>
              <w:tl2br w:val="nil"/>
              <w:tr2bl w:val="nil"/>
            </w:tcBorders>
            <w:noWrap w:val="0"/>
            <w:vAlign w:val="center"/>
          </w:tcPr>
          <w:p w14:paraId="3428352C">
            <w:pPr>
              <w:spacing w:line="240" w:lineRule="auto"/>
              <w:ind w:firstLine="0" w:firstLineChars="0"/>
              <w:jc w:val="center"/>
              <w:rPr>
                <w:rFonts w:hint="default" w:ascii="Times New Roman" w:hAnsi="Times New Roman" w:cs="Times New Roman"/>
                <w:bCs/>
                <w:color w:val="auto"/>
                <w:kern w:val="2"/>
                <w:sz w:val="21"/>
                <w:szCs w:val="21"/>
                <w:lang w:val="en-US" w:eastAsia="zh-CN"/>
              </w:rPr>
            </w:pPr>
            <w:r>
              <w:rPr>
                <w:rFonts w:hint="eastAsia" w:cs="Times New Roman"/>
                <w:bCs/>
                <w:color w:val="auto"/>
                <w:kern w:val="2"/>
                <w:sz w:val="21"/>
                <w:szCs w:val="21"/>
                <w:lang w:val="en-US" w:eastAsia="zh-CN"/>
              </w:rPr>
              <w:t>16</w:t>
            </w:r>
          </w:p>
        </w:tc>
        <w:tc>
          <w:tcPr>
            <w:tcW w:w="1044" w:type="pct"/>
            <w:tcBorders>
              <w:tl2br w:val="nil"/>
              <w:tr2bl w:val="nil"/>
            </w:tcBorders>
            <w:noWrap w:val="0"/>
            <w:vAlign w:val="center"/>
          </w:tcPr>
          <w:p w14:paraId="186EDB59">
            <w:pPr>
              <w:spacing w:line="240" w:lineRule="auto"/>
              <w:ind w:firstLine="0" w:firstLineChars="0"/>
              <w:jc w:val="center"/>
              <w:rPr>
                <w:rFonts w:hint="default" w:ascii="Times New Roman" w:hAnsi="Times New Roman" w:cs="Times New Roman"/>
                <w:bCs/>
                <w:color w:val="auto"/>
                <w:kern w:val="2"/>
                <w:sz w:val="21"/>
                <w:szCs w:val="21"/>
                <w:lang w:val="en-US" w:eastAsia="zh-CN"/>
              </w:rPr>
            </w:pPr>
            <w:r>
              <w:rPr>
                <w:rFonts w:hint="eastAsia" w:ascii="Times New Roman" w:hAnsi="Times New Roman" w:cs="Times New Roman"/>
                <w:bCs/>
                <w:color w:val="auto"/>
                <w:kern w:val="2"/>
                <w:sz w:val="21"/>
                <w:szCs w:val="21"/>
                <w:lang w:val="en-US" w:eastAsia="zh-CN"/>
              </w:rPr>
              <w:t>5</w:t>
            </w:r>
          </w:p>
        </w:tc>
      </w:tr>
      <w:tr w14:paraId="081C9C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9" w:hRule="atLeast"/>
          <w:jc w:val="center"/>
        </w:trPr>
        <w:tc>
          <w:tcPr>
            <w:tcW w:w="1041" w:type="pct"/>
            <w:vMerge w:val="continue"/>
            <w:tcBorders>
              <w:tl2br w:val="nil"/>
              <w:tr2bl w:val="nil"/>
            </w:tcBorders>
            <w:noWrap w:val="0"/>
            <w:vAlign w:val="center"/>
          </w:tcPr>
          <w:p w14:paraId="098815E5">
            <w:pPr>
              <w:pStyle w:val="23"/>
              <w:jc w:val="center"/>
              <w:rPr>
                <w:rFonts w:hint="eastAsia"/>
                <w:color w:val="auto"/>
                <w:sz w:val="21"/>
                <w:szCs w:val="21"/>
                <w:lang w:eastAsia="zh-CN"/>
              </w:rPr>
            </w:pPr>
          </w:p>
        </w:tc>
        <w:tc>
          <w:tcPr>
            <w:tcW w:w="642" w:type="pct"/>
            <w:vMerge w:val="continue"/>
            <w:tcBorders>
              <w:tl2br w:val="nil"/>
              <w:tr2bl w:val="nil"/>
            </w:tcBorders>
            <w:noWrap w:val="0"/>
            <w:vAlign w:val="center"/>
          </w:tcPr>
          <w:p w14:paraId="435F6FEA">
            <w:pPr>
              <w:spacing w:line="240" w:lineRule="auto"/>
              <w:ind w:firstLine="0" w:firstLineChars="0"/>
              <w:jc w:val="center"/>
              <w:rPr>
                <w:rFonts w:hint="eastAsia" w:ascii="Times New Roman" w:hAnsi="Times New Roman" w:eastAsia="宋体" w:cs="Times New Roman"/>
                <w:bCs/>
                <w:color w:val="auto"/>
                <w:kern w:val="2"/>
                <w:sz w:val="21"/>
                <w:szCs w:val="21"/>
                <w:lang w:eastAsia="zh-CN"/>
              </w:rPr>
            </w:pPr>
          </w:p>
        </w:tc>
        <w:tc>
          <w:tcPr>
            <w:tcW w:w="1262" w:type="pct"/>
            <w:tcBorders>
              <w:tl2br w:val="nil"/>
              <w:tr2bl w:val="nil"/>
            </w:tcBorders>
            <w:noWrap w:val="0"/>
            <w:vAlign w:val="center"/>
          </w:tcPr>
          <w:p w14:paraId="6ED8D023">
            <w:pPr>
              <w:spacing w:line="240" w:lineRule="auto"/>
              <w:ind w:firstLine="0" w:firstLineChars="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架空通讯线路</w:t>
            </w:r>
          </w:p>
        </w:tc>
        <w:tc>
          <w:tcPr>
            <w:tcW w:w="1010" w:type="pct"/>
            <w:tcBorders>
              <w:tl2br w:val="nil"/>
              <w:tr2bl w:val="nil"/>
            </w:tcBorders>
            <w:noWrap w:val="0"/>
            <w:vAlign w:val="center"/>
          </w:tcPr>
          <w:p w14:paraId="75BAF018">
            <w:pPr>
              <w:spacing w:line="240" w:lineRule="auto"/>
              <w:ind w:firstLine="0" w:firstLineChars="0"/>
              <w:jc w:val="center"/>
              <w:rPr>
                <w:rFonts w:hint="default" w:ascii="Times New Roman" w:hAnsi="Times New Roman" w:cs="Times New Roman"/>
                <w:bCs/>
                <w:color w:val="auto"/>
                <w:kern w:val="2"/>
                <w:sz w:val="21"/>
                <w:szCs w:val="21"/>
                <w:lang w:val="en-US" w:eastAsia="zh-CN"/>
              </w:rPr>
            </w:pPr>
            <w:r>
              <w:rPr>
                <w:rFonts w:hint="eastAsia" w:cs="Times New Roman"/>
                <w:bCs/>
                <w:color w:val="auto"/>
                <w:kern w:val="2"/>
                <w:sz w:val="21"/>
                <w:szCs w:val="21"/>
                <w:lang w:val="en-US" w:eastAsia="zh-CN"/>
              </w:rPr>
              <w:t>16</w:t>
            </w:r>
          </w:p>
        </w:tc>
        <w:tc>
          <w:tcPr>
            <w:tcW w:w="1044" w:type="pct"/>
            <w:tcBorders>
              <w:tl2br w:val="nil"/>
              <w:tr2bl w:val="nil"/>
            </w:tcBorders>
            <w:noWrap w:val="0"/>
            <w:vAlign w:val="center"/>
          </w:tcPr>
          <w:p w14:paraId="502255ED">
            <w:pPr>
              <w:spacing w:line="240" w:lineRule="auto"/>
              <w:ind w:firstLine="0" w:firstLineChars="0"/>
              <w:jc w:val="center"/>
              <w:rPr>
                <w:rFonts w:hint="default" w:ascii="Times New Roman" w:hAnsi="Times New Roman" w:cs="Times New Roman"/>
                <w:bCs/>
                <w:color w:val="auto"/>
                <w:kern w:val="2"/>
                <w:sz w:val="21"/>
                <w:szCs w:val="21"/>
                <w:lang w:val="en-US" w:eastAsia="zh-CN"/>
              </w:rPr>
            </w:pPr>
            <w:r>
              <w:rPr>
                <w:rFonts w:hint="eastAsia" w:cs="Times New Roman"/>
                <w:bCs/>
                <w:color w:val="auto"/>
                <w:kern w:val="2"/>
                <w:sz w:val="21"/>
                <w:szCs w:val="21"/>
                <w:lang w:val="en-US" w:eastAsia="zh-CN"/>
              </w:rPr>
              <w:t>9</w:t>
            </w:r>
          </w:p>
        </w:tc>
      </w:tr>
      <w:tr w14:paraId="0C3AD8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5000" w:type="pct"/>
            <w:gridSpan w:val="5"/>
            <w:tcBorders>
              <w:tl2br w:val="nil"/>
              <w:tr2bl w:val="nil"/>
            </w:tcBorders>
            <w:noWrap w:val="0"/>
            <w:vAlign w:val="center"/>
          </w:tcPr>
          <w:p w14:paraId="1F4C49F5">
            <w:pPr>
              <w:spacing w:line="240" w:lineRule="auto"/>
              <w:ind w:firstLine="0" w:firstLineChars="0"/>
              <w:jc w:val="center"/>
              <w:rPr>
                <w:rFonts w:hint="eastAsia" w:ascii="Times New Roman" w:hAnsi="Times New Roman" w:cs="Times New Roman"/>
                <w:bCs/>
                <w:color w:val="auto"/>
                <w:kern w:val="2"/>
                <w:sz w:val="21"/>
                <w:szCs w:val="21"/>
              </w:rPr>
            </w:pPr>
            <w:r>
              <w:rPr>
                <w:rFonts w:hint="eastAsia" w:ascii="Times New Roman" w:hAnsi="Times New Roman" w:eastAsia="宋体" w:cs="Times New Roman"/>
                <w:b/>
                <w:bCs w:val="0"/>
                <w:color w:val="auto"/>
                <w:kern w:val="2"/>
                <w:sz w:val="21"/>
                <w:szCs w:val="21"/>
                <w:lang w:val="en-US" w:eastAsia="zh-CN"/>
              </w:rPr>
              <w:t>二、</w:t>
            </w:r>
            <w:r>
              <w:rPr>
                <w:rFonts w:hint="eastAsia" w:ascii="Times New Roman" w:hAnsi="Times New Roman" w:cs="Times New Roman"/>
                <w:b/>
                <w:bCs w:val="0"/>
                <w:color w:val="auto"/>
                <w:kern w:val="2"/>
                <w:sz w:val="21"/>
                <w:szCs w:val="21"/>
                <w:lang w:val="en-US" w:eastAsia="zh-CN"/>
              </w:rPr>
              <w:t>汽车队撬装加油站</w:t>
            </w:r>
          </w:p>
        </w:tc>
      </w:tr>
      <w:tr w14:paraId="206F8F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1041" w:type="pct"/>
            <w:vMerge w:val="restart"/>
            <w:tcBorders>
              <w:tl2br w:val="nil"/>
              <w:tr2bl w:val="nil"/>
            </w:tcBorders>
            <w:noWrap w:val="0"/>
            <w:vAlign w:val="center"/>
          </w:tcPr>
          <w:p w14:paraId="148E2E06">
            <w:pPr>
              <w:spacing w:line="240" w:lineRule="auto"/>
              <w:ind w:firstLine="0" w:firstLineChars="0"/>
              <w:jc w:val="center"/>
              <w:rPr>
                <w:rFonts w:ascii="Times New Roman" w:hAnsi="Times New Roman" w:cs="Times New Roman"/>
                <w:bCs/>
                <w:color w:val="auto"/>
                <w:kern w:val="2"/>
                <w:sz w:val="21"/>
                <w:szCs w:val="21"/>
              </w:rPr>
            </w:pPr>
            <w:r>
              <w:rPr>
                <w:rFonts w:hint="eastAsia" w:ascii="Times New Roman" w:hAnsi="Times New Roman" w:cs="Times New Roman"/>
                <w:bCs/>
                <w:color w:val="auto"/>
                <w:kern w:val="2"/>
                <w:sz w:val="21"/>
                <w:szCs w:val="21"/>
              </w:rPr>
              <w:t>橇装加油装置</w:t>
            </w:r>
          </w:p>
        </w:tc>
        <w:tc>
          <w:tcPr>
            <w:tcW w:w="642" w:type="pct"/>
            <w:tcBorders>
              <w:tl2br w:val="nil"/>
              <w:tr2bl w:val="nil"/>
            </w:tcBorders>
            <w:noWrap w:val="0"/>
            <w:vAlign w:val="center"/>
          </w:tcPr>
          <w:p w14:paraId="40662747">
            <w:pPr>
              <w:spacing w:line="240" w:lineRule="auto"/>
              <w:ind w:firstLine="0" w:firstLineChars="0"/>
              <w:jc w:val="center"/>
              <w:rPr>
                <w:rFonts w:hint="eastAsia" w:ascii="Times New Roman" w:hAnsi="Times New Roman" w:cs="Times New Roman"/>
                <w:bCs/>
                <w:color w:val="auto"/>
                <w:kern w:val="2"/>
                <w:sz w:val="21"/>
                <w:szCs w:val="21"/>
              </w:rPr>
            </w:pPr>
            <w:r>
              <w:rPr>
                <w:rFonts w:hint="eastAsia" w:ascii="Times New Roman" w:hAnsi="Times New Roman" w:eastAsia="宋体" w:cs="Times New Roman"/>
                <w:bCs/>
                <w:color w:val="auto"/>
                <w:kern w:val="2"/>
                <w:sz w:val="21"/>
                <w:szCs w:val="21"/>
                <w:lang w:eastAsia="zh-CN"/>
              </w:rPr>
              <w:t>东</w:t>
            </w:r>
            <w:r>
              <w:rPr>
                <w:rFonts w:hint="eastAsia" w:ascii="Times New Roman" w:hAnsi="Times New Roman" w:eastAsia="宋体" w:cs="Times New Roman"/>
                <w:bCs/>
                <w:color w:val="auto"/>
                <w:kern w:val="2"/>
                <w:sz w:val="21"/>
                <w:szCs w:val="21"/>
                <w:lang w:val="en-US" w:eastAsia="zh-CN"/>
              </w:rPr>
              <w:t>北</w:t>
            </w:r>
          </w:p>
        </w:tc>
        <w:tc>
          <w:tcPr>
            <w:tcW w:w="1262" w:type="pct"/>
            <w:tcBorders>
              <w:tl2br w:val="nil"/>
              <w:tr2bl w:val="nil"/>
            </w:tcBorders>
            <w:noWrap w:val="0"/>
            <w:vAlign w:val="center"/>
          </w:tcPr>
          <w:p w14:paraId="161DA31E">
            <w:pPr>
              <w:spacing w:line="240" w:lineRule="auto"/>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库房</w:t>
            </w:r>
          </w:p>
          <w:p w14:paraId="26D0E706">
            <w:pPr>
              <w:pStyle w:val="23"/>
              <w:jc w:val="center"/>
              <w:rPr>
                <w:rFonts w:hint="default"/>
                <w:color w:val="auto"/>
                <w:sz w:val="21"/>
                <w:szCs w:val="21"/>
                <w:lang w:val="en-US" w:eastAsia="zh-CN"/>
              </w:rPr>
            </w:pPr>
            <w:r>
              <w:rPr>
                <w:rFonts w:hint="eastAsia"/>
                <w:color w:val="auto"/>
                <w:sz w:val="21"/>
                <w:szCs w:val="21"/>
              </w:rPr>
              <w:t>（</w:t>
            </w:r>
            <w:r>
              <w:rPr>
                <w:rFonts w:hint="eastAsia" w:ascii="Times New Roman" w:hAnsi="Times New Roman" w:eastAsia="宋体" w:cs="Times New Roman"/>
                <w:color w:val="auto"/>
                <w:sz w:val="21"/>
                <w:szCs w:val="21"/>
                <w:lang w:val="en-US" w:eastAsia="zh-CN" w:bidi="ar-SA"/>
              </w:rPr>
              <w:t>按丙类</w:t>
            </w:r>
            <w:r>
              <w:rPr>
                <w:rFonts w:hint="eastAsia" w:ascii="Times New Roman" w:hAnsi="Times New Roman" w:cs="Times New Roman"/>
                <w:color w:val="auto"/>
                <w:sz w:val="21"/>
                <w:szCs w:val="21"/>
                <w:lang w:val="en-US" w:eastAsia="zh-CN"/>
              </w:rPr>
              <w:t>库</w:t>
            </w:r>
            <w:r>
              <w:rPr>
                <w:rFonts w:hint="eastAsia" w:ascii="Times New Roman" w:hAnsi="Times New Roman" w:eastAsia="宋体" w:cs="Times New Roman"/>
                <w:color w:val="auto"/>
                <w:sz w:val="21"/>
                <w:szCs w:val="21"/>
                <w:lang w:val="en-US" w:eastAsia="zh-CN" w:bidi="ar-SA"/>
              </w:rPr>
              <w:t>房）</w:t>
            </w:r>
          </w:p>
        </w:tc>
        <w:tc>
          <w:tcPr>
            <w:tcW w:w="1010" w:type="pct"/>
            <w:tcBorders>
              <w:tl2br w:val="nil"/>
              <w:tr2bl w:val="nil"/>
            </w:tcBorders>
            <w:noWrap w:val="0"/>
            <w:vAlign w:val="center"/>
          </w:tcPr>
          <w:p w14:paraId="0F4EE98A">
            <w:pPr>
              <w:spacing w:line="240" w:lineRule="auto"/>
              <w:ind w:firstLine="0" w:firstLineChars="0"/>
              <w:jc w:val="center"/>
              <w:rPr>
                <w:rFonts w:hint="default"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19.7</w:t>
            </w:r>
          </w:p>
        </w:tc>
        <w:tc>
          <w:tcPr>
            <w:tcW w:w="1044" w:type="pct"/>
            <w:tcBorders>
              <w:tl2br w:val="nil"/>
              <w:tr2bl w:val="nil"/>
            </w:tcBorders>
            <w:noWrap w:val="0"/>
            <w:vAlign w:val="center"/>
          </w:tcPr>
          <w:p w14:paraId="77AC4DCE">
            <w:pPr>
              <w:spacing w:line="240" w:lineRule="auto"/>
              <w:ind w:firstLine="0" w:firstLineChars="0"/>
              <w:jc w:val="center"/>
              <w:rPr>
                <w:rFonts w:hint="default" w:ascii="Times New Roman" w:hAnsi="Times New Roman" w:eastAsia="宋体" w:cs="Times New Roman"/>
                <w:bCs/>
                <w:color w:val="auto"/>
                <w:kern w:val="2"/>
                <w:sz w:val="21"/>
                <w:szCs w:val="21"/>
                <w:lang w:val="en-US" w:eastAsia="zh-CN"/>
              </w:rPr>
            </w:pPr>
            <w:r>
              <w:rPr>
                <w:rFonts w:hint="eastAsia" w:cs="Times New Roman"/>
                <w:bCs/>
                <w:color w:val="auto"/>
                <w:kern w:val="2"/>
                <w:sz w:val="21"/>
                <w:szCs w:val="21"/>
                <w:lang w:val="en-US" w:eastAsia="zh-CN"/>
              </w:rPr>
              <w:t>16</w:t>
            </w:r>
          </w:p>
        </w:tc>
      </w:tr>
      <w:tr w14:paraId="0FA5ED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1041" w:type="pct"/>
            <w:vMerge w:val="continue"/>
            <w:tcBorders>
              <w:tl2br w:val="nil"/>
              <w:tr2bl w:val="nil"/>
            </w:tcBorders>
            <w:noWrap w:val="0"/>
            <w:vAlign w:val="center"/>
          </w:tcPr>
          <w:p w14:paraId="37345A9A">
            <w:pPr>
              <w:pStyle w:val="23"/>
              <w:jc w:val="center"/>
              <w:rPr>
                <w:rFonts w:hint="eastAsia"/>
                <w:color w:val="auto"/>
                <w:sz w:val="21"/>
                <w:szCs w:val="21"/>
                <w:lang w:eastAsia="zh-CN"/>
              </w:rPr>
            </w:pPr>
          </w:p>
        </w:tc>
        <w:tc>
          <w:tcPr>
            <w:tcW w:w="642" w:type="pct"/>
            <w:tcBorders>
              <w:tl2br w:val="nil"/>
              <w:tr2bl w:val="nil"/>
            </w:tcBorders>
            <w:noWrap w:val="0"/>
            <w:vAlign w:val="center"/>
          </w:tcPr>
          <w:p w14:paraId="089660CD">
            <w:pPr>
              <w:spacing w:line="240" w:lineRule="auto"/>
              <w:ind w:firstLine="0" w:firstLineChars="0"/>
              <w:jc w:val="center"/>
              <w:rPr>
                <w:rFonts w:hint="eastAsia" w:ascii="Times New Roman" w:hAnsi="Times New Roman" w:eastAsia="宋体" w:cs="Times New Roman"/>
                <w:bCs/>
                <w:color w:val="auto"/>
                <w:kern w:val="2"/>
                <w:sz w:val="21"/>
                <w:szCs w:val="21"/>
                <w:lang w:val="en-US" w:eastAsia="zh-CN"/>
              </w:rPr>
            </w:pPr>
            <w:r>
              <w:rPr>
                <w:rFonts w:hint="eastAsia" w:ascii="Times New Roman" w:hAnsi="Times New Roman" w:eastAsia="宋体" w:cs="Times New Roman"/>
                <w:bCs/>
                <w:color w:val="auto"/>
                <w:kern w:val="2"/>
                <w:sz w:val="21"/>
                <w:szCs w:val="21"/>
                <w:lang w:eastAsia="zh-CN"/>
              </w:rPr>
              <w:t>东</w:t>
            </w:r>
          </w:p>
        </w:tc>
        <w:tc>
          <w:tcPr>
            <w:tcW w:w="1262" w:type="pct"/>
            <w:tcBorders>
              <w:tl2br w:val="nil"/>
              <w:tr2bl w:val="nil"/>
            </w:tcBorders>
            <w:noWrap w:val="0"/>
            <w:vAlign w:val="center"/>
          </w:tcPr>
          <w:p w14:paraId="31563A5F">
            <w:pPr>
              <w:pStyle w:val="23"/>
              <w:jc w:val="center"/>
              <w:rPr>
                <w:rFonts w:hint="eastAsia"/>
                <w:color w:val="auto"/>
                <w:sz w:val="21"/>
                <w:szCs w:val="21"/>
              </w:rPr>
            </w:pPr>
            <w:r>
              <w:rPr>
                <w:rFonts w:hint="default" w:ascii="Times New Roman" w:hAnsi="Times New Roman" w:cs="Times New Roman"/>
                <w:color w:val="auto"/>
                <w:sz w:val="21"/>
                <w:szCs w:val="21"/>
                <w:lang w:val="en-US" w:eastAsia="zh-CN"/>
              </w:rPr>
              <w:t>矿山道路</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三</w:t>
            </w:r>
            <w:r>
              <w:rPr>
                <w:rFonts w:hint="default" w:ascii="Times New Roman" w:hAnsi="Times New Roman" w:cs="Times New Roman"/>
                <w:color w:val="auto"/>
                <w:sz w:val="21"/>
                <w:szCs w:val="21"/>
                <w:lang w:val="en-US" w:eastAsia="zh-CN"/>
              </w:rPr>
              <w:t>级公路</w:t>
            </w:r>
            <w:r>
              <w:rPr>
                <w:rFonts w:hint="eastAsia" w:ascii="Times New Roman" w:hAnsi="Times New Roman" w:cs="Times New Roman"/>
                <w:color w:val="auto"/>
                <w:sz w:val="21"/>
                <w:szCs w:val="21"/>
                <w:lang w:val="en-US" w:eastAsia="zh-CN"/>
              </w:rPr>
              <w:t>）</w:t>
            </w:r>
          </w:p>
        </w:tc>
        <w:tc>
          <w:tcPr>
            <w:tcW w:w="1010" w:type="pct"/>
            <w:tcBorders>
              <w:tl2br w:val="nil"/>
              <w:tr2bl w:val="nil"/>
            </w:tcBorders>
            <w:noWrap w:val="0"/>
            <w:vAlign w:val="center"/>
          </w:tcPr>
          <w:p w14:paraId="06757BC0">
            <w:pPr>
              <w:spacing w:line="240" w:lineRule="auto"/>
              <w:ind w:firstLine="0" w:firstLineChars="0"/>
              <w:jc w:val="center"/>
              <w:rPr>
                <w:rFonts w:hint="default" w:ascii="Times New Roman" w:hAnsi="Times New Roman" w:cs="Times New Roman"/>
                <w:bCs/>
                <w:color w:val="auto"/>
                <w:kern w:val="2"/>
                <w:sz w:val="21"/>
                <w:szCs w:val="21"/>
                <w:lang w:val="en-US" w:eastAsia="zh-CN"/>
              </w:rPr>
            </w:pPr>
            <w:r>
              <w:rPr>
                <w:rFonts w:hint="eastAsia" w:cs="Times New Roman"/>
                <w:bCs/>
                <w:color w:val="auto"/>
                <w:kern w:val="2"/>
                <w:sz w:val="21"/>
                <w:szCs w:val="21"/>
                <w:lang w:val="en-US" w:eastAsia="zh-CN"/>
              </w:rPr>
              <w:t>6.01</w:t>
            </w:r>
          </w:p>
        </w:tc>
        <w:tc>
          <w:tcPr>
            <w:tcW w:w="1044" w:type="pct"/>
            <w:tcBorders>
              <w:tl2br w:val="nil"/>
              <w:tr2bl w:val="nil"/>
            </w:tcBorders>
            <w:noWrap w:val="0"/>
            <w:vAlign w:val="center"/>
          </w:tcPr>
          <w:p w14:paraId="323C2F12">
            <w:pPr>
              <w:spacing w:line="240" w:lineRule="auto"/>
              <w:ind w:firstLine="0" w:firstLineChars="0"/>
              <w:jc w:val="center"/>
              <w:rPr>
                <w:rFonts w:hint="eastAsia" w:ascii="Times New Roman" w:hAnsi="Times New Roman" w:cs="Times New Roman"/>
                <w:bCs/>
                <w:color w:val="auto"/>
                <w:kern w:val="2"/>
                <w:sz w:val="21"/>
                <w:szCs w:val="21"/>
                <w:lang w:val="en-US" w:eastAsia="zh-CN"/>
              </w:rPr>
            </w:pPr>
            <w:r>
              <w:rPr>
                <w:rFonts w:hint="eastAsia" w:cs="Times New Roman"/>
                <w:bCs/>
                <w:color w:val="auto"/>
                <w:kern w:val="2"/>
                <w:sz w:val="21"/>
                <w:szCs w:val="21"/>
                <w:lang w:val="en-US" w:eastAsia="zh-CN"/>
              </w:rPr>
              <w:t>6</w:t>
            </w:r>
          </w:p>
        </w:tc>
      </w:tr>
      <w:bookmarkEnd w:id="46"/>
    </w:tbl>
    <w:p w14:paraId="71EBF56D">
      <w:pPr>
        <w:pStyle w:val="3"/>
        <w:bidi w:val="0"/>
        <w:rPr>
          <w:rFonts w:hint="eastAsia"/>
          <w:color w:val="auto"/>
        </w:rPr>
      </w:pPr>
      <w:bookmarkStart w:id="47" w:name="_Toc17646"/>
      <w:bookmarkStart w:id="48" w:name="_Toc25381"/>
      <w:bookmarkStart w:id="49" w:name="_Toc28815"/>
      <w:bookmarkStart w:id="50" w:name="_Toc16335"/>
      <w:r>
        <w:rPr>
          <w:rFonts w:hint="eastAsia"/>
          <w:color w:val="auto"/>
        </w:rPr>
        <w:t>2.4</w:t>
      </w:r>
      <w:r>
        <w:rPr>
          <w:rFonts w:hint="eastAsia"/>
          <w:color w:val="auto"/>
          <w:lang w:val="en-US" w:eastAsia="zh-CN"/>
        </w:rPr>
        <w:t xml:space="preserve"> </w:t>
      </w:r>
      <w:r>
        <w:rPr>
          <w:rFonts w:hint="eastAsia"/>
          <w:color w:val="auto"/>
        </w:rPr>
        <w:t>建设项目所在地的自然条件</w:t>
      </w:r>
      <w:bookmarkEnd w:id="47"/>
      <w:bookmarkEnd w:id="48"/>
      <w:bookmarkEnd w:id="49"/>
      <w:bookmarkEnd w:id="50"/>
    </w:p>
    <w:p w14:paraId="49FCF522">
      <w:pPr>
        <w:pStyle w:val="4"/>
        <w:bidi w:val="0"/>
        <w:rPr>
          <w:rFonts w:hint="eastAsia"/>
          <w:color w:val="auto"/>
        </w:rPr>
      </w:pPr>
      <w:bookmarkStart w:id="51" w:name="_Toc30653"/>
      <w:bookmarkStart w:id="52" w:name="_Toc22258"/>
      <w:bookmarkStart w:id="53" w:name="_Toc15134"/>
      <w:bookmarkStart w:id="54" w:name="_Toc18711"/>
      <w:r>
        <w:rPr>
          <w:rFonts w:hint="eastAsia"/>
          <w:color w:val="auto"/>
        </w:rPr>
        <w:t>2.4.1</w:t>
      </w:r>
      <w:r>
        <w:rPr>
          <w:rFonts w:hint="eastAsia"/>
          <w:color w:val="auto"/>
          <w:lang w:val="en-US" w:eastAsia="zh-CN"/>
        </w:rPr>
        <w:t xml:space="preserve"> </w:t>
      </w:r>
      <w:r>
        <w:rPr>
          <w:rFonts w:hint="eastAsia"/>
          <w:color w:val="auto"/>
        </w:rPr>
        <w:t>站区地质</w:t>
      </w:r>
      <w:bookmarkEnd w:id="51"/>
      <w:bookmarkEnd w:id="52"/>
      <w:bookmarkEnd w:id="53"/>
      <w:bookmarkEnd w:id="54"/>
    </w:p>
    <w:p w14:paraId="10DADD8E">
      <w:pPr>
        <w:rPr>
          <w:rFonts w:hint="eastAsia"/>
          <w:color w:val="auto"/>
        </w:rPr>
      </w:pPr>
      <w:r>
        <w:rPr>
          <w:rFonts w:hint="eastAsia"/>
          <w:color w:val="auto"/>
          <w:lang w:eastAsia="zh-CN"/>
        </w:rPr>
        <w:t>本项目</w:t>
      </w:r>
      <w:r>
        <w:rPr>
          <w:rFonts w:hint="eastAsia"/>
          <w:color w:val="auto"/>
        </w:rPr>
        <w:t>位于华南加里东褶皱带，萍乐凹陷和泸水凹陷之间的武功山隆起区。区内出露的地层主要有震旦系老虎塘组厚层状棕色、青灰色变质砂岩，千枚状粉砂岩夹透镜状结晶灰岩、薄层状炭质板岩和第四系残积、冲积层。</w:t>
      </w:r>
    </w:p>
    <w:p w14:paraId="32C898C4">
      <w:pPr>
        <w:rPr>
          <w:rFonts w:hint="eastAsia"/>
          <w:color w:val="auto"/>
        </w:rPr>
      </w:pPr>
      <w:r>
        <w:rPr>
          <w:rFonts w:hint="eastAsia"/>
          <w:color w:val="auto"/>
        </w:rPr>
        <w:t>区内岩浆岩十分发育，主要为雅山花岗岩体，出露面积9.5km</w:t>
      </w:r>
      <w:r>
        <w:rPr>
          <w:rFonts w:hint="eastAsia"/>
          <w:color w:val="auto"/>
          <w:vertAlign w:val="superscript"/>
        </w:rPr>
        <w:t>2</w:t>
      </w:r>
      <w:r>
        <w:rPr>
          <w:rFonts w:hint="eastAsia"/>
          <w:color w:val="auto"/>
        </w:rPr>
        <w:t>，受北东和北西向两组断裂控制，呈北西向展布。岩体分相明显，从上到下，从边缘到中心，可分为细粒白云母花岗岩、中粒二云母花岗岩、中粗粒～粗粒黑云母花岗岩三组，各相呈渐变关系。细粒白云母花岗岩中钽、铌等稀有元素含量较高，为钽、铌赋存的主要岩相带。</w:t>
      </w:r>
    </w:p>
    <w:p w14:paraId="6751B0F6">
      <w:pPr>
        <w:pStyle w:val="4"/>
        <w:bidi w:val="0"/>
        <w:rPr>
          <w:rFonts w:hint="eastAsia"/>
          <w:color w:val="auto"/>
        </w:rPr>
      </w:pPr>
      <w:bookmarkStart w:id="55" w:name="_Toc2299"/>
      <w:bookmarkStart w:id="56" w:name="_Toc20835"/>
      <w:bookmarkStart w:id="57" w:name="_Toc24199"/>
      <w:bookmarkStart w:id="58" w:name="_Toc19266"/>
      <w:r>
        <w:rPr>
          <w:rFonts w:hint="eastAsia"/>
          <w:color w:val="auto"/>
        </w:rPr>
        <w:t>2.4.2</w:t>
      </w:r>
      <w:r>
        <w:rPr>
          <w:rFonts w:hint="eastAsia"/>
          <w:color w:val="auto"/>
          <w:lang w:val="en-US" w:eastAsia="zh-CN"/>
        </w:rPr>
        <w:t xml:space="preserve"> </w:t>
      </w:r>
      <w:r>
        <w:rPr>
          <w:rFonts w:hint="eastAsia"/>
          <w:color w:val="auto"/>
        </w:rPr>
        <w:t>气象条件</w:t>
      </w:r>
      <w:bookmarkEnd w:id="55"/>
      <w:bookmarkEnd w:id="56"/>
      <w:bookmarkEnd w:id="57"/>
      <w:bookmarkEnd w:id="58"/>
    </w:p>
    <w:p w14:paraId="62B94914">
      <w:pPr>
        <w:rPr>
          <w:rFonts w:hint="eastAsia"/>
          <w:color w:val="auto"/>
        </w:rPr>
      </w:pPr>
      <w:r>
        <w:rPr>
          <w:rFonts w:hint="eastAsia"/>
          <w:color w:val="auto"/>
          <w:lang w:eastAsia="zh-CN"/>
        </w:rPr>
        <w:t>本项目站址所在地</w:t>
      </w:r>
      <w:r>
        <w:rPr>
          <w:rFonts w:hint="eastAsia"/>
          <w:color w:val="auto"/>
        </w:rPr>
        <w:t>属东亚热带气候，温度潮湿，年平均气温22℃～24℃，日最高气温39.6℃，最低气温</w:t>
      </w:r>
      <w:r>
        <w:rPr>
          <w:rFonts w:hint="eastAsia" w:ascii="宋体" w:hAnsi="宋体" w:eastAsia="宋体" w:cs="宋体"/>
          <w:color w:val="auto"/>
        </w:rPr>
        <w:t>-</w:t>
      </w:r>
      <w:r>
        <w:rPr>
          <w:rFonts w:hint="eastAsia"/>
          <w:color w:val="auto"/>
        </w:rPr>
        <w:t>9.2℃。年平均雨天169天，年平均雪天8.8天，年平均雾天22天，年平均降雨量1347mm，历史最高洪水位为127m，全年主导风向为东风、东南风，夏季主导风向为西风</w:t>
      </w:r>
      <w:r>
        <w:rPr>
          <w:rFonts w:hint="eastAsia"/>
          <w:color w:val="auto"/>
          <w:lang w:eastAsia="zh-CN"/>
        </w:rPr>
        <w:t>，风速≥5.0m/s</w:t>
      </w:r>
      <w:r>
        <w:rPr>
          <w:rFonts w:hint="eastAsia"/>
          <w:color w:val="auto"/>
        </w:rPr>
        <w:t>。平均湿度为79%。</w:t>
      </w:r>
      <w:r>
        <w:rPr>
          <w:rFonts w:hint="eastAsia" w:ascii="宋体" w:hAnsi="宋体"/>
          <w:color w:val="auto"/>
          <w:sz w:val="28"/>
          <w:szCs w:val="28"/>
        </w:rPr>
        <w:t>年雷暴日</w:t>
      </w:r>
      <w:r>
        <w:rPr>
          <w:rFonts w:hint="eastAsia"/>
          <w:color w:val="auto"/>
          <w:sz w:val="28"/>
          <w:szCs w:val="28"/>
          <w:lang w:val="en-US" w:eastAsia="zh-CN"/>
        </w:rPr>
        <w:t>25</w:t>
      </w:r>
      <w:r>
        <w:rPr>
          <w:rFonts w:hint="eastAsia"/>
          <w:color w:val="auto"/>
          <w:sz w:val="28"/>
          <w:szCs w:val="28"/>
        </w:rPr>
        <w:t>d</w:t>
      </w:r>
      <w:r>
        <w:rPr>
          <w:rFonts w:hint="eastAsia" w:ascii="宋体" w:hAnsi="宋体"/>
          <w:color w:val="auto"/>
          <w:sz w:val="28"/>
          <w:szCs w:val="28"/>
        </w:rPr>
        <w:t>。</w:t>
      </w:r>
    </w:p>
    <w:p w14:paraId="001D678C">
      <w:pPr>
        <w:pStyle w:val="4"/>
        <w:bidi w:val="0"/>
        <w:rPr>
          <w:rFonts w:hint="eastAsia"/>
          <w:color w:val="auto"/>
        </w:rPr>
      </w:pPr>
      <w:bookmarkStart w:id="59" w:name="_Toc22913"/>
      <w:bookmarkStart w:id="60" w:name="_Toc12142"/>
      <w:bookmarkStart w:id="61" w:name="_Toc18688"/>
      <w:bookmarkStart w:id="62" w:name="_Toc4062"/>
      <w:r>
        <w:rPr>
          <w:rFonts w:hint="eastAsia"/>
          <w:color w:val="auto"/>
        </w:rPr>
        <w:t>2.4.3</w:t>
      </w:r>
      <w:r>
        <w:rPr>
          <w:rFonts w:hint="eastAsia"/>
          <w:color w:val="auto"/>
          <w:lang w:val="en-US" w:eastAsia="zh-CN"/>
        </w:rPr>
        <w:t xml:space="preserve"> </w:t>
      </w:r>
      <w:r>
        <w:rPr>
          <w:rFonts w:hint="eastAsia"/>
          <w:color w:val="auto"/>
        </w:rPr>
        <w:t>水文</w:t>
      </w:r>
      <w:bookmarkEnd w:id="59"/>
      <w:bookmarkEnd w:id="60"/>
      <w:bookmarkEnd w:id="61"/>
      <w:bookmarkEnd w:id="62"/>
    </w:p>
    <w:p w14:paraId="00709830">
      <w:pPr>
        <w:rPr>
          <w:rFonts w:hint="eastAsia"/>
          <w:color w:val="auto"/>
        </w:rPr>
      </w:pPr>
      <w:r>
        <w:rPr>
          <w:rFonts w:hint="eastAsia"/>
          <w:color w:val="auto"/>
          <w:lang w:eastAsia="zh-CN"/>
        </w:rPr>
        <w:t>本项目站址</w:t>
      </w:r>
      <w:r>
        <w:rPr>
          <w:rFonts w:hint="eastAsia"/>
          <w:color w:val="auto"/>
        </w:rPr>
        <w:t>处于中低山区分水岭地段，并于当地侵蚀基准面以上，无复杂的含水层覆盖，仅有含水性极弱的孔隙水和基岩裂隙潜水。</w:t>
      </w:r>
      <w:r>
        <w:rPr>
          <w:rFonts w:hint="eastAsia"/>
          <w:color w:val="auto"/>
          <w:lang w:val="en-US" w:eastAsia="zh-CN"/>
        </w:rPr>
        <w:t>站</w:t>
      </w:r>
      <w:r>
        <w:rPr>
          <w:rFonts w:hint="eastAsia"/>
          <w:color w:val="auto"/>
        </w:rPr>
        <w:t>区地形又极利于地表水和地下水的排泄</w:t>
      </w:r>
      <w:r>
        <w:rPr>
          <w:rFonts w:hint="eastAsia"/>
          <w:color w:val="auto"/>
          <w:lang w:eastAsia="zh-CN"/>
        </w:rPr>
        <w:t>，</w:t>
      </w:r>
      <w:r>
        <w:rPr>
          <w:rFonts w:hint="eastAsia"/>
          <w:color w:val="auto"/>
        </w:rPr>
        <w:t>水文地质条件极其简单。</w:t>
      </w:r>
    </w:p>
    <w:p w14:paraId="683CC89C">
      <w:pPr>
        <w:pStyle w:val="4"/>
        <w:bidi w:val="0"/>
        <w:rPr>
          <w:rFonts w:hint="eastAsia"/>
          <w:color w:val="auto"/>
        </w:rPr>
      </w:pPr>
      <w:bookmarkStart w:id="63" w:name="_Toc30161"/>
      <w:bookmarkStart w:id="64" w:name="_Toc26625"/>
      <w:bookmarkStart w:id="65" w:name="_Toc12703"/>
      <w:bookmarkStart w:id="66" w:name="_Toc27490"/>
      <w:r>
        <w:rPr>
          <w:rFonts w:hint="eastAsia"/>
          <w:color w:val="auto"/>
        </w:rPr>
        <w:t>2.4.4</w:t>
      </w:r>
      <w:r>
        <w:rPr>
          <w:rFonts w:hint="eastAsia"/>
          <w:color w:val="auto"/>
          <w:lang w:val="en-US" w:eastAsia="zh-CN"/>
        </w:rPr>
        <w:t xml:space="preserve"> </w:t>
      </w:r>
      <w:r>
        <w:rPr>
          <w:rFonts w:hint="eastAsia"/>
          <w:color w:val="auto"/>
        </w:rPr>
        <w:t>地震烈度</w:t>
      </w:r>
      <w:bookmarkEnd w:id="63"/>
      <w:bookmarkEnd w:id="64"/>
      <w:bookmarkEnd w:id="65"/>
      <w:bookmarkEnd w:id="66"/>
    </w:p>
    <w:p w14:paraId="062B3C3C">
      <w:pPr>
        <w:rPr>
          <w:rFonts w:hint="eastAsia"/>
          <w:color w:val="auto"/>
        </w:rPr>
      </w:pPr>
      <w:r>
        <w:rPr>
          <w:rFonts w:hint="eastAsia"/>
          <w:color w:val="auto"/>
        </w:rPr>
        <w:t>根据《建筑抗震设计标准</w:t>
      </w:r>
      <w:r>
        <w:rPr>
          <w:rFonts w:hint="eastAsia"/>
          <w:color w:val="auto"/>
          <w:lang w:eastAsia="zh-CN"/>
        </w:rPr>
        <w:t>（</w:t>
      </w:r>
      <w:r>
        <w:rPr>
          <w:rFonts w:hint="eastAsia"/>
          <w:color w:val="auto"/>
          <w:lang w:val="en-US" w:eastAsia="zh-CN"/>
        </w:rPr>
        <w:t>2024版</w:t>
      </w:r>
      <w:r>
        <w:rPr>
          <w:rFonts w:hint="eastAsia"/>
          <w:color w:val="auto"/>
          <w:lang w:eastAsia="zh-CN"/>
        </w:rPr>
        <w:t>）</w:t>
      </w:r>
      <w:r>
        <w:rPr>
          <w:rFonts w:hint="eastAsia"/>
          <w:color w:val="auto"/>
        </w:rPr>
        <w:t>》（GB50011-2010）和参考《中国地震动参数区划图》（GB18306-2015），</w:t>
      </w:r>
      <w:r>
        <w:rPr>
          <w:rFonts w:hint="eastAsia"/>
          <w:color w:val="auto"/>
          <w:lang w:val="en-US" w:eastAsia="zh-CN"/>
        </w:rPr>
        <w:t>站区</w:t>
      </w:r>
      <w:r>
        <w:rPr>
          <w:rFonts w:hint="eastAsia"/>
          <w:color w:val="auto"/>
        </w:rPr>
        <w:t>地震烈度Ⅵ度，地震动反应谱特征周期0.35s，地震动峰值加速度0.05g，设计地震分组为第一组。属区域构造稳定区，建筑场地为建筑抗震一般地段。</w:t>
      </w:r>
    </w:p>
    <w:p w14:paraId="1C70BD61">
      <w:pPr>
        <w:pStyle w:val="4"/>
        <w:bidi w:val="0"/>
        <w:rPr>
          <w:rFonts w:hint="eastAsia"/>
          <w:color w:val="auto"/>
        </w:rPr>
      </w:pPr>
      <w:bookmarkStart w:id="67" w:name="_Toc31700"/>
      <w:bookmarkStart w:id="68" w:name="_Toc890"/>
      <w:bookmarkStart w:id="69" w:name="_Toc15506"/>
      <w:bookmarkStart w:id="70" w:name="_Toc19252"/>
      <w:r>
        <w:rPr>
          <w:rFonts w:hint="eastAsia"/>
          <w:color w:val="auto"/>
        </w:rPr>
        <w:t>2.4.5</w:t>
      </w:r>
      <w:r>
        <w:rPr>
          <w:rFonts w:hint="eastAsia"/>
          <w:color w:val="auto"/>
          <w:lang w:val="en-US" w:eastAsia="zh-CN"/>
        </w:rPr>
        <w:t xml:space="preserve"> </w:t>
      </w:r>
      <w:r>
        <w:rPr>
          <w:rFonts w:hint="eastAsia"/>
          <w:color w:val="auto"/>
        </w:rPr>
        <w:t>交通运输</w:t>
      </w:r>
      <w:bookmarkEnd w:id="67"/>
      <w:bookmarkEnd w:id="68"/>
      <w:bookmarkEnd w:id="69"/>
      <w:bookmarkEnd w:id="70"/>
    </w:p>
    <w:p w14:paraId="5FFEB65E">
      <w:pPr>
        <w:rPr>
          <w:rFonts w:hint="eastAsia"/>
          <w:color w:val="auto"/>
        </w:rPr>
      </w:pPr>
      <w:r>
        <w:rPr>
          <w:rFonts w:hint="eastAsia"/>
          <w:color w:val="auto"/>
          <w:lang w:eastAsia="zh-CN"/>
        </w:rPr>
        <w:t>本项目</w:t>
      </w:r>
      <w:r>
        <w:rPr>
          <w:rFonts w:hint="eastAsia"/>
          <w:color w:val="auto"/>
        </w:rPr>
        <w:t>依靠车辆与矿区运输道路直接通行，交通条件十分便利。</w:t>
      </w:r>
    </w:p>
    <w:p w14:paraId="697E5A54">
      <w:pPr>
        <w:keepNext/>
        <w:keepLines/>
        <w:widowControl w:val="0"/>
        <w:bidi w:val="0"/>
        <w:spacing w:line="360" w:lineRule="auto"/>
        <w:ind w:left="280" w:leftChars="100" w:firstLine="0" w:firstLineChars="0"/>
        <w:jc w:val="both"/>
        <w:outlineLvl w:val="1"/>
        <w:rPr>
          <w:rFonts w:hint="eastAsia" w:ascii="Times New Roman" w:hAnsi="Times New Roman" w:eastAsia="黑体" w:cs="Times New Roman"/>
          <w:b/>
          <w:bCs/>
          <w:color w:val="auto"/>
          <w:sz w:val="30"/>
          <w:szCs w:val="32"/>
          <w:lang w:val="en-US" w:eastAsia="zh-CN" w:bidi="ar-SA"/>
        </w:rPr>
      </w:pPr>
      <w:bookmarkStart w:id="71" w:name="_Toc26968"/>
      <w:bookmarkStart w:id="72" w:name="_Toc30717"/>
      <w:bookmarkStart w:id="73" w:name="_Toc2190"/>
      <w:bookmarkStart w:id="74" w:name="_Toc1851"/>
      <w:r>
        <w:rPr>
          <w:rFonts w:hint="eastAsia" w:ascii="Times New Roman" w:hAnsi="Times New Roman" w:eastAsia="黑体" w:cs="Times New Roman"/>
          <w:b/>
          <w:bCs/>
          <w:color w:val="auto"/>
          <w:sz w:val="30"/>
          <w:szCs w:val="32"/>
          <w:lang w:val="en-US" w:eastAsia="zh-CN" w:bidi="ar-SA"/>
        </w:rPr>
        <w:t>2.5 总平面布置</w:t>
      </w:r>
      <w:bookmarkEnd w:id="71"/>
      <w:bookmarkEnd w:id="72"/>
      <w:bookmarkEnd w:id="73"/>
      <w:bookmarkEnd w:id="74"/>
    </w:p>
    <w:p w14:paraId="136AF1D7">
      <w:pPr>
        <w:bidi w:val="0"/>
        <w:rPr>
          <w:rFonts w:hint="eastAsia" w:ascii="Times New Roman" w:hAnsi="Times New Roman" w:eastAsia="宋体" w:cs="Times New Roman"/>
          <w:b/>
          <w:bCs/>
          <w:color w:val="auto"/>
          <w:lang w:eastAsia="zh-CN"/>
        </w:rPr>
      </w:pPr>
      <w:r>
        <w:rPr>
          <w:rFonts w:hint="eastAsia" w:ascii="Times New Roman" w:hAnsi="Times New Roman" w:eastAsia="宋体" w:cs="Times New Roman"/>
          <w:b/>
          <w:bCs/>
          <w:color w:val="auto"/>
          <w:lang w:val="en-US" w:eastAsia="zh-CN"/>
        </w:rPr>
        <w:t>一、</w:t>
      </w:r>
      <w:r>
        <w:rPr>
          <w:rFonts w:hint="eastAsia" w:ascii="Times New Roman" w:hAnsi="Times New Roman" w:eastAsia="宋体" w:cs="Times New Roman"/>
          <w:b/>
          <w:bCs/>
          <w:color w:val="auto"/>
          <w:lang w:eastAsia="zh-CN"/>
        </w:rPr>
        <w:t>采矿场撬装加油站</w:t>
      </w:r>
    </w:p>
    <w:p w14:paraId="22E89342">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将原有房屋及加油机拆除，新建1座50m</w:t>
      </w:r>
      <w:r>
        <w:rPr>
          <w:rFonts w:hint="eastAsia" w:cs="Times New Roman"/>
          <w:color w:val="auto"/>
          <w:vertAlign w:val="superscript"/>
          <w:lang w:val="en-US" w:eastAsia="zh-CN"/>
        </w:rPr>
        <w:t>3</w:t>
      </w:r>
      <w:r>
        <w:rPr>
          <w:rFonts w:hint="default" w:ascii="Times New Roman" w:hAnsi="Times New Roman" w:eastAsia="宋体" w:cs="Times New Roman"/>
          <w:color w:val="auto"/>
          <w:lang w:val="en-US" w:eastAsia="zh-CN"/>
        </w:rPr>
        <w:t>柴油地上撬装加油机，新建25m</w:t>
      </w:r>
      <w:r>
        <w:rPr>
          <w:rFonts w:hint="eastAsia" w:cs="Times New Roman"/>
          <w:color w:val="auto"/>
          <w:vertAlign w:val="superscript"/>
          <w:lang w:val="en-US" w:eastAsia="zh-CN"/>
        </w:rPr>
        <w:t>3</w:t>
      </w:r>
      <w:r>
        <w:rPr>
          <w:rFonts w:hint="default" w:ascii="Times New Roman" w:hAnsi="Times New Roman" w:eastAsia="宋体" w:cs="Times New Roman"/>
          <w:color w:val="auto"/>
          <w:lang w:val="en-US" w:eastAsia="zh-CN"/>
        </w:rPr>
        <w:t>漏油收集池，利旧原有值班</w:t>
      </w:r>
      <w:r>
        <w:rPr>
          <w:rFonts w:hint="eastAsia" w:cs="Times New Roman"/>
          <w:color w:val="auto"/>
          <w:lang w:val="en-US" w:eastAsia="zh-CN"/>
        </w:rPr>
        <w:t>室</w:t>
      </w:r>
      <w:r>
        <w:rPr>
          <w:rFonts w:hint="default" w:ascii="Times New Roman" w:hAnsi="Times New Roman" w:eastAsia="宋体" w:cs="Times New Roman"/>
          <w:color w:val="auto"/>
          <w:lang w:val="en-US" w:eastAsia="zh-CN"/>
        </w:rPr>
        <w:t>。</w:t>
      </w:r>
    </w:p>
    <w:p w14:paraId="36886231">
      <w:pPr>
        <w:bidi w:val="0"/>
        <w:rPr>
          <w:rFonts w:hint="default" w:ascii="Times New Roman" w:hAnsi="Times New Roman" w:eastAsia="宋体" w:cs="Times New Roman"/>
          <w:color w:val="auto"/>
          <w:lang w:val="en-US" w:eastAsia="zh-CN"/>
        </w:rPr>
      </w:pPr>
      <w:r>
        <w:rPr>
          <w:rFonts w:hint="eastAsia" w:cs="Times New Roman"/>
          <w:color w:val="auto"/>
          <w:lang w:val="en-US" w:eastAsia="zh-CN"/>
        </w:rPr>
        <w:t>本项目</w:t>
      </w:r>
      <w:r>
        <w:rPr>
          <w:rFonts w:hint="default" w:ascii="Times New Roman" w:hAnsi="Times New Roman" w:eastAsia="宋体" w:cs="Times New Roman"/>
          <w:color w:val="auto"/>
          <w:lang w:val="en-US" w:eastAsia="zh-CN"/>
        </w:rPr>
        <w:t>橇装装置东侧靠矿山运输道路</w:t>
      </w:r>
      <w:r>
        <w:rPr>
          <w:rFonts w:hint="eastAsia" w:cs="Times New Roman"/>
          <w:color w:val="auto"/>
          <w:lang w:val="en-US" w:eastAsia="zh-CN"/>
        </w:rPr>
        <w:t>留有5m</w:t>
      </w:r>
      <w:r>
        <w:rPr>
          <w:rFonts w:hint="default" w:ascii="Times New Roman" w:hAnsi="Times New Roman" w:eastAsia="宋体" w:cs="Times New Roman"/>
          <w:color w:val="auto"/>
          <w:lang w:val="en-US" w:eastAsia="zh-CN"/>
        </w:rPr>
        <w:t>设置车辆的进出入口，原有排水沟改承重排水沟两端衔接顺畅。</w:t>
      </w:r>
    </w:p>
    <w:p w14:paraId="418D300F">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橇装装置</w:t>
      </w:r>
      <w:r>
        <w:rPr>
          <w:rFonts w:hint="eastAsia" w:cs="Times New Roman"/>
          <w:color w:val="auto"/>
          <w:lang w:val="en-US" w:eastAsia="zh-CN"/>
        </w:rPr>
        <w:t>南侧及西侧为山体，新建挡墙、预制块场坪</w:t>
      </w:r>
      <w:r>
        <w:rPr>
          <w:rFonts w:hint="default" w:ascii="Times New Roman" w:hAnsi="Times New Roman" w:eastAsia="宋体" w:cs="Times New Roman"/>
          <w:color w:val="auto"/>
          <w:lang w:val="en-US" w:eastAsia="zh-CN"/>
        </w:rPr>
        <w:t>，</w:t>
      </w:r>
      <w:r>
        <w:rPr>
          <w:rFonts w:hint="eastAsia" w:cs="Times New Roman"/>
          <w:color w:val="auto"/>
          <w:lang w:val="en-US" w:eastAsia="zh-CN"/>
        </w:rPr>
        <w:t>北侧距离密闭漏油收集池4.5m</w:t>
      </w:r>
      <w:r>
        <w:rPr>
          <w:rFonts w:hint="default" w:ascii="Times New Roman" w:hAnsi="Times New Roman" w:eastAsia="宋体" w:cs="Times New Roman"/>
          <w:color w:val="auto"/>
          <w:lang w:val="en-US" w:eastAsia="zh-CN"/>
        </w:rPr>
        <w:t>，东侧</w:t>
      </w:r>
      <w:r>
        <w:rPr>
          <w:rFonts w:hint="eastAsia" w:cs="Times New Roman"/>
          <w:color w:val="auto"/>
          <w:lang w:val="en-US" w:eastAsia="zh-CN"/>
        </w:rPr>
        <w:t>距离矿山</w:t>
      </w:r>
      <w:r>
        <w:rPr>
          <w:rFonts w:hint="default" w:ascii="Times New Roman" w:hAnsi="Times New Roman" w:eastAsia="宋体" w:cs="Times New Roman"/>
          <w:color w:val="auto"/>
          <w:lang w:val="en-US" w:eastAsia="zh-CN"/>
        </w:rPr>
        <w:t>运输道路</w:t>
      </w:r>
      <w:r>
        <w:rPr>
          <w:rFonts w:hint="eastAsia" w:cs="Times New Roman"/>
          <w:color w:val="auto"/>
          <w:lang w:val="en-US" w:eastAsia="zh-CN"/>
        </w:rPr>
        <w:t>5m，</w:t>
      </w:r>
      <w:r>
        <w:rPr>
          <w:rFonts w:hint="default" w:ascii="Times New Roman" w:hAnsi="Times New Roman" w:eastAsia="宋体" w:cs="Times New Roman"/>
          <w:color w:val="auto"/>
          <w:lang w:val="en-US" w:eastAsia="zh-CN"/>
        </w:rPr>
        <w:t>矿山运输道路旁存在架空电力线路和架空通讯线路，架空电力线路杆高9m，架空通讯线路杆高7m，间距均为16m。</w:t>
      </w:r>
    </w:p>
    <w:p w14:paraId="3BB89584">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橇装装置的四周拟设置防渗围堰，同时在装置北侧设置一个2</w:t>
      </w:r>
      <w:r>
        <w:rPr>
          <w:rFonts w:hint="eastAsia" w:cs="Times New Roman"/>
          <w:color w:val="auto"/>
          <w:lang w:val="en-US" w:eastAsia="zh-CN"/>
        </w:rPr>
        <w:t>5</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的漏油收集池，以防止发生油品泄露外溢情况时对周边造成污染或重大影响。</w:t>
      </w:r>
    </w:p>
    <w:p w14:paraId="5D72B64A">
      <w:pPr>
        <w:bidi w:val="0"/>
        <w:rPr>
          <w:rFonts w:hint="eastAsia" w:ascii="Times New Roman" w:hAnsi="Times New Roman" w:eastAsia="宋体" w:cs="Times New Roman"/>
          <w:b/>
          <w:bCs/>
          <w:color w:val="auto"/>
          <w:lang w:eastAsia="zh-CN"/>
        </w:rPr>
      </w:pPr>
      <w:r>
        <w:rPr>
          <w:rFonts w:hint="eastAsia" w:ascii="Times New Roman" w:hAnsi="Times New Roman" w:eastAsia="宋体" w:cs="Times New Roman"/>
          <w:b/>
          <w:bCs/>
          <w:color w:val="auto"/>
          <w:lang w:val="en-US" w:eastAsia="zh-CN"/>
        </w:rPr>
        <w:t>二、</w:t>
      </w:r>
      <w:r>
        <w:rPr>
          <w:rFonts w:hint="eastAsia" w:ascii="Times New Roman" w:hAnsi="Times New Roman" w:eastAsia="宋体" w:cs="Times New Roman"/>
          <w:b/>
          <w:bCs/>
          <w:color w:val="auto"/>
          <w:lang w:eastAsia="zh-CN"/>
        </w:rPr>
        <w:t>汽车队撬装加油站</w:t>
      </w:r>
    </w:p>
    <w:p w14:paraId="5BAA6C2D">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将加油区原有房屋及加油机拆除，新建1座50m</w:t>
      </w:r>
      <w:r>
        <w:rPr>
          <w:rFonts w:hint="eastAsia" w:cs="Times New Roman"/>
          <w:color w:val="auto"/>
          <w:vertAlign w:val="superscript"/>
          <w:lang w:val="en-US" w:eastAsia="zh-CN"/>
        </w:rPr>
        <w:t>3</w:t>
      </w:r>
      <w:r>
        <w:rPr>
          <w:rFonts w:hint="default" w:ascii="Times New Roman" w:hAnsi="Times New Roman" w:eastAsia="宋体" w:cs="Times New Roman"/>
          <w:color w:val="auto"/>
          <w:lang w:val="en-US" w:eastAsia="zh-CN"/>
        </w:rPr>
        <w:t>柴油地上撬装加油机，新建25m</w:t>
      </w:r>
      <w:r>
        <w:rPr>
          <w:rFonts w:hint="eastAsia" w:cs="Times New Roman"/>
          <w:color w:val="auto"/>
          <w:vertAlign w:val="superscript"/>
          <w:lang w:val="en-US" w:eastAsia="zh-CN"/>
        </w:rPr>
        <w:t>3</w:t>
      </w:r>
      <w:r>
        <w:rPr>
          <w:rFonts w:hint="default" w:ascii="Times New Roman" w:hAnsi="Times New Roman" w:eastAsia="宋体" w:cs="Times New Roman"/>
          <w:color w:val="auto"/>
          <w:lang w:val="en-US" w:eastAsia="zh-CN"/>
        </w:rPr>
        <w:t>漏油收集池</w:t>
      </w:r>
      <w:r>
        <w:rPr>
          <w:rFonts w:hint="eastAsia" w:cs="Times New Roman"/>
          <w:color w:val="auto"/>
          <w:lang w:val="en-US" w:eastAsia="zh-CN"/>
        </w:rPr>
        <w:t>；</w:t>
      </w:r>
      <w:r>
        <w:rPr>
          <w:rFonts w:hint="default" w:ascii="Times New Roman" w:hAnsi="Times New Roman" w:eastAsia="宋体" w:cs="Times New Roman"/>
          <w:color w:val="auto"/>
          <w:lang w:val="en-US" w:eastAsia="zh-CN"/>
        </w:rPr>
        <w:t>新建1座18m</w:t>
      </w:r>
      <w:r>
        <w:rPr>
          <w:rFonts w:hint="eastAsia" w:cs="Times New Roman"/>
          <w:color w:val="auto"/>
          <w:vertAlign w:val="superscript"/>
          <w:lang w:val="en-US" w:eastAsia="zh-CN"/>
        </w:rPr>
        <w:t>2</w:t>
      </w:r>
      <w:r>
        <w:rPr>
          <w:rFonts w:hint="default" w:ascii="Times New Roman" w:hAnsi="Times New Roman" w:eastAsia="宋体" w:cs="Times New Roman"/>
          <w:color w:val="auto"/>
          <w:lang w:val="en-US" w:eastAsia="zh-CN"/>
        </w:rPr>
        <w:t>成品站房用于值班等。</w:t>
      </w:r>
    </w:p>
    <w:p w14:paraId="1068AF31">
      <w:pPr>
        <w:bidi w:val="0"/>
        <w:rPr>
          <w:rFonts w:hint="default" w:ascii="Times New Roman" w:hAnsi="Times New Roman" w:eastAsia="宋体" w:cs="Times New Roman"/>
          <w:color w:val="auto"/>
          <w:lang w:val="en-US" w:eastAsia="zh-CN"/>
        </w:rPr>
      </w:pPr>
      <w:r>
        <w:rPr>
          <w:rFonts w:hint="eastAsia" w:cs="Times New Roman"/>
          <w:color w:val="auto"/>
          <w:lang w:val="en-US" w:eastAsia="zh-CN"/>
        </w:rPr>
        <w:t>本项目</w:t>
      </w:r>
      <w:r>
        <w:rPr>
          <w:rFonts w:hint="default" w:ascii="Times New Roman" w:hAnsi="Times New Roman" w:eastAsia="宋体" w:cs="Times New Roman"/>
          <w:color w:val="auto"/>
          <w:lang w:val="en-US" w:eastAsia="zh-CN"/>
        </w:rPr>
        <w:t>橇装装置东侧靠矿山运输道路</w:t>
      </w:r>
      <w:r>
        <w:rPr>
          <w:rFonts w:hint="eastAsia" w:cs="Times New Roman"/>
          <w:color w:val="auto"/>
          <w:lang w:val="en-US" w:eastAsia="zh-CN"/>
        </w:rPr>
        <w:t>留有6.01m</w:t>
      </w:r>
      <w:r>
        <w:rPr>
          <w:rFonts w:hint="default" w:ascii="Times New Roman" w:hAnsi="Times New Roman" w:eastAsia="宋体" w:cs="Times New Roman"/>
          <w:color w:val="auto"/>
          <w:lang w:val="en-US" w:eastAsia="zh-CN"/>
        </w:rPr>
        <w:t>设置车辆的进出入口，围墙拆除修建道路上下衔接顺畅。</w:t>
      </w:r>
    </w:p>
    <w:p w14:paraId="249B820C">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橇装装置</w:t>
      </w:r>
      <w:r>
        <w:rPr>
          <w:rFonts w:hint="eastAsia" w:cs="Times New Roman"/>
          <w:color w:val="auto"/>
          <w:lang w:val="en-US" w:eastAsia="zh-CN"/>
        </w:rPr>
        <w:t>西侧为山体</w:t>
      </w:r>
      <w:r>
        <w:rPr>
          <w:rFonts w:hint="default" w:ascii="Times New Roman" w:hAnsi="Times New Roman" w:eastAsia="宋体" w:cs="Times New Roman"/>
          <w:color w:val="auto"/>
          <w:lang w:val="en-US" w:eastAsia="zh-CN"/>
        </w:rPr>
        <w:t>，</w:t>
      </w:r>
      <w:r>
        <w:rPr>
          <w:rFonts w:hint="eastAsia" w:cs="Times New Roman"/>
          <w:color w:val="auto"/>
          <w:lang w:val="en-US" w:eastAsia="zh-CN"/>
        </w:rPr>
        <w:t>西侧及南侧</w:t>
      </w:r>
      <w:r>
        <w:rPr>
          <w:rFonts w:hint="default" w:ascii="Times New Roman" w:hAnsi="Times New Roman" w:eastAsia="宋体" w:cs="Times New Roman"/>
          <w:color w:val="auto"/>
          <w:lang w:val="en-US" w:eastAsia="zh-CN"/>
        </w:rPr>
        <w:t>新建实体围墙基础为挡土墙</w:t>
      </w:r>
      <w:r>
        <w:rPr>
          <w:rFonts w:hint="eastAsia" w:cs="Times New Roman"/>
          <w:color w:val="auto"/>
          <w:lang w:val="en-US" w:eastAsia="zh-CN"/>
        </w:rPr>
        <w:t>，北侧距离密闭漏油收集池2.6m</w:t>
      </w:r>
      <w:r>
        <w:rPr>
          <w:rFonts w:hint="default" w:ascii="Times New Roman" w:hAnsi="Times New Roman" w:eastAsia="宋体" w:cs="Times New Roman"/>
          <w:color w:val="auto"/>
          <w:lang w:val="en-US" w:eastAsia="zh-CN"/>
        </w:rPr>
        <w:t>，</w:t>
      </w:r>
      <w:r>
        <w:rPr>
          <w:rFonts w:hint="eastAsia" w:cs="Times New Roman"/>
          <w:color w:val="auto"/>
          <w:lang w:val="en-US" w:eastAsia="zh-CN"/>
        </w:rPr>
        <w:t>南侧距离站房3.6m，</w:t>
      </w:r>
      <w:r>
        <w:rPr>
          <w:rFonts w:hint="default" w:ascii="Times New Roman" w:hAnsi="Times New Roman" w:eastAsia="宋体" w:cs="Times New Roman"/>
          <w:color w:val="auto"/>
          <w:lang w:val="en-US" w:eastAsia="zh-CN"/>
        </w:rPr>
        <w:t>东侧</w:t>
      </w:r>
      <w:r>
        <w:rPr>
          <w:rFonts w:hint="eastAsia" w:cs="Times New Roman"/>
          <w:color w:val="auto"/>
          <w:lang w:val="en-US" w:eastAsia="zh-CN"/>
        </w:rPr>
        <w:t>距离</w:t>
      </w:r>
      <w:r>
        <w:rPr>
          <w:rFonts w:hint="default" w:ascii="Times New Roman" w:hAnsi="Times New Roman" w:eastAsia="宋体" w:cs="Times New Roman"/>
          <w:color w:val="auto"/>
          <w:lang w:val="en-US" w:eastAsia="zh-CN"/>
        </w:rPr>
        <w:t>矿山运输道路旁</w:t>
      </w:r>
      <w:r>
        <w:rPr>
          <w:rFonts w:hint="eastAsia" w:cs="Times New Roman"/>
          <w:color w:val="auto"/>
          <w:lang w:val="en-US" w:eastAsia="zh-CN"/>
        </w:rPr>
        <w:t>围栏6.01m</w:t>
      </w:r>
      <w:r>
        <w:rPr>
          <w:rFonts w:hint="default" w:ascii="Times New Roman" w:hAnsi="Times New Roman" w:eastAsia="宋体" w:cs="Times New Roman"/>
          <w:color w:val="auto"/>
          <w:lang w:val="en-US" w:eastAsia="zh-CN"/>
        </w:rPr>
        <w:t>。</w:t>
      </w:r>
    </w:p>
    <w:p w14:paraId="27FA6D66">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橇装装置的四周拟设置防渗围堰，同时在装置北侧设置一个2</w:t>
      </w:r>
      <w:r>
        <w:rPr>
          <w:rFonts w:hint="eastAsia" w:cs="Times New Roman"/>
          <w:color w:val="auto"/>
          <w:lang w:val="en-US" w:eastAsia="zh-CN"/>
        </w:rPr>
        <w:t>5</w:t>
      </w:r>
      <w:r>
        <w:rPr>
          <w:rFonts w:hint="default" w:ascii="Times New Roman" w:hAnsi="Times New Roman" w:eastAsia="宋体" w:cs="Times New Roman"/>
          <w:color w:val="auto"/>
          <w:lang w:val="en-US" w:eastAsia="zh-CN"/>
        </w:rPr>
        <w:t>m</w:t>
      </w:r>
      <w:r>
        <w:rPr>
          <w:rFonts w:hint="default" w:ascii="Times New Roman" w:hAnsi="Times New Roman" w:eastAsia="宋体" w:cs="Times New Roman"/>
          <w:color w:val="auto"/>
          <w:vertAlign w:val="superscript"/>
          <w:lang w:val="en-US" w:eastAsia="zh-CN"/>
        </w:rPr>
        <w:t>3</w:t>
      </w:r>
      <w:r>
        <w:rPr>
          <w:rFonts w:hint="default" w:ascii="Times New Roman" w:hAnsi="Times New Roman" w:eastAsia="宋体" w:cs="Times New Roman"/>
          <w:color w:val="auto"/>
          <w:lang w:val="en-US" w:eastAsia="zh-CN"/>
        </w:rPr>
        <w:t>的漏油收集池，以防止发生油品泄露外溢情况时对周边造成污染或重大影响。</w:t>
      </w:r>
    </w:p>
    <w:p w14:paraId="74B9491A">
      <w:pPr>
        <w:pStyle w:val="3"/>
        <w:bidi w:val="0"/>
        <w:rPr>
          <w:rFonts w:hint="default"/>
          <w:color w:val="auto"/>
          <w:lang w:val="en-US" w:eastAsia="zh-CN"/>
        </w:rPr>
      </w:pPr>
      <w:bookmarkStart w:id="75" w:name="_Toc29707"/>
      <w:r>
        <w:rPr>
          <w:rFonts w:hint="eastAsia"/>
          <w:color w:val="auto"/>
          <w:lang w:val="en-US" w:eastAsia="zh-CN"/>
        </w:rPr>
        <w:t xml:space="preserve">2.6 </w:t>
      </w:r>
      <w:r>
        <w:rPr>
          <w:rFonts w:hint="default"/>
          <w:color w:val="auto"/>
          <w:lang w:val="en-US" w:eastAsia="zh-CN"/>
        </w:rPr>
        <w:t>主要设备</w:t>
      </w:r>
      <w:bookmarkEnd w:id="75"/>
    </w:p>
    <w:p w14:paraId="4D602374">
      <w:pPr>
        <w:rPr>
          <w:rFonts w:hint="default"/>
          <w:color w:val="auto"/>
          <w:lang w:val="en-US" w:eastAsia="zh-CN"/>
        </w:rPr>
      </w:pPr>
      <w:r>
        <w:rPr>
          <w:rFonts w:hint="eastAsia"/>
          <w:color w:val="auto"/>
          <w:lang w:val="en-US" w:eastAsia="zh-CN"/>
        </w:rPr>
        <w:t>本项目</w:t>
      </w:r>
      <w:r>
        <w:rPr>
          <w:rFonts w:hint="default"/>
          <w:color w:val="auto"/>
          <w:lang w:val="en-US" w:eastAsia="zh-CN"/>
        </w:rPr>
        <w:t>的橇装加油装置</w:t>
      </w:r>
      <w:r>
        <w:rPr>
          <w:rFonts w:hint="eastAsia"/>
          <w:color w:val="auto"/>
          <w:lang w:val="en-US" w:eastAsia="zh-CN"/>
        </w:rPr>
        <w:t>均</w:t>
      </w:r>
      <w:r>
        <w:rPr>
          <w:rFonts w:hint="default"/>
          <w:color w:val="auto"/>
          <w:lang w:val="en-US" w:eastAsia="zh-CN"/>
        </w:rPr>
        <w:t>为</w:t>
      </w:r>
      <w:r>
        <w:rPr>
          <w:rFonts w:hint="eastAsia"/>
          <w:color w:val="auto"/>
          <w:lang w:val="en-US" w:eastAsia="zh-CN"/>
        </w:rPr>
        <w:t>5</w:t>
      </w:r>
      <w:r>
        <w:rPr>
          <w:rFonts w:hint="default"/>
          <w:color w:val="auto"/>
          <w:lang w:val="en-US" w:eastAsia="zh-CN"/>
        </w:rPr>
        <w:t>0m</w:t>
      </w:r>
      <w:r>
        <w:rPr>
          <w:rFonts w:hint="default"/>
          <w:color w:val="auto"/>
          <w:vertAlign w:val="superscript"/>
          <w:lang w:val="en-US" w:eastAsia="zh-CN"/>
        </w:rPr>
        <w:t>3</w:t>
      </w:r>
      <w:r>
        <w:rPr>
          <w:rFonts w:hint="default"/>
          <w:color w:val="auto"/>
          <w:lang w:val="en-US" w:eastAsia="zh-CN"/>
        </w:rPr>
        <w:t>阻隔防爆橇装柴油加油装置，配套</w:t>
      </w:r>
      <w:r>
        <w:rPr>
          <w:rFonts w:hint="eastAsia"/>
          <w:color w:val="auto"/>
          <w:lang w:val="en-US" w:eastAsia="zh-CN"/>
        </w:rPr>
        <w:t>单</w:t>
      </w:r>
      <w:r>
        <w:rPr>
          <w:rFonts w:hint="default"/>
          <w:color w:val="auto"/>
          <w:lang w:val="en-US" w:eastAsia="zh-CN"/>
        </w:rPr>
        <w:t>枪柴油加油机</w:t>
      </w:r>
      <w:r>
        <w:rPr>
          <w:rFonts w:hint="eastAsia"/>
          <w:color w:val="auto"/>
          <w:lang w:val="en-US" w:eastAsia="zh-CN"/>
        </w:rPr>
        <w:t>1</w:t>
      </w:r>
      <w:r>
        <w:rPr>
          <w:rFonts w:hint="default"/>
          <w:color w:val="auto"/>
          <w:lang w:val="en-US" w:eastAsia="zh-CN"/>
        </w:rPr>
        <w:t>台。</w:t>
      </w:r>
    </w:p>
    <w:p w14:paraId="4622A17F">
      <w:pPr>
        <w:rPr>
          <w:rFonts w:hint="default"/>
          <w:color w:val="auto"/>
          <w:lang w:val="en-US" w:eastAsia="zh-CN"/>
        </w:rPr>
      </w:pPr>
      <w:r>
        <w:rPr>
          <w:rFonts w:hint="eastAsia"/>
          <w:color w:val="auto"/>
          <w:lang w:val="en-US" w:eastAsia="zh-CN"/>
        </w:rPr>
        <w:t>本次评价企业未提供橇装加油装置设备明细表、规格型号、油罐分隔仓设置情况。</w:t>
      </w:r>
    </w:p>
    <w:p w14:paraId="6CD75797">
      <w:pPr>
        <w:pStyle w:val="4"/>
        <w:bidi w:val="0"/>
        <w:rPr>
          <w:rFonts w:hint="eastAsia"/>
          <w:color w:val="auto"/>
        </w:rPr>
      </w:pPr>
      <w:bookmarkStart w:id="76" w:name="_Toc28879"/>
      <w:r>
        <w:rPr>
          <w:rFonts w:hint="eastAsia"/>
          <w:color w:val="auto"/>
          <w:lang w:val="en-US" w:eastAsia="zh-CN"/>
        </w:rPr>
        <w:t xml:space="preserve">2.6.1 </w:t>
      </w:r>
      <w:r>
        <w:rPr>
          <w:rFonts w:hint="eastAsia"/>
          <w:color w:val="auto"/>
        </w:rPr>
        <w:t>卸油工艺流程</w:t>
      </w:r>
      <w:bookmarkEnd w:id="76"/>
    </w:p>
    <w:p w14:paraId="40CA7599">
      <w:pPr>
        <w:rPr>
          <w:rFonts w:hint="eastAsia"/>
          <w:color w:val="auto"/>
        </w:rPr>
      </w:pPr>
      <w:r>
        <w:rPr>
          <w:rFonts w:hint="eastAsia"/>
          <w:color w:val="auto"/>
        </w:rPr>
        <w:t>卸油：油料用油罐车从油库运至撬装加油装置卸油后，在卸油口附近停稳熄火，先用加油装置的静电接地导线与油罐车卸油设施连接在一起并在附近放好消防器材，静置15分钟清除静电。然后用快速接头将油罐车的卸油管与储油罐的快速密闭卸油口连接在一起，同时做好相关防渗漏措施（在油管接口下方放置油气防散流收集托盘）后再开始卸油，通过量油孔计量需要卸油量。油品卸完后，检查没有溢油、漏油后，人工封闭好油罐进油口和罐车卸油口，拆除连通软管及静电接地装置。静置5分钟以后发动油品罐车缓慢离开罐区。</w:t>
      </w:r>
    </w:p>
    <w:p w14:paraId="6D11113A">
      <w:pPr>
        <w:rPr>
          <w:rFonts w:hint="eastAsia"/>
          <w:color w:val="auto"/>
        </w:rPr>
      </w:pPr>
      <w:r>
        <w:rPr>
          <w:rFonts w:hint="eastAsia"/>
          <w:color w:val="auto"/>
          <w:lang w:eastAsia="zh-CN"/>
        </w:rPr>
        <w:t>本项目</w:t>
      </w:r>
      <w:r>
        <w:rPr>
          <w:rFonts w:hint="eastAsia"/>
          <w:color w:val="auto"/>
        </w:rPr>
        <w:t>橇装装置拟设带柴油油气回收系统。在油罐车卸油过程中，将原来储油罐内散益的油气，通过油气回收地下工艺管线及卸车软管重新收集至油罐车内，实现卸油与油气等体积置换。</w:t>
      </w:r>
    </w:p>
    <w:p w14:paraId="37EF40F3">
      <w:pPr>
        <w:bidi w:val="0"/>
        <w:rPr>
          <w:rFonts w:hint="eastAsia" w:eastAsia="宋体"/>
          <w:b w:val="0"/>
          <w:bCs w:val="0"/>
          <w:color w:val="auto"/>
          <w:sz w:val="28"/>
          <w:szCs w:val="28"/>
          <w:lang w:eastAsia="zh-CN"/>
        </w:rPr>
      </w:pPr>
      <w:r>
        <w:rPr>
          <w:rFonts w:hint="eastAsia" w:eastAsia="宋体"/>
          <w:b w:val="0"/>
          <w:bCs w:val="0"/>
          <w:color w:val="auto"/>
          <w:sz w:val="28"/>
          <w:szCs w:val="28"/>
          <w:lang w:eastAsia="zh-CN"/>
        </w:rPr>
        <w:t>带油气回收的柴油卸油工艺，流程图如下：</w:t>
      </w:r>
    </w:p>
    <w:p w14:paraId="43C4FB0E">
      <w:pPr>
        <w:bidi w:val="0"/>
        <w:ind w:left="0" w:leftChars="0" w:firstLine="0" w:firstLineChars="0"/>
        <w:jc w:val="center"/>
        <w:rPr>
          <w:rFonts w:ascii="Times New Roman" w:hAnsi="Times New Roman" w:eastAsia="宋体" w:cs="Times New Roman"/>
          <w:color w:val="auto"/>
          <w:kern w:val="2"/>
          <w:sz w:val="21"/>
          <w:szCs w:val="24"/>
        </w:rPr>
      </w:pPr>
      <w:r>
        <w:rPr>
          <w:color w:val="auto"/>
        </w:rPr>
        <w:drawing>
          <wp:inline distT="0" distB="0" distL="114300" distR="114300">
            <wp:extent cx="5758815" cy="1707515"/>
            <wp:effectExtent l="0" t="0" r="13335" b="6985"/>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pic:cNvPicPr>
                      <a:picLocks noChangeAspect="1"/>
                    </pic:cNvPicPr>
                  </pic:nvPicPr>
                  <pic:blipFill>
                    <a:blip r:embed="rId11"/>
                    <a:stretch>
                      <a:fillRect/>
                    </a:stretch>
                  </pic:blipFill>
                  <pic:spPr>
                    <a:xfrm>
                      <a:off x="0" y="0"/>
                      <a:ext cx="5758815" cy="1707515"/>
                    </a:xfrm>
                    <a:prstGeom prst="rect">
                      <a:avLst/>
                    </a:prstGeom>
                    <a:noFill/>
                    <a:ln>
                      <a:noFill/>
                    </a:ln>
                  </pic:spPr>
                </pic:pic>
              </a:graphicData>
            </a:graphic>
          </wp:inline>
        </w:drawing>
      </w:r>
    </w:p>
    <w:p w14:paraId="6790E7CC">
      <w:pPr>
        <w:pStyle w:val="4"/>
        <w:bidi w:val="0"/>
        <w:rPr>
          <w:rFonts w:hint="eastAsia"/>
          <w:color w:val="auto"/>
          <w:lang w:eastAsia="zh-CN"/>
        </w:rPr>
      </w:pPr>
      <w:bookmarkStart w:id="77" w:name="_Toc28313"/>
      <w:r>
        <w:rPr>
          <w:rFonts w:hint="eastAsia"/>
          <w:color w:val="auto"/>
          <w:lang w:val="en-US" w:eastAsia="zh-CN"/>
        </w:rPr>
        <w:t xml:space="preserve">2.6.2 </w:t>
      </w:r>
      <w:r>
        <w:rPr>
          <w:rFonts w:hint="eastAsia"/>
          <w:color w:val="auto"/>
          <w:lang w:eastAsia="zh-CN"/>
        </w:rPr>
        <w:t>加油工艺流程</w:t>
      </w:r>
      <w:bookmarkEnd w:id="77"/>
    </w:p>
    <w:p w14:paraId="6DBF74FB">
      <w:pPr>
        <w:bidi w:val="0"/>
        <w:rPr>
          <w:rFonts w:hint="eastAsia"/>
          <w:color w:val="auto"/>
          <w:lang w:eastAsia="zh-CN"/>
        </w:rPr>
      </w:pPr>
      <w:r>
        <w:rPr>
          <w:rFonts w:hint="eastAsia"/>
          <w:color w:val="auto"/>
          <w:lang w:eastAsia="zh-CN"/>
        </w:rPr>
        <w:t>加油工艺，流程图如下：</w:t>
      </w:r>
    </w:p>
    <w:p w14:paraId="405E154B">
      <w:pPr>
        <w:bidi w:val="0"/>
        <w:ind w:left="0" w:leftChars="0" w:firstLine="0" w:firstLineChars="0"/>
        <w:jc w:val="center"/>
        <w:rPr>
          <w:rFonts w:hint="eastAsia" w:ascii="Times New Roman" w:hAnsi="Times New Roman" w:eastAsia="宋体" w:cs="Times New Roman"/>
          <w:color w:val="auto"/>
          <w:kern w:val="2"/>
          <w:sz w:val="21"/>
          <w:szCs w:val="24"/>
        </w:rPr>
      </w:pPr>
      <w:r>
        <w:rPr>
          <w:color w:val="auto"/>
        </w:rPr>
        <w:drawing>
          <wp:inline distT="0" distB="0" distL="114300" distR="114300">
            <wp:extent cx="5757545" cy="1459230"/>
            <wp:effectExtent l="0" t="0" r="14605" b="7620"/>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12"/>
                    <a:stretch>
                      <a:fillRect/>
                    </a:stretch>
                  </pic:blipFill>
                  <pic:spPr>
                    <a:xfrm>
                      <a:off x="0" y="0"/>
                      <a:ext cx="5757545" cy="1459230"/>
                    </a:xfrm>
                    <a:prstGeom prst="rect">
                      <a:avLst/>
                    </a:prstGeom>
                    <a:noFill/>
                    <a:ln>
                      <a:noFill/>
                    </a:ln>
                  </pic:spPr>
                </pic:pic>
              </a:graphicData>
            </a:graphic>
          </wp:inline>
        </w:drawing>
      </w:r>
    </w:p>
    <w:p w14:paraId="59E154C4">
      <w:pPr>
        <w:pStyle w:val="3"/>
        <w:bidi w:val="0"/>
        <w:rPr>
          <w:rFonts w:hint="eastAsia"/>
          <w:color w:val="auto"/>
          <w:lang w:eastAsia="zh-CN"/>
        </w:rPr>
      </w:pPr>
      <w:bookmarkStart w:id="78" w:name="_Toc16302"/>
      <w:bookmarkStart w:id="79" w:name="_Toc22609"/>
      <w:bookmarkStart w:id="80" w:name="_Toc10646"/>
      <w:bookmarkStart w:id="81" w:name="_Toc8172"/>
      <w:r>
        <w:rPr>
          <w:rFonts w:hint="eastAsia"/>
          <w:color w:val="auto"/>
          <w:lang w:eastAsia="zh-CN"/>
        </w:rPr>
        <w:t>2.9</w:t>
      </w:r>
      <w:r>
        <w:rPr>
          <w:rFonts w:hint="eastAsia"/>
          <w:color w:val="auto"/>
          <w:lang w:val="en-US" w:eastAsia="zh-CN"/>
        </w:rPr>
        <w:t xml:space="preserve"> </w:t>
      </w:r>
      <w:bookmarkEnd w:id="78"/>
      <w:bookmarkEnd w:id="79"/>
      <w:bookmarkEnd w:id="80"/>
      <w:r>
        <w:rPr>
          <w:rFonts w:hint="eastAsia"/>
          <w:color w:val="auto"/>
          <w:lang w:eastAsia="zh-CN"/>
        </w:rPr>
        <w:t>公用工程及辅助设施</w:t>
      </w:r>
      <w:bookmarkEnd w:id="81"/>
    </w:p>
    <w:p w14:paraId="123EBBB1">
      <w:pPr>
        <w:pStyle w:val="4"/>
        <w:bidi w:val="0"/>
        <w:rPr>
          <w:rFonts w:hint="default"/>
          <w:color w:val="auto"/>
          <w:lang w:val="en-US" w:eastAsia="zh-CN"/>
        </w:rPr>
      </w:pPr>
      <w:bookmarkStart w:id="82" w:name="_Toc3446"/>
      <w:bookmarkStart w:id="83" w:name="_Toc3698"/>
      <w:bookmarkStart w:id="84" w:name="_Toc31705"/>
      <w:bookmarkStart w:id="85" w:name="_Toc14096"/>
      <w:r>
        <w:rPr>
          <w:rFonts w:hint="eastAsia"/>
          <w:color w:val="auto"/>
          <w:lang w:eastAsia="zh-CN"/>
        </w:rPr>
        <w:t>2.9.1</w:t>
      </w:r>
      <w:r>
        <w:rPr>
          <w:rFonts w:hint="eastAsia"/>
          <w:color w:val="auto"/>
          <w:lang w:val="en-US" w:eastAsia="zh-CN"/>
        </w:rPr>
        <w:t xml:space="preserve"> </w:t>
      </w:r>
      <w:r>
        <w:rPr>
          <w:rFonts w:hint="eastAsia"/>
          <w:color w:val="auto"/>
          <w:lang w:eastAsia="zh-CN"/>
        </w:rPr>
        <w:t>供配电</w:t>
      </w:r>
      <w:bookmarkEnd w:id="82"/>
      <w:bookmarkEnd w:id="83"/>
      <w:bookmarkEnd w:id="84"/>
      <w:bookmarkEnd w:id="85"/>
    </w:p>
    <w:p w14:paraId="13C53021">
      <w:pPr>
        <w:rPr>
          <w:rFonts w:hint="eastAsia"/>
          <w:b/>
          <w:bCs/>
          <w:color w:val="auto"/>
          <w:lang w:eastAsia="zh-CN"/>
        </w:rPr>
      </w:pPr>
      <w:r>
        <w:rPr>
          <w:rFonts w:hint="eastAsia"/>
          <w:b/>
          <w:bCs/>
          <w:color w:val="auto"/>
          <w:lang w:eastAsia="zh-CN"/>
        </w:rPr>
        <w:t>一、供配电</w:t>
      </w:r>
    </w:p>
    <w:p w14:paraId="7C038355">
      <w:pPr>
        <w:rPr>
          <w:rFonts w:hint="default"/>
          <w:b/>
          <w:bCs/>
          <w:color w:val="auto"/>
          <w:lang w:val="en-US" w:eastAsia="zh-CN"/>
        </w:rPr>
      </w:pPr>
      <w:r>
        <w:rPr>
          <w:rFonts w:hint="eastAsia"/>
          <w:b w:val="0"/>
          <w:bCs w:val="0"/>
          <w:color w:val="auto"/>
          <w:lang w:val="en-US" w:eastAsia="zh-CN"/>
        </w:rPr>
        <w:t>1. 采矿场撬装加油站</w:t>
      </w:r>
    </w:p>
    <w:p w14:paraId="7CEB4F6C">
      <w:pPr>
        <w:rPr>
          <w:rFonts w:hint="eastAsia"/>
          <w:color w:val="auto"/>
          <w:lang w:eastAsia="zh-CN"/>
        </w:rPr>
      </w:pPr>
      <w:r>
        <w:rPr>
          <w:rFonts w:hint="eastAsia"/>
          <w:color w:val="auto"/>
          <w:lang w:eastAsia="zh-CN"/>
        </w:rPr>
        <w:t>电源拟从当地变电所外接380V/220V，引至采矿场撬装加油站</w:t>
      </w:r>
      <w:r>
        <w:rPr>
          <w:rFonts w:hint="eastAsia"/>
          <w:color w:val="auto"/>
          <w:lang w:val="en-US" w:eastAsia="zh-CN"/>
        </w:rPr>
        <w:t>值班室</w:t>
      </w:r>
      <w:r>
        <w:rPr>
          <w:rFonts w:hint="eastAsia"/>
          <w:color w:val="auto"/>
          <w:lang w:eastAsia="zh-CN"/>
        </w:rPr>
        <w:t>内配电间的配电箱。</w:t>
      </w:r>
      <w:r>
        <w:rPr>
          <w:rFonts w:hint="eastAsia"/>
          <w:b w:val="0"/>
          <w:bCs w:val="0"/>
          <w:color w:val="auto"/>
          <w:lang w:val="en-US" w:eastAsia="zh-CN"/>
        </w:rPr>
        <w:t>采矿场撬装加油站</w:t>
      </w:r>
      <w:r>
        <w:rPr>
          <w:rFonts w:hint="eastAsia"/>
          <w:color w:val="auto"/>
          <w:lang w:eastAsia="zh-CN"/>
        </w:rPr>
        <w:t>橇装装置配套设置有控制柜，负责对加油机、卸油泵进行配电及控制。室外动力电缆及控制电缆采用ZA-YJV22-0.6/1kV型及ZA-KYJVRP-0.45/0.75kV型。铠装电缆室外直埋敷设，其余动力及控制电缆穿热镀锌钢管埋地敷设。</w:t>
      </w:r>
    </w:p>
    <w:p w14:paraId="79DDC29B">
      <w:pPr>
        <w:rPr>
          <w:rFonts w:hint="eastAsia"/>
          <w:color w:val="auto"/>
          <w:lang w:eastAsia="zh-CN"/>
        </w:rPr>
      </w:pPr>
      <w:r>
        <w:rPr>
          <w:rFonts w:hint="eastAsia"/>
          <w:color w:val="auto"/>
          <w:lang w:eastAsia="zh-CN"/>
        </w:rPr>
        <w:t>采矿场撬装加油站站内生产供电负荷等级为三级，低压配电接地型式拟采用TN-S系统。</w:t>
      </w:r>
    </w:p>
    <w:p w14:paraId="13973B4C">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sz w:val="28"/>
          <w:lang w:val="en-US" w:eastAsia="zh-CN" w:bidi="ar-SA"/>
        </w:rPr>
        <w:t>2.</w:t>
      </w:r>
      <w:r>
        <w:rPr>
          <w:rFonts w:hint="eastAsia" w:cs="Times New Roman"/>
          <w:color w:val="auto"/>
          <w:sz w:val="28"/>
          <w:lang w:val="en-US" w:eastAsia="zh-CN" w:bidi="ar-SA"/>
        </w:rPr>
        <w:t xml:space="preserve"> </w:t>
      </w:r>
      <w:r>
        <w:rPr>
          <w:rFonts w:hint="default"/>
          <w:color w:val="auto"/>
          <w:lang w:val="en-US" w:eastAsia="zh-CN"/>
        </w:rPr>
        <w:t>汽车队</w:t>
      </w:r>
      <w:r>
        <w:rPr>
          <w:rFonts w:hint="eastAsia"/>
          <w:b w:val="0"/>
          <w:bCs w:val="0"/>
          <w:color w:val="auto"/>
          <w:lang w:val="en-US" w:eastAsia="zh-CN"/>
        </w:rPr>
        <w:t>撬装加油站</w:t>
      </w:r>
    </w:p>
    <w:p w14:paraId="414350FB">
      <w:pPr>
        <w:rPr>
          <w:rFonts w:hint="eastAsia"/>
          <w:color w:val="auto"/>
          <w:lang w:eastAsia="zh-CN"/>
        </w:rPr>
      </w:pPr>
      <w:r>
        <w:rPr>
          <w:rFonts w:hint="eastAsia"/>
          <w:color w:val="auto"/>
          <w:lang w:eastAsia="zh-CN"/>
        </w:rPr>
        <w:t>电源拟从当地变电所外接380V/220V，引至</w:t>
      </w:r>
      <w:r>
        <w:rPr>
          <w:rFonts w:hint="default"/>
          <w:color w:val="auto"/>
          <w:lang w:val="en-US" w:eastAsia="zh-CN"/>
        </w:rPr>
        <w:t>汽车队</w:t>
      </w:r>
      <w:r>
        <w:rPr>
          <w:rFonts w:hint="eastAsia"/>
          <w:b w:val="0"/>
          <w:bCs w:val="0"/>
          <w:color w:val="auto"/>
          <w:lang w:val="en-US" w:eastAsia="zh-CN"/>
        </w:rPr>
        <w:t>撬装加油站</w:t>
      </w:r>
      <w:r>
        <w:rPr>
          <w:rFonts w:hint="eastAsia"/>
          <w:color w:val="auto"/>
          <w:lang w:val="en-US" w:eastAsia="zh-CN"/>
        </w:rPr>
        <w:t>值班室</w:t>
      </w:r>
      <w:r>
        <w:rPr>
          <w:rFonts w:hint="eastAsia"/>
          <w:color w:val="auto"/>
          <w:lang w:eastAsia="zh-CN"/>
        </w:rPr>
        <w:t>内配电间的配电箱。</w:t>
      </w:r>
      <w:r>
        <w:rPr>
          <w:rFonts w:hint="default"/>
          <w:color w:val="auto"/>
          <w:lang w:val="en-US" w:eastAsia="zh-CN"/>
        </w:rPr>
        <w:t>汽车队</w:t>
      </w:r>
      <w:r>
        <w:rPr>
          <w:rFonts w:hint="eastAsia"/>
          <w:b w:val="0"/>
          <w:bCs w:val="0"/>
          <w:color w:val="auto"/>
          <w:lang w:val="en-US" w:eastAsia="zh-CN"/>
        </w:rPr>
        <w:t>撬装加油站</w:t>
      </w:r>
      <w:r>
        <w:rPr>
          <w:rFonts w:hint="eastAsia"/>
          <w:color w:val="auto"/>
          <w:lang w:eastAsia="zh-CN"/>
        </w:rPr>
        <w:t>橇装装置配套设置有控制柜，负责对加油机、卸油泵进行配电及控制。室外动力电缆及控制电缆采用ZA-YJV22-0.6/1kV型及ZA-KYJVRP-0.45/0.75kV型。铠装电缆室外直埋敷设，其余动力及控制电缆穿热镀锌钢管埋地敷设。</w:t>
      </w:r>
    </w:p>
    <w:p w14:paraId="5CBB79FA">
      <w:pPr>
        <w:rPr>
          <w:rFonts w:hint="eastAsia"/>
          <w:color w:val="auto"/>
          <w:lang w:eastAsia="zh-CN"/>
        </w:rPr>
      </w:pPr>
      <w:r>
        <w:rPr>
          <w:rFonts w:hint="default"/>
          <w:color w:val="auto"/>
          <w:lang w:val="en-US" w:eastAsia="zh-CN"/>
        </w:rPr>
        <w:t>汽车队</w:t>
      </w:r>
      <w:r>
        <w:rPr>
          <w:rFonts w:hint="eastAsia"/>
          <w:color w:val="auto"/>
          <w:lang w:eastAsia="zh-CN"/>
        </w:rPr>
        <w:t>撬装加油站站内生产供电负荷等级为三级，低压配电接地型式拟采用TN-S系统。</w:t>
      </w:r>
    </w:p>
    <w:p w14:paraId="79DB7D8B">
      <w:pPr>
        <w:rPr>
          <w:rFonts w:hint="eastAsia"/>
          <w:b/>
          <w:bCs/>
          <w:color w:val="auto"/>
          <w:lang w:eastAsia="zh-CN"/>
        </w:rPr>
      </w:pPr>
      <w:r>
        <w:rPr>
          <w:rFonts w:hint="eastAsia"/>
          <w:b/>
          <w:bCs/>
          <w:color w:val="auto"/>
          <w:lang w:eastAsia="zh-CN"/>
        </w:rPr>
        <w:t>二、防雷、防静电接地</w:t>
      </w:r>
    </w:p>
    <w:p w14:paraId="1CB6AB2C">
      <w:pPr>
        <w:rPr>
          <w:rFonts w:hint="default"/>
          <w:b/>
          <w:bCs/>
          <w:color w:val="auto"/>
          <w:lang w:val="en-US" w:eastAsia="zh-CN"/>
        </w:rPr>
      </w:pPr>
      <w:r>
        <w:rPr>
          <w:rFonts w:hint="eastAsia"/>
          <w:b w:val="0"/>
          <w:bCs w:val="0"/>
          <w:color w:val="auto"/>
          <w:lang w:val="en-US" w:eastAsia="zh-CN"/>
        </w:rPr>
        <w:t>1. 采矿场撬装加油站</w:t>
      </w:r>
    </w:p>
    <w:p w14:paraId="568A04BD">
      <w:pPr>
        <w:rPr>
          <w:rFonts w:hint="eastAsia"/>
          <w:color w:val="auto"/>
          <w:lang w:eastAsia="zh-CN"/>
        </w:rPr>
      </w:pPr>
      <w:r>
        <w:rPr>
          <w:rFonts w:hint="eastAsia"/>
          <w:color w:val="auto"/>
          <w:lang w:eastAsia="zh-CN"/>
        </w:rPr>
        <w:t>加油撬做防雷接地，接地点不少于2处。加油站的防雷接地、电气设备的工作接地、保护接地及信息系统的接地等共用接地装置，其联合接地电阻不大于1</w:t>
      </w:r>
      <w:r>
        <w:rPr>
          <w:rFonts w:hint="default" w:ascii="Times New Roman" w:hAnsi="Times New Roman" w:cs="Times New Roman"/>
          <w:color w:val="auto"/>
          <w:lang w:val="en-US" w:eastAsia="zh-CN"/>
        </w:rPr>
        <w:t>Ω</w:t>
      </w:r>
      <w:r>
        <w:rPr>
          <w:rFonts w:hint="eastAsia"/>
          <w:color w:val="auto"/>
          <w:lang w:eastAsia="zh-CN"/>
        </w:rPr>
        <w:t>。</w:t>
      </w:r>
    </w:p>
    <w:p w14:paraId="5281B44B">
      <w:pPr>
        <w:rPr>
          <w:rFonts w:hint="eastAsia"/>
          <w:color w:val="auto"/>
          <w:lang w:eastAsia="zh-CN"/>
        </w:rPr>
      </w:pPr>
      <w:r>
        <w:rPr>
          <w:rFonts w:hint="eastAsia"/>
          <w:color w:val="auto"/>
          <w:lang w:eastAsia="zh-CN"/>
        </w:rPr>
        <w:t>所有电气设备的金属外壳及电气用金属构件、电缆金属外皮及保护钢管的两端均应接地。加油站内各区域如埋地油罐区、罩棚、站房等均设有环形接地网。汽油卸油口处设置与罐车连接并能检测跨接线及监视接地装置状态的静电接地仪。</w:t>
      </w:r>
    </w:p>
    <w:p w14:paraId="1CF11DEB">
      <w:pPr>
        <w:rPr>
          <w:rFonts w:hint="eastAsia"/>
          <w:color w:val="auto"/>
          <w:lang w:eastAsia="zh-CN"/>
        </w:rPr>
      </w:pPr>
      <w:r>
        <w:rPr>
          <w:rFonts w:hint="eastAsia"/>
          <w:color w:val="auto"/>
          <w:lang w:eastAsia="zh-CN"/>
        </w:rPr>
        <w:t>供电电源端及信息系统配电线路首末端均装设与被保护设备耐压水平相适应的防浪涌保护器。</w:t>
      </w:r>
    </w:p>
    <w:p w14:paraId="4C423191">
      <w:pPr>
        <w:numPr>
          <w:ilvl w:val="0"/>
          <w:numId w:val="0"/>
        </w:numPr>
        <w:ind w:firstLine="560" w:firstLineChars="200"/>
        <w:rPr>
          <w:rFonts w:hint="default"/>
          <w:color w:val="auto"/>
          <w:lang w:val="en-US" w:eastAsia="zh-CN"/>
        </w:rPr>
      </w:pPr>
      <w:r>
        <w:rPr>
          <w:rFonts w:hint="default" w:ascii="Times New Roman" w:hAnsi="Times New Roman" w:eastAsia="宋体" w:cs="Times New Roman"/>
          <w:color w:val="auto"/>
          <w:sz w:val="28"/>
          <w:lang w:val="en-US" w:eastAsia="zh-CN" w:bidi="ar-SA"/>
        </w:rPr>
        <w:t>2.</w:t>
      </w:r>
      <w:r>
        <w:rPr>
          <w:rFonts w:hint="eastAsia" w:cs="Times New Roman"/>
          <w:color w:val="auto"/>
          <w:sz w:val="28"/>
          <w:lang w:val="en-US" w:eastAsia="zh-CN" w:bidi="ar-SA"/>
        </w:rPr>
        <w:t xml:space="preserve"> </w:t>
      </w:r>
      <w:r>
        <w:rPr>
          <w:rFonts w:hint="default"/>
          <w:color w:val="auto"/>
          <w:lang w:val="en-US" w:eastAsia="zh-CN"/>
        </w:rPr>
        <w:t>汽车队</w:t>
      </w:r>
      <w:r>
        <w:rPr>
          <w:rFonts w:hint="eastAsia"/>
          <w:b w:val="0"/>
          <w:bCs w:val="0"/>
          <w:color w:val="auto"/>
          <w:lang w:val="en-US" w:eastAsia="zh-CN"/>
        </w:rPr>
        <w:t>撬装加油站</w:t>
      </w:r>
    </w:p>
    <w:p w14:paraId="448F8304">
      <w:pPr>
        <w:rPr>
          <w:rFonts w:hint="eastAsia"/>
          <w:color w:val="auto"/>
          <w:lang w:eastAsia="zh-CN"/>
        </w:rPr>
      </w:pPr>
      <w:r>
        <w:rPr>
          <w:rFonts w:hint="eastAsia"/>
          <w:color w:val="auto"/>
          <w:lang w:eastAsia="zh-CN"/>
        </w:rPr>
        <w:t>加油撬做防雷接地，接地点不少于2处。加油站的防雷接地、电气设备的工作接地、保护接地及信息系统的接地等共用接地装置，其联合接地电阻不大于1</w:t>
      </w:r>
      <w:r>
        <w:rPr>
          <w:rFonts w:hint="default" w:ascii="Times New Roman" w:hAnsi="Times New Roman" w:cs="Times New Roman"/>
          <w:color w:val="auto"/>
          <w:lang w:val="en-US" w:eastAsia="zh-CN"/>
        </w:rPr>
        <w:t>Ω</w:t>
      </w:r>
      <w:r>
        <w:rPr>
          <w:rFonts w:hint="eastAsia"/>
          <w:color w:val="auto"/>
          <w:lang w:eastAsia="zh-CN"/>
        </w:rPr>
        <w:t>。</w:t>
      </w:r>
    </w:p>
    <w:p w14:paraId="3CAFDF7A">
      <w:pPr>
        <w:rPr>
          <w:rFonts w:hint="eastAsia"/>
          <w:color w:val="auto"/>
          <w:lang w:eastAsia="zh-CN"/>
        </w:rPr>
      </w:pPr>
      <w:r>
        <w:rPr>
          <w:rFonts w:hint="eastAsia"/>
          <w:color w:val="auto"/>
          <w:lang w:eastAsia="zh-CN"/>
        </w:rPr>
        <w:t>所有电气设备的金属外壳及电气用金属构件、电缆金属外皮及保护钢管的两端均应接地。加油站内各区域如埋地油罐区、罩棚、站房等均设有环形接地网。汽油卸油口处设置与罐车连接并能检测跨接线及监视接地装置状态的静电接地仪。</w:t>
      </w:r>
    </w:p>
    <w:p w14:paraId="4ECAF316">
      <w:pPr>
        <w:rPr>
          <w:rFonts w:hint="eastAsia"/>
          <w:color w:val="auto"/>
          <w:lang w:eastAsia="zh-CN"/>
        </w:rPr>
      </w:pPr>
      <w:r>
        <w:rPr>
          <w:rFonts w:hint="eastAsia"/>
          <w:color w:val="auto"/>
          <w:lang w:eastAsia="zh-CN"/>
        </w:rPr>
        <w:t>供电电源端及信息系统配电线路首末端均装设与被保护设备耐压水平相适应的防浪涌保护器。</w:t>
      </w:r>
    </w:p>
    <w:p w14:paraId="2DE75B3A">
      <w:pPr>
        <w:rPr>
          <w:rFonts w:hint="eastAsia"/>
          <w:b/>
          <w:bCs/>
          <w:color w:val="auto"/>
          <w:lang w:val="en-US" w:eastAsia="zh-CN"/>
        </w:rPr>
      </w:pPr>
      <w:r>
        <w:rPr>
          <w:rFonts w:hint="eastAsia"/>
          <w:b/>
          <w:bCs/>
          <w:color w:val="auto"/>
          <w:lang w:val="en-US" w:eastAsia="zh-CN"/>
        </w:rPr>
        <w:t>三、应急照明</w:t>
      </w:r>
    </w:p>
    <w:p w14:paraId="4FE23824">
      <w:pPr>
        <w:rPr>
          <w:rFonts w:hint="default"/>
          <w:color w:val="auto"/>
          <w:lang w:val="en-US" w:eastAsia="zh-CN"/>
        </w:rPr>
      </w:pPr>
      <w:r>
        <w:rPr>
          <w:rFonts w:hint="eastAsia"/>
          <w:color w:val="auto"/>
          <w:lang w:val="en-US" w:eastAsia="zh-CN"/>
        </w:rPr>
        <w:t>本项目</w:t>
      </w:r>
      <w:r>
        <w:rPr>
          <w:rFonts w:hint="default"/>
          <w:color w:val="auto"/>
          <w:lang w:val="en-US" w:eastAsia="zh-CN"/>
        </w:rPr>
        <w:t>橇装装置自带有应急照明并配备UPS不间断电源，断电后应急照明的持续工作时间不少于30min。</w:t>
      </w:r>
    </w:p>
    <w:p w14:paraId="5138F120">
      <w:pPr>
        <w:rPr>
          <w:rFonts w:hint="default"/>
          <w:b/>
          <w:bCs/>
          <w:color w:val="auto"/>
          <w:lang w:val="en-US" w:eastAsia="zh-CN"/>
        </w:rPr>
      </w:pPr>
      <w:r>
        <w:rPr>
          <w:rFonts w:hint="eastAsia"/>
          <w:b/>
          <w:bCs/>
          <w:color w:val="auto"/>
          <w:lang w:val="en-US" w:eastAsia="zh-CN"/>
        </w:rPr>
        <w:t>四、</w:t>
      </w:r>
      <w:r>
        <w:rPr>
          <w:rFonts w:hint="default"/>
          <w:b/>
          <w:bCs/>
          <w:color w:val="auto"/>
          <w:lang w:val="en-US" w:eastAsia="zh-CN"/>
        </w:rPr>
        <w:t>紧急切断、通讯</w:t>
      </w:r>
      <w:r>
        <w:rPr>
          <w:rFonts w:hint="eastAsia"/>
          <w:b/>
          <w:bCs/>
          <w:color w:val="auto"/>
          <w:lang w:val="en-US" w:eastAsia="zh-CN"/>
        </w:rPr>
        <w:t>、气体泄露报警</w:t>
      </w:r>
      <w:r>
        <w:rPr>
          <w:rFonts w:hint="default"/>
          <w:b/>
          <w:bCs/>
          <w:color w:val="auto"/>
          <w:lang w:val="en-US" w:eastAsia="zh-CN"/>
        </w:rPr>
        <w:t>与火灾报警</w:t>
      </w:r>
    </w:p>
    <w:p w14:paraId="2D4022E6">
      <w:pPr>
        <w:rPr>
          <w:rFonts w:hint="default"/>
          <w:color w:val="auto"/>
          <w:lang w:val="en-US" w:eastAsia="zh-CN"/>
        </w:rPr>
      </w:pPr>
      <w:r>
        <w:rPr>
          <w:rFonts w:hint="default"/>
          <w:color w:val="auto"/>
          <w:lang w:val="en-US" w:eastAsia="zh-CN"/>
        </w:rPr>
        <w:t>站内应设置紧急切断系统，在加油现场工作人员容易接近的位置、控制室或值班室内设置启动开关，紧急切断系统应只能手动复位。</w:t>
      </w:r>
    </w:p>
    <w:p w14:paraId="399CE64E">
      <w:pPr>
        <w:rPr>
          <w:rFonts w:hint="default"/>
          <w:color w:val="auto"/>
          <w:lang w:val="en-US" w:eastAsia="zh-CN"/>
        </w:rPr>
      </w:pPr>
      <w:r>
        <w:rPr>
          <w:rFonts w:hint="default"/>
          <w:color w:val="auto"/>
          <w:lang w:val="en-US" w:eastAsia="zh-CN"/>
        </w:rPr>
        <w:t>站内应设置气体泄露报警装置，探测器安装高度距装置底部0.3m，报警器安装在探测器上方。</w:t>
      </w:r>
    </w:p>
    <w:p w14:paraId="371FCD31">
      <w:pPr>
        <w:rPr>
          <w:rFonts w:hint="eastAsia"/>
          <w:b/>
          <w:bCs/>
          <w:color w:val="auto"/>
          <w:lang w:val="en-US" w:eastAsia="zh-CN"/>
        </w:rPr>
      </w:pPr>
      <w:r>
        <w:rPr>
          <w:rFonts w:hint="eastAsia"/>
          <w:b/>
          <w:bCs/>
          <w:color w:val="auto"/>
          <w:lang w:val="en-US" w:eastAsia="zh-CN"/>
        </w:rPr>
        <w:t>五、视频监控系统</w:t>
      </w:r>
    </w:p>
    <w:p w14:paraId="41DE6A68">
      <w:pPr>
        <w:rPr>
          <w:rFonts w:hint="eastAsia"/>
          <w:color w:val="auto"/>
          <w:lang w:val="en-US" w:eastAsia="zh-CN"/>
        </w:rPr>
      </w:pPr>
      <w:r>
        <w:rPr>
          <w:rFonts w:hint="eastAsia"/>
          <w:color w:val="auto"/>
          <w:lang w:val="en-US" w:eastAsia="zh-CN"/>
        </w:rPr>
        <w:t>本次新增视频监控系统用于监控加油车道及室内值班室。值班室摄像机为1080P半球网络摄像机，加油车道摄像机为1080P网络枪机。</w:t>
      </w:r>
    </w:p>
    <w:p w14:paraId="0551D85A">
      <w:pPr>
        <w:pStyle w:val="4"/>
        <w:bidi w:val="0"/>
        <w:rPr>
          <w:rFonts w:hint="eastAsia"/>
          <w:color w:val="auto"/>
          <w:lang w:val="en-US" w:eastAsia="zh-CN"/>
        </w:rPr>
      </w:pPr>
      <w:bookmarkStart w:id="86" w:name="_Toc11966"/>
      <w:bookmarkStart w:id="87" w:name="_Toc23282"/>
      <w:bookmarkStart w:id="88" w:name="_Toc16118"/>
      <w:bookmarkStart w:id="89" w:name="_Toc15230"/>
      <w:r>
        <w:rPr>
          <w:rFonts w:hint="eastAsia"/>
          <w:color w:val="auto"/>
          <w:lang w:val="en-US" w:eastAsia="zh-CN"/>
        </w:rPr>
        <w:t>2.9.2 给排水及消防</w:t>
      </w:r>
      <w:bookmarkEnd w:id="86"/>
      <w:bookmarkEnd w:id="87"/>
      <w:bookmarkEnd w:id="88"/>
      <w:bookmarkEnd w:id="89"/>
    </w:p>
    <w:p w14:paraId="0F14E8A8">
      <w:pPr>
        <w:rPr>
          <w:rFonts w:hint="eastAsia"/>
          <w:b/>
          <w:bCs/>
          <w:color w:val="auto"/>
          <w:lang w:val="en-US" w:eastAsia="zh-CN"/>
        </w:rPr>
      </w:pPr>
      <w:r>
        <w:rPr>
          <w:rFonts w:hint="eastAsia"/>
          <w:b/>
          <w:bCs/>
          <w:color w:val="auto"/>
          <w:lang w:val="en-US" w:eastAsia="zh-CN"/>
        </w:rPr>
        <w:t>一、给排水</w:t>
      </w:r>
    </w:p>
    <w:p w14:paraId="6C899F17">
      <w:pPr>
        <w:rPr>
          <w:rFonts w:hint="eastAsia"/>
          <w:color w:val="auto"/>
          <w:lang w:val="en-US" w:eastAsia="zh-CN"/>
        </w:rPr>
      </w:pPr>
      <w:r>
        <w:rPr>
          <w:rFonts w:hint="eastAsia"/>
          <w:color w:val="auto"/>
          <w:lang w:val="en-US" w:eastAsia="zh-CN"/>
        </w:rPr>
        <w:t>生活给水引自站内原有给水系统，供水压力按照0.2MPa计，具体位置及标高现场根据实际情况确认。室外生活给水管采用PE80聚乙烯管材（GB/T13663.2-2018），电熔连接。成品卫生间生活污水经化粪池初步处理后定期由有资质的厂家外运处理。生活污水管道采用聚乙烯（PE）中空壁缠绕管。</w:t>
      </w:r>
    </w:p>
    <w:p w14:paraId="179C3623">
      <w:pPr>
        <w:rPr>
          <w:rFonts w:hint="eastAsia"/>
          <w:b/>
          <w:bCs/>
          <w:color w:val="auto"/>
          <w:lang w:val="en-US" w:eastAsia="zh-CN"/>
        </w:rPr>
      </w:pPr>
      <w:r>
        <w:rPr>
          <w:rFonts w:hint="eastAsia"/>
          <w:b/>
          <w:bCs/>
          <w:color w:val="auto"/>
          <w:lang w:val="en-US" w:eastAsia="zh-CN"/>
        </w:rPr>
        <w:t>二、消防</w:t>
      </w:r>
    </w:p>
    <w:p w14:paraId="60FE7430">
      <w:pPr>
        <w:rPr>
          <w:rFonts w:hint="eastAsia"/>
          <w:color w:val="auto"/>
          <w:lang w:val="en-US" w:eastAsia="zh-CN"/>
        </w:rPr>
      </w:pPr>
      <w:r>
        <w:rPr>
          <w:rFonts w:hint="eastAsia"/>
          <w:color w:val="auto"/>
          <w:lang w:val="en-US" w:eastAsia="zh-CN"/>
        </w:rPr>
        <w:t>根据《建筑灭火器配置设计规范》（GB50140-2005）、《汽车加油加气加氢站技术标准》（GB50156-2021）第12.1条规定：加油站应按严重危险级配置灭火器，A、B类火灾种类，单具灭火器最小配置灭火级别为3A。</w:t>
      </w:r>
    </w:p>
    <w:p w14:paraId="6C2CE12B">
      <w:pPr>
        <w:numPr>
          <w:ilvl w:val="0"/>
          <w:numId w:val="0"/>
        </w:numPr>
        <w:ind w:firstLine="560" w:firstLineChars="200"/>
        <w:rPr>
          <w:rFonts w:hint="eastAsia"/>
          <w:color w:val="auto"/>
          <w:lang w:val="en-US" w:eastAsia="zh-CN"/>
        </w:rPr>
      </w:pPr>
      <w:r>
        <w:rPr>
          <w:rFonts w:hint="eastAsia" w:ascii="Times New Roman" w:hAnsi="Times New Roman" w:eastAsia="宋体" w:cs="Times New Roman"/>
          <w:color w:val="auto"/>
          <w:sz w:val="28"/>
          <w:lang w:val="en-US" w:eastAsia="zh-CN" w:bidi="ar-SA"/>
        </w:rPr>
        <w:t>（1</w:t>
      </w:r>
      <w:r>
        <w:rPr>
          <w:rFonts w:hint="eastAsia"/>
          <w:color w:val="auto"/>
          <w:lang w:val="en-US" w:eastAsia="zh-CN"/>
        </w:rPr>
        <w:t>）每座加油岛5kg手提式干粉灭火器2具、灭火毯1块；</w:t>
      </w:r>
    </w:p>
    <w:p w14:paraId="748B0EF9">
      <w:pPr>
        <w:numPr>
          <w:ilvl w:val="0"/>
          <w:numId w:val="0"/>
        </w:numPr>
        <w:ind w:firstLine="560" w:firstLineChars="200"/>
        <w:rPr>
          <w:rFonts w:hint="eastAsia"/>
          <w:color w:val="auto"/>
          <w:lang w:val="en-US" w:eastAsia="zh-CN"/>
        </w:rPr>
      </w:pPr>
      <w:r>
        <w:rPr>
          <w:rFonts w:hint="eastAsia" w:ascii="Times New Roman" w:hAnsi="Times New Roman" w:eastAsia="宋体" w:cs="Times New Roman"/>
          <w:color w:val="auto"/>
          <w:sz w:val="28"/>
          <w:lang w:val="en-US" w:eastAsia="zh-CN" w:bidi="ar-SA"/>
        </w:rPr>
        <w:t>（2</w:t>
      </w:r>
      <w:r>
        <w:rPr>
          <w:rFonts w:hint="eastAsia"/>
          <w:color w:val="auto"/>
          <w:lang w:val="en-US" w:eastAsia="zh-CN"/>
        </w:rPr>
        <w:t>）撬装加油装置附近配置35kg推车式干粉灭火器2台。</w:t>
      </w:r>
    </w:p>
    <w:p w14:paraId="3B59CCE4">
      <w:pPr>
        <w:pStyle w:val="3"/>
        <w:bidi w:val="0"/>
        <w:rPr>
          <w:rFonts w:hint="eastAsia"/>
          <w:color w:val="auto"/>
          <w:lang w:val="en-US" w:eastAsia="zh-CN"/>
        </w:rPr>
      </w:pPr>
      <w:bookmarkStart w:id="90" w:name="_Toc21024"/>
      <w:bookmarkStart w:id="91" w:name="_Toc5399"/>
      <w:bookmarkStart w:id="92" w:name="_Toc11249"/>
      <w:bookmarkStart w:id="93" w:name="_Toc6145"/>
      <w:r>
        <w:rPr>
          <w:rFonts w:hint="eastAsia"/>
          <w:color w:val="auto"/>
          <w:lang w:val="en-US" w:eastAsia="zh-CN"/>
        </w:rPr>
        <w:t>2.10 加油站组织及劳动定员</w:t>
      </w:r>
      <w:bookmarkEnd w:id="90"/>
      <w:bookmarkEnd w:id="91"/>
      <w:bookmarkEnd w:id="92"/>
      <w:bookmarkEnd w:id="93"/>
    </w:p>
    <w:p w14:paraId="7E18260C">
      <w:pPr>
        <w:rPr>
          <w:rFonts w:hint="eastAsia"/>
          <w:color w:val="auto"/>
          <w:lang w:val="en-US" w:eastAsia="zh-CN"/>
        </w:rPr>
      </w:pPr>
      <w:r>
        <w:rPr>
          <w:rFonts w:hint="eastAsia"/>
          <w:color w:val="auto"/>
          <w:lang w:val="en-US" w:eastAsia="zh-CN"/>
        </w:rPr>
        <w:t>本项目两个</w:t>
      </w:r>
      <w:r>
        <w:rPr>
          <w:rFonts w:hint="eastAsia"/>
          <w:b w:val="0"/>
          <w:bCs w:val="0"/>
          <w:color w:val="auto"/>
          <w:lang w:val="en-US" w:eastAsia="zh-CN"/>
        </w:rPr>
        <w:t>撬装加油站</w:t>
      </w:r>
      <w:r>
        <w:rPr>
          <w:rFonts w:hint="eastAsia"/>
          <w:color w:val="auto"/>
          <w:lang w:val="en-US" w:eastAsia="zh-CN"/>
        </w:rPr>
        <w:t>组织机构均采用加油站站长负责制，每个加油站拟定员3人，其中站长1人、安全管理人员1人、员工1人。</w:t>
      </w:r>
    </w:p>
    <w:p w14:paraId="783C5497">
      <w:pPr>
        <w:rPr>
          <w:rFonts w:hint="eastAsia"/>
          <w:color w:val="auto"/>
          <w:lang w:val="en-US" w:eastAsia="zh-CN"/>
        </w:rPr>
      </w:pPr>
      <w:r>
        <w:rPr>
          <w:rFonts w:hint="eastAsia"/>
          <w:color w:val="auto"/>
          <w:lang w:val="en-US" w:eastAsia="zh-CN"/>
        </w:rPr>
        <w:t>项目运行前安排员工到对口单位进行培训，以利加油站正常运转。</w:t>
      </w:r>
    </w:p>
    <w:p w14:paraId="3E3C6CC6">
      <w:pPr>
        <w:rPr>
          <w:rFonts w:hint="eastAsia"/>
          <w:color w:val="auto"/>
          <w:lang w:val="en-US" w:eastAsia="zh-CN"/>
        </w:rPr>
      </w:pPr>
      <w:r>
        <w:rPr>
          <w:rFonts w:hint="eastAsia"/>
          <w:color w:val="auto"/>
          <w:lang w:val="en-US" w:eastAsia="zh-CN"/>
        </w:rPr>
        <w:br w:type="page"/>
      </w:r>
    </w:p>
    <w:p w14:paraId="66CD1A38">
      <w:pPr>
        <w:pStyle w:val="2"/>
        <w:numPr>
          <w:ilvl w:val="0"/>
          <w:numId w:val="1"/>
        </w:numPr>
        <w:bidi w:val="0"/>
        <w:ind w:left="0" w:leftChars="0" w:firstLine="0" w:firstLineChars="0"/>
        <w:rPr>
          <w:rFonts w:hint="eastAsia"/>
          <w:color w:val="auto"/>
          <w:lang w:val="en-US" w:eastAsia="zh-CN"/>
        </w:rPr>
      </w:pPr>
      <w:bookmarkStart w:id="94" w:name="_Toc7682"/>
      <w:bookmarkStart w:id="95" w:name="_Toc16557"/>
      <w:bookmarkStart w:id="96" w:name="_Toc11216"/>
      <w:bookmarkStart w:id="97" w:name="_Toc14163"/>
      <w:r>
        <w:rPr>
          <w:rFonts w:hint="eastAsia"/>
          <w:color w:val="auto"/>
          <w:lang w:val="en-US" w:eastAsia="zh-CN"/>
        </w:rPr>
        <w:t>危险、有害因素的辨识结果及依据说明</w:t>
      </w:r>
      <w:bookmarkEnd w:id="94"/>
      <w:bookmarkEnd w:id="95"/>
      <w:bookmarkEnd w:id="96"/>
      <w:bookmarkEnd w:id="97"/>
    </w:p>
    <w:p w14:paraId="7E3CC35F">
      <w:pPr>
        <w:pStyle w:val="3"/>
        <w:bidi w:val="0"/>
        <w:rPr>
          <w:rFonts w:hint="eastAsia"/>
          <w:color w:val="auto"/>
          <w:lang w:val="en-US" w:eastAsia="zh-CN"/>
        </w:rPr>
      </w:pPr>
      <w:bookmarkStart w:id="98" w:name="_Toc2988"/>
      <w:bookmarkStart w:id="99" w:name="_Toc13361"/>
      <w:bookmarkStart w:id="100" w:name="_Toc5963"/>
      <w:bookmarkStart w:id="101" w:name="_Toc13446"/>
      <w:r>
        <w:rPr>
          <w:rFonts w:hint="eastAsia"/>
          <w:color w:val="auto"/>
          <w:lang w:val="en-US" w:eastAsia="zh-CN"/>
        </w:rPr>
        <w:t>3.1 危险物质的辨识结果及依据</w:t>
      </w:r>
      <w:bookmarkEnd w:id="98"/>
      <w:bookmarkEnd w:id="99"/>
      <w:bookmarkEnd w:id="100"/>
      <w:bookmarkEnd w:id="101"/>
    </w:p>
    <w:p w14:paraId="6D7D5B9D">
      <w:pPr>
        <w:rPr>
          <w:rFonts w:hint="eastAsia"/>
          <w:color w:val="auto"/>
          <w:lang w:val="en-US" w:eastAsia="zh-CN"/>
        </w:rPr>
      </w:pPr>
      <w:r>
        <w:rPr>
          <w:rFonts w:hint="eastAsia"/>
          <w:color w:val="auto"/>
          <w:lang w:val="en-US" w:eastAsia="zh-CN"/>
        </w:rPr>
        <w:t>根据《危险化学品目录》（2015年版，2022年调整），本项目涉及的危险化学品为柴油。</w:t>
      </w:r>
    </w:p>
    <w:p w14:paraId="59B129EE">
      <w:pPr>
        <w:rPr>
          <w:rFonts w:hint="eastAsia"/>
          <w:color w:val="auto"/>
          <w:lang w:val="en-US" w:eastAsia="zh-CN"/>
        </w:rPr>
      </w:pPr>
      <w:r>
        <w:rPr>
          <w:rFonts w:hint="eastAsia"/>
          <w:color w:val="auto"/>
          <w:lang w:val="en-US" w:eastAsia="zh-CN"/>
        </w:rPr>
        <w:t>柴油危险特性见表3.1-1。</w:t>
      </w:r>
    </w:p>
    <w:p w14:paraId="2B49F909">
      <w:pPr>
        <w:ind w:left="0" w:leftChars="0" w:firstLine="0" w:firstLineChars="0"/>
        <w:jc w:val="center"/>
        <w:rPr>
          <w:rFonts w:hint="eastAsia"/>
          <w:color w:val="auto"/>
          <w:lang w:val="en-US" w:eastAsia="zh-CN"/>
        </w:rPr>
      </w:pPr>
      <w:r>
        <w:rPr>
          <w:rFonts w:hint="eastAsia"/>
          <w:color w:val="auto"/>
          <w:lang w:val="en-US" w:eastAsia="zh-CN"/>
        </w:rPr>
        <w:t>表3.1-1 危险化学品危险特性表</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6"/>
        <w:gridCol w:w="759"/>
        <w:gridCol w:w="669"/>
        <w:gridCol w:w="747"/>
        <w:gridCol w:w="1084"/>
        <w:gridCol w:w="864"/>
        <w:gridCol w:w="1163"/>
        <w:gridCol w:w="3028"/>
      </w:tblGrid>
      <w:tr w14:paraId="3F64D1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4" w:hRule="atLeast"/>
          <w:tblHeader/>
          <w:jc w:val="center"/>
        </w:trPr>
        <w:tc>
          <w:tcPr>
            <w:tcW w:w="906" w:type="dxa"/>
            <w:tcBorders>
              <w:tl2br w:val="nil"/>
              <w:tr2bl w:val="nil"/>
            </w:tcBorders>
            <w:noWrap w:val="0"/>
            <w:vAlign w:val="center"/>
          </w:tcPr>
          <w:p w14:paraId="665E2110">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危险化学品目录序号</w:t>
            </w:r>
          </w:p>
        </w:tc>
        <w:tc>
          <w:tcPr>
            <w:tcW w:w="759" w:type="dxa"/>
            <w:tcBorders>
              <w:tl2br w:val="nil"/>
              <w:tr2bl w:val="nil"/>
            </w:tcBorders>
            <w:noWrap w:val="0"/>
            <w:vAlign w:val="center"/>
          </w:tcPr>
          <w:p w14:paraId="3B3209EA">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品名</w:t>
            </w:r>
          </w:p>
        </w:tc>
        <w:tc>
          <w:tcPr>
            <w:tcW w:w="669" w:type="dxa"/>
            <w:tcBorders>
              <w:tl2br w:val="nil"/>
              <w:tr2bl w:val="nil"/>
            </w:tcBorders>
            <w:noWrap w:val="0"/>
            <w:vAlign w:val="center"/>
          </w:tcPr>
          <w:p w14:paraId="3E857282">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火灾</w:t>
            </w:r>
          </w:p>
          <w:p w14:paraId="4A721A3F">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类别</w:t>
            </w:r>
          </w:p>
        </w:tc>
        <w:tc>
          <w:tcPr>
            <w:tcW w:w="747" w:type="dxa"/>
            <w:tcBorders>
              <w:tl2br w:val="nil"/>
              <w:tr2bl w:val="nil"/>
            </w:tcBorders>
            <w:noWrap w:val="0"/>
            <w:vAlign w:val="center"/>
          </w:tcPr>
          <w:p w14:paraId="684F26FC">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闪点</w:t>
            </w:r>
          </w:p>
        </w:tc>
        <w:tc>
          <w:tcPr>
            <w:tcW w:w="1084" w:type="dxa"/>
            <w:tcBorders>
              <w:tl2br w:val="nil"/>
              <w:tr2bl w:val="nil"/>
            </w:tcBorders>
            <w:noWrap w:val="0"/>
            <w:vAlign w:val="center"/>
          </w:tcPr>
          <w:p w14:paraId="434C1FBA">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沸点</w:t>
            </w:r>
          </w:p>
        </w:tc>
        <w:tc>
          <w:tcPr>
            <w:tcW w:w="864" w:type="dxa"/>
            <w:tcBorders>
              <w:tl2br w:val="nil"/>
              <w:tr2bl w:val="nil"/>
            </w:tcBorders>
            <w:noWrap w:val="0"/>
            <w:vAlign w:val="center"/>
          </w:tcPr>
          <w:p w14:paraId="4065F935">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爆炸极限（%）</w:t>
            </w:r>
          </w:p>
        </w:tc>
        <w:tc>
          <w:tcPr>
            <w:tcW w:w="1163" w:type="dxa"/>
            <w:tcBorders>
              <w:tl2br w:val="nil"/>
              <w:tr2bl w:val="nil"/>
            </w:tcBorders>
            <w:noWrap w:val="0"/>
            <w:vAlign w:val="center"/>
          </w:tcPr>
          <w:p w14:paraId="369F5F93">
            <w:pPr>
              <w:widowControl/>
              <w:spacing w:line="240" w:lineRule="exact"/>
              <w:ind w:firstLine="0" w:firstLineChars="0"/>
              <w:jc w:val="center"/>
              <w:rPr>
                <w:rFonts w:ascii="Times New Roman" w:hAnsi="Times New Roman" w:eastAsia="宋体" w:cs="Times New Roman"/>
                <w:b/>
                <w:color w:val="auto"/>
                <w:kern w:val="0"/>
                <w:sz w:val="21"/>
                <w:szCs w:val="21"/>
              </w:rPr>
            </w:pPr>
            <w:r>
              <w:rPr>
                <w:rFonts w:ascii="Times New Roman" w:hAnsi="Times New Roman" w:eastAsia="宋体" w:cs="Times New Roman"/>
                <w:b/>
                <w:color w:val="auto"/>
                <w:kern w:val="0"/>
                <w:sz w:val="21"/>
                <w:szCs w:val="21"/>
              </w:rPr>
              <w:t>CAS号</w:t>
            </w:r>
          </w:p>
        </w:tc>
        <w:tc>
          <w:tcPr>
            <w:tcW w:w="3028" w:type="dxa"/>
            <w:tcBorders>
              <w:tl2br w:val="nil"/>
              <w:tr2bl w:val="nil"/>
            </w:tcBorders>
            <w:noWrap w:val="0"/>
            <w:vAlign w:val="center"/>
          </w:tcPr>
          <w:p w14:paraId="64FDAA98">
            <w:pPr>
              <w:keepNext w:val="0"/>
              <w:keepLines w:val="0"/>
              <w:pageBreakBefore w:val="0"/>
              <w:widowControl/>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b/>
                <w:bCs/>
                <w:color w:val="auto"/>
                <w:kern w:val="2"/>
                <w:sz w:val="21"/>
                <w:szCs w:val="24"/>
              </w:rPr>
            </w:pPr>
            <w:r>
              <w:rPr>
                <w:rFonts w:ascii="Times New Roman" w:hAnsi="Times New Roman" w:eastAsia="宋体" w:cs="Times New Roman"/>
                <w:b/>
                <w:bCs/>
                <w:color w:val="auto"/>
                <w:kern w:val="2"/>
                <w:sz w:val="21"/>
                <w:szCs w:val="24"/>
              </w:rPr>
              <w:t>危险性类别</w:t>
            </w:r>
          </w:p>
          <w:p w14:paraId="2E57F78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4"/>
                <w:lang w:val="en-US" w:eastAsia="zh-CN" w:bidi="ar-SA"/>
              </w:rPr>
            </w:pPr>
            <w:r>
              <w:rPr>
                <w:rFonts w:ascii="Times New Roman" w:hAnsi="Times New Roman" w:eastAsia="宋体" w:cs="Times New Roman"/>
                <w:b/>
                <w:bCs/>
                <w:color w:val="auto"/>
                <w:kern w:val="2"/>
                <w:sz w:val="21"/>
                <w:szCs w:val="24"/>
                <w:lang w:val="en-US" w:eastAsia="zh-CN" w:bidi="ar-SA"/>
              </w:rPr>
              <w:t>《危险化学品分类信息表》</w:t>
            </w:r>
          </w:p>
        </w:tc>
      </w:tr>
      <w:tr w14:paraId="4FC2E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4" w:hRule="atLeast"/>
          <w:tblHeader/>
          <w:jc w:val="center"/>
        </w:trPr>
        <w:tc>
          <w:tcPr>
            <w:tcW w:w="906" w:type="dxa"/>
            <w:tcBorders>
              <w:tl2br w:val="nil"/>
              <w:tr2bl w:val="nil"/>
            </w:tcBorders>
            <w:noWrap w:val="0"/>
            <w:vAlign w:val="center"/>
          </w:tcPr>
          <w:p w14:paraId="19CB6ECE">
            <w:pPr>
              <w:spacing w:line="240" w:lineRule="exact"/>
              <w:ind w:firstLine="0" w:firstLineChars="0"/>
              <w:jc w:val="center"/>
              <w:rPr>
                <w:rFonts w:ascii="Times New Roman" w:hAnsi="Times New Roman" w:eastAsia="宋体" w:cs="Times New Roman"/>
                <w:bCs/>
                <w:color w:val="auto"/>
                <w:kern w:val="2"/>
                <w:sz w:val="21"/>
                <w:szCs w:val="21"/>
              </w:rPr>
            </w:pPr>
            <w:r>
              <w:rPr>
                <w:rFonts w:ascii="Times New Roman" w:hAnsi="Times New Roman" w:eastAsia="宋体" w:cs="Times New Roman"/>
                <w:color w:val="auto"/>
                <w:kern w:val="2"/>
                <w:sz w:val="21"/>
                <w:szCs w:val="21"/>
              </w:rPr>
              <w:t>1674</w:t>
            </w:r>
          </w:p>
        </w:tc>
        <w:tc>
          <w:tcPr>
            <w:tcW w:w="759" w:type="dxa"/>
            <w:tcBorders>
              <w:tl2br w:val="nil"/>
              <w:tr2bl w:val="nil"/>
            </w:tcBorders>
            <w:noWrap w:val="0"/>
            <w:vAlign w:val="center"/>
          </w:tcPr>
          <w:p w14:paraId="12DAEE03">
            <w:pPr>
              <w:spacing w:line="240" w:lineRule="exact"/>
              <w:ind w:firstLine="0" w:firstLineChars="0"/>
              <w:jc w:val="center"/>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柴油</w:t>
            </w:r>
          </w:p>
        </w:tc>
        <w:tc>
          <w:tcPr>
            <w:tcW w:w="669" w:type="dxa"/>
            <w:tcBorders>
              <w:tl2br w:val="nil"/>
              <w:tr2bl w:val="nil"/>
            </w:tcBorders>
            <w:noWrap w:val="0"/>
            <w:vAlign w:val="center"/>
          </w:tcPr>
          <w:p w14:paraId="66AF3360">
            <w:pPr>
              <w:spacing w:line="240" w:lineRule="exact"/>
              <w:ind w:firstLine="0" w:firstLineChars="0"/>
              <w:jc w:val="center"/>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丙</w:t>
            </w:r>
            <w:r>
              <w:rPr>
                <w:rFonts w:ascii="Times New Roman" w:hAnsi="Times New Roman" w:eastAsia="宋体" w:cs="Times New Roman"/>
                <w:color w:val="auto"/>
                <w:kern w:val="2"/>
                <w:sz w:val="21"/>
                <w:szCs w:val="21"/>
                <w:vertAlign w:val="subscript"/>
              </w:rPr>
              <w:t>A</w:t>
            </w:r>
          </w:p>
        </w:tc>
        <w:tc>
          <w:tcPr>
            <w:tcW w:w="747" w:type="dxa"/>
            <w:tcBorders>
              <w:tl2br w:val="nil"/>
              <w:tr2bl w:val="nil"/>
            </w:tcBorders>
            <w:noWrap w:val="0"/>
            <w:vAlign w:val="center"/>
          </w:tcPr>
          <w:p w14:paraId="70842FBF">
            <w:pPr>
              <w:spacing w:line="240" w:lineRule="exact"/>
              <w:ind w:firstLine="0" w:firstLineChars="0"/>
              <w:jc w:val="center"/>
              <w:rPr>
                <w:rFonts w:ascii="Times New Roman" w:hAnsi="Times New Roman" w:eastAsia="宋体" w:cs="Times New Roman"/>
                <w:color w:val="auto"/>
                <w:kern w:val="2"/>
                <w:sz w:val="21"/>
                <w:szCs w:val="21"/>
              </w:rPr>
            </w:pPr>
            <w:r>
              <w:rPr>
                <w:rFonts w:hint="eastAsia" w:cs="Times New Roman"/>
                <w:color w:val="auto"/>
                <w:kern w:val="2"/>
                <w:sz w:val="21"/>
                <w:szCs w:val="21"/>
                <w:lang w:val="en-US" w:eastAsia="zh-CN"/>
              </w:rPr>
              <w:t>≥</w:t>
            </w:r>
            <w:r>
              <w:rPr>
                <w:rFonts w:ascii="Times New Roman" w:hAnsi="Times New Roman" w:eastAsia="宋体" w:cs="Times New Roman"/>
                <w:color w:val="auto"/>
                <w:kern w:val="2"/>
                <w:sz w:val="21"/>
                <w:szCs w:val="21"/>
              </w:rPr>
              <w:t>60</w:t>
            </w:r>
          </w:p>
        </w:tc>
        <w:tc>
          <w:tcPr>
            <w:tcW w:w="1084" w:type="dxa"/>
            <w:tcBorders>
              <w:tl2br w:val="nil"/>
              <w:tr2bl w:val="nil"/>
            </w:tcBorders>
            <w:noWrap w:val="0"/>
            <w:vAlign w:val="center"/>
          </w:tcPr>
          <w:p w14:paraId="545AE02E">
            <w:pPr>
              <w:spacing w:line="240" w:lineRule="exact"/>
              <w:ind w:firstLine="0" w:firstLineChars="0"/>
              <w:jc w:val="left"/>
              <w:rPr>
                <w:rFonts w:ascii="Times New Roman" w:hAnsi="Times New Roman" w:eastAsia="宋体" w:cs="Times New Roman"/>
                <w:color w:val="auto"/>
                <w:kern w:val="0"/>
                <w:sz w:val="21"/>
                <w:szCs w:val="21"/>
              </w:rPr>
            </w:pPr>
            <w:r>
              <w:rPr>
                <w:rFonts w:ascii="Times New Roman" w:hAnsi="Times New Roman" w:eastAsia="宋体" w:cs="Times New Roman"/>
                <w:color w:val="auto"/>
                <w:kern w:val="2"/>
                <w:sz w:val="21"/>
                <w:szCs w:val="21"/>
              </w:rPr>
              <w:t>282～338</w:t>
            </w:r>
          </w:p>
        </w:tc>
        <w:tc>
          <w:tcPr>
            <w:tcW w:w="864" w:type="dxa"/>
            <w:tcBorders>
              <w:tl2br w:val="nil"/>
              <w:tr2bl w:val="nil"/>
            </w:tcBorders>
            <w:noWrap w:val="0"/>
            <w:vAlign w:val="center"/>
          </w:tcPr>
          <w:p w14:paraId="73C6064E">
            <w:pPr>
              <w:spacing w:line="240" w:lineRule="exact"/>
              <w:ind w:firstLine="0" w:firstLineChars="0"/>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kern w:val="0"/>
                <w:sz w:val="21"/>
                <w:szCs w:val="21"/>
              </w:rPr>
              <w:t>-</w:t>
            </w:r>
          </w:p>
        </w:tc>
        <w:tc>
          <w:tcPr>
            <w:tcW w:w="1163" w:type="dxa"/>
            <w:tcBorders>
              <w:tl2br w:val="nil"/>
              <w:tr2bl w:val="nil"/>
            </w:tcBorders>
            <w:noWrap w:val="0"/>
            <w:vAlign w:val="center"/>
          </w:tcPr>
          <w:p w14:paraId="17BE0E01">
            <w:pPr>
              <w:spacing w:line="240" w:lineRule="exact"/>
              <w:ind w:firstLine="0" w:firstLineChars="0"/>
              <w:jc w:val="center"/>
              <w:rPr>
                <w:rFonts w:ascii="Times New Roman" w:hAnsi="Times New Roman" w:eastAsia="宋体" w:cs="Times New Roman"/>
                <w:b/>
                <w:color w:val="auto"/>
                <w:kern w:val="2"/>
                <w:sz w:val="21"/>
                <w:szCs w:val="21"/>
              </w:rPr>
            </w:pPr>
            <w:r>
              <w:rPr>
                <w:rFonts w:ascii="Times New Roman" w:hAnsi="Times New Roman" w:eastAsia="宋体" w:cs="Times New Roman"/>
                <w:b/>
                <w:color w:val="auto"/>
                <w:kern w:val="2"/>
                <w:sz w:val="21"/>
                <w:szCs w:val="21"/>
              </w:rPr>
              <w:t>-</w:t>
            </w:r>
          </w:p>
        </w:tc>
        <w:tc>
          <w:tcPr>
            <w:tcW w:w="3028" w:type="dxa"/>
            <w:tcBorders>
              <w:tl2br w:val="nil"/>
              <w:tr2bl w:val="nil"/>
            </w:tcBorders>
            <w:noWrap w:val="0"/>
            <w:vAlign w:val="center"/>
          </w:tcPr>
          <w:p w14:paraId="65A5FBE3">
            <w:pPr>
              <w:widowControl/>
              <w:spacing w:line="240" w:lineRule="exact"/>
              <w:ind w:firstLine="0" w:firstLineChars="0"/>
              <w:jc w:val="center"/>
              <w:rPr>
                <w:rFonts w:ascii="Times New Roman" w:hAnsi="Times New Roman" w:eastAsia="宋体" w:cs="Times New Roman"/>
                <w:color w:val="auto"/>
                <w:kern w:val="2"/>
                <w:sz w:val="21"/>
                <w:szCs w:val="21"/>
              </w:rPr>
            </w:pPr>
            <w:r>
              <w:rPr>
                <w:rFonts w:ascii="Times New Roman" w:hAnsi="Times New Roman" w:eastAsia="宋体" w:cs="Times New Roman"/>
                <w:color w:val="auto"/>
                <w:kern w:val="0"/>
                <w:sz w:val="20"/>
                <w:szCs w:val="20"/>
              </w:rPr>
              <w:t>易燃液体,类别3</w:t>
            </w:r>
          </w:p>
        </w:tc>
      </w:tr>
    </w:tbl>
    <w:p w14:paraId="79029BE1">
      <w:pPr>
        <w:bidi w:val="0"/>
        <w:rPr>
          <w:rFonts w:hint="eastAsia"/>
          <w:color w:val="auto"/>
          <w:lang w:val="en-US" w:eastAsia="zh-CN"/>
        </w:rPr>
      </w:pPr>
      <w:r>
        <w:rPr>
          <w:rFonts w:hint="eastAsia"/>
          <w:color w:val="auto"/>
          <w:lang w:val="en-US" w:eastAsia="zh-CN"/>
        </w:rPr>
        <w:t>柴油理化性质详见表3.1-2。</w:t>
      </w:r>
    </w:p>
    <w:p w14:paraId="0A8D05A5">
      <w:pPr>
        <w:bidi w:val="0"/>
        <w:ind w:left="0" w:leftChars="0" w:firstLine="0" w:firstLineChars="0"/>
        <w:jc w:val="center"/>
        <w:rPr>
          <w:rFonts w:hint="eastAsia"/>
          <w:color w:val="auto"/>
          <w:lang w:val="en-US" w:eastAsia="zh-CN"/>
        </w:rPr>
      </w:pPr>
      <w:r>
        <w:rPr>
          <w:rFonts w:hint="eastAsia"/>
          <w:color w:val="auto"/>
          <w:lang w:val="en-US" w:eastAsia="zh-CN"/>
        </w:rPr>
        <w:t>表3.1-2 柴油</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998"/>
        <w:gridCol w:w="1465"/>
        <w:gridCol w:w="900"/>
        <w:gridCol w:w="2179"/>
        <w:gridCol w:w="1514"/>
      </w:tblGrid>
      <w:tr w14:paraId="3138C0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1095" w:type="dxa"/>
            <w:tcBorders>
              <w:tl2br w:val="nil"/>
              <w:tr2bl w:val="nil"/>
            </w:tcBorders>
            <w:noWrap w:val="0"/>
            <w:vAlign w:val="center"/>
          </w:tcPr>
          <w:p w14:paraId="286ED96B">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品    名</w:t>
            </w:r>
          </w:p>
        </w:tc>
        <w:tc>
          <w:tcPr>
            <w:tcW w:w="1998" w:type="dxa"/>
            <w:tcBorders>
              <w:tl2br w:val="nil"/>
              <w:tr2bl w:val="nil"/>
            </w:tcBorders>
            <w:noWrap w:val="0"/>
            <w:vAlign w:val="center"/>
          </w:tcPr>
          <w:p w14:paraId="670780BB">
            <w:pPr>
              <w:spacing w:line="240" w:lineRule="exact"/>
              <w:ind w:firstLine="0" w:firstLineChars="0"/>
              <w:jc w:val="center"/>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柴油</w:t>
            </w:r>
          </w:p>
        </w:tc>
        <w:tc>
          <w:tcPr>
            <w:tcW w:w="1465" w:type="dxa"/>
            <w:tcBorders>
              <w:tl2br w:val="nil"/>
              <w:tr2bl w:val="nil"/>
            </w:tcBorders>
            <w:noWrap w:val="0"/>
            <w:vAlign w:val="center"/>
          </w:tcPr>
          <w:p w14:paraId="1974194E">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别      名</w:t>
            </w:r>
          </w:p>
        </w:tc>
        <w:tc>
          <w:tcPr>
            <w:tcW w:w="900" w:type="dxa"/>
            <w:tcBorders>
              <w:tl2br w:val="nil"/>
              <w:tr2bl w:val="nil"/>
            </w:tcBorders>
            <w:noWrap w:val="0"/>
            <w:vAlign w:val="center"/>
          </w:tcPr>
          <w:p w14:paraId="6E3B18D4">
            <w:pPr>
              <w:spacing w:line="240" w:lineRule="exact"/>
              <w:ind w:firstLine="0" w:firstLineChars="0"/>
              <w:jc w:val="center"/>
              <w:rPr>
                <w:rFonts w:ascii="Times New Roman" w:hAnsi="Times New Roman" w:eastAsia="宋体" w:cs="Times New Roman"/>
                <w:color w:val="auto"/>
                <w:kern w:val="2"/>
                <w:sz w:val="21"/>
                <w:szCs w:val="21"/>
              </w:rPr>
            </w:pPr>
          </w:p>
        </w:tc>
        <w:tc>
          <w:tcPr>
            <w:tcW w:w="2179" w:type="dxa"/>
            <w:tcBorders>
              <w:tl2br w:val="nil"/>
              <w:tr2bl w:val="nil"/>
            </w:tcBorders>
            <w:noWrap w:val="0"/>
            <w:vAlign w:val="center"/>
          </w:tcPr>
          <w:p w14:paraId="6B5D382E">
            <w:pPr>
              <w:spacing w:line="26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危险化学品目录序号</w:t>
            </w:r>
          </w:p>
        </w:tc>
        <w:tc>
          <w:tcPr>
            <w:tcW w:w="1514" w:type="dxa"/>
            <w:tcBorders>
              <w:tl2br w:val="nil"/>
              <w:tr2bl w:val="nil"/>
            </w:tcBorders>
            <w:noWrap w:val="0"/>
            <w:vAlign w:val="center"/>
          </w:tcPr>
          <w:p w14:paraId="09CD64D3">
            <w:pPr>
              <w:spacing w:line="260" w:lineRule="exact"/>
              <w:ind w:firstLine="210" w:firstLineChars="10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1674</w:t>
            </w:r>
          </w:p>
        </w:tc>
      </w:tr>
      <w:tr w14:paraId="0BCAEF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095" w:type="dxa"/>
            <w:tcBorders>
              <w:tl2br w:val="nil"/>
              <w:tr2bl w:val="nil"/>
            </w:tcBorders>
            <w:noWrap w:val="0"/>
            <w:vAlign w:val="center"/>
          </w:tcPr>
          <w:p w14:paraId="04614BFE">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英文名称</w:t>
            </w:r>
          </w:p>
        </w:tc>
        <w:tc>
          <w:tcPr>
            <w:tcW w:w="1998" w:type="dxa"/>
            <w:tcBorders>
              <w:tl2br w:val="nil"/>
              <w:tr2bl w:val="nil"/>
            </w:tcBorders>
            <w:noWrap w:val="0"/>
            <w:vAlign w:val="center"/>
          </w:tcPr>
          <w:p w14:paraId="71FBE40E">
            <w:pPr>
              <w:spacing w:line="240" w:lineRule="exact"/>
              <w:ind w:firstLine="315" w:firstLineChars="150"/>
              <w:jc w:val="left"/>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Diesel  oil</w:t>
            </w:r>
          </w:p>
        </w:tc>
        <w:tc>
          <w:tcPr>
            <w:tcW w:w="1465" w:type="dxa"/>
            <w:tcBorders>
              <w:tl2br w:val="nil"/>
              <w:tr2bl w:val="nil"/>
            </w:tcBorders>
            <w:noWrap w:val="0"/>
            <w:vAlign w:val="center"/>
          </w:tcPr>
          <w:p w14:paraId="55C38506">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分  子  式</w:t>
            </w:r>
          </w:p>
        </w:tc>
        <w:tc>
          <w:tcPr>
            <w:tcW w:w="900" w:type="dxa"/>
            <w:tcBorders>
              <w:tl2br w:val="nil"/>
              <w:tr2bl w:val="nil"/>
            </w:tcBorders>
            <w:noWrap w:val="0"/>
            <w:vAlign w:val="center"/>
          </w:tcPr>
          <w:p w14:paraId="75ECC27A">
            <w:pPr>
              <w:spacing w:line="240" w:lineRule="exact"/>
              <w:ind w:firstLine="0" w:firstLineChars="0"/>
              <w:jc w:val="center"/>
              <w:rPr>
                <w:rFonts w:ascii="Times New Roman" w:hAnsi="Times New Roman" w:eastAsia="宋体" w:cs="Times New Roman"/>
                <w:color w:val="auto"/>
                <w:kern w:val="2"/>
                <w:sz w:val="21"/>
                <w:szCs w:val="21"/>
              </w:rPr>
            </w:pPr>
          </w:p>
        </w:tc>
        <w:tc>
          <w:tcPr>
            <w:tcW w:w="2179" w:type="dxa"/>
            <w:tcBorders>
              <w:tl2br w:val="nil"/>
              <w:tr2bl w:val="nil"/>
            </w:tcBorders>
            <w:noWrap w:val="0"/>
            <w:vAlign w:val="center"/>
          </w:tcPr>
          <w:p w14:paraId="2C94905D">
            <w:pPr>
              <w:spacing w:line="240" w:lineRule="exact"/>
              <w:ind w:firstLine="0" w:firstLineChars="0"/>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分  子  量</w:t>
            </w:r>
          </w:p>
        </w:tc>
        <w:tc>
          <w:tcPr>
            <w:tcW w:w="1514" w:type="dxa"/>
            <w:tcBorders>
              <w:tl2br w:val="nil"/>
              <w:tr2bl w:val="nil"/>
            </w:tcBorders>
            <w:noWrap w:val="0"/>
            <w:vAlign w:val="center"/>
          </w:tcPr>
          <w:p w14:paraId="1B5DC508">
            <w:pPr>
              <w:spacing w:line="240" w:lineRule="exact"/>
              <w:ind w:left="-261" w:leftChars="-94" w:hanging="2" w:firstLineChars="0"/>
              <w:jc w:val="center"/>
              <w:rPr>
                <w:rFonts w:ascii="Times New Roman" w:hAnsi="Times New Roman" w:eastAsia="宋体" w:cs="Times New Roman"/>
                <w:color w:val="auto"/>
                <w:kern w:val="2"/>
                <w:sz w:val="21"/>
                <w:szCs w:val="21"/>
              </w:rPr>
            </w:pPr>
          </w:p>
        </w:tc>
      </w:tr>
      <w:tr w14:paraId="0CDE55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57" w:hRule="atLeast"/>
          <w:jc w:val="center"/>
        </w:trPr>
        <w:tc>
          <w:tcPr>
            <w:tcW w:w="1095" w:type="dxa"/>
            <w:tcBorders>
              <w:tl2br w:val="nil"/>
              <w:tr2bl w:val="nil"/>
            </w:tcBorders>
            <w:noWrap w:val="0"/>
            <w:vAlign w:val="center"/>
          </w:tcPr>
          <w:p w14:paraId="17AFDB07">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理</w:t>
            </w:r>
          </w:p>
          <w:p w14:paraId="45B81BD1">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化</w:t>
            </w:r>
          </w:p>
          <w:p w14:paraId="1B1D55E9">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性</w:t>
            </w:r>
          </w:p>
          <w:p w14:paraId="7340A645">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质</w:t>
            </w:r>
          </w:p>
        </w:tc>
        <w:tc>
          <w:tcPr>
            <w:tcW w:w="8056" w:type="dxa"/>
            <w:gridSpan w:val="5"/>
            <w:tcBorders>
              <w:tl2br w:val="nil"/>
              <w:tr2bl w:val="nil"/>
            </w:tcBorders>
            <w:noWrap w:val="0"/>
            <w:vAlign w:val="center"/>
          </w:tcPr>
          <w:p w14:paraId="08CED4BE">
            <w:pPr>
              <w:spacing w:line="240" w:lineRule="exact"/>
              <w:ind w:firstLine="0" w:firstLineChars="0"/>
              <w:jc w:val="left"/>
              <w:rPr>
                <w:rFonts w:ascii="Times New Roman" w:hAnsi="Times New Roman" w:eastAsia="宋体" w:cs="Times New Roman"/>
                <w:color w:val="auto"/>
                <w:kern w:val="2"/>
                <w:sz w:val="21"/>
                <w:szCs w:val="21"/>
              </w:rPr>
            </w:pPr>
            <w:r>
              <w:rPr>
                <w:rFonts w:ascii="Times New Roman" w:hAnsi="Times New Roman" w:eastAsia="宋体" w:cs="Times New Roman"/>
                <w:color w:val="auto"/>
                <w:kern w:val="0"/>
                <w:sz w:val="20"/>
                <w:szCs w:val="20"/>
              </w:rPr>
              <w:t>易燃液体,类别3</w:t>
            </w:r>
            <w:r>
              <w:rPr>
                <w:rFonts w:hint="eastAsia" w:ascii="Times New Roman" w:hAnsi="Times New Roman" w:eastAsia="宋体" w:cs="Times New Roman"/>
                <w:color w:val="auto"/>
                <w:kern w:val="0"/>
                <w:sz w:val="20"/>
                <w:szCs w:val="20"/>
                <w:lang w:val="en-US" w:eastAsia="zh-CN"/>
              </w:rPr>
              <w:t xml:space="preserve">                  </w:t>
            </w:r>
            <w:r>
              <w:rPr>
                <w:rFonts w:ascii="Times New Roman" w:hAnsi="Times New Roman" w:eastAsia="宋体" w:cs="Times New Roman"/>
                <w:color w:val="auto"/>
                <w:kern w:val="2"/>
                <w:sz w:val="21"/>
                <w:szCs w:val="21"/>
              </w:rPr>
              <w:t>外观与性状：稍有粘性的棕色液体。</w:t>
            </w:r>
          </w:p>
          <w:p w14:paraId="6AC796C6">
            <w:pPr>
              <w:spacing w:line="240" w:lineRule="exact"/>
              <w:ind w:firstLine="0" w:firstLineChars="0"/>
              <w:jc w:val="left"/>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熔点（℃）：　&lt;</w:t>
            </w:r>
            <w:r>
              <w:rPr>
                <w:rFonts w:hint="eastAsia" w:ascii="宋体" w:hAnsi="宋体" w:eastAsia="宋体" w:cs="宋体"/>
                <w:color w:val="auto"/>
                <w:kern w:val="2"/>
                <w:sz w:val="21"/>
                <w:szCs w:val="21"/>
              </w:rPr>
              <w:t>-</w:t>
            </w:r>
            <w:r>
              <w:rPr>
                <w:rFonts w:ascii="Times New Roman" w:hAnsi="Times New Roman" w:eastAsia="宋体" w:cs="Times New Roman"/>
                <w:color w:val="auto"/>
                <w:kern w:val="2"/>
                <w:sz w:val="21"/>
                <w:szCs w:val="21"/>
              </w:rPr>
              <w:t xml:space="preserve">18　 </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沸点（℃）：　282-338</w:t>
            </w:r>
          </w:p>
          <w:p w14:paraId="50A00F6B">
            <w:pPr>
              <w:spacing w:line="240" w:lineRule="exact"/>
              <w:ind w:firstLine="0" w:firstLineChars="0"/>
              <w:jc w:val="left"/>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相对密度（水＝1）：　0.8-0.9    相对密度（空气＝1）：　</w:t>
            </w:r>
          </w:p>
          <w:p w14:paraId="54DE1C65">
            <w:pPr>
              <w:spacing w:line="240" w:lineRule="exact"/>
              <w:ind w:firstLine="0" w:firstLineChars="0"/>
              <w:jc w:val="left"/>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 xml:space="preserve">饱和蒸气压（kPa）：无资料   </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燃烧热（kJ/kg） ：</w:t>
            </w:r>
            <w:r>
              <w:rPr>
                <w:rFonts w:hint="eastAsia" w:ascii="Times New Roman" w:hAnsi="Times New Roman" w:eastAsia="宋体" w:cs="Times New Roman"/>
                <w:color w:val="auto"/>
                <w:kern w:val="2"/>
                <w:sz w:val="21"/>
                <w:szCs w:val="21"/>
              </w:rPr>
              <w:t>42552</w:t>
            </w:r>
            <w:r>
              <w:rPr>
                <w:rFonts w:ascii="Times New Roman" w:hAnsi="Times New Roman" w:eastAsia="宋体" w:cs="Times New Roman"/>
                <w:color w:val="auto"/>
                <w:kern w:val="2"/>
                <w:sz w:val="21"/>
                <w:szCs w:val="21"/>
              </w:rPr>
              <w:t xml:space="preserve"> kJ/kg </w:t>
            </w:r>
          </w:p>
        </w:tc>
      </w:tr>
      <w:tr w14:paraId="0B28A5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23" w:hRule="atLeast"/>
          <w:jc w:val="center"/>
        </w:trPr>
        <w:tc>
          <w:tcPr>
            <w:tcW w:w="1095" w:type="dxa"/>
            <w:tcBorders>
              <w:tl2br w:val="nil"/>
              <w:tr2bl w:val="nil"/>
            </w:tcBorders>
            <w:noWrap w:val="0"/>
            <w:vAlign w:val="center"/>
          </w:tcPr>
          <w:p w14:paraId="2364F85E">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燃烧</w:t>
            </w:r>
          </w:p>
          <w:p w14:paraId="058D0FF9">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爆炸</w:t>
            </w:r>
          </w:p>
          <w:p w14:paraId="7E019E9B">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危险</w:t>
            </w:r>
          </w:p>
          <w:p w14:paraId="61BFC8D7">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性</w:t>
            </w:r>
          </w:p>
        </w:tc>
        <w:tc>
          <w:tcPr>
            <w:tcW w:w="8056" w:type="dxa"/>
            <w:gridSpan w:val="5"/>
            <w:tcBorders>
              <w:tl2br w:val="nil"/>
              <w:tr2bl w:val="nil"/>
            </w:tcBorders>
            <w:noWrap w:val="0"/>
            <w:vAlign w:val="top"/>
          </w:tcPr>
          <w:p w14:paraId="2A344F35">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 xml:space="preserve">燃烧性：易燃     </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建规火险等级：丙A类</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 xml:space="preserve">闪点：≥60℃      </w:t>
            </w:r>
          </w:p>
          <w:p w14:paraId="686FF99E">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 xml:space="preserve">爆炸下限（V%）：无资料   </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自燃温度：257℃</w:t>
            </w:r>
          </w:p>
          <w:p w14:paraId="46605884">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危险特性：遇明火、高热或与氧化剂接触，有引起燃烧爆炸的危险。若遇高热，容器内压增大，有开裂和爆炸的危险。</w:t>
            </w:r>
          </w:p>
          <w:p w14:paraId="0E30D25B">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 xml:space="preserve">稳定性：稳定     </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 xml:space="preserve">聚合危害：无      </w:t>
            </w:r>
          </w:p>
          <w:p w14:paraId="1DDAC334">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禁忌物：强氧化剂、卤素。</w:t>
            </w:r>
            <w:r>
              <w:rPr>
                <w:rFonts w:hint="eastAsia" w:ascii="Times New Roman" w:hAnsi="Times New Roman" w:eastAsia="宋体" w:cs="Times New Roman"/>
                <w:color w:val="auto"/>
                <w:kern w:val="2"/>
                <w:sz w:val="21"/>
                <w:szCs w:val="21"/>
                <w:lang w:val="en-US" w:eastAsia="zh-CN"/>
              </w:rPr>
              <w:t xml:space="preserve">         </w:t>
            </w:r>
            <w:r>
              <w:rPr>
                <w:rFonts w:ascii="Times New Roman" w:hAnsi="Times New Roman" w:eastAsia="宋体" w:cs="Times New Roman"/>
                <w:color w:val="auto"/>
                <w:kern w:val="2"/>
                <w:sz w:val="21"/>
                <w:szCs w:val="21"/>
              </w:rPr>
              <w:t>灭火方法：泡沫、二氧化碳、干粉、砂土。</w:t>
            </w:r>
          </w:p>
        </w:tc>
      </w:tr>
      <w:tr w14:paraId="49939E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1095" w:type="dxa"/>
            <w:tcBorders>
              <w:tl2br w:val="nil"/>
              <w:tr2bl w:val="nil"/>
            </w:tcBorders>
            <w:noWrap w:val="0"/>
            <w:vAlign w:val="center"/>
          </w:tcPr>
          <w:p w14:paraId="59543B9E">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毒性</w:t>
            </w:r>
          </w:p>
          <w:p w14:paraId="590DB106">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及健康</w:t>
            </w:r>
          </w:p>
          <w:p w14:paraId="54557A86">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危害</w:t>
            </w:r>
          </w:p>
          <w:p w14:paraId="5905D27C">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性</w:t>
            </w:r>
          </w:p>
        </w:tc>
        <w:tc>
          <w:tcPr>
            <w:tcW w:w="8056" w:type="dxa"/>
            <w:gridSpan w:val="5"/>
            <w:tcBorders>
              <w:tl2br w:val="nil"/>
              <w:tr2bl w:val="nil"/>
            </w:tcBorders>
            <w:noWrap w:val="0"/>
            <w:vAlign w:val="center"/>
          </w:tcPr>
          <w:p w14:paraId="7C56A044">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 xml:space="preserve">接触限值：中国MAC：未制定标准。    </w:t>
            </w:r>
          </w:p>
          <w:p w14:paraId="5ECB934B">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侵入途径：吸入，食入，经皮吸收。</w:t>
            </w:r>
          </w:p>
          <w:p w14:paraId="77C74F61">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健康危害：具有刺激作用。皮肤接触柴油可引起接触性皮炎，油性痤疮，吸入可引起性肺炎。能经胎盘进入胎儿血中。柴油废气可引起眼、鼻刺激症状，头晕及头痛。</w:t>
            </w:r>
          </w:p>
        </w:tc>
      </w:tr>
      <w:tr w14:paraId="3671A5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95" w:type="dxa"/>
            <w:tcBorders>
              <w:tl2br w:val="nil"/>
              <w:tr2bl w:val="nil"/>
            </w:tcBorders>
            <w:noWrap w:val="0"/>
            <w:vAlign w:val="center"/>
          </w:tcPr>
          <w:p w14:paraId="61125C68">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急救</w:t>
            </w:r>
          </w:p>
        </w:tc>
        <w:tc>
          <w:tcPr>
            <w:tcW w:w="8056" w:type="dxa"/>
            <w:gridSpan w:val="5"/>
            <w:tcBorders>
              <w:tl2br w:val="nil"/>
              <w:tr2bl w:val="nil"/>
            </w:tcBorders>
            <w:noWrap w:val="0"/>
            <w:vAlign w:val="center"/>
          </w:tcPr>
          <w:p w14:paraId="3E0AC58A">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吸入：迅速脱离污染区，就医。防治吸入性肺炎。</w:t>
            </w:r>
          </w:p>
          <w:p w14:paraId="5E340F05">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食入：误服者饮牛奶或植物油，洗胃或灌肠，就医。</w:t>
            </w:r>
            <w:r>
              <w:rPr>
                <w:rFonts w:ascii="Times New Roman" w:hAnsi="Times New Roman" w:eastAsia="宋体" w:cs="Times New Roman"/>
                <w:color w:val="auto"/>
                <w:kern w:val="2"/>
                <w:sz w:val="21"/>
                <w:szCs w:val="21"/>
              </w:rPr>
              <w:tab/>
            </w:r>
            <w:r>
              <w:rPr>
                <w:rFonts w:ascii="Times New Roman" w:hAnsi="Times New Roman" w:eastAsia="宋体" w:cs="Times New Roman"/>
                <w:color w:val="auto"/>
                <w:kern w:val="2"/>
                <w:sz w:val="21"/>
                <w:szCs w:val="21"/>
              </w:rPr>
              <w:tab/>
            </w:r>
          </w:p>
          <w:p w14:paraId="373FE67E">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眼睛接触：立即提起眼睑，用流动清水或生理盐水冲洗至少15分钟，就医。</w:t>
            </w:r>
          </w:p>
          <w:p w14:paraId="30CA38D8">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皮肤接触：脱去污染的衣着，用肥皂和大量清水清洗污染皮肤。</w:t>
            </w:r>
            <w:r>
              <w:rPr>
                <w:rFonts w:ascii="Times New Roman" w:hAnsi="Times New Roman" w:eastAsia="宋体" w:cs="Times New Roman"/>
                <w:color w:val="auto"/>
                <w:kern w:val="2"/>
                <w:sz w:val="21"/>
                <w:szCs w:val="21"/>
              </w:rPr>
              <w:tab/>
            </w:r>
          </w:p>
          <w:p w14:paraId="01EE5B9A">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生产过程密闭，注意通风。高浓度接触时，戴防毒面具，工作场所禁止吸烟必要时戴防护眼镜，穿相应的工作服，戴防护手套。</w:t>
            </w:r>
          </w:p>
        </w:tc>
      </w:tr>
      <w:tr w14:paraId="0575ED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095" w:type="dxa"/>
            <w:tcBorders>
              <w:tl2br w:val="nil"/>
              <w:tr2bl w:val="nil"/>
            </w:tcBorders>
            <w:noWrap w:val="0"/>
            <w:vAlign w:val="center"/>
          </w:tcPr>
          <w:p w14:paraId="653983A0">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泄漏</w:t>
            </w:r>
          </w:p>
          <w:p w14:paraId="14405DCC">
            <w:pPr>
              <w:spacing w:line="240" w:lineRule="exact"/>
              <w:ind w:firstLine="0" w:firstLineChars="0"/>
              <w:jc w:val="center"/>
              <w:rPr>
                <w:rFonts w:ascii="Times New Roman" w:hAnsi="Times New Roman" w:eastAsia="宋体" w:cs="Times New Roman"/>
                <w:b/>
                <w:bCs/>
                <w:color w:val="auto"/>
                <w:kern w:val="2"/>
                <w:sz w:val="21"/>
                <w:szCs w:val="21"/>
              </w:rPr>
            </w:pPr>
            <w:r>
              <w:rPr>
                <w:rFonts w:ascii="Times New Roman" w:hAnsi="Times New Roman" w:eastAsia="宋体" w:cs="Times New Roman"/>
                <w:b/>
                <w:bCs/>
                <w:color w:val="auto"/>
                <w:kern w:val="2"/>
                <w:sz w:val="21"/>
                <w:szCs w:val="21"/>
              </w:rPr>
              <w:t>处置</w:t>
            </w:r>
          </w:p>
        </w:tc>
        <w:tc>
          <w:tcPr>
            <w:tcW w:w="8056" w:type="dxa"/>
            <w:gridSpan w:val="5"/>
            <w:tcBorders>
              <w:tl2br w:val="nil"/>
              <w:tr2bl w:val="nil"/>
            </w:tcBorders>
            <w:noWrap w:val="0"/>
            <w:vAlign w:val="center"/>
          </w:tcPr>
          <w:p w14:paraId="6845B823">
            <w:pPr>
              <w:spacing w:line="240" w:lineRule="exact"/>
              <w:ind w:firstLine="0" w:firstLineChars="0"/>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切断一切火源，迅速撤离污染区人员至上风处。使用防毒面具，穿防静电工作服。在确保安全的前提下堵漏。用砂土或其它不燃性吸附剂混合吸收，然后收集至废物处理。</w:t>
            </w:r>
          </w:p>
        </w:tc>
      </w:tr>
    </w:tbl>
    <w:p w14:paraId="2490C526">
      <w:pPr>
        <w:pStyle w:val="3"/>
        <w:bidi w:val="0"/>
        <w:rPr>
          <w:rFonts w:hint="eastAsia"/>
          <w:color w:val="auto"/>
          <w:lang w:val="en-US" w:eastAsia="zh-CN"/>
        </w:rPr>
      </w:pPr>
      <w:bookmarkStart w:id="102" w:name="_Toc29999"/>
      <w:bookmarkStart w:id="103" w:name="_Toc271"/>
      <w:bookmarkStart w:id="104" w:name="_Toc13886"/>
      <w:bookmarkStart w:id="105" w:name="_Toc17688"/>
      <w:r>
        <w:rPr>
          <w:rFonts w:hint="eastAsia"/>
          <w:color w:val="auto"/>
          <w:lang w:val="en-US" w:eastAsia="zh-CN"/>
        </w:rPr>
        <w:t>3.2 危险化学品及危险工艺辨识结果</w:t>
      </w:r>
      <w:bookmarkEnd w:id="102"/>
      <w:bookmarkEnd w:id="103"/>
      <w:bookmarkEnd w:id="104"/>
      <w:bookmarkEnd w:id="105"/>
    </w:p>
    <w:p w14:paraId="0FE19EA2">
      <w:pPr>
        <w:rPr>
          <w:rFonts w:hint="eastAsia"/>
          <w:b/>
          <w:bCs/>
          <w:color w:val="auto"/>
          <w:lang w:val="en-US" w:eastAsia="zh-CN"/>
        </w:rPr>
      </w:pPr>
      <w:r>
        <w:rPr>
          <w:rFonts w:hint="eastAsia"/>
          <w:b/>
          <w:bCs/>
          <w:color w:val="auto"/>
          <w:lang w:val="en-US" w:eastAsia="zh-CN"/>
        </w:rPr>
        <w:t>一、剧毒化学品辨识</w:t>
      </w:r>
    </w:p>
    <w:p w14:paraId="1274CEAD">
      <w:pPr>
        <w:rPr>
          <w:rFonts w:hint="eastAsia"/>
          <w:color w:val="auto"/>
          <w:lang w:val="en-US" w:eastAsia="zh-CN"/>
        </w:rPr>
      </w:pPr>
      <w:r>
        <w:rPr>
          <w:rFonts w:hint="eastAsia"/>
          <w:color w:val="auto"/>
          <w:lang w:val="en-US" w:eastAsia="zh-CN"/>
        </w:rPr>
        <w:t>根据《危险化学品目录》（2015年版、2022年调整）的规定，本项目不涉及剧毒化学品。</w:t>
      </w:r>
    </w:p>
    <w:p w14:paraId="6AC4AAE7">
      <w:pPr>
        <w:rPr>
          <w:rFonts w:hint="eastAsia"/>
          <w:b/>
          <w:bCs/>
          <w:color w:val="auto"/>
          <w:lang w:val="en-US" w:eastAsia="zh-CN"/>
        </w:rPr>
      </w:pPr>
      <w:r>
        <w:rPr>
          <w:rFonts w:hint="eastAsia"/>
          <w:b/>
          <w:bCs/>
          <w:color w:val="auto"/>
          <w:lang w:val="en-US" w:eastAsia="zh-CN"/>
        </w:rPr>
        <w:t>二、高毒物品辨识</w:t>
      </w:r>
    </w:p>
    <w:p w14:paraId="4AFC2CE9">
      <w:pPr>
        <w:rPr>
          <w:rFonts w:hint="eastAsia"/>
          <w:color w:val="auto"/>
          <w:lang w:val="en-US" w:eastAsia="zh-CN"/>
        </w:rPr>
      </w:pPr>
      <w:r>
        <w:rPr>
          <w:rFonts w:hint="eastAsia"/>
          <w:color w:val="auto"/>
          <w:lang w:val="en-US" w:eastAsia="zh-CN"/>
        </w:rPr>
        <w:t>根据《高毒物品目录》（卫法监发</w:t>
      </w:r>
      <w:r>
        <w:rPr>
          <w:rFonts w:hint="eastAsia" w:ascii="宋体" w:hAnsi="宋体" w:eastAsia="宋体" w:cs="宋体"/>
          <w:color w:val="auto"/>
          <w:lang w:val="en-US" w:eastAsia="zh-CN"/>
        </w:rPr>
        <w:t>[</w:t>
      </w:r>
      <w:r>
        <w:rPr>
          <w:rFonts w:hint="eastAsia"/>
          <w:color w:val="auto"/>
          <w:lang w:val="en-US" w:eastAsia="zh-CN"/>
        </w:rPr>
        <w:t>2003</w:t>
      </w:r>
      <w:r>
        <w:rPr>
          <w:rFonts w:hint="eastAsia" w:ascii="宋体" w:hAnsi="宋体" w:eastAsia="宋体" w:cs="宋体"/>
          <w:color w:val="auto"/>
          <w:lang w:val="en-US" w:eastAsia="zh-CN"/>
        </w:rPr>
        <w:t>]</w:t>
      </w:r>
      <w:r>
        <w:rPr>
          <w:rFonts w:hint="eastAsia"/>
          <w:color w:val="auto"/>
          <w:lang w:val="en-US" w:eastAsia="zh-CN"/>
        </w:rPr>
        <w:t>142号）的规定，本项目不涉及高毒物品。</w:t>
      </w:r>
    </w:p>
    <w:p w14:paraId="5EA77B59">
      <w:pPr>
        <w:rPr>
          <w:rFonts w:hint="eastAsia"/>
          <w:b/>
          <w:bCs/>
          <w:color w:val="auto"/>
          <w:lang w:val="en-US" w:eastAsia="zh-CN"/>
        </w:rPr>
      </w:pPr>
      <w:r>
        <w:rPr>
          <w:rFonts w:hint="eastAsia"/>
          <w:b/>
          <w:bCs/>
          <w:color w:val="auto"/>
          <w:lang w:val="en-US" w:eastAsia="zh-CN"/>
        </w:rPr>
        <w:t>三、易制毒化学品辨识</w:t>
      </w:r>
    </w:p>
    <w:p w14:paraId="6C22F936">
      <w:pPr>
        <w:rPr>
          <w:rFonts w:hint="eastAsia"/>
          <w:color w:val="auto"/>
          <w:lang w:val="en-US" w:eastAsia="zh-CN"/>
        </w:rPr>
      </w:pPr>
      <w:r>
        <w:rPr>
          <w:rFonts w:hint="eastAsia"/>
          <w:color w:val="auto"/>
          <w:lang w:val="en-US" w:eastAsia="zh-CN"/>
        </w:rPr>
        <w:t>根据《易制毒化学品管理条例》、《国务院办公厅关于同意将N-苯乙基-4-哌啶酮、4-苯胺基-N-苯乙基哌啶、N-甲基-1-苯基-1-氯-2-丙胺、溴素、1-苯基-1-丙酮列入易制毒化学品品种目录的函》、《关于将4-（N-苯基氨基）哌啶、1-叔丁氧羰基-4-（N-苯基氨基）哌啶、N-苯基-N-（4-哌啶基）丙酰胺、大麻二酚、2-甲基-3-苯基缩水甘油酸及其酯类、3-氧-2-苯基丁酸及其酯类、2-甲基-3-</w:t>
      </w:r>
      <w:r>
        <w:rPr>
          <w:rFonts w:hint="eastAsia" w:ascii="宋体" w:hAnsi="宋体" w:eastAsia="宋体" w:cs="宋体"/>
          <w:color w:val="auto"/>
          <w:lang w:val="en-US" w:eastAsia="zh-CN"/>
        </w:rPr>
        <w:t>[</w:t>
      </w:r>
      <w:r>
        <w:rPr>
          <w:rFonts w:hint="eastAsia"/>
          <w:color w:val="auto"/>
          <w:lang w:val="en-US" w:eastAsia="zh-CN"/>
        </w:rPr>
        <w:t>3，4-（亚甲二氧基）苯基</w:t>
      </w:r>
      <w:r>
        <w:rPr>
          <w:rFonts w:hint="eastAsia" w:ascii="宋体" w:hAnsi="宋体" w:eastAsia="宋体" w:cs="宋体"/>
          <w:color w:val="auto"/>
          <w:lang w:val="en-US" w:eastAsia="zh-CN"/>
        </w:rPr>
        <w:t>]</w:t>
      </w:r>
      <w:r>
        <w:rPr>
          <w:rFonts w:hint="eastAsia"/>
          <w:color w:val="auto"/>
          <w:lang w:val="en-US" w:eastAsia="zh-CN"/>
        </w:rPr>
        <w:t>缩水甘油酸酯类列入易制毒化学品管理的公告》的规定，本项目不涉及易制毒化学品。</w:t>
      </w:r>
    </w:p>
    <w:p w14:paraId="05E7BEAD">
      <w:pPr>
        <w:rPr>
          <w:rFonts w:hint="eastAsia"/>
          <w:b/>
          <w:bCs/>
          <w:color w:val="auto"/>
          <w:lang w:val="en-US" w:eastAsia="zh-CN"/>
        </w:rPr>
      </w:pPr>
      <w:r>
        <w:rPr>
          <w:rFonts w:hint="eastAsia"/>
          <w:b/>
          <w:bCs/>
          <w:color w:val="auto"/>
          <w:lang w:val="en-US" w:eastAsia="zh-CN"/>
        </w:rPr>
        <w:t>四、易制爆危险化学品辨识</w:t>
      </w:r>
    </w:p>
    <w:p w14:paraId="764E0E81">
      <w:pPr>
        <w:rPr>
          <w:rFonts w:hint="eastAsia"/>
          <w:color w:val="auto"/>
          <w:lang w:val="en-US" w:eastAsia="zh-CN"/>
        </w:rPr>
      </w:pPr>
      <w:r>
        <w:rPr>
          <w:rFonts w:hint="eastAsia"/>
          <w:color w:val="auto"/>
          <w:lang w:val="en-US" w:eastAsia="zh-CN"/>
        </w:rPr>
        <w:t>根据《易制爆危险化学品名录》（2017年版）的规定，本项目不涉及易制爆危险化学品。</w:t>
      </w:r>
    </w:p>
    <w:p w14:paraId="084180BA">
      <w:pPr>
        <w:rPr>
          <w:rFonts w:hint="eastAsia"/>
          <w:b/>
          <w:bCs/>
          <w:color w:val="auto"/>
          <w:lang w:val="en-US" w:eastAsia="zh-CN"/>
        </w:rPr>
      </w:pPr>
      <w:r>
        <w:rPr>
          <w:rFonts w:hint="eastAsia"/>
          <w:b/>
          <w:bCs/>
          <w:color w:val="auto"/>
          <w:lang w:val="en-US" w:eastAsia="zh-CN"/>
        </w:rPr>
        <w:t>五、监控化学品辨识</w:t>
      </w:r>
    </w:p>
    <w:p w14:paraId="4FDFFB39">
      <w:pPr>
        <w:rPr>
          <w:rFonts w:hint="eastAsia"/>
          <w:color w:val="auto"/>
          <w:lang w:val="en-US" w:eastAsia="zh-CN"/>
        </w:rPr>
      </w:pPr>
      <w:r>
        <w:rPr>
          <w:rFonts w:hint="eastAsia"/>
          <w:color w:val="auto"/>
          <w:lang w:val="en-US" w:eastAsia="zh-CN"/>
        </w:rPr>
        <w:t>根据《中华人民共和国监控化学品管理条例》《各类监控化学品名录》（工信部【2020】第52号）的规定，本项目不涉及监控化学品。</w:t>
      </w:r>
    </w:p>
    <w:p w14:paraId="4401E030">
      <w:pPr>
        <w:rPr>
          <w:rFonts w:hint="eastAsia"/>
          <w:b/>
          <w:bCs/>
          <w:color w:val="auto"/>
          <w:lang w:val="en-US" w:eastAsia="zh-CN"/>
        </w:rPr>
      </w:pPr>
      <w:r>
        <w:rPr>
          <w:rFonts w:hint="eastAsia"/>
          <w:b/>
          <w:bCs/>
          <w:color w:val="auto"/>
          <w:lang w:val="en-US" w:eastAsia="zh-CN"/>
        </w:rPr>
        <w:t>六、特别管控危险化学品辨识</w:t>
      </w:r>
    </w:p>
    <w:p w14:paraId="23C206DE">
      <w:pPr>
        <w:rPr>
          <w:rFonts w:hint="eastAsia"/>
          <w:color w:val="auto"/>
          <w:lang w:val="en-US" w:eastAsia="zh-CN"/>
        </w:rPr>
      </w:pPr>
      <w:r>
        <w:rPr>
          <w:rFonts w:hint="eastAsia"/>
          <w:color w:val="auto"/>
          <w:lang w:val="en-US" w:eastAsia="zh-CN"/>
        </w:rPr>
        <w:t>根据《特别管控危险化学品目录（第一版）》（应急管理部等四部门公告</w:t>
      </w:r>
      <w:r>
        <w:rPr>
          <w:rFonts w:hint="eastAsia" w:ascii="宋体" w:hAnsi="宋体" w:eastAsia="宋体" w:cs="宋体"/>
          <w:color w:val="auto"/>
          <w:lang w:val="en-US" w:eastAsia="zh-CN"/>
        </w:rPr>
        <w:t>[</w:t>
      </w:r>
      <w:r>
        <w:rPr>
          <w:rFonts w:hint="eastAsia"/>
          <w:color w:val="auto"/>
          <w:lang w:val="en-US" w:eastAsia="zh-CN"/>
        </w:rPr>
        <w:t>2020</w:t>
      </w:r>
      <w:r>
        <w:rPr>
          <w:rFonts w:hint="eastAsia" w:ascii="宋体" w:hAnsi="宋体" w:eastAsia="宋体" w:cs="宋体"/>
          <w:color w:val="auto"/>
          <w:lang w:val="en-US" w:eastAsia="zh-CN"/>
        </w:rPr>
        <w:t>]</w:t>
      </w:r>
      <w:r>
        <w:rPr>
          <w:rFonts w:hint="eastAsia"/>
          <w:color w:val="auto"/>
          <w:lang w:val="en-US" w:eastAsia="zh-CN"/>
        </w:rPr>
        <w:t>第3号）的规定，本项目不涉及特别管控危险化学品。</w:t>
      </w:r>
    </w:p>
    <w:p w14:paraId="64586FB0">
      <w:pPr>
        <w:rPr>
          <w:rFonts w:hint="eastAsia"/>
          <w:b/>
          <w:bCs/>
          <w:color w:val="auto"/>
          <w:lang w:val="en-US" w:eastAsia="zh-CN"/>
        </w:rPr>
      </w:pPr>
      <w:r>
        <w:rPr>
          <w:rFonts w:hint="eastAsia"/>
          <w:b/>
          <w:bCs/>
          <w:color w:val="auto"/>
          <w:lang w:val="en-US" w:eastAsia="zh-CN"/>
        </w:rPr>
        <w:t>七、重点监管的危险化学品辨识</w:t>
      </w:r>
    </w:p>
    <w:p w14:paraId="159C3F52">
      <w:pPr>
        <w:rPr>
          <w:rFonts w:hint="eastAsia"/>
          <w:color w:val="auto"/>
          <w:lang w:val="en-US" w:eastAsia="zh-CN"/>
        </w:rPr>
      </w:pPr>
      <w:r>
        <w:rPr>
          <w:rFonts w:hint="eastAsia"/>
          <w:color w:val="auto"/>
          <w:lang w:val="en-US" w:eastAsia="zh-CN"/>
        </w:rPr>
        <w:t>根据《重点监管危险化学品名录》（2013年完整版）的规定，本项目不涉及重点监管的危险化学品。</w:t>
      </w:r>
    </w:p>
    <w:p w14:paraId="4482B25B">
      <w:pPr>
        <w:rPr>
          <w:rFonts w:hint="eastAsia"/>
          <w:b/>
          <w:bCs/>
          <w:color w:val="auto"/>
          <w:lang w:val="en-US" w:eastAsia="zh-CN"/>
        </w:rPr>
      </w:pPr>
      <w:r>
        <w:rPr>
          <w:rFonts w:hint="eastAsia"/>
          <w:b/>
          <w:bCs/>
          <w:color w:val="auto"/>
          <w:lang w:val="en-US" w:eastAsia="zh-CN"/>
        </w:rPr>
        <w:t>八、危险化工工艺辨识</w:t>
      </w:r>
    </w:p>
    <w:p w14:paraId="2E9C8F05">
      <w:pPr>
        <w:rPr>
          <w:rFonts w:hint="eastAsia"/>
          <w:color w:val="auto"/>
          <w:lang w:val="en-US" w:eastAsia="zh-CN"/>
        </w:rPr>
      </w:pPr>
      <w:r>
        <w:rPr>
          <w:rFonts w:hint="eastAsia"/>
          <w:color w:val="auto"/>
          <w:lang w:val="en-US" w:eastAsia="zh-CN"/>
        </w:rPr>
        <w:t>根据《重点监管的危险化工工艺目录》（2013年完整版），本项目不涉及危险工艺。</w:t>
      </w:r>
    </w:p>
    <w:p w14:paraId="2496C1A7">
      <w:pPr>
        <w:pStyle w:val="3"/>
        <w:bidi w:val="0"/>
        <w:rPr>
          <w:rFonts w:hint="eastAsia"/>
          <w:color w:val="auto"/>
          <w:lang w:val="en-US" w:eastAsia="zh-CN"/>
        </w:rPr>
      </w:pPr>
      <w:bookmarkStart w:id="106" w:name="_Toc27324"/>
      <w:bookmarkStart w:id="107" w:name="_Toc15768"/>
      <w:bookmarkStart w:id="108" w:name="_Toc26526"/>
      <w:bookmarkStart w:id="109" w:name="_Toc7810"/>
      <w:r>
        <w:rPr>
          <w:rFonts w:hint="eastAsia"/>
          <w:color w:val="auto"/>
          <w:lang w:val="en-US" w:eastAsia="zh-CN"/>
        </w:rPr>
        <w:t>3.3 重大危险源辨识结果</w:t>
      </w:r>
      <w:bookmarkEnd w:id="106"/>
      <w:bookmarkEnd w:id="107"/>
      <w:bookmarkEnd w:id="108"/>
      <w:bookmarkEnd w:id="109"/>
    </w:p>
    <w:p w14:paraId="077130DD">
      <w:pPr>
        <w:rPr>
          <w:rFonts w:hint="default"/>
          <w:color w:val="auto"/>
          <w:lang w:val="en-US" w:eastAsia="zh-CN"/>
        </w:rPr>
      </w:pPr>
      <w:r>
        <w:rPr>
          <w:rFonts w:hint="eastAsia"/>
          <w:color w:val="auto"/>
          <w:lang w:val="en-US" w:eastAsia="zh-CN"/>
        </w:rPr>
        <w:t>通过重大危险源辨识过程得知：本项目生产单元和储存单元均不构成危险化学品重大危险源。详见报告附件二2.2节。</w:t>
      </w:r>
    </w:p>
    <w:p w14:paraId="0CDD27F9">
      <w:pPr>
        <w:pStyle w:val="3"/>
        <w:bidi w:val="0"/>
        <w:rPr>
          <w:rFonts w:hint="eastAsia"/>
          <w:color w:val="auto"/>
          <w:lang w:val="en-US" w:eastAsia="zh-CN"/>
        </w:rPr>
      </w:pPr>
      <w:bookmarkStart w:id="110" w:name="_Toc32026"/>
      <w:bookmarkStart w:id="111" w:name="_Toc27252"/>
      <w:bookmarkStart w:id="112" w:name="_Toc11662"/>
      <w:bookmarkStart w:id="113" w:name="_Toc27654"/>
      <w:r>
        <w:rPr>
          <w:rFonts w:hint="eastAsia"/>
          <w:color w:val="auto"/>
          <w:lang w:val="en-US" w:eastAsia="zh-CN"/>
        </w:rPr>
        <w:t>3.4 危险、有害因素的辨识结果</w:t>
      </w:r>
      <w:bookmarkEnd w:id="110"/>
      <w:bookmarkEnd w:id="111"/>
      <w:bookmarkEnd w:id="112"/>
      <w:bookmarkEnd w:id="113"/>
    </w:p>
    <w:p w14:paraId="6E3A84A9">
      <w:pPr>
        <w:rPr>
          <w:rFonts w:hint="eastAsia"/>
          <w:color w:val="auto"/>
          <w:lang w:val="en-US" w:eastAsia="zh-CN"/>
        </w:rPr>
      </w:pPr>
      <w:r>
        <w:rPr>
          <w:rFonts w:hint="eastAsia"/>
          <w:color w:val="auto"/>
          <w:lang w:val="en-US" w:eastAsia="zh-CN"/>
        </w:rPr>
        <w:t>由本报告表3.1-1“危险化学品危险特性表”可知，柴油的危险特性决定了本项目最主要的危险是火灾事故。</w:t>
      </w:r>
    </w:p>
    <w:p w14:paraId="56E409BC">
      <w:pPr>
        <w:rPr>
          <w:rFonts w:hint="eastAsia"/>
          <w:color w:val="auto"/>
          <w:lang w:val="en-US" w:eastAsia="zh-CN"/>
        </w:rPr>
      </w:pPr>
      <w:r>
        <w:rPr>
          <w:rFonts w:hint="eastAsia"/>
          <w:color w:val="auto"/>
          <w:lang w:val="en-US" w:eastAsia="zh-CN"/>
        </w:rPr>
        <w:t>根据《生产过程危险和有害因素分类与代码》GB/T13861-2022、《企业职工伤亡事故分类》GB6441-1986的规定，本项目在运行过程中存在的主要危险因素为：山体滑坡、地震、火灾、触电、车辆伤害、机械伤害、物体打击、中毒和窒息。</w:t>
      </w:r>
    </w:p>
    <w:p w14:paraId="198992E3">
      <w:pPr>
        <w:rPr>
          <w:rFonts w:hint="eastAsia"/>
          <w:color w:val="auto"/>
          <w:lang w:val="en-US" w:eastAsia="zh-CN"/>
        </w:rPr>
      </w:pPr>
      <w:r>
        <w:rPr>
          <w:rFonts w:hint="eastAsia"/>
          <w:color w:val="auto"/>
          <w:lang w:val="en-US" w:eastAsia="zh-CN"/>
        </w:rPr>
        <w:t>根据《职业病危害因素分类目录》《职业卫生名词术语》《职业性接触毒物危害程度分级》等规定，本项目在运行过程中存在的主要有害因素为：有毒物质、噪声。</w:t>
      </w:r>
    </w:p>
    <w:p w14:paraId="48BCEF41">
      <w:pPr>
        <w:rPr>
          <w:rFonts w:hint="eastAsia"/>
          <w:color w:val="auto"/>
          <w:lang w:val="en-US" w:eastAsia="zh-CN"/>
        </w:rPr>
      </w:pPr>
      <w:r>
        <w:rPr>
          <w:rFonts w:hint="eastAsia"/>
          <w:color w:val="auto"/>
          <w:lang w:val="en-US" w:eastAsia="zh-CN"/>
        </w:rPr>
        <w:t>本项目的主要危险、有害因素见表3.4-1。</w:t>
      </w:r>
    </w:p>
    <w:p w14:paraId="7F59546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color w:val="auto"/>
          <w:lang w:val="en-US" w:eastAsia="zh-CN"/>
        </w:rPr>
      </w:pPr>
      <w:r>
        <w:rPr>
          <w:rFonts w:hint="eastAsia"/>
          <w:color w:val="auto"/>
          <w:lang w:val="en-US" w:eastAsia="zh-CN"/>
        </w:rPr>
        <w:t>表3.4-1 项目主要危险、有害因素一览表</w:t>
      </w:r>
    </w:p>
    <w:tbl>
      <w:tblPr>
        <w:tblStyle w:val="14"/>
        <w:tblW w:w="9297" w:type="dxa"/>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076"/>
        <w:gridCol w:w="2940"/>
        <w:gridCol w:w="3259"/>
      </w:tblGrid>
      <w:tr w14:paraId="5AD66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022" w:type="dxa"/>
            <w:tcBorders>
              <w:top w:val="single" w:color="auto" w:sz="12" w:space="0"/>
              <w:left w:val="single" w:color="auto" w:sz="12" w:space="0"/>
              <w:bottom w:val="single" w:color="auto" w:sz="4" w:space="0"/>
              <w:right w:val="single" w:color="auto" w:sz="4" w:space="0"/>
            </w:tcBorders>
            <w:noWrap w:val="0"/>
            <w:vAlign w:val="center"/>
          </w:tcPr>
          <w:p w14:paraId="0788F4AB">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b/>
                <w:bCs/>
                <w:color w:val="auto"/>
                <w:kern w:val="2"/>
                <w:sz w:val="21"/>
                <w:szCs w:val="21"/>
              </w:rPr>
            </w:pPr>
            <w:r>
              <w:rPr>
                <w:b/>
                <w:bCs/>
                <w:color w:val="auto"/>
                <w:spacing w:val="4"/>
                <w:sz w:val="20"/>
                <w:szCs w:val="20"/>
              </w:rPr>
              <w:t>序号</w:t>
            </w:r>
          </w:p>
        </w:tc>
        <w:tc>
          <w:tcPr>
            <w:tcW w:w="2076" w:type="dxa"/>
            <w:tcBorders>
              <w:top w:val="single" w:color="auto" w:sz="12" w:space="0"/>
              <w:left w:val="single" w:color="auto" w:sz="4" w:space="0"/>
              <w:bottom w:val="single" w:color="auto" w:sz="4" w:space="0"/>
              <w:right w:val="single" w:color="auto" w:sz="4" w:space="0"/>
            </w:tcBorders>
            <w:noWrap w:val="0"/>
            <w:vAlign w:val="center"/>
          </w:tcPr>
          <w:p w14:paraId="232756CB">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b/>
                <w:bCs/>
                <w:color w:val="auto"/>
                <w:kern w:val="2"/>
                <w:sz w:val="21"/>
                <w:szCs w:val="21"/>
              </w:rPr>
            </w:pPr>
            <w:r>
              <w:rPr>
                <w:b/>
                <w:bCs/>
                <w:color w:val="auto"/>
                <w:spacing w:val="6"/>
                <w:sz w:val="20"/>
                <w:szCs w:val="20"/>
              </w:rPr>
              <w:t>危险危害因素</w:t>
            </w:r>
          </w:p>
        </w:tc>
        <w:tc>
          <w:tcPr>
            <w:tcW w:w="2940" w:type="dxa"/>
            <w:tcBorders>
              <w:top w:val="single" w:color="auto" w:sz="12" w:space="0"/>
              <w:left w:val="single" w:color="auto" w:sz="4" w:space="0"/>
              <w:bottom w:val="single" w:color="auto" w:sz="4" w:space="0"/>
              <w:right w:val="single" w:color="auto" w:sz="4" w:space="0"/>
            </w:tcBorders>
            <w:noWrap w:val="0"/>
            <w:vAlign w:val="center"/>
          </w:tcPr>
          <w:p w14:paraId="4DC49329">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b/>
                <w:bCs/>
                <w:color w:val="auto"/>
                <w:kern w:val="2"/>
                <w:sz w:val="21"/>
                <w:szCs w:val="21"/>
              </w:rPr>
            </w:pPr>
            <w:r>
              <w:rPr>
                <w:b/>
                <w:bCs/>
                <w:color w:val="auto"/>
                <w:spacing w:val="6"/>
                <w:sz w:val="20"/>
                <w:szCs w:val="20"/>
              </w:rPr>
              <w:t>造成后果</w:t>
            </w:r>
          </w:p>
        </w:tc>
        <w:tc>
          <w:tcPr>
            <w:tcW w:w="3259" w:type="dxa"/>
            <w:tcBorders>
              <w:top w:val="single" w:color="auto" w:sz="12" w:space="0"/>
              <w:left w:val="single" w:color="auto" w:sz="4" w:space="0"/>
              <w:bottom w:val="single" w:color="auto" w:sz="4" w:space="0"/>
              <w:right w:val="single" w:color="auto" w:sz="12" w:space="0"/>
            </w:tcBorders>
            <w:noWrap w:val="0"/>
            <w:vAlign w:val="center"/>
          </w:tcPr>
          <w:p w14:paraId="6785D9E0">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b/>
                <w:bCs/>
                <w:color w:val="auto"/>
                <w:kern w:val="2"/>
                <w:sz w:val="21"/>
                <w:szCs w:val="21"/>
              </w:rPr>
            </w:pPr>
            <w:r>
              <w:rPr>
                <w:b/>
                <w:bCs/>
                <w:color w:val="auto"/>
                <w:spacing w:val="6"/>
                <w:sz w:val="20"/>
                <w:szCs w:val="20"/>
              </w:rPr>
              <w:t>所在部位</w:t>
            </w:r>
          </w:p>
        </w:tc>
      </w:tr>
      <w:tr w14:paraId="5D9650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1022" w:type="dxa"/>
            <w:tcBorders>
              <w:top w:val="single" w:color="auto" w:sz="12" w:space="0"/>
              <w:left w:val="single" w:color="auto" w:sz="12" w:space="0"/>
              <w:bottom w:val="single" w:color="auto" w:sz="4" w:space="0"/>
              <w:right w:val="single" w:color="auto" w:sz="4" w:space="0"/>
            </w:tcBorders>
            <w:noWrap w:val="0"/>
            <w:vAlign w:val="center"/>
          </w:tcPr>
          <w:p w14:paraId="15B990F6">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eastAsia="宋体"/>
                <w:b/>
                <w:bCs/>
                <w:color w:val="auto"/>
                <w:spacing w:val="4"/>
                <w:sz w:val="20"/>
                <w:szCs w:val="20"/>
                <w:lang w:val="en-US" w:eastAsia="zh-CN"/>
              </w:rPr>
            </w:pPr>
            <w:r>
              <w:rPr>
                <w:rFonts w:hint="eastAsia"/>
                <w:b w:val="0"/>
                <w:bCs w:val="0"/>
                <w:color w:val="auto"/>
                <w:spacing w:val="4"/>
                <w:sz w:val="20"/>
                <w:szCs w:val="20"/>
                <w:lang w:val="en-US" w:eastAsia="zh-CN"/>
              </w:rPr>
              <w:t>1</w:t>
            </w:r>
          </w:p>
        </w:tc>
        <w:tc>
          <w:tcPr>
            <w:tcW w:w="2076" w:type="dxa"/>
            <w:tcBorders>
              <w:top w:val="single" w:color="auto" w:sz="12" w:space="0"/>
              <w:left w:val="single" w:color="auto" w:sz="4" w:space="0"/>
              <w:bottom w:val="single" w:color="auto" w:sz="4" w:space="0"/>
              <w:right w:val="single" w:color="auto" w:sz="4" w:space="0"/>
            </w:tcBorders>
            <w:noWrap w:val="0"/>
            <w:vAlign w:val="center"/>
          </w:tcPr>
          <w:p w14:paraId="5E780DF4">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b w:val="0"/>
                <w:bCs w:val="0"/>
                <w:color w:val="auto"/>
                <w:spacing w:val="6"/>
                <w:sz w:val="20"/>
                <w:szCs w:val="20"/>
              </w:rPr>
            </w:pPr>
            <w:r>
              <w:rPr>
                <w:rFonts w:hint="eastAsia"/>
                <w:b w:val="0"/>
                <w:bCs w:val="0"/>
                <w:color w:val="auto"/>
                <w:spacing w:val="6"/>
                <w:sz w:val="20"/>
                <w:szCs w:val="20"/>
              </w:rPr>
              <w:t>山体滑坡</w:t>
            </w:r>
          </w:p>
        </w:tc>
        <w:tc>
          <w:tcPr>
            <w:tcW w:w="2940" w:type="dxa"/>
            <w:tcBorders>
              <w:top w:val="single" w:color="auto" w:sz="12" w:space="0"/>
              <w:left w:val="single" w:color="auto" w:sz="4" w:space="0"/>
              <w:bottom w:val="single" w:color="auto" w:sz="4" w:space="0"/>
              <w:right w:val="single" w:color="auto" w:sz="4" w:space="0"/>
            </w:tcBorders>
            <w:noWrap w:val="0"/>
            <w:vAlign w:val="center"/>
          </w:tcPr>
          <w:p w14:paraId="4EB97F63">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b w:val="0"/>
                <w:bCs w:val="0"/>
                <w:color w:val="auto"/>
                <w:spacing w:val="6"/>
                <w:sz w:val="20"/>
                <w:szCs w:val="20"/>
              </w:rPr>
            </w:pPr>
            <w:r>
              <w:rPr>
                <w:color w:val="auto"/>
                <w:spacing w:val="8"/>
                <w:sz w:val="20"/>
                <w:szCs w:val="20"/>
              </w:rPr>
              <w:t>人员伤亡、设备损坏</w:t>
            </w:r>
          </w:p>
        </w:tc>
        <w:tc>
          <w:tcPr>
            <w:tcW w:w="3259" w:type="dxa"/>
            <w:tcBorders>
              <w:top w:val="single" w:color="auto" w:sz="12" w:space="0"/>
              <w:left w:val="single" w:color="auto" w:sz="4" w:space="0"/>
              <w:bottom w:val="single" w:color="auto" w:sz="4" w:space="0"/>
              <w:right w:val="single" w:color="auto" w:sz="12" w:space="0"/>
            </w:tcBorders>
            <w:noWrap w:val="0"/>
            <w:vAlign w:val="center"/>
          </w:tcPr>
          <w:p w14:paraId="0A526F8F">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eastAsia="宋体"/>
                <w:b w:val="0"/>
                <w:bCs w:val="0"/>
                <w:color w:val="auto"/>
                <w:spacing w:val="6"/>
                <w:sz w:val="20"/>
                <w:szCs w:val="20"/>
                <w:lang w:val="en-US" w:eastAsia="zh-CN"/>
              </w:rPr>
            </w:pPr>
            <w:r>
              <w:rPr>
                <w:rFonts w:hint="eastAsia"/>
                <w:b w:val="0"/>
                <w:bCs w:val="0"/>
                <w:color w:val="auto"/>
                <w:spacing w:val="6"/>
                <w:sz w:val="20"/>
                <w:szCs w:val="20"/>
                <w:lang w:val="en-US" w:eastAsia="zh-CN"/>
              </w:rPr>
              <w:t>所有位置</w:t>
            </w:r>
          </w:p>
        </w:tc>
      </w:tr>
      <w:tr w14:paraId="7218E0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0BEE307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sz w:val="20"/>
                <w:szCs w:val="20"/>
                <w:lang w:val="en-US" w:eastAsia="zh-CN"/>
              </w:rPr>
            </w:pPr>
            <w:r>
              <w:rPr>
                <w:rFonts w:hint="eastAsia" w:eastAsia="宋体" w:cs="Times New Roman"/>
                <w:color w:val="auto"/>
                <w:sz w:val="20"/>
                <w:szCs w:val="20"/>
                <w:lang w:val="en-US" w:eastAsia="zh-CN"/>
              </w:rPr>
              <w:t>2</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565A4E1F">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b w:val="0"/>
                <w:bCs w:val="0"/>
                <w:color w:val="auto"/>
                <w:spacing w:val="7"/>
                <w:sz w:val="20"/>
                <w:szCs w:val="20"/>
              </w:rPr>
            </w:pPr>
            <w:r>
              <w:rPr>
                <w:rFonts w:hint="eastAsia"/>
                <w:b w:val="0"/>
                <w:bCs w:val="0"/>
                <w:color w:val="auto"/>
                <w:spacing w:val="7"/>
                <w:sz w:val="20"/>
                <w:szCs w:val="20"/>
              </w:rPr>
              <w:t>地震</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307DB507">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b w:val="0"/>
                <w:bCs w:val="0"/>
                <w:color w:val="auto"/>
                <w:spacing w:val="8"/>
                <w:sz w:val="20"/>
                <w:szCs w:val="20"/>
              </w:rPr>
            </w:pPr>
            <w:r>
              <w:rPr>
                <w:color w:val="auto"/>
                <w:spacing w:val="8"/>
                <w:sz w:val="20"/>
                <w:szCs w:val="20"/>
              </w:rPr>
              <w:t>人员伤亡、设备损坏</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05AC1F89">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b w:val="0"/>
                <w:bCs w:val="0"/>
                <w:color w:val="auto"/>
                <w:spacing w:val="7"/>
                <w:sz w:val="20"/>
                <w:szCs w:val="20"/>
              </w:rPr>
            </w:pPr>
            <w:r>
              <w:rPr>
                <w:rFonts w:hint="eastAsia"/>
                <w:b w:val="0"/>
                <w:bCs w:val="0"/>
                <w:color w:val="auto"/>
                <w:spacing w:val="6"/>
                <w:sz w:val="20"/>
                <w:szCs w:val="20"/>
                <w:lang w:val="en-US" w:eastAsia="zh-CN"/>
              </w:rPr>
              <w:t>所有位置</w:t>
            </w:r>
          </w:p>
        </w:tc>
      </w:tr>
      <w:tr w14:paraId="1A3EF8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714CD08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eastAsia="宋体" w:cs="Times New Roman"/>
                <w:color w:val="auto"/>
                <w:sz w:val="20"/>
                <w:szCs w:val="20"/>
                <w:lang w:val="en-US" w:eastAsia="zh-CN"/>
              </w:rPr>
              <w:t>3</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1A04135A">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7"/>
                <w:sz w:val="20"/>
                <w:szCs w:val="20"/>
              </w:rPr>
              <w:t>火灾</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17461037">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8"/>
                <w:sz w:val="20"/>
                <w:szCs w:val="20"/>
              </w:rPr>
              <w:t>人员伤亡、财产损失</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1EA79EBA">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rPr>
            </w:pPr>
            <w:r>
              <w:rPr>
                <w:rFonts w:hint="eastAsia"/>
                <w:color w:val="auto"/>
                <w:spacing w:val="7"/>
                <w:sz w:val="20"/>
                <w:szCs w:val="20"/>
              </w:rPr>
              <w:t>橇装装置</w:t>
            </w:r>
            <w:r>
              <w:rPr>
                <w:rFonts w:hint="eastAsia"/>
                <w:color w:val="auto"/>
                <w:spacing w:val="7"/>
                <w:sz w:val="20"/>
                <w:szCs w:val="20"/>
                <w:lang w:eastAsia="zh-CN"/>
              </w:rPr>
              <w:t>、</w:t>
            </w:r>
            <w:r>
              <w:rPr>
                <w:rFonts w:hint="eastAsia"/>
                <w:color w:val="auto"/>
                <w:spacing w:val="7"/>
                <w:sz w:val="20"/>
                <w:szCs w:val="20"/>
                <w:lang w:val="en-US" w:eastAsia="zh-CN"/>
              </w:rPr>
              <w:t>加油机</w:t>
            </w:r>
          </w:p>
        </w:tc>
      </w:tr>
      <w:tr w14:paraId="69245B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67A3828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eastAsia="宋体" w:cs="Times New Roman"/>
                <w:color w:val="auto"/>
                <w:sz w:val="20"/>
                <w:szCs w:val="20"/>
                <w:lang w:val="en-US" w:eastAsia="zh-CN"/>
              </w:rPr>
              <w:t>4</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1ED1B341">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宋体" w:hAnsi="宋体" w:eastAsia="宋体" w:cs="Times New Roman"/>
                <w:color w:val="auto"/>
                <w:kern w:val="2"/>
                <w:sz w:val="21"/>
                <w:szCs w:val="21"/>
              </w:rPr>
            </w:pPr>
            <w:r>
              <w:rPr>
                <w:color w:val="auto"/>
                <w:spacing w:val="4"/>
                <w:sz w:val="20"/>
                <w:szCs w:val="20"/>
              </w:rPr>
              <w:t>触电</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06DFF2D0">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rPr>
            </w:pPr>
            <w:r>
              <w:rPr>
                <w:color w:val="auto"/>
                <w:spacing w:val="6"/>
                <w:sz w:val="20"/>
                <w:szCs w:val="20"/>
              </w:rPr>
              <w:t>人员伤亡</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1FAADA90">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7"/>
                <w:sz w:val="20"/>
                <w:szCs w:val="20"/>
              </w:rPr>
              <w:t>配电设备</w:t>
            </w:r>
          </w:p>
        </w:tc>
      </w:tr>
      <w:tr w14:paraId="0A0069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51EF75D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eastAsia="宋体" w:cs="Times New Roman"/>
                <w:color w:val="auto"/>
                <w:sz w:val="20"/>
                <w:szCs w:val="20"/>
                <w:lang w:val="en-US" w:eastAsia="zh-CN"/>
              </w:rPr>
              <w:t>5</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06CFE603">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6"/>
                <w:sz w:val="20"/>
                <w:szCs w:val="20"/>
              </w:rPr>
              <w:t>车辆伤害</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3EF48223">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8"/>
                <w:sz w:val="20"/>
                <w:szCs w:val="20"/>
              </w:rPr>
              <w:t>人员伤亡或设备损坏</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1D9982F0">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lang w:val="en-US" w:eastAsia="zh-CN"/>
              </w:rPr>
            </w:pPr>
            <w:r>
              <w:rPr>
                <w:rFonts w:hint="eastAsia"/>
                <w:color w:val="auto"/>
                <w:spacing w:val="8"/>
                <w:sz w:val="20"/>
                <w:szCs w:val="20"/>
                <w:lang w:val="en-US" w:eastAsia="zh-CN"/>
              </w:rPr>
              <w:t>加油机旁</w:t>
            </w:r>
          </w:p>
        </w:tc>
      </w:tr>
      <w:tr w14:paraId="071927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05F9F4C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eastAsia="宋体" w:cs="Times New Roman"/>
                <w:color w:val="auto"/>
                <w:spacing w:val="1"/>
                <w:sz w:val="20"/>
                <w:szCs w:val="20"/>
                <w:lang w:val="en-US" w:eastAsia="zh-CN"/>
              </w:rPr>
              <w:t>6</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6042C798">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7"/>
                <w:sz w:val="20"/>
                <w:szCs w:val="20"/>
              </w:rPr>
              <w:t>机械伤害</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24CB1183">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8"/>
                <w:sz w:val="20"/>
                <w:szCs w:val="20"/>
              </w:rPr>
              <w:t>人员伤亡或设备损坏</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31FF1A36">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8"/>
                <w:sz w:val="20"/>
                <w:szCs w:val="20"/>
              </w:rPr>
              <w:t>机械传动设备</w:t>
            </w:r>
          </w:p>
        </w:tc>
      </w:tr>
      <w:tr w14:paraId="730F4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6F3FCCB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eastAsia="宋体" w:cs="Times New Roman"/>
                <w:color w:val="auto"/>
                <w:sz w:val="20"/>
                <w:szCs w:val="20"/>
                <w:lang w:val="en-US" w:eastAsia="zh-CN"/>
              </w:rPr>
              <w:t>7</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6DAF85A9">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7"/>
                <w:sz w:val="20"/>
                <w:szCs w:val="20"/>
              </w:rPr>
              <w:t>物体打击</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68A6FDB9">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9"/>
                <w:sz w:val="20"/>
                <w:szCs w:val="20"/>
              </w:rPr>
              <w:t>人员伤害</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2A380AD5">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8"/>
                <w:sz w:val="20"/>
                <w:szCs w:val="20"/>
              </w:rPr>
              <w:t>使用、维修场所</w:t>
            </w:r>
          </w:p>
        </w:tc>
      </w:tr>
      <w:tr w14:paraId="4D3004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14F6251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eastAsia="宋体" w:cs="Times New Roman"/>
                <w:color w:val="auto"/>
                <w:sz w:val="20"/>
                <w:szCs w:val="20"/>
                <w:lang w:val="en-US" w:eastAsia="zh-CN"/>
              </w:rPr>
              <w:t>8</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79FAF855">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4"/>
                <w:sz w:val="20"/>
                <w:szCs w:val="20"/>
              </w:rPr>
              <w:t>中毒和窒息</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451A97E1">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6"/>
                <w:sz w:val="20"/>
                <w:szCs w:val="20"/>
              </w:rPr>
              <w:t>人员伤亡</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637AC635">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eastAsia="宋体" w:cs="Times New Roman"/>
                <w:color w:val="auto"/>
                <w:kern w:val="2"/>
                <w:sz w:val="21"/>
                <w:szCs w:val="21"/>
              </w:rPr>
            </w:pPr>
            <w:r>
              <w:rPr>
                <w:color w:val="auto"/>
                <w:spacing w:val="8"/>
                <w:sz w:val="20"/>
                <w:szCs w:val="20"/>
              </w:rPr>
              <w:t>油罐装置、维修场所</w:t>
            </w:r>
          </w:p>
        </w:tc>
      </w:tr>
      <w:tr w14:paraId="6825A5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69A7363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auto"/>
                <w:sz w:val="20"/>
                <w:szCs w:val="20"/>
                <w:lang w:val="en-US" w:eastAsia="zh-CN"/>
              </w:rPr>
            </w:pPr>
            <w:bookmarkStart w:id="114" w:name="_Toc24523"/>
            <w:bookmarkStart w:id="115" w:name="_Toc3244"/>
            <w:bookmarkStart w:id="116" w:name="_Toc18734"/>
            <w:r>
              <w:rPr>
                <w:rFonts w:hint="eastAsia" w:cs="Times New Roman"/>
                <w:color w:val="auto"/>
                <w:sz w:val="20"/>
                <w:szCs w:val="20"/>
                <w:lang w:val="en-US" w:eastAsia="zh-CN"/>
              </w:rPr>
              <w:t>9</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0C921B1C">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auto"/>
                <w:spacing w:val="4"/>
                <w:sz w:val="20"/>
                <w:szCs w:val="20"/>
              </w:rPr>
            </w:pPr>
            <w:r>
              <w:rPr>
                <w:rFonts w:hint="eastAsia"/>
                <w:color w:val="auto"/>
                <w:spacing w:val="4"/>
                <w:sz w:val="20"/>
                <w:szCs w:val="20"/>
              </w:rPr>
              <w:t>有毒物质</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6F5215A8">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auto"/>
                <w:spacing w:val="6"/>
                <w:sz w:val="20"/>
                <w:szCs w:val="20"/>
              </w:rPr>
            </w:pPr>
            <w:r>
              <w:rPr>
                <w:color w:val="auto"/>
                <w:spacing w:val="6"/>
                <w:sz w:val="20"/>
                <w:szCs w:val="20"/>
              </w:rPr>
              <w:t>人员伤亡</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6DD48946">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auto"/>
                <w:spacing w:val="8"/>
                <w:sz w:val="20"/>
                <w:szCs w:val="20"/>
              </w:rPr>
            </w:pPr>
            <w:r>
              <w:rPr>
                <w:color w:val="auto"/>
                <w:spacing w:val="8"/>
                <w:sz w:val="20"/>
                <w:szCs w:val="20"/>
              </w:rPr>
              <w:t>油罐装置</w:t>
            </w:r>
          </w:p>
        </w:tc>
      </w:tr>
      <w:tr w14:paraId="085C35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22" w:type="dxa"/>
            <w:tcBorders>
              <w:top w:val="single" w:color="auto" w:sz="4" w:space="0"/>
              <w:left w:val="single" w:color="auto" w:sz="12" w:space="0"/>
              <w:bottom w:val="single" w:color="auto" w:sz="4" w:space="0"/>
              <w:right w:val="single" w:color="auto" w:sz="4" w:space="0"/>
            </w:tcBorders>
            <w:noWrap w:val="0"/>
            <w:vAlign w:val="center"/>
          </w:tcPr>
          <w:p w14:paraId="5517475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0"/>
                <w:szCs w:val="20"/>
                <w:lang w:val="en-US" w:eastAsia="zh-CN"/>
              </w:rPr>
            </w:pPr>
            <w:r>
              <w:rPr>
                <w:rFonts w:hint="eastAsia" w:cs="Times New Roman"/>
                <w:color w:val="auto"/>
                <w:sz w:val="20"/>
                <w:szCs w:val="20"/>
                <w:lang w:val="en-US" w:eastAsia="zh-CN"/>
              </w:rPr>
              <w:t>10</w:t>
            </w:r>
          </w:p>
        </w:tc>
        <w:tc>
          <w:tcPr>
            <w:tcW w:w="2076" w:type="dxa"/>
            <w:tcBorders>
              <w:top w:val="single" w:color="auto" w:sz="4" w:space="0"/>
              <w:left w:val="single" w:color="auto" w:sz="4" w:space="0"/>
              <w:bottom w:val="single" w:color="auto" w:sz="4" w:space="0"/>
              <w:right w:val="single" w:color="auto" w:sz="4" w:space="0"/>
            </w:tcBorders>
            <w:noWrap w:val="0"/>
            <w:vAlign w:val="center"/>
          </w:tcPr>
          <w:p w14:paraId="4BD1FFE2">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auto"/>
                <w:spacing w:val="4"/>
                <w:sz w:val="20"/>
                <w:szCs w:val="20"/>
              </w:rPr>
            </w:pPr>
            <w:r>
              <w:rPr>
                <w:rFonts w:hint="eastAsia"/>
                <w:color w:val="auto"/>
                <w:sz w:val="21"/>
                <w:szCs w:val="21"/>
              </w:rPr>
              <w:t>噪声</w:t>
            </w:r>
          </w:p>
        </w:tc>
        <w:tc>
          <w:tcPr>
            <w:tcW w:w="2940" w:type="dxa"/>
            <w:tcBorders>
              <w:top w:val="single" w:color="auto" w:sz="4" w:space="0"/>
              <w:left w:val="single" w:color="auto" w:sz="4" w:space="0"/>
              <w:bottom w:val="single" w:color="auto" w:sz="4" w:space="0"/>
              <w:right w:val="single" w:color="auto" w:sz="4" w:space="0"/>
            </w:tcBorders>
            <w:noWrap w:val="0"/>
            <w:vAlign w:val="center"/>
          </w:tcPr>
          <w:p w14:paraId="2B560722">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auto"/>
                <w:spacing w:val="6"/>
                <w:sz w:val="20"/>
                <w:szCs w:val="20"/>
              </w:rPr>
            </w:pPr>
            <w:r>
              <w:rPr>
                <w:color w:val="auto"/>
                <w:spacing w:val="9"/>
                <w:sz w:val="20"/>
                <w:szCs w:val="20"/>
              </w:rPr>
              <w:t>人员伤害</w:t>
            </w:r>
          </w:p>
        </w:tc>
        <w:tc>
          <w:tcPr>
            <w:tcW w:w="3259" w:type="dxa"/>
            <w:tcBorders>
              <w:top w:val="single" w:color="auto" w:sz="4" w:space="0"/>
              <w:left w:val="single" w:color="auto" w:sz="4" w:space="0"/>
              <w:bottom w:val="single" w:color="auto" w:sz="4" w:space="0"/>
              <w:right w:val="single" w:color="auto" w:sz="12" w:space="0"/>
            </w:tcBorders>
            <w:noWrap w:val="0"/>
            <w:vAlign w:val="center"/>
          </w:tcPr>
          <w:p w14:paraId="598B5E32">
            <w:pPr>
              <w:pStyle w:val="2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color w:val="auto"/>
                <w:spacing w:val="8"/>
                <w:sz w:val="20"/>
                <w:szCs w:val="20"/>
              </w:rPr>
            </w:pPr>
            <w:r>
              <w:rPr>
                <w:color w:val="auto"/>
                <w:spacing w:val="8"/>
                <w:sz w:val="20"/>
                <w:szCs w:val="20"/>
              </w:rPr>
              <w:t>机械传动设备</w:t>
            </w:r>
          </w:p>
        </w:tc>
      </w:tr>
    </w:tbl>
    <w:p w14:paraId="43592190">
      <w:pPr>
        <w:pStyle w:val="3"/>
        <w:bidi w:val="0"/>
        <w:rPr>
          <w:rFonts w:hint="eastAsia"/>
          <w:color w:val="auto"/>
          <w:lang w:val="en-US" w:eastAsia="zh-CN"/>
        </w:rPr>
      </w:pPr>
      <w:bookmarkStart w:id="117" w:name="_Toc14478"/>
      <w:r>
        <w:rPr>
          <w:rFonts w:hint="eastAsia"/>
          <w:color w:val="auto"/>
          <w:lang w:val="en-US" w:eastAsia="zh-CN"/>
        </w:rPr>
        <w:t>3.5 爆炸危险区域划分</w:t>
      </w:r>
      <w:bookmarkEnd w:id="114"/>
      <w:bookmarkEnd w:id="115"/>
      <w:bookmarkEnd w:id="116"/>
      <w:bookmarkEnd w:id="117"/>
    </w:p>
    <w:p w14:paraId="2AFD5C1C">
      <w:pPr>
        <w:rPr>
          <w:rFonts w:hint="eastAsia"/>
          <w:color w:val="auto"/>
          <w:lang w:val="en-US" w:eastAsia="zh-CN"/>
        </w:rPr>
      </w:pPr>
      <w:r>
        <w:rPr>
          <w:rFonts w:hint="eastAsia"/>
          <w:color w:val="auto"/>
          <w:lang w:val="en-US" w:eastAsia="zh-CN"/>
        </w:rPr>
        <w:t>根据《汽车加油加气加氢站技术标准》GB50156-2021，本项目油品为柴油，不涉及爆炸危险区域。</w:t>
      </w:r>
    </w:p>
    <w:p w14:paraId="238B8E70">
      <w:pPr>
        <w:pStyle w:val="3"/>
        <w:bidi w:val="0"/>
        <w:rPr>
          <w:rFonts w:hint="eastAsia"/>
          <w:color w:val="auto"/>
          <w:lang w:val="en-US" w:eastAsia="zh-CN"/>
        </w:rPr>
      </w:pPr>
      <w:bookmarkStart w:id="118" w:name="_Toc9111"/>
      <w:r>
        <w:rPr>
          <w:rFonts w:hint="eastAsia"/>
          <w:color w:val="auto"/>
          <w:lang w:val="en-US" w:eastAsia="zh-CN"/>
        </w:rPr>
        <w:t>3.6 事故案例的后果及原因</w:t>
      </w:r>
      <w:bookmarkEnd w:id="118"/>
    </w:p>
    <w:p w14:paraId="5A450110">
      <w:pPr>
        <w:rPr>
          <w:rFonts w:hint="eastAsia"/>
          <w:color w:val="auto"/>
          <w:lang w:val="en-US" w:eastAsia="zh-CN"/>
        </w:rPr>
      </w:pPr>
      <w:r>
        <w:rPr>
          <w:rFonts w:hint="eastAsia"/>
          <w:color w:val="auto"/>
          <w:lang w:val="en-US" w:eastAsia="zh-CN"/>
        </w:rPr>
        <w:t>案例一：加油站卸油作业导致火灾事故</w:t>
      </w:r>
    </w:p>
    <w:p w14:paraId="4273ABBD">
      <w:pPr>
        <w:rPr>
          <w:rFonts w:hint="eastAsia"/>
          <w:color w:val="auto"/>
          <w:lang w:val="en-US" w:eastAsia="zh-CN"/>
        </w:rPr>
      </w:pPr>
      <w:r>
        <w:rPr>
          <w:rFonts w:hint="eastAsia"/>
          <w:color w:val="auto"/>
          <w:lang w:val="en-US" w:eastAsia="zh-CN"/>
        </w:rPr>
        <w:t>2001年6月22日，某石油公司下属的一加油站3号油罐正在接卸一车97号汽油，卸油作业的员工违章将卸油胶管插到量油孔进行卸油，造成喷溅式卸油。21时40分，油罐突然起火，油罐中汽油向外溢出，火势迅速蔓延成大面积火灾。消防部门与加油站职工经4小时15分钟才将大火扑灭。大火将4台加油机、油罐等加油站设施全部烧毁，卸油作业的员工烧成重伤，烧伤面积超过80%。</w:t>
      </w:r>
    </w:p>
    <w:p w14:paraId="087B2AB9">
      <w:pPr>
        <w:rPr>
          <w:rFonts w:hint="eastAsia"/>
          <w:color w:val="auto"/>
          <w:lang w:val="en-US" w:eastAsia="zh-CN"/>
        </w:rPr>
      </w:pPr>
      <w:r>
        <w:rPr>
          <w:rFonts w:hint="eastAsia"/>
          <w:color w:val="auto"/>
          <w:lang w:val="en-US" w:eastAsia="zh-CN"/>
        </w:rPr>
        <w:t>分析事故原因，当班的卸油作业的员工违章将卸油胶管插到量油孔进行卸油，造成喷溅式卸油，导致大量油气和静电荷产生，这是事故发生的直接原因，而卸油处的静电报警器因为没有电池没有发出报警声响，静电接地系统接地不良形同虚设，使得静电积聚到一定能量产生静电火花，从而使现场有了点火源。进一步深究事故责任，加油站平时疏于员工的安全教育和严格管理，对安全设备的投入使用不检查巡视，没有及时处理安全隐患，这是导致事故发生的根本原因，加油站第一负责人负有直接的安全责任。</w:t>
      </w:r>
    </w:p>
    <w:p w14:paraId="3AE4B89F">
      <w:pPr>
        <w:rPr>
          <w:rFonts w:hint="eastAsia"/>
          <w:color w:val="auto"/>
          <w:lang w:val="en-US" w:eastAsia="zh-CN"/>
        </w:rPr>
      </w:pPr>
      <w:r>
        <w:rPr>
          <w:rFonts w:hint="eastAsia"/>
          <w:color w:val="auto"/>
          <w:lang w:val="en-US" w:eastAsia="zh-CN"/>
        </w:rPr>
        <w:t>案例二：加油站检修作业导致爆炸事故</w:t>
      </w:r>
    </w:p>
    <w:p w14:paraId="367B07BE">
      <w:pPr>
        <w:rPr>
          <w:rFonts w:hint="eastAsia"/>
          <w:color w:val="auto"/>
          <w:lang w:val="en-US" w:eastAsia="zh-CN"/>
        </w:rPr>
      </w:pPr>
      <w:r>
        <w:rPr>
          <w:rFonts w:hint="eastAsia"/>
          <w:color w:val="auto"/>
          <w:lang w:val="en-US" w:eastAsia="zh-CN"/>
        </w:rPr>
        <w:t>2007年11月24日，位于上海浦东杨高南路、浦三路口的某加油站发生爆炸事故，造成4人死亡、40多人受伤。</w:t>
      </w:r>
    </w:p>
    <w:p w14:paraId="4F2C15EB">
      <w:pPr>
        <w:rPr>
          <w:rFonts w:hint="eastAsia"/>
          <w:color w:val="auto"/>
          <w:lang w:val="en-US" w:eastAsia="zh-CN"/>
        </w:rPr>
      </w:pPr>
      <w:r>
        <w:rPr>
          <w:rFonts w:hint="eastAsia"/>
          <w:color w:val="auto"/>
          <w:lang w:val="en-US" w:eastAsia="zh-CN"/>
        </w:rPr>
        <w:t>一、事故概况</w:t>
      </w:r>
    </w:p>
    <w:p w14:paraId="10A2E9AC">
      <w:pPr>
        <w:rPr>
          <w:rFonts w:hint="eastAsia"/>
          <w:color w:val="auto"/>
          <w:lang w:val="en-US" w:eastAsia="zh-CN"/>
        </w:rPr>
      </w:pPr>
      <w:r>
        <w:rPr>
          <w:rFonts w:hint="eastAsia"/>
          <w:color w:val="auto"/>
          <w:lang w:val="en-US" w:eastAsia="zh-CN"/>
        </w:rPr>
        <w:t>2007年11月24日上午7时50分，上海市公安局110指挥中心接报警：位于浦东杨高南路、浦三路口的一家正在维修施工的油气加注站发生爆炸，即指令浦东公安分局、消防局、特警总队等单位赶赴现场处置。市应急联动中心同时通知120救护中心、市安监局、市民防办等单位前往现场，设置警戒线，疏散人群，并开辟应急通道，火速抢救伤员。副市长胡延照，世博会执委会专职副主任、浦东新区区长张学兵以及市公安局有关领导赶赴现场组织指挥抢险和善后工作。</w:t>
      </w:r>
    </w:p>
    <w:p w14:paraId="6924D4C1">
      <w:pPr>
        <w:rPr>
          <w:rFonts w:hint="eastAsia"/>
          <w:color w:val="auto"/>
          <w:lang w:val="en-US" w:eastAsia="zh-CN"/>
        </w:rPr>
      </w:pPr>
      <w:r>
        <w:rPr>
          <w:rFonts w:hint="eastAsia"/>
          <w:color w:val="auto"/>
          <w:lang w:val="en-US" w:eastAsia="zh-CN"/>
        </w:rPr>
        <w:t>据市公安局初步了解，发生事故的是位于浦三路909号的一家汽油加注站，站内储气罐正在进行停业检修作业。施工中因操作不当发生爆炸事故，2名正在施工的工人当场身亡，另有4人重伤，在送往医院抢救后其中2人死亡，事故造成多人受伤。</w:t>
      </w:r>
    </w:p>
    <w:p w14:paraId="36B30B49">
      <w:pPr>
        <w:rPr>
          <w:rFonts w:hint="eastAsia"/>
          <w:color w:val="auto"/>
          <w:lang w:val="en-US" w:eastAsia="zh-CN"/>
        </w:rPr>
      </w:pPr>
      <w:r>
        <w:rPr>
          <w:rFonts w:hint="eastAsia"/>
          <w:color w:val="auto"/>
          <w:lang w:val="en-US" w:eastAsia="zh-CN"/>
        </w:rPr>
        <w:t>爆炸发生时共有3名男性工人参与储气罐检修作业。操作中施工人员需要对位于地面下的储气罐进行加压，但储罐罐内残留部分油气，加上施工人员加压过度储气罐遂发生爆炸。爆炸造成30岁的甘某和46岁的朱某不幸身亡，另一名工人在爆炸中幸运身还。</w:t>
      </w:r>
    </w:p>
    <w:p w14:paraId="5D3F920D">
      <w:pPr>
        <w:rPr>
          <w:rFonts w:hint="eastAsia"/>
          <w:color w:val="auto"/>
          <w:lang w:val="en-US" w:eastAsia="zh-CN"/>
        </w:rPr>
      </w:pPr>
      <w:r>
        <w:rPr>
          <w:rFonts w:hint="eastAsia"/>
          <w:color w:val="auto"/>
          <w:lang w:val="en-US" w:eastAsia="zh-CN"/>
        </w:rPr>
        <w:t>组织施工方是上海申能集团所属上海燃气（集团）有限公司旗下的太平洋燃气有限公司。从11月11日起，太平洋燃气有限公司负责对这个加油站进行停业检修。事发现场附近还有2人因爆炸受重伤，在送往医院抢救后不治身亡，他们分别是29岁的男性王某和42岁的女性陕某，当时，王某驾驶摩托车停在附近，陕某则在500m外的昌里东路上骑自行车。</w:t>
      </w:r>
    </w:p>
    <w:p w14:paraId="58D41C72">
      <w:pPr>
        <w:rPr>
          <w:rFonts w:hint="eastAsia"/>
          <w:color w:val="auto"/>
          <w:lang w:val="en-US" w:eastAsia="zh-CN"/>
        </w:rPr>
      </w:pPr>
      <w:r>
        <w:rPr>
          <w:rFonts w:hint="eastAsia"/>
          <w:color w:val="auto"/>
          <w:lang w:val="en-US" w:eastAsia="zh-CN"/>
        </w:rPr>
        <w:t>另据核实，事故发生后，共有32名居民、行人被送往上海浦南医院、仁济医院浦东分院治疗，除2名送到医院后死亡的重伤者外，其余30人中，10多人经简单处理当即出院，还有10多人留在医院接受治疗后，于当天下午出院。至25日中午，尚有2名伤势较重者仍留院观察治疗，但无生命危险。</w:t>
      </w:r>
    </w:p>
    <w:p w14:paraId="13AC546B">
      <w:pPr>
        <w:rPr>
          <w:rFonts w:hint="eastAsia"/>
          <w:color w:val="auto"/>
          <w:lang w:val="en-US" w:eastAsia="zh-CN"/>
        </w:rPr>
      </w:pPr>
      <w:r>
        <w:rPr>
          <w:rFonts w:hint="eastAsia"/>
          <w:color w:val="auto"/>
          <w:lang w:val="en-US" w:eastAsia="zh-CN"/>
        </w:rPr>
        <w:t>二、事故原因分析</w:t>
      </w:r>
    </w:p>
    <w:p w14:paraId="64F523D6">
      <w:pPr>
        <w:rPr>
          <w:rFonts w:hint="eastAsia"/>
          <w:color w:val="auto"/>
          <w:lang w:val="en-US" w:eastAsia="zh-CN"/>
        </w:rPr>
      </w:pPr>
      <w:r>
        <w:rPr>
          <w:rFonts w:hint="eastAsia"/>
          <w:color w:val="auto"/>
          <w:lang w:val="en-US" w:eastAsia="zh-CN"/>
        </w:rPr>
        <w:t>由上海市安全生产监督局等部门组成的事故联合调查组，26日下午确定上海浦三路汽油加注站爆炸事故原因，是在停业检修过程中，现场施工人员违章作业，在未对与管道相同的2号储气罐进行有效安全隔离情况下，用压缩空气对管道实施气密性实验，导致该储气罐内未经清洗置换的液化石油气与压缩空气混合，引起化学爆炸。</w:t>
      </w:r>
    </w:p>
    <w:p w14:paraId="519C8CBC">
      <w:pPr>
        <w:rPr>
          <w:rFonts w:hint="eastAsia"/>
          <w:color w:val="auto"/>
          <w:lang w:val="en-US" w:eastAsia="zh-CN"/>
        </w:rPr>
      </w:pPr>
      <w:r>
        <w:rPr>
          <w:rFonts w:hint="eastAsia"/>
          <w:color w:val="auto"/>
          <w:lang w:val="en-US" w:eastAsia="zh-CN"/>
        </w:rPr>
        <w:t>1.直接原因</w:t>
      </w:r>
    </w:p>
    <w:p w14:paraId="4F0BC200">
      <w:pPr>
        <w:rPr>
          <w:rFonts w:hint="eastAsia"/>
          <w:color w:val="auto"/>
          <w:lang w:val="en-US" w:eastAsia="zh-CN"/>
        </w:rPr>
      </w:pPr>
      <w:r>
        <w:rPr>
          <w:rFonts w:hint="eastAsia"/>
          <w:color w:val="auto"/>
          <w:lang w:val="en-US" w:eastAsia="zh-CN"/>
        </w:rPr>
        <w:t>施工人员违规操作是本次事故的直接原因。</w:t>
      </w:r>
    </w:p>
    <w:p w14:paraId="01B4725E">
      <w:pPr>
        <w:rPr>
          <w:rFonts w:hint="eastAsia"/>
          <w:color w:val="auto"/>
          <w:lang w:val="en-US" w:eastAsia="zh-CN"/>
        </w:rPr>
      </w:pPr>
      <w:r>
        <w:rPr>
          <w:rFonts w:hint="eastAsia"/>
          <w:color w:val="auto"/>
          <w:lang w:val="en-US" w:eastAsia="zh-CN"/>
        </w:rPr>
        <w:t>根据事故调查组的认定，事故是由于施工人员违章作业造成的。爆炸时，由于储气罐上方是混凝土地面，爆炸导致碎裂的石块飞出，夹着钢筋的石块飞到数百米开外，“石雨”直接造成伤亡。</w:t>
      </w:r>
    </w:p>
    <w:p w14:paraId="64706876">
      <w:pPr>
        <w:rPr>
          <w:rFonts w:hint="eastAsia"/>
          <w:color w:val="auto"/>
          <w:lang w:val="en-US" w:eastAsia="zh-CN"/>
        </w:rPr>
      </w:pPr>
      <w:r>
        <w:rPr>
          <w:rFonts w:hint="eastAsia"/>
          <w:color w:val="auto"/>
          <w:lang w:val="en-US" w:eastAsia="zh-CN"/>
        </w:rPr>
        <w:t>2.管理原因</w:t>
      </w:r>
    </w:p>
    <w:p w14:paraId="572DA7F4">
      <w:pPr>
        <w:rPr>
          <w:rFonts w:hint="eastAsia"/>
          <w:color w:val="auto"/>
          <w:lang w:val="en-US" w:eastAsia="zh-CN"/>
        </w:rPr>
      </w:pPr>
      <w:r>
        <w:rPr>
          <w:rFonts w:hint="eastAsia"/>
          <w:color w:val="auto"/>
          <w:lang w:val="en-US" w:eastAsia="zh-CN"/>
        </w:rPr>
        <w:t>加油站尽管有明确的规章制度，但在落实时却或多或少打了折扣。或许就是这一点点的不经意才造成眼下的安全隐患。</w:t>
      </w:r>
    </w:p>
    <w:p w14:paraId="1C6300DC">
      <w:pPr>
        <w:rPr>
          <w:rFonts w:hint="eastAsia"/>
          <w:color w:val="auto"/>
          <w:lang w:val="en-US" w:eastAsia="zh-CN"/>
        </w:rPr>
      </w:pPr>
      <w:r>
        <w:rPr>
          <w:rFonts w:hint="eastAsia"/>
          <w:color w:val="auto"/>
          <w:lang w:val="en-US" w:eastAsia="zh-CN"/>
        </w:rPr>
        <w:t>三、事故教训</w:t>
      </w:r>
    </w:p>
    <w:p w14:paraId="46711CB2">
      <w:pPr>
        <w:rPr>
          <w:rFonts w:hint="eastAsia"/>
          <w:color w:val="auto"/>
          <w:lang w:val="en-US" w:eastAsia="zh-CN"/>
        </w:rPr>
      </w:pPr>
      <w:r>
        <w:rPr>
          <w:rFonts w:hint="eastAsia"/>
          <w:color w:val="auto"/>
          <w:lang w:val="en-US" w:eastAsia="zh-CN"/>
        </w:rPr>
        <w:t>（1）强化监督管理，规范管理</w:t>
      </w:r>
    </w:p>
    <w:p w14:paraId="3A691953">
      <w:pPr>
        <w:rPr>
          <w:rFonts w:hint="eastAsia"/>
          <w:color w:val="auto"/>
          <w:lang w:val="en-US" w:eastAsia="zh-CN"/>
        </w:rPr>
      </w:pPr>
      <w:r>
        <w:rPr>
          <w:rFonts w:hint="eastAsia"/>
          <w:color w:val="auto"/>
          <w:lang w:val="en-US" w:eastAsia="zh-CN"/>
        </w:rPr>
        <w:t>加油站常年收发储存危险化学品，且为开放式频繁作业，动态的危险因素多，特别是昼夜服务的用户（人）、车辆（物）的安全可靠性变化较大。加油站的安全管理，应当建立和坚持有效的监督检查机制，保持经营过程中设施、设备、人员、车辆、环境的正常状态，及时消除不安全因素，加油站站长是该站安全管理的第一责任人，应当认真坚持“安全第一，预防为主，综合治理”的方针，坚持贯彻执行各项规章制度，规范加油站经营的各项活动。加油站员工，应当坚持执行各项规定，认真履行岗位职责，严格按章办事，规范操作。杜绝违章作业、违章指挥、违反纪律，确保经营安全。</w:t>
      </w:r>
    </w:p>
    <w:p w14:paraId="125C3628">
      <w:pPr>
        <w:rPr>
          <w:rFonts w:hint="eastAsia"/>
          <w:color w:val="auto"/>
          <w:lang w:val="en-US" w:eastAsia="zh-CN"/>
        </w:rPr>
      </w:pPr>
      <w:r>
        <w:rPr>
          <w:rFonts w:hint="eastAsia"/>
          <w:color w:val="auto"/>
          <w:lang w:val="en-US" w:eastAsia="zh-CN"/>
        </w:rPr>
        <w:t>具体的，应做到：</w:t>
      </w:r>
    </w:p>
    <w:p w14:paraId="27CB0D27">
      <w:pPr>
        <w:rPr>
          <w:rFonts w:hint="eastAsia"/>
          <w:color w:val="auto"/>
          <w:lang w:val="en-US" w:eastAsia="zh-CN"/>
        </w:rPr>
      </w:pPr>
      <w:r>
        <w:rPr>
          <w:rFonts w:hint="eastAsia"/>
          <w:color w:val="auto"/>
          <w:lang w:val="en-US" w:eastAsia="zh-CN"/>
        </w:rPr>
        <w:t>①按照指定的应急救援预案组织员工进行应急救援演练，并进一步完善预案。</w:t>
      </w:r>
    </w:p>
    <w:p w14:paraId="1D50DF6E">
      <w:pPr>
        <w:rPr>
          <w:rFonts w:hint="eastAsia"/>
          <w:color w:val="auto"/>
          <w:lang w:val="en-US" w:eastAsia="zh-CN"/>
        </w:rPr>
      </w:pPr>
      <w:r>
        <w:rPr>
          <w:rFonts w:hint="eastAsia"/>
          <w:color w:val="auto"/>
          <w:lang w:val="en-US" w:eastAsia="zh-CN"/>
        </w:rPr>
        <w:t>②站房内禁止烟火，应在显著位置设置明显严禁烟火，禁用手机标志。</w:t>
      </w:r>
    </w:p>
    <w:p w14:paraId="0E96AD76">
      <w:pPr>
        <w:rPr>
          <w:rFonts w:hint="eastAsia"/>
          <w:color w:val="auto"/>
          <w:lang w:val="en-US" w:eastAsia="zh-CN"/>
        </w:rPr>
      </w:pPr>
      <w:r>
        <w:rPr>
          <w:rFonts w:hint="eastAsia"/>
          <w:color w:val="auto"/>
          <w:lang w:val="en-US" w:eastAsia="zh-CN"/>
        </w:rPr>
        <w:t>③站房内已开启的润滑油桶不宜超过两桶，桶上要加盖。</w:t>
      </w:r>
    </w:p>
    <w:p w14:paraId="5436EA11">
      <w:pPr>
        <w:rPr>
          <w:rFonts w:hint="eastAsia"/>
          <w:color w:val="auto"/>
          <w:lang w:val="en-US" w:eastAsia="zh-CN"/>
        </w:rPr>
      </w:pPr>
      <w:r>
        <w:rPr>
          <w:rFonts w:hint="eastAsia"/>
          <w:color w:val="auto"/>
          <w:lang w:val="en-US" w:eastAsia="zh-CN"/>
        </w:rPr>
        <w:t>④应监督油罐区外侧已经停工的违章建筑，防止其继续施工，必要时向有关部门汇报。</w:t>
      </w:r>
    </w:p>
    <w:p w14:paraId="2313E31E">
      <w:pPr>
        <w:rPr>
          <w:rFonts w:hint="eastAsia"/>
          <w:color w:val="auto"/>
          <w:lang w:val="en-US" w:eastAsia="zh-CN"/>
        </w:rPr>
      </w:pPr>
      <w:r>
        <w:rPr>
          <w:rFonts w:hint="eastAsia"/>
          <w:color w:val="auto"/>
          <w:lang w:val="en-US" w:eastAsia="zh-CN"/>
        </w:rPr>
        <w:t>⑤所有配电设施附近3m范围内不得摆置易燃物品。</w:t>
      </w:r>
    </w:p>
    <w:p w14:paraId="183DB10A">
      <w:pPr>
        <w:rPr>
          <w:rFonts w:hint="eastAsia"/>
          <w:color w:val="auto"/>
          <w:lang w:val="en-US" w:eastAsia="zh-CN"/>
        </w:rPr>
      </w:pPr>
      <w:r>
        <w:rPr>
          <w:rFonts w:hint="eastAsia"/>
          <w:color w:val="auto"/>
          <w:lang w:val="en-US" w:eastAsia="zh-CN"/>
        </w:rPr>
        <w:t>⑥应增加站场内外的各种警示标识、车辆出入口标志、安全标志。</w:t>
      </w:r>
    </w:p>
    <w:p w14:paraId="45A34E83">
      <w:pPr>
        <w:rPr>
          <w:rFonts w:hint="eastAsia"/>
          <w:color w:val="auto"/>
          <w:lang w:val="en-US" w:eastAsia="zh-CN"/>
        </w:rPr>
      </w:pPr>
      <w:r>
        <w:rPr>
          <w:rFonts w:hint="eastAsia"/>
          <w:color w:val="auto"/>
          <w:lang w:val="en-US" w:eastAsia="zh-CN"/>
        </w:rPr>
        <w:t>⑦卸油时，应加强监护，牵拉油管线要注意安全，刚开始时，卸油速度要慢，不要超过1m/s。</w:t>
      </w:r>
    </w:p>
    <w:p w14:paraId="65DB55D1">
      <w:pPr>
        <w:rPr>
          <w:rFonts w:hint="eastAsia"/>
          <w:color w:val="auto"/>
          <w:lang w:val="en-US" w:eastAsia="zh-CN"/>
        </w:rPr>
      </w:pPr>
      <w:r>
        <w:rPr>
          <w:rFonts w:hint="eastAsia"/>
          <w:color w:val="auto"/>
          <w:lang w:val="en-US" w:eastAsia="zh-CN"/>
        </w:rPr>
        <w:t>⑧严格按照加油车辆到指定位置后应熄火加油。</w:t>
      </w:r>
    </w:p>
    <w:p w14:paraId="77718FC1">
      <w:pPr>
        <w:rPr>
          <w:rFonts w:hint="eastAsia"/>
          <w:color w:val="auto"/>
          <w:lang w:val="en-US" w:eastAsia="zh-CN"/>
        </w:rPr>
      </w:pPr>
      <w:r>
        <w:rPr>
          <w:rFonts w:hint="eastAsia"/>
          <w:color w:val="auto"/>
          <w:lang w:val="en-US" w:eastAsia="zh-CN"/>
        </w:rPr>
        <w:t>⑨油罐应设在带有高液位报警功能的液位计。</w:t>
      </w:r>
    </w:p>
    <w:p w14:paraId="1AAAC6DB">
      <w:pPr>
        <w:rPr>
          <w:rFonts w:hint="eastAsia"/>
          <w:color w:val="auto"/>
          <w:lang w:val="en-US" w:eastAsia="zh-CN"/>
        </w:rPr>
      </w:pPr>
      <w:r>
        <w:rPr>
          <w:rFonts w:hint="eastAsia"/>
          <w:color w:val="auto"/>
          <w:lang w:val="en-US" w:eastAsia="zh-CN"/>
        </w:rPr>
        <w:t>⑩地面油渍应及时处理并不得用化纤织物擦拭。</w:t>
      </w:r>
    </w:p>
    <w:p w14:paraId="2ADA1269">
      <w:pPr>
        <w:rPr>
          <w:rFonts w:hint="eastAsia"/>
          <w:color w:val="auto"/>
          <w:lang w:val="en-US" w:eastAsia="zh-CN"/>
        </w:rPr>
      </w:pPr>
      <w:r>
        <w:rPr>
          <w:rFonts w:hint="eastAsia"/>
          <w:color w:val="auto"/>
          <w:lang w:val="en-US" w:eastAsia="zh-CN"/>
        </w:rPr>
        <w:t>（2）规范从业人员上岗资格的培训管理</w:t>
      </w:r>
    </w:p>
    <w:p w14:paraId="40C8820F">
      <w:pPr>
        <w:rPr>
          <w:rFonts w:hint="eastAsia"/>
          <w:color w:val="auto"/>
          <w:lang w:val="en-US" w:eastAsia="zh-CN"/>
        </w:rPr>
      </w:pPr>
      <w:r>
        <w:rPr>
          <w:rFonts w:hint="eastAsia"/>
          <w:color w:val="auto"/>
          <w:lang w:val="en-US" w:eastAsia="zh-CN"/>
        </w:rPr>
        <w:t>从业人员接受安全培训，是取得上岗资格的前提。员工培训资料的系统和完整，是确认员工的专业素质、上岗任职资格的重要证明。加油站按现行人力管理模式，站间人员交流较为频繁。应当规范做好培训资料的传递、交接，以保持培训资料的连贯、系统、完整，为考核、聘任员工提供专业技能的依据。</w:t>
      </w:r>
    </w:p>
    <w:p w14:paraId="31A29F14">
      <w:pPr>
        <w:rPr>
          <w:rFonts w:hint="eastAsia"/>
          <w:color w:val="auto"/>
          <w:lang w:val="en-US" w:eastAsia="zh-CN"/>
        </w:rPr>
      </w:pPr>
      <w:r>
        <w:rPr>
          <w:rFonts w:hint="eastAsia"/>
          <w:color w:val="auto"/>
          <w:lang w:val="en-US" w:eastAsia="zh-CN"/>
        </w:rPr>
        <w:t>（3）完善岗位操作规程</w:t>
      </w:r>
    </w:p>
    <w:p w14:paraId="4C081466">
      <w:pPr>
        <w:rPr>
          <w:rFonts w:hint="eastAsia"/>
          <w:color w:val="auto"/>
          <w:lang w:val="en-US" w:eastAsia="zh-CN"/>
        </w:rPr>
      </w:pPr>
      <w:r>
        <w:rPr>
          <w:rFonts w:hint="eastAsia"/>
          <w:color w:val="auto"/>
          <w:lang w:val="en-US" w:eastAsia="zh-CN"/>
        </w:rPr>
        <w:t>岗位操作规程未达到按岗配齐，往往导致油站作业的某些操作无章可循，容易发生违章操作，是安全管理工作中的一个薄弱环节。</w:t>
      </w:r>
    </w:p>
    <w:p w14:paraId="3ECEBAEB">
      <w:pPr>
        <w:rPr>
          <w:rFonts w:hint="eastAsia"/>
          <w:color w:val="auto"/>
          <w:lang w:val="en-US" w:eastAsia="zh-CN"/>
        </w:rPr>
      </w:pPr>
      <w:r>
        <w:rPr>
          <w:rFonts w:hint="eastAsia"/>
          <w:color w:val="auto"/>
          <w:lang w:val="en-US" w:eastAsia="zh-CN"/>
        </w:rPr>
        <w:t>设备进行例保例检，修理故障设备，是加油站一项经常性的工作。设备检修，往往涉及排除余油、临时用电、使用明火、装拆防爆器件等等。检修过程必须严格按章办事。确保管理到位，特别是在站内爆炸危险区域和火灾危险区域，需要使用明火时，必须事先按使用类型、级别报批，取得动火作业票，并按作业票的规定执行，严禁违章动火。设立临时电源，应当由专业电工按规定装拆，防止发生以外，确保检修安全。</w:t>
      </w:r>
    </w:p>
    <w:p w14:paraId="1F1BA2C0">
      <w:pPr>
        <w:rPr>
          <w:rFonts w:hint="eastAsia"/>
          <w:color w:val="auto"/>
          <w:lang w:val="en-US" w:eastAsia="zh-CN"/>
        </w:rPr>
      </w:pPr>
      <w:r>
        <w:rPr>
          <w:rFonts w:hint="eastAsia"/>
          <w:color w:val="auto"/>
          <w:lang w:val="en-US" w:eastAsia="zh-CN"/>
        </w:rPr>
        <w:t>（4）严防火灾爆炸事故</w:t>
      </w:r>
    </w:p>
    <w:p w14:paraId="3EB49BC1">
      <w:pPr>
        <w:keepNext w:val="0"/>
        <w:keepLines w:val="0"/>
        <w:pageBreakBefore w:val="0"/>
        <w:widowControl w:val="0"/>
        <w:kinsoku/>
        <w:wordWrap/>
        <w:overflowPunct/>
        <w:topLinePunct w:val="0"/>
        <w:autoSpaceDE/>
        <w:autoSpaceDN/>
        <w:bidi w:val="0"/>
        <w:adjustRightInd/>
        <w:snapToGrid/>
        <w:spacing w:line="348" w:lineRule="auto"/>
        <w:textAlignment w:val="auto"/>
        <w:rPr>
          <w:rFonts w:hint="eastAsia"/>
          <w:color w:val="auto"/>
          <w:lang w:val="en-US" w:eastAsia="zh-CN"/>
        </w:rPr>
      </w:pPr>
      <w:r>
        <w:rPr>
          <w:rFonts w:hint="eastAsia"/>
          <w:color w:val="auto"/>
          <w:lang w:val="en-US" w:eastAsia="zh-CN"/>
        </w:rPr>
        <w:t>石油成品油是易挥发、易燃、易产生静电的危险化学物品，具有显著的火灾危险特性。石油蒸汽和空气的混合气，在一定的浓度范围内能产生爆炸。加油站常年收发成品油，并保持一定储存量，而且是开放式频繁作业，操作方式、操作过程、经营设施中存在着较多的危险有害因素。特别是静电、油蒸汽等都是与作业过程始终相伴发生，极易触发火灾爆炸事故。因此，应强化安全检查，强化员工安全意识，不断提高员工的安全操作技能；及时整改各类事故隐患、管理缺陷；规范职工的操作行为；完善防范设施。</w:t>
      </w:r>
      <w:r>
        <w:rPr>
          <w:rFonts w:hint="eastAsia"/>
          <w:color w:val="auto"/>
          <w:lang w:val="en-US" w:eastAsia="zh-CN"/>
        </w:rPr>
        <w:br w:type="page"/>
      </w:r>
    </w:p>
    <w:p w14:paraId="5C0B6384">
      <w:pPr>
        <w:pStyle w:val="2"/>
        <w:numPr>
          <w:ilvl w:val="0"/>
          <w:numId w:val="1"/>
        </w:numPr>
        <w:bidi w:val="0"/>
        <w:rPr>
          <w:rFonts w:hint="eastAsia"/>
          <w:color w:val="auto"/>
          <w:lang w:val="en-US" w:eastAsia="zh-CN"/>
        </w:rPr>
      </w:pPr>
      <w:bookmarkStart w:id="119" w:name="_Toc25026"/>
      <w:bookmarkStart w:id="120" w:name="_Toc31500"/>
      <w:bookmarkStart w:id="121" w:name="_Toc24847"/>
      <w:bookmarkStart w:id="122" w:name="_Toc29769"/>
      <w:r>
        <w:rPr>
          <w:rFonts w:hint="eastAsia"/>
          <w:color w:val="auto"/>
          <w:lang w:val="en-US" w:eastAsia="zh-CN"/>
        </w:rPr>
        <w:t>安全评价单元的划分结果及理由说明</w:t>
      </w:r>
      <w:bookmarkEnd w:id="119"/>
      <w:bookmarkEnd w:id="120"/>
      <w:bookmarkEnd w:id="121"/>
      <w:bookmarkEnd w:id="122"/>
    </w:p>
    <w:p w14:paraId="1AE7D9C9">
      <w:pPr>
        <w:pStyle w:val="3"/>
        <w:bidi w:val="0"/>
        <w:rPr>
          <w:rFonts w:hint="eastAsia"/>
          <w:color w:val="auto"/>
          <w:lang w:val="en-US" w:eastAsia="zh-CN"/>
        </w:rPr>
      </w:pPr>
      <w:bookmarkStart w:id="123" w:name="_Toc1240"/>
      <w:bookmarkStart w:id="124" w:name="_Toc26149"/>
      <w:bookmarkStart w:id="125" w:name="_Toc14202"/>
      <w:bookmarkStart w:id="126" w:name="_Toc644"/>
      <w:r>
        <w:rPr>
          <w:rFonts w:hint="eastAsia"/>
          <w:color w:val="auto"/>
          <w:lang w:val="en-US" w:eastAsia="zh-CN"/>
        </w:rPr>
        <w:t>4.1 评价单元的划分目的</w:t>
      </w:r>
      <w:bookmarkEnd w:id="123"/>
      <w:bookmarkEnd w:id="124"/>
      <w:bookmarkEnd w:id="125"/>
      <w:bookmarkEnd w:id="126"/>
    </w:p>
    <w:p w14:paraId="3CBCDD85">
      <w:pPr>
        <w:rPr>
          <w:rFonts w:hint="eastAsia"/>
          <w:color w:val="auto"/>
          <w:lang w:val="en-US" w:eastAsia="zh-CN"/>
        </w:rPr>
      </w:pPr>
      <w:r>
        <w:rPr>
          <w:rFonts w:hint="eastAsia"/>
          <w:color w:val="auto"/>
          <w:lang w:val="en-US" w:eastAsia="zh-CN"/>
        </w:rPr>
        <w:t>评价单元是指系统的一个独立组成部分。评价单元划分的目的是将系统划分为不同类型的评价单元进行评价，这样不仅可以简化评价工作、减少评价工作量，而且由于能够得出每个评价单元危险性的比较概念，避免以最危险单元的危险性来表征整个系统的危险性、夸大整个系统的危险性的可能性，从而提高评价的准确性。同时通过评价单元的划分，可以抓住主要矛盾，对其不同的危险特性进行评价，有针对性地采取安全措施。</w:t>
      </w:r>
    </w:p>
    <w:p w14:paraId="09B59301">
      <w:pPr>
        <w:pStyle w:val="3"/>
        <w:bidi w:val="0"/>
        <w:rPr>
          <w:rFonts w:hint="eastAsia"/>
          <w:color w:val="auto"/>
          <w:lang w:val="en-US" w:eastAsia="zh-CN"/>
        </w:rPr>
      </w:pPr>
      <w:bookmarkStart w:id="127" w:name="_Toc4988"/>
      <w:bookmarkStart w:id="128" w:name="_Toc15645"/>
      <w:bookmarkStart w:id="129" w:name="_Toc2344"/>
      <w:bookmarkStart w:id="130" w:name="_Toc16202"/>
      <w:r>
        <w:rPr>
          <w:rFonts w:hint="eastAsia"/>
          <w:color w:val="auto"/>
          <w:lang w:val="en-US" w:eastAsia="zh-CN"/>
        </w:rPr>
        <w:t>4.2 评价单元的划分原则</w:t>
      </w:r>
      <w:bookmarkEnd w:id="127"/>
      <w:bookmarkEnd w:id="128"/>
      <w:bookmarkEnd w:id="129"/>
      <w:bookmarkEnd w:id="130"/>
    </w:p>
    <w:p w14:paraId="16C55712">
      <w:pPr>
        <w:rPr>
          <w:rFonts w:hint="eastAsia"/>
          <w:color w:val="auto"/>
          <w:lang w:val="en-US" w:eastAsia="zh-CN"/>
        </w:rPr>
      </w:pPr>
      <w:r>
        <w:rPr>
          <w:rFonts w:hint="eastAsia"/>
          <w:color w:val="auto"/>
          <w:lang w:val="en-US" w:eastAsia="zh-CN"/>
        </w:rPr>
        <w:t>1. 以危险、有害因素类别为主划分评价单元；</w:t>
      </w:r>
    </w:p>
    <w:p w14:paraId="73BF52DF">
      <w:pPr>
        <w:rPr>
          <w:rFonts w:hint="eastAsia"/>
          <w:color w:val="auto"/>
          <w:lang w:val="en-US" w:eastAsia="zh-CN"/>
        </w:rPr>
      </w:pPr>
      <w:r>
        <w:rPr>
          <w:rFonts w:hint="eastAsia"/>
          <w:color w:val="auto"/>
          <w:lang w:val="en-US" w:eastAsia="zh-CN"/>
        </w:rPr>
        <w:t>2. 以装置、设施和工艺流程的特征划分评价单元；</w:t>
      </w:r>
    </w:p>
    <w:p w14:paraId="4BF442FE">
      <w:pPr>
        <w:rPr>
          <w:rFonts w:hint="eastAsia"/>
          <w:color w:val="auto"/>
          <w:lang w:val="en-US" w:eastAsia="zh-CN"/>
        </w:rPr>
      </w:pPr>
      <w:r>
        <w:rPr>
          <w:rFonts w:hint="eastAsia"/>
          <w:color w:val="auto"/>
          <w:lang w:val="en-US" w:eastAsia="zh-CN"/>
        </w:rPr>
        <w:t>3. 安全管理、外部周边情况单独划分为评价单元。</w:t>
      </w:r>
    </w:p>
    <w:p w14:paraId="3F5EFA02">
      <w:pPr>
        <w:pStyle w:val="3"/>
        <w:bidi w:val="0"/>
        <w:rPr>
          <w:rFonts w:hint="eastAsia"/>
          <w:color w:val="auto"/>
          <w:lang w:val="en-US" w:eastAsia="zh-CN"/>
        </w:rPr>
      </w:pPr>
      <w:bookmarkStart w:id="131" w:name="_Toc28317"/>
      <w:bookmarkStart w:id="132" w:name="_Toc16609"/>
      <w:bookmarkStart w:id="133" w:name="_Toc10890"/>
      <w:bookmarkStart w:id="134" w:name="_Toc11622"/>
      <w:r>
        <w:rPr>
          <w:rFonts w:hint="eastAsia"/>
          <w:color w:val="auto"/>
          <w:lang w:val="en-US" w:eastAsia="zh-CN"/>
        </w:rPr>
        <w:t>4.3 评价单元的划分结果</w:t>
      </w:r>
      <w:bookmarkEnd w:id="131"/>
      <w:bookmarkEnd w:id="132"/>
      <w:bookmarkEnd w:id="133"/>
      <w:bookmarkEnd w:id="134"/>
    </w:p>
    <w:p w14:paraId="01BC6B4C">
      <w:pPr>
        <w:rPr>
          <w:rFonts w:hint="eastAsia"/>
          <w:color w:val="auto"/>
          <w:lang w:val="en-US" w:eastAsia="zh-CN"/>
        </w:rPr>
      </w:pPr>
      <w:r>
        <w:rPr>
          <w:rFonts w:hint="eastAsia"/>
          <w:color w:val="auto"/>
          <w:lang w:val="en-US" w:eastAsia="zh-CN"/>
        </w:rPr>
        <w:t>本报告根据委托方提供的有关技术资料，按照各工序的不同危险性，总体上划分为以下2个大的单元，具体如下：</w:t>
      </w:r>
    </w:p>
    <w:p w14:paraId="086562C8">
      <w:pPr>
        <w:numPr>
          <w:ilvl w:val="0"/>
          <w:numId w:val="2"/>
        </w:numPr>
        <w:ind w:left="0" w:leftChars="0" w:firstLine="560" w:firstLineChars="200"/>
        <w:rPr>
          <w:rFonts w:hint="eastAsia"/>
          <w:color w:val="auto"/>
          <w:lang w:val="en-US" w:eastAsia="zh-CN"/>
        </w:rPr>
      </w:pPr>
      <w:r>
        <w:rPr>
          <w:rFonts w:hint="eastAsia"/>
          <w:color w:val="auto"/>
          <w:lang w:val="en-US" w:eastAsia="zh-CN"/>
        </w:rPr>
        <w:t>站址和总平面布置</w:t>
      </w:r>
    </w:p>
    <w:p w14:paraId="4C43C49E">
      <w:pPr>
        <w:numPr>
          <w:ilvl w:val="0"/>
          <w:numId w:val="2"/>
        </w:numPr>
        <w:ind w:left="0" w:leftChars="0" w:firstLine="560" w:firstLineChars="200"/>
        <w:rPr>
          <w:rFonts w:hint="eastAsia"/>
          <w:color w:val="auto"/>
          <w:lang w:val="en-US" w:eastAsia="zh-CN"/>
        </w:rPr>
      </w:pPr>
      <w:r>
        <w:rPr>
          <w:rFonts w:hint="eastAsia"/>
          <w:color w:val="auto"/>
          <w:lang w:val="en-US" w:eastAsia="zh-CN"/>
        </w:rPr>
        <w:t>设备设施</w:t>
      </w:r>
    </w:p>
    <w:p w14:paraId="3AA7F298">
      <w:pPr>
        <w:pStyle w:val="2"/>
        <w:bidi w:val="0"/>
        <w:rPr>
          <w:rFonts w:hint="eastAsia"/>
          <w:color w:val="auto"/>
          <w:lang w:val="en-US" w:eastAsia="zh-CN"/>
        </w:rPr>
      </w:pPr>
      <w:r>
        <w:rPr>
          <w:rFonts w:hint="eastAsia"/>
          <w:color w:val="auto"/>
          <w:lang w:val="en-US" w:eastAsia="zh-CN"/>
        </w:rPr>
        <w:br w:type="page"/>
      </w:r>
      <w:bookmarkStart w:id="135" w:name="_Toc14793"/>
      <w:bookmarkStart w:id="136" w:name="_Toc5715"/>
      <w:bookmarkStart w:id="137" w:name="_Toc10636"/>
      <w:bookmarkStart w:id="138" w:name="_Toc21025"/>
      <w:r>
        <w:rPr>
          <w:rFonts w:hint="eastAsia"/>
          <w:color w:val="auto"/>
          <w:lang w:val="en-US" w:eastAsia="zh-CN"/>
        </w:rPr>
        <w:t>5. 采用的安全评价方法及理由说明</w:t>
      </w:r>
      <w:bookmarkEnd w:id="135"/>
      <w:bookmarkEnd w:id="136"/>
      <w:bookmarkEnd w:id="137"/>
      <w:bookmarkEnd w:id="138"/>
    </w:p>
    <w:p w14:paraId="596A9EA6">
      <w:pPr>
        <w:rPr>
          <w:rFonts w:hint="eastAsia"/>
          <w:color w:val="auto"/>
          <w:lang w:val="en-US" w:eastAsia="zh-CN"/>
        </w:rPr>
      </w:pPr>
      <w:r>
        <w:rPr>
          <w:rFonts w:hint="eastAsia"/>
          <w:color w:val="auto"/>
          <w:lang w:val="en-US" w:eastAsia="zh-CN"/>
        </w:rPr>
        <w:t>评价单元与采用评价方法对应关系见表5.1-1。</w:t>
      </w:r>
    </w:p>
    <w:p w14:paraId="762321EE">
      <w:pPr>
        <w:ind w:left="0" w:leftChars="0" w:firstLine="0" w:firstLineChars="0"/>
        <w:jc w:val="center"/>
        <w:rPr>
          <w:rFonts w:hint="eastAsia"/>
          <w:color w:val="auto"/>
          <w:lang w:val="en-US" w:eastAsia="zh-CN"/>
        </w:rPr>
      </w:pPr>
      <w:r>
        <w:rPr>
          <w:rFonts w:hint="eastAsia"/>
          <w:color w:val="auto"/>
          <w:lang w:val="en-US" w:eastAsia="zh-CN"/>
        </w:rPr>
        <w:t>表5.1-1 评价单元与采用的评价方法对应关系一览表</w:t>
      </w:r>
    </w:p>
    <w:tbl>
      <w:tblPr>
        <w:tblStyle w:val="14"/>
        <w:tblW w:w="905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1"/>
        <w:gridCol w:w="2182"/>
        <w:gridCol w:w="3339"/>
        <w:gridCol w:w="2683"/>
      </w:tblGrid>
      <w:tr w14:paraId="72D998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851" w:type="dxa"/>
            <w:noWrap w:val="0"/>
            <w:vAlign w:val="center"/>
          </w:tcPr>
          <w:p w14:paraId="592E8E1C">
            <w:pPr>
              <w:spacing w:line="360" w:lineRule="exact"/>
              <w:ind w:firstLine="0" w:firstLineChars="0"/>
              <w:jc w:val="center"/>
              <w:rPr>
                <w:rFonts w:ascii="Times New Roman" w:hAnsi="Times New Roman" w:eastAsia="宋体" w:cs="Times New Roman"/>
                <w:b/>
                <w:bCs/>
                <w:color w:val="auto"/>
                <w:kern w:val="2"/>
                <w:sz w:val="21"/>
                <w:szCs w:val="21"/>
              </w:rPr>
            </w:pPr>
            <w:r>
              <w:rPr>
                <w:rFonts w:ascii="宋体" w:hAnsi="宋体" w:eastAsia="宋体" w:cs="Times New Roman"/>
                <w:b/>
                <w:bCs/>
                <w:color w:val="auto"/>
                <w:kern w:val="2"/>
                <w:sz w:val="21"/>
                <w:szCs w:val="21"/>
              </w:rPr>
              <w:t>序号</w:t>
            </w:r>
          </w:p>
        </w:tc>
        <w:tc>
          <w:tcPr>
            <w:tcW w:w="2182" w:type="dxa"/>
            <w:noWrap w:val="0"/>
            <w:vAlign w:val="center"/>
          </w:tcPr>
          <w:p w14:paraId="465F8D60">
            <w:pPr>
              <w:spacing w:line="360" w:lineRule="exact"/>
              <w:ind w:firstLine="0" w:firstLineChars="0"/>
              <w:jc w:val="center"/>
              <w:rPr>
                <w:rFonts w:ascii="Times New Roman" w:hAnsi="Times New Roman" w:eastAsia="宋体" w:cs="Times New Roman"/>
                <w:b/>
                <w:bCs/>
                <w:color w:val="auto"/>
                <w:kern w:val="2"/>
                <w:sz w:val="21"/>
                <w:szCs w:val="21"/>
              </w:rPr>
            </w:pPr>
            <w:r>
              <w:rPr>
                <w:rFonts w:ascii="宋体" w:hAnsi="宋体" w:eastAsia="宋体" w:cs="Times New Roman"/>
                <w:b/>
                <w:bCs/>
                <w:color w:val="auto"/>
                <w:kern w:val="2"/>
                <w:sz w:val="21"/>
                <w:szCs w:val="21"/>
              </w:rPr>
              <w:t>评价单元</w:t>
            </w:r>
          </w:p>
        </w:tc>
        <w:tc>
          <w:tcPr>
            <w:tcW w:w="3339" w:type="dxa"/>
            <w:noWrap w:val="0"/>
            <w:vAlign w:val="center"/>
          </w:tcPr>
          <w:p w14:paraId="720E63A0">
            <w:pPr>
              <w:spacing w:line="360" w:lineRule="exact"/>
              <w:ind w:firstLine="0" w:firstLineChars="0"/>
              <w:jc w:val="center"/>
              <w:rPr>
                <w:rFonts w:ascii="Times New Roman" w:hAnsi="Times New Roman" w:eastAsia="宋体" w:cs="Times New Roman"/>
                <w:b/>
                <w:bCs/>
                <w:color w:val="auto"/>
                <w:kern w:val="2"/>
                <w:sz w:val="21"/>
                <w:szCs w:val="21"/>
              </w:rPr>
            </w:pPr>
            <w:r>
              <w:rPr>
                <w:rFonts w:ascii="宋体" w:hAnsi="宋体" w:eastAsia="宋体" w:cs="Times New Roman"/>
                <w:b/>
                <w:bCs/>
                <w:color w:val="auto"/>
                <w:kern w:val="2"/>
                <w:sz w:val="21"/>
                <w:szCs w:val="21"/>
              </w:rPr>
              <w:t>评价的主要对象</w:t>
            </w:r>
          </w:p>
        </w:tc>
        <w:tc>
          <w:tcPr>
            <w:tcW w:w="2683" w:type="dxa"/>
            <w:noWrap w:val="0"/>
            <w:vAlign w:val="center"/>
          </w:tcPr>
          <w:p w14:paraId="41F2DEA0">
            <w:pPr>
              <w:spacing w:line="360" w:lineRule="exact"/>
              <w:ind w:firstLine="0" w:firstLineChars="0"/>
              <w:jc w:val="center"/>
              <w:rPr>
                <w:rFonts w:ascii="Times New Roman" w:hAnsi="Times New Roman" w:eastAsia="宋体" w:cs="Times New Roman"/>
                <w:b/>
                <w:bCs/>
                <w:color w:val="auto"/>
                <w:kern w:val="2"/>
                <w:sz w:val="21"/>
                <w:szCs w:val="21"/>
              </w:rPr>
            </w:pPr>
            <w:r>
              <w:rPr>
                <w:rFonts w:ascii="宋体" w:hAnsi="宋体" w:eastAsia="宋体" w:cs="Times New Roman"/>
                <w:b/>
                <w:bCs/>
                <w:color w:val="auto"/>
                <w:kern w:val="2"/>
                <w:sz w:val="21"/>
                <w:szCs w:val="21"/>
              </w:rPr>
              <w:t>采用的评价方法</w:t>
            </w:r>
          </w:p>
        </w:tc>
      </w:tr>
      <w:tr w14:paraId="66AB7D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8" w:hRule="atLeast"/>
          <w:jc w:val="center"/>
        </w:trPr>
        <w:tc>
          <w:tcPr>
            <w:tcW w:w="851" w:type="dxa"/>
            <w:vMerge w:val="restart"/>
            <w:noWrap w:val="0"/>
            <w:vAlign w:val="center"/>
          </w:tcPr>
          <w:p w14:paraId="056D29CC">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1</w:t>
            </w:r>
          </w:p>
        </w:tc>
        <w:tc>
          <w:tcPr>
            <w:tcW w:w="2182" w:type="dxa"/>
            <w:vMerge w:val="restart"/>
            <w:noWrap w:val="0"/>
            <w:vAlign w:val="center"/>
          </w:tcPr>
          <w:p w14:paraId="2AC34454">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站址和总平面布置</w:t>
            </w:r>
          </w:p>
        </w:tc>
        <w:tc>
          <w:tcPr>
            <w:tcW w:w="3339" w:type="dxa"/>
            <w:noWrap w:val="0"/>
            <w:vAlign w:val="center"/>
          </w:tcPr>
          <w:p w14:paraId="617B6B3C">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设施周边环境安全距离</w:t>
            </w:r>
          </w:p>
        </w:tc>
        <w:tc>
          <w:tcPr>
            <w:tcW w:w="2683" w:type="dxa"/>
            <w:vMerge w:val="restart"/>
            <w:noWrap w:val="0"/>
            <w:vAlign w:val="center"/>
          </w:tcPr>
          <w:p w14:paraId="26FBF841">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安全检查表分析法</w:t>
            </w:r>
          </w:p>
        </w:tc>
      </w:tr>
      <w:tr w14:paraId="2ABA81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8" w:hRule="atLeast"/>
          <w:jc w:val="center"/>
        </w:trPr>
        <w:tc>
          <w:tcPr>
            <w:tcW w:w="851" w:type="dxa"/>
            <w:noWrap w:val="0"/>
            <w:vAlign w:val="center"/>
          </w:tcPr>
          <w:p w14:paraId="41313C6B">
            <w:pPr>
              <w:spacing w:line="240" w:lineRule="auto"/>
              <w:ind w:firstLine="0" w:firstLineChars="0"/>
              <w:jc w:val="center"/>
              <w:rPr>
                <w:rFonts w:ascii="宋体" w:hAnsi="宋体" w:eastAsia="宋体" w:cs="Times New Roman"/>
                <w:color w:val="auto"/>
                <w:kern w:val="2"/>
                <w:sz w:val="21"/>
                <w:szCs w:val="21"/>
              </w:rPr>
            </w:pPr>
          </w:p>
          <w:p w14:paraId="54CAC3FA">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2</w:t>
            </w:r>
          </w:p>
        </w:tc>
        <w:tc>
          <w:tcPr>
            <w:tcW w:w="2182" w:type="dxa"/>
            <w:noWrap w:val="0"/>
            <w:vAlign w:val="center"/>
          </w:tcPr>
          <w:p w14:paraId="2704DD64">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设备设施</w:t>
            </w:r>
          </w:p>
        </w:tc>
        <w:tc>
          <w:tcPr>
            <w:tcW w:w="3339" w:type="dxa"/>
            <w:noWrap w:val="0"/>
            <w:vAlign w:val="center"/>
          </w:tcPr>
          <w:p w14:paraId="5E716584">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设备、设施及安全管理</w:t>
            </w:r>
          </w:p>
        </w:tc>
        <w:tc>
          <w:tcPr>
            <w:tcW w:w="2683" w:type="dxa"/>
            <w:noWrap w:val="0"/>
            <w:vAlign w:val="center"/>
          </w:tcPr>
          <w:p w14:paraId="73252985">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预先危险性分析法</w:t>
            </w:r>
          </w:p>
          <w:p w14:paraId="10765F1E">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危险度分析法</w:t>
            </w:r>
          </w:p>
          <w:p w14:paraId="2C55F188">
            <w:pPr>
              <w:spacing w:line="240" w:lineRule="auto"/>
              <w:ind w:firstLine="0" w:firstLineChars="0"/>
              <w:jc w:val="center"/>
              <w:rPr>
                <w:rFonts w:ascii="宋体" w:hAnsi="宋体" w:eastAsia="宋体" w:cs="Times New Roman"/>
                <w:color w:val="auto"/>
                <w:kern w:val="2"/>
                <w:sz w:val="21"/>
                <w:szCs w:val="21"/>
              </w:rPr>
            </w:pPr>
            <w:r>
              <w:rPr>
                <w:rFonts w:ascii="宋体" w:hAnsi="宋体" w:eastAsia="宋体" w:cs="Times New Roman"/>
                <w:color w:val="auto"/>
                <w:kern w:val="2"/>
                <w:sz w:val="21"/>
                <w:szCs w:val="21"/>
              </w:rPr>
              <w:t>作业条件危险性分析法</w:t>
            </w:r>
          </w:p>
        </w:tc>
      </w:tr>
    </w:tbl>
    <w:p w14:paraId="6D9611CD">
      <w:pPr>
        <w:pStyle w:val="2"/>
        <w:bidi w:val="0"/>
        <w:rPr>
          <w:rFonts w:hint="default"/>
          <w:color w:val="auto"/>
          <w:lang w:val="en-US" w:eastAsia="zh-CN"/>
        </w:rPr>
      </w:pPr>
      <w:r>
        <w:rPr>
          <w:rFonts w:hint="eastAsia"/>
          <w:color w:val="auto"/>
          <w:lang w:val="en-US" w:eastAsia="zh-CN"/>
        </w:rPr>
        <w:br w:type="page"/>
      </w:r>
      <w:bookmarkStart w:id="139" w:name="_Toc27036"/>
      <w:bookmarkStart w:id="140" w:name="_Toc1643"/>
      <w:bookmarkStart w:id="141" w:name="_Toc11211"/>
      <w:bookmarkStart w:id="142" w:name="_Toc26259"/>
      <w:r>
        <w:rPr>
          <w:rFonts w:hint="default"/>
          <w:color w:val="auto"/>
          <w:lang w:val="en-US" w:eastAsia="zh-CN"/>
        </w:rPr>
        <w:t>6.</w:t>
      </w:r>
      <w:r>
        <w:rPr>
          <w:rFonts w:hint="eastAsia"/>
          <w:color w:val="auto"/>
          <w:lang w:val="en-US" w:eastAsia="zh-CN"/>
        </w:rPr>
        <w:t xml:space="preserve"> </w:t>
      </w:r>
      <w:bookmarkEnd w:id="139"/>
      <w:bookmarkEnd w:id="140"/>
      <w:bookmarkEnd w:id="141"/>
      <w:r>
        <w:rPr>
          <w:rFonts w:hint="default"/>
          <w:color w:val="auto"/>
          <w:lang w:val="en-US" w:eastAsia="zh-CN"/>
        </w:rPr>
        <w:t>定性定量评价的结果</w:t>
      </w:r>
      <w:bookmarkEnd w:id="142"/>
    </w:p>
    <w:p w14:paraId="1E06656C">
      <w:pPr>
        <w:pStyle w:val="3"/>
        <w:bidi w:val="0"/>
        <w:rPr>
          <w:rFonts w:hint="default"/>
          <w:color w:val="auto"/>
          <w:lang w:val="en-US" w:eastAsia="zh-CN"/>
        </w:rPr>
      </w:pPr>
      <w:bookmarkStart w:id="143" w:name="_Toc18463"/>
      <w:bookmarkStart w:id="144" w:name="_Toc22661"/>
      <w:bookmarkStart w:id="145" w:name="_Toc2713"/>
      <w:bookmarkStart w:id="146" w:name="_Toc4503"/>
      <w:r>
        <w:rPr>
          <w:rFonts w:hint="default"/>
          <w:color w:val="auto"/>
          <w:lang w:val="en-US" w:eastAsia="zh-CN"/>
        </w:rPr>
        <w:t>6.1</w:t>
      </w:r>
      <w:r>
        <w:rPr>
          <w:rFonts w:hint="eastAsia"/>
          <w:color w:val="auto"/>
          <w:lang w:val="en-US" w:eastAsia="zh-CN"/>
        </w:rPr>
        <w:t xml:space="preserve"> </w:t>
      </w:r>
      <w:bookmarkEnd w:id="143"/>
      <w:bookmarkEnd w:id="144"/>
      <w:bookmarkEnd w:id="145"/>
      <w:r>
        <w:rPr>
          <w:rFonts w:hint="default"/>
          <w:color w:val="auto"/>
          <w:lang w:val="en-US" w:eastAsia="zh-CN"/>
        </w:rPr>
        <w:t>预先危险性分析评价结果</w:t>
      </w:r>
      <w:bookmarkEnd w:id="146"/>
    </w:p>
    <w:p w14:paraId="07E322DD">
      <w:pPr>
        <w:bidi w:val="0"/>
        <w:rPr>
          <w:rFonts w:hint="eastAsia"/>
          <w:color w:val="auto"/>
        </w:rPr>
      </w:pPr>
      <w:r>
        <w:rPr>
          <w:rFonts w:hint="eastAsia"/>
          <w:color w:val="auto"/>
        </w:rPr>
        <w:t>本项目橇装装置利用预先危险性分析评价方法对系统普遍存在的危险、有害因素进行分析评价，预先危险性评价范围涵盖本建设项目的全部生产过程。</w:t>
      </w:r>
    </w:p>
    <w:p w14:paraId="715B531A">
      <w:pPr>
        <w:bidi w:val="0"/>
        <w:rPr>
          <w:rFonts w:hint="eastAsia"/>
          <w:color w:val="auto"/>
        </w:rPr>
      </w:pPr>
      <w:r>
        <w:rPr>
          <w:rFonts w:hint="eastAsia"/>
          <w:color w:val="auto"/>
        </w:rPr>
        <w:t>通过附件</w:t>
      </w:r>
      <w:r>
        <w:rPr>
          <w:rFonts w:hint="eastAsia"/>
          <w:color w:val="auto"/>
          <w:lang w:val="en-US" w:eastAsia="zh-CN"/>
        </w:rPr>
        <w:t>三附3.2节</w:t>
      </w:r>
      <w:r>
        <w:rPr>
          <w:rFonts w:hint="eastAsia"/>
          <w:color w:val="auto"/>
        </w:rPr>
        <w:t>预先危险性分析评价分析可知，本项目橇装装置主要危险为火灾、触电、车辆伤害、机械伤害、物体打击、中毒和窒息等，危险等级均为Ⅱ级（临界的），处于事故的边缘状态，暂时还不会造成人员伤亡、系统损坏降低系统性能，但应予排除或采取控制措施。</w:t>
      </w:r>
    </w:p>
    <w:p w14:paraId="70044879">
      <w:pPr>
        <w:pStyle w:val="3"/>
        <w:bidi w:val="0"/>
        <w:rPr>
          <w:rFonts w:hint="eastAsia" w:eastAsia="黑体"/>
          <w:color w:val="auto"/>
          <w:lang w:eastAsia="zh-CN"/>
        </w:rPr>
      </w:pPr>
      <w:bookmarkStart w:id="147" w:name="_Toc21683"/>
      <w:bookmarkStart w:id="148" w:name="_Toc31414"/>
      <w:bookmarkStart w:id="149" w:name="_Toc26000"/>
      <w:bookmarkStart w:id="150" w:name="_Toc26401"/>
      <w:r>
        <w:rPr>
          <w:rFonts w:hint="eastAsia"/>
          <w:color w:val="auto"/>
        </w:rPr>
        <w:t>6.2</w:t>
      </w:r>
      <w:r>
        <w:rPr>
          <w:rFonts w:hint="eastAsia"/>
          <w:color w:val="auto"/>
          <w:lang w:val="en-US" w:eastAsia="zh-CN"/>
        </w:rPr>
        <w:t xml:space="preserve"> </w:t>
      </w:r>
      <w:r>
        <w:rPr>
          <w:rFonts w:hint="eastAsia"/>
          <w:color w:val="auto"/>
        </w:rPr>
        <w:t>定性、定量分析评价结果</w:t>
      </w:r>
      <w:bookmarkEnd w:id="147"/>
      <w:bookmarkEnd w:id="148"/>
      <w:bookmarkEnd w:id="149"/>
      <w:bookmarkEnd w:id="150"/>
    </w:p>
    <w:p w14:paraId="040EDBA8">
      <w:pPr>
        <w:rPr>
          <w:rFonts w:hint="eastAsia"/>
          <w:color w:val="auto"/>
        </w:rPr>
      </w:pPr>
      <w:r>
        <w:rPr>
          <w:rFonts w:hint="eastAsia"/>
          <w:color w:val="auto"/>
        </w:rPr>
        <w:t>各单元评价结果见表6.2-1。</w:t>
      </w:r>
    </w:p>
    <w:p w14:paraId="5C6C587E">
      <w:pPr>
        <w:ind w:left="0" w:leftChars="0" w:firstLine="0" w:firstLineChars="0"/>
        <w:jc w:val="center"/>
        <w:rPr>
          <w:rFonts w:hint="eastAsia"/>
          <w:color w:val="auto"/>
        </w:rPr>
      </w:pPr>
      <w:r>
        <w:rPr>
          <w:rFonts w:hint="eastAsia"/>
          <w:color w:val="auto"/>
        </w:rPr>
        <w:t>表6.2-1 各单元定性定量分析结果一览表</w:t>
      </w:r>
    </w:p>
    <w:tbl>
      <w:tblPr>
        <w:tblStyle w:val="14"/>
        <w:tblW w:w="92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28"/>
        <w:gridCol w:w="7758"/>
      </w:tblGrid>
      <w:tr w14:paraId="2428C5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12" w:space="0"/>
              <w:left w:val="single" w:color="auto" w:sz="12" w:space="0"/>
              <w:bottom w:val="single" w:color="auto" w:sz="4" w:space="0"/>
              <w:right w:val="single" w:color="auto" w:sz="4" w:space="0"/>
            </w:tcBorders>
            <w:noWrap w:val="0"/>
            <w:vAlign w:val="center"/>
          </w:tcPr>
          <w:p w14:paraId="31C3AC79">
            <w:pPr>
              <w:keepNext w:val="0"/>
              <w:keepLines w:val="0"/>
              <w:pageBreakBefore w:val="0"/>
              <w:widowControl w:val="0"/>
              <w:kinsoku/>
              <w:wordWrap/>
              <w:overflowPunct/>
              <w:topLinePunct w:val="0"/>
              <w:autoSpaceDN/>
              <w:bidi w:val="0"/>
              <w:spacing w:line="380" w:lineRule="exact"/>
              <w:ind w:firstLine="0" w:firstLineChars="0"/>
              <w:jc w:val="center"/>
              <w:textAlignment w:val="auto"/>
              <w:rPr>
                <w:b/>
                <w:bCs/>
                <w:color w:val="auto"/>
                <w:kern w:val="0"/>
                <w:sz w:val="21"/>
                <w:szCs w:val="21"/>
              </w:rPr>
            </w:pPr>
            <w:bookmarkStart w:id="151" w:name="_Toc324927806"/>
            <w:r>
              <w:rPr>
                <w:rFonts w:hint="eastAsia" w:ascii="宋体" w:hAnsi="宋体"/>
                <w:b/>
                <w:bCs/>
                <w:color w:val="auto"/>
                <w:kern w:val="0"/>
                <w:sz w:val="21"/>
                <w:szCs w:val="21"/>
              </w:rPr>
              <w:t>评价单元</w:t>
            </w:r>
            <w:bookmarkEnd w:id="151"/>
          </w:p>
        </w:tc>
        <w:tc>
          <w:tcPr>
            <w:tcW w:w="7758" w:type="dxa"/>
            <w:tcBorders>
              <w:top w:val="single" w:color="auto" w:sz="12" w:space="0"/>
              <w:left w:val="single" w:color="auto" w:sz="4" w:space="0"/>
              <w:bottom w:val="single" w:color="auto" w:sz="4" w:space="0"/>
              <w:right w:val="single" w:color="auto" w:sz="12" w:space="0"/>
            </w:tcBorders>
            <w:noWrap w:val="0"/>
            <w:vAlign w:val="center"/>
          </w:tcPr>
          <w:p w14:paraId="173E7622">
            <w:pPr>
              <w:keepNext w:val="0"/>
              <w:keepLines w:val="0"/>
              <w:pageBreakBefore w:val="0"/>
              <w:widowControl w:val="0"/>
              <w:kinsoku/>
              <w:wordWrap/>
              <w:overflowPunct/>
              <w:topLinePunct w:val="0"/>
              <w:autoSpaceDN/>
              <w:bidi w:val="0"/>
              <w:spacing w:line="380" w:lineRule="exact"/>
              <w:ind w:firstLine="0" w:firstLineChars="0"/>
              <w:jc w:val="center"/>
              <w:textAlignment w:val="auto"/>
              <w:rPr>
                <w:b/>
                <w:bCs/>
                <w:color w:val="auto"/>
                <w:kern w:val="0"/>
                <w:sz w:val="21"/>
                <w:szCs w:val="21"/>
              </w:rPr>
            </w:pPr>
            <w:r>
              <w:rPr>
                <w:rFonts w:hint="eastAsia" w:ascii="宋体" w:hAnsi="宋体"/>
                <w:b/>
                <w:bCs/>
                <w:color w:val="auto"/>
                <w:kern w:val="0"/>
                <w:sz w:val="21"/>
                <w:szCs w:val="21"/>
              </w:rPr>
              <w:t>评价结果</w:t>
            </w:r>
          </w:p>
        </w:tc>
      </w:tr>
      <w:tr w14:paraId="341000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12" w:space="0"/>
              <w:bottom w:val="single" w:color="auto" w:sz="4" w:space="0"/>
              <w:right w:val="single" w:color="auto" w:sz="4" w:space="0"/>
            </w:tcBorders>
            <w:noWrap w:val="0"/>
            <w:vAlign w:val="center"/>
          </w:tcPr>
          <w:p w14:paraId="4B240772">
            <w:pPr>
              <w:keepNext w:val="0"/>
              <w:keepLines w:val="0"/>
              <w:pageBreakBefore w:val="0"/>
              <w:widowControl w:val="0"/>
              <w:kinsoku/>
              <w:wordWrap/>
              <w:overflowPunct/>
              <w:topLinePunct w:val="0"/>
              <w:autoSpaceDE w:val="0"/>
              <w:autoSpaceDN/>
              <w:bidi w:val="0"/>
              <w:adjustRightInd w:val="0"/>
              <w:snapToGrid w:val="0"/>
              <w:spacing w:line="380" w:lineRule="exact"/>
              <w:ind w:firstLine="0" w:firstLineChars="0"/>
              <w:jc w:val="center"/>
              <w:textAlignment w:val="auto"/>
              <w:rPr>
                <w:color w:val="auto"/>
                <w:kern w:val="0"/>
                <w:sz w:val="21"/>
                <w:szCs w:val="21"/>
              </w:rPr>
            </w:pPr>
            <w:r>
              <w:rPr>
                <w:rFonts w:ascii="宋体" w:hAnsi="宋体" w:eastAsia="宋体" w:cs="Times New Roman"/>
                <w:color w:val="auto"/>
                <w:kern w:val="2"/>
                <w:sz w:val="21"/>
                <w:szCs w:val="21"/>
              </w:rPr>
              <w:t>站址和总平面布置</w:t>
            </w:r>
          </w:p>
        </w:tc>
        <w:tc>
          <w:tcPr>
            <w:tcW w:w="7758" w:type="dxa"/>
            <w:tcBorders>
              <w:top w:val="single" w:color="auto" w:sz="4" w:space="0"/>
              <w:left w:val="single" w:color="auto" w:sz="4" w:space="0"/>
              <w:bottom w:val="single" w:color="auto" w:sz="4" w:space="0"/>
              <w:right w:val="single" w:color="auto" w:sz="12" w:space="0"/>
            </w:tcBorders>
            <w:noWrap w:val="0"/>
            <w:vAlign w:val="center"/>
          </w:tcPr>
          <w:p w14:paraId="2E74BEAC">
            <w:pPr>
              <w:keepNext w:val="0"/>
              <w:keepLines w:val="0"/>
              <w:pageBreakBefore w:val="0"/>
              <w:widowControl w:val="0"/>
              <w:kinsoku/>
              <w:wordWrap/>
              <w:overflowPunct/>
              <w:topLinePunct w:val="0"/>
              <w:autoSpaceDE w:val="0"/>
              <w:autoSpaceDN/>
              <w:bidi w:val="0"/>
              <w:adjustRightInd w:val="0"/>
              <w:snapToGrid w:val="0"/>
              <w:spacing w:line="380" w:lineRule="exact"/>
              <w:ind w:left="0" w:leftChars="0" w:firstLine="0" w:firstLineChars="0"/>
              <w:textAlignment w:val="auto"/>
              <w:rPr>
                <w:rFonts w:hint="eastAsia"/>
                <w:color w:val="auto"/>
                <w:kern w:val="0"/>
                <w:sz w:val="21"/>
                <w:szCs w:val="21"/>
              </w:rPr>
            </w:pPr>
            <w:r>
              <w:rPr>
                <w:rFonts w:hint="eastAsia"/>
                <w:color w:val="auto"/>
                <w:kern w:val="0"/>
                <w:sz w:val="21"/>
                <w:szCs w:val="21"/>
              </w:rPr>
              <w:t>采矿场撬装加油站橇装式加油装置与站外建（构）筑物的安全间距不足，本报告将在安全对策措施中提出相关要求；汽车队撬装加油站橇装式加油装置与站外建（构）筑物的安全间距符合要求。</w:t>
            </w:r>
          </w:p>
          <w:p w14:paraId="13219B66">
            <w:pPr>
              <w:keepNext w:val="0"/>
              <w:keepLines w:val="0"/>
              <w:pageBreakBefore w:val="0"/>
              <w:widowControl w:val="0"/>
              <w:kinsoku/>
              <w:wordWrap/>
              <w:overflowPunct/>
              <w:topLinePunct w:val="0"/>
              <w:autoSpaceDE w:val="0"/>
              <w:autoSpaceDN/>
              <w:bidi w:val="0"/>
              <w:adjustRightInd w:val="0"/>
              <w:snapToGrid w:val="0"/>
              <w:spacing w:line="380" w:lineRule="exact"/>
              <w:ind w:left="0" w:leftChars="0" w:firstLine="0" w:firstLineChars="0"/>
              <w:textAlignment w:val="auto"/>
              <w:rPr>
                <w:color w:val="auto"/>
                <w:kern w:val="0"/>
                <w:sz w:val="21"/>
                <w:szCs w:val="21"/>
              </w:rPr>
            </w:pPr>
            <w:r>
              <w:rPr>
                <w:rFonts w:hint="eastAsia"/>
                <w:color w:val="auto"/>
                <w:kern w:val="0"/>
                <w:sz w:val="21"/>
                <w:szCs w:val="21"/>
              </w:rPr>
              <w:t>选址和规模符合性安全检查表共检查3项内容，其中2项内容符合要求，1项内容企业提供的相关材料未涉及，本报告</w:t>
            </w:r>
            <w:r>
              <w:rPr>
                <w:rFonts w:hint="eastAsia"/>
                <w:color w:val="auto"/>
                <w:kern w:val="0"/>
                <w:sz w:val="21"/>
                <w:szCs w:val="21"/>
                <w:lang w:val="en-US" w:eastAsia="zh-CN"/>
              </w:rPr>
              <w:t>将在</w:t>
            </w:r>
            <w:r>
              <w:rPr>
                <w:rFonts w:hint="eastAsia"/>
                <w:color w:val="auto"/>
                <w:kern w:val="0"/>
                <w:sz w:val="21"/>
                <w:szCs w:val="21"/>
              </w:rPr>
              <w:t>安全对策措施中提出相关要求。</w:t>
            </w:r>
          </w:p>
        </w:tc>
      </w:tr>
      <w:tr w14:paraId="3D0B47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28" w:type="dxa"/>
            <w:tcBorders>
              <w:top w:val="single" w:color="auto" w:sz="4" w:space="0"/>
              <w:left w:val="single" w:color="auto" w:sz="12" w:space="0"/>
              <w:bottom w:val="single" w:color="auto" w:sz="4" w:space="0"/>
              <w:right w:val="single" w:color="auto" w:sz="4" w:space="0"/>
            </w:tcBorders>
            <w:noWrap w:val="0"/>
            <w:vAlign w:val="center"/>
          </w:tcPr>
          <w:p w14:paraId="2926D4B8">
            <w:pPr>
              <w:keepNext w:val="0"/>
              <w:keepLines w:val="0"/>
              <w:pageBreakBefore w:val="0"/>
              <w:widowControl w:val="0"/>
              <w:kinsoku/>
              <w:wordWrap/>
              <w:overflowPunct/>
              <w:topLinePunct w:val="0"/>
              <w:autoSpaceDN/>
              <w:bidi w:val="0"/>
              <w:adjustRightInd w:val="0"/>
              <w:snapToGrid w:val="0"/>
              <w:spacing w:line="380" w:lineRule="exact"/>
              <w:ind w:firstLine="0" w:firstLineChars="0"/>
              <w:jc w:val="center"/>
              <w:textAlignment w:val="auto"/>
              <w:rPr>
                <w:color w:val="auto"/>
                <w:kern w:val="0"/>
                <w:sz w:val="21"/>
                <w:szCs w:val="21"/>
              </w:rPr>
            </w:pPr>
            <w:r>
              <w:rPr>
                <w:rFonts w:ascii="宋体" w:hAnsi="宋体" w:eastAsia="宋体" w:cs="Times New Roman"/>
                <w:color w:val="auto"/>
                <w:kern w:val="2"/>
                <w:sz w:val="21"/>
                <w:szCs w:val="21"/>
              </w:rPr>
              <w:t>设备设施</w:t>
            </w:r>
          </w:p>
        </w:tc>
        <w:tc>
          <w:tcPr>
            <w:tcW w:w="7758" w:type="dxa"/>
            <w:tcBorders>
              <w:top w:val="single" w:color="auto" w:sz="4" w:space="0"/>
              <w:left w:val="single" w:color="auto" w:sz="4" w:space="0"/>
              <w:bottom w:val="single" w:color="auto" w:sz="4" w:space="0"/>
              <w:right w:val="single" w:color="auto" w:sz="12" w:space="0"/>
            </w:tcBorders>
            <w:noWrap w:val="0"/>
            <w:vAlign w:val="center"/>
          </w:tcPr>
          <w:p w14:paraId="76FB4416">
            <w:pPr>
              <w:numPr>
                <w:ilvl w:val="0"/>
                <w:numId w:val="0"/>
              </w:numPr>
              <w:autoSpaceDE w:val="0"/>
              <w:autoSpaceDN w:val="0"/>
              <w:adjustRightInd w:val="0"/>
              <w:spacing w:line="340" w:lineRule="exact"/>
              <w:rPr>
                <w:rFonts w:cs="宋体"/>
                <w:color w:val="auto"/>
                <w:kern w:val="0"/>
                <w:sz w:val="21"/>
                <w:szCs w:val="21"/>
              </w:rPr>
            </w:pPr>
            <w:r>
              <w:rPr>
                <w:rFonts w:hint="eastAsia" w:cs="宋体"/>
                <w:color w:val="auto"/>
                <w:kern w:val="0"/>
                <w:sz w:val="21"/>
                <w:szCs w:val="21"/>
                <w:lang w:val="en-US" w:eastAsia="zh-CN"/>
              </w:rPr>
              <w:t>一、</w:t>
            </w:r>
            <w:r>
              <w:rPr>
                <w:rFonts w:hint="eastAsia" w:cs="宋体"/>
                <w:color w:val="auto"/>
                <w:kern w:val="0"/>
                <w:sz w:val="21"/>
                <w:szCs w:val="21"/>
              </w:rPr>
              <w:t>预先危险性分析评价（PHA）</w:t>
            </w:r>
          </w:p>
          <w:p w14:paraId="402A5D65">
            <w:pPr>
              <w:autoSpaceDE w:val="0"/>
              <w:autoSpaceDN w:val="0"/>
              <w:adjustRightInd w:val="0"/>
              <w:spacing w:line="340" w:lineRule="exact"/>
              <w:ind w:left="0" w:leftChars="0" w:firstLine="0" w:firstLineChars="0"/>
              <w:rPr>
                <w:rFonts w:hint="eastAsia" w:cs="宋体"/>
                <w:color w:val="auto"/>
                <w:kern w:val="0"/>
                <w:sz w:val="21"/>
                <w:szCs w:val="21"/>
              </w:rPr>
            </w:pPr>
            <w:r>
              <w:rPr>
                <w:rFonts w:hint="eastAsia" w:cs="宋体"/>
                <w:color w:val="auto"/>
                <w:kern w:val="0"/>
                <w:sz w:val="21"/>
                <w:szCs w:val="21"/>
                <w:lang w:eastAsia="zh-CN"/>
              </w:rPr>
              <w:t>本项目</w:t>
            </w:r>
            <w:r>
              <w:rPr>
                <w:rFonts w:hint="eastAsia" w:cs="宋体"/>
                <w:color w:val="auto"/>
                <w:kern w:val="0"/>
                <w:sz w:val="21"/>
                <w:szCs w:val="21"/>
              </w:rPr>
              <w:t>橇装装置主要危险为火灾、触电、车辆伤害、机械伤害、物体打击、中毒和窒息等，危险等级均为Ⅱ级（临界的），处于事故的边缘状态，暂时还不会造成人员伤亡、系统损坏降低系统性能，但应予排除或采取控制措施。</w:t>
            </w:r>
          </w:p>
          <w:p w14:paraId="556F0C4E">
            <w:pPr>
              <w:autoSpaceDE w:val="0"/>
              <w:autoSpaceDN w:val="0"/>
              <w:adjustRightInd w:val="0"/>
              <w:spacing w:line="340" w:lineRule="exact"/>
              <w:ind w:left="0" w:leftChars="0" w:firstLine="0" w:firstLineChars="0"/>
              <w:rPr>
                <w:rFonts w:hint="eastAsia" w:cs="宋体"/>
                <w:bCs/>
                <w:color w:val="auto"/>
                <w:kern w:val="0"/>
                <w:sz w:val="21"/>
                <w:szCs w:val="21"/>
                <w:lang w:val="en-US" w:eastAsia="zh-CN"/>
              </w:rPr>
            </w:pPr>
            <w:r>
              <w:rPr>
                <w:rFonts w:hint="eastAsia" w:cs="宋体"/>
                <w:color w:val="auto"/>
                <w:kern w:val="0"/>
                <w:sz w:val="21"/>
                <w:szCs w:val="21"/>
                <w:lang w:val="en-US" w:eastAsia="zh-CN"/>
              </w:rPr>
              <w:t>二、</w:t>
            </w:r>
            <w:r>
              <w:rPr>
                <w:rFonts w:hint="eastAsia" w:cs="宋体"/>
                <w:bCs/>
                <w:color w:val="auto"/>
                <w:kern w:val="0"/>
                <w:sz w:val="21"/>
                <w:szCs w:val="21"/>
                <w:lang w:val="en-US" w:eastAsia="zh-CN"/>
              </w:rPr>
              <w:t>危险度评价</w:t>
            </w:r>
          </w:p>
          <w:p w14:paraId="13E5F29B">
            <w:pPr>
              <w:autoSpaceDE w:val="0"/>
              <w:autoSpaceDN w:val="0"/>
              <w:adjustRightInd w:val="0"/>
              <w:spacing w:line="340" w:lineRule="exact"/>
              <w:ind w:left="0" w:leftChars="0" w:firstLine="0" w:firstLineChars="0"/>
              <w:rPr>
                <w:rFonts w:hint="default" w:cs="宋体"/>
                <w:bCs/>
                <w:color w:val="auto"/>
                <w:kern w:val="0"/>
                <w:sz w:val="21"/>
                <w:szCs w:val="21"/>
                <w:lang w:val="en-US" w:eastAsia="zh-CN"/>
              </w:rPr>
            </w:pPr>
            <w:r>
              <w:rPr>
                <w:rFonts w:hint="eastAsia" w:cs="宋体"/>
                <w:bCs/>
                <w:color w:val="auto"/>
                <w:kern w:val="0"/>
                <w:sz w:val="21"/>
                <w:szCs w:val="21"/>
                <w:lang w:val="en-US" w:eastAsia="zh-CN"/>
              </w:rPr>
              <w:t>本项目</w:t>
            </w:r>
            <w:r>
              <w:rPr>
                <w:rFonts w:hint="default" w:cs="宋体"/>
                <w:bCs/>
                <w:color w:val="auto"/>
                <w:kern w:val="0"/>
                <w:sz w:val="21"/>
                <w:szCs w:val="21"/>
                <w:lang w:val="en-US" w:eastAsia="zh-CN"/>
              </w:rPr>
              <w:t>撬装加油装置得分</w:t>
            </w:r>
            <w:r>
              <w:rPr>
                <w:rFonts w:hint="eastAsia" w:cs="宋体"/>
                <w:bCs/>
                <w:color w:val="auto"/>
                <w:kern w:val="0"/>
                <w:sz w:val="21"/>
                <w:szCs w:val="21"/>
                <w:lang w:val="en-US" w:eastAsia="zh-CN"/>
              </w:rPr>
              <w:t>均</w:t>
            </w:r>
            <w:r>
              <w:rPr>
                <w:rFonts w:hint="default" w:cs="宋体"/>
                <w:bCs/>
                <w:color w:val="auto"/>
                <w:kern w:val="0"/>
                <w:sz w:val="21"/>
                <w:szCs w:val="21"/>
                <w:lang w:val="en-US" w:eastAsia="zh-CN"/>
              </w:rPr>
              <w:t>为9分，为</w:t>
            </w:r>
            <w:r>
              <w:rPr>
                <w:rFonts w:hint="eastAsia" w:ascii="宋体" w:hAnsi="宋体" w:eastAsia="宋体" w:cs="宋体"/>
                <w:bCs/>
                <w:color w:val="auto"/>
                <w:kern w:val="0"/>
                <w:sz w:val="21"/>
                <w:szCs w:val="21"/>
                <w:lang w:val="en-US" w:eastAsia="zh-CN"/>
              </w:rPr>
              <w:t>Ⅲ</w:t>
            </w:r>
            <w:r>
              <w:rPr>
                <w:rFonts w:hint="default" w:cs="宋体"/>
                <w:bCs/>
                <w:color w:val="auto"/>
                <w:kern w:val="0"/>
                <w:sz w:val="21"/>
                <w:szCs w:val="21"/>
                <w:lang w:val="en-US" w:eastAsia="zh-CN"/>
              </w:rPr>
              <w:t>级，属低度危险。</w:t>
            </w:r>
          </w:p>
          <w:p w14:paraId="3CF731EF">
            <w:pPr>
              <w:autoSpaceDE w:val="0"/>
              <w:autoSpaceDN w:val="0"/>
              <w:adjustRightInd w:val="0"/>
              <w:spacing w:line="340" w:lineRule="exact"/>
              <w:ind w:left="0" w:leftChars="0" w:firstLine="0" w:firstLineChars="0"/>
              <w:rPr>
                <w:rFonts w:cs="宋体"/>
                <w:color w:val="auto"/>
                <w:kern w:val="0"/>
                <w:sz w:val="21"/>
                <w:szCs w:val="21"/>
              </w:rPr>
            </w:pPr>
            <w:r>
              <w:rPr>
                <w:rFonts w:hint="eastAsia" w:cs="宋体"/>
                <w:color w:val="auto"/>
                <w:kern w:val="0"/>
                <w:sz w:val="21"/>
                <w:szCs w:val="21"/>
                <w:lang w:val="en-US" w:eastAsia="zh-CN"/>
              </w:rPr>
              <w:t>三</w:t>
            </w:r>
            <w:r>
              <w:rPr>
                <w:rFonts w:hint="eastAsia" w:cs="宋体"/>
                <w:color w:val="auto"/>
                <w:kern w:val="0"/>
                <w:sz w:val="21"/>
                <w:szCs w:val="21"/>
              </w:rPr>
              <w:t>、</w:t>
            </w:r>
            <w:r>
              <w:rPr>
                <w:rFonts w:cs="宋体"/>
                <w:color w:val="auto"/>
                <w:kern w:val="0"/>
                <w:sz w:val="21"/>
                <w:szCs w:val="21"/>
              </w:rPr>
              <w:t>作业条件危险性评价</w:t>
            </w:r>
          </w:p>
          <w:p w14:paraId="397D1452">
            <w:pPr>
              <w:keepNext w:val="0"/>
              <w:keepLines w:val="0"/>
              <w:pageBreakBefore w:val="0"/>
              <w:widowControl w:val="0"/>
              <w:kinsoku/>
              <w:wordWrap/>
              <w:overflowPunct/>
              <w:topLinePunct w:val="0"/>
              <w:autoSpaceDN/>
              <w:bidi w:val="0"/>
              <w:spacing w:line="380" w:lineRule="exact"/>
              <w:ind w:left="0" w:leftChars="0" w:firstLine="0" w:firstLineChars="0"/>
              <w:textAlignment w:val="auto"/>
              <w:rPr>
                <w:rFonts w:cs="宋体"/>
                <w:bCs/>
                <w:color w:val="auto"/>
                <w:kern w:val="0"/>
                <w:sz w:val="21"/>
                <w:szCs w:val="21"/>
              </w:rPr>
            </w:pPr>
            <w:r>
              <w:rPr>
                <w:rFonts w:hint="eastAsia" w:cs="宋体"/>
                <w:bCs/>
                <w:color w:val="auto"/>
                <w:kern w:val="0"/>
                <w:sz w:val="21"/>
                <w:szCs w:val="21"/>
              </w:rPr>
              <w:t>本项目的作业条件相对比较安全。在选定的评价单元中的作业均在“一般危险”或“稍有危险”范围，作业条件相对安全。</w:t>
            </w:r>
          </w:p>
        </w:tc>
      </w:tr>
    </w:tbl>
    <w:p w14:paraId="21D22681">
      <w:pPr>
        <w:pStyle w:val="3"/>
        <w:bidi w:val="0"/>
        <w:rPr>
          <w:rFonts w:hint="eastAsia"/>
          <w:color w:val="auto"/>
        </w:rPr>
      </w:pPr>
      <w:bookmarkStart w:id="152" w:name="_Toc13358"/>
      <w:bookmarkStart w:id="153" w:name="_Toc31841"/>
      <w:bookmarkStart w:id="154" w:name="_Toc26218"/>
      <w:bookmarkStart w:id="155" w:name="_Toc16278"/>
      <w:r>
        <w:rPr>
          <w:rFonts w:hint="eastAsia"/>
          <w:color w:val="auto"/>
        </w:rPr>
        <w:t>6.3</w:t>
      </w:r>
      <w:r>
        <w:rPr>
          <w:rFonts w:hint="eastAsia"/>
          <w:color w:val="auto"/>
          <w:lang w:val="en-US" w:eastAsia="zh-CN"/>
        </w:rPr>
        <w:t xml:space="preserve"> </w:t>
      </w:r>
      <w:bookmarkEnd w:id="152"/>
      <w:bookmarkEnd w:id="153"/>
      <w:bookmarkEnd w:id="154"/>
      <w:r>
        <w:rPr>
          <w:rFonts w:hint="eastAsia"/>
          <w:color w:val="auto"/>
        </w:rPr>
        <w:t>储存装置的安全性评价结果</w:t>
      </w:r>
      <w:bookmarkEnd w:id="155"/>
    </w:p>
    <w:p w14:paraId="04F3A395">
      <w:pPr>
        <w:rPr>
          <w:rFonts w:hint="eastAsia"/>
          <w:color w:val="auto"/>
          <w:lang w:val="en-US" w:eastAsia="zh-CN"/>
        </w:rPr>
      </w:pPr>
      <w:r>
        <w:rPr>
          <w:rFonts w:hint="eastAsia"/>
          <w:color w:val="auto"/>
          <w:lang w:val="en-US" w:eastAsia="zh-CN"/>
        </w:rPr>
        <w:t>本项目橇装装置运行过程中基本无三废排放。</w:t>
      </w:r>
    </w:p>
    <w:p w14:paraId="24036309">
      <w:pPr>
        <w:rPr>
          <w:rFonts w:hint="eastAsia"/>
          <w:color w:val="auto"/>
          <w:lang w:val="en-US" w:eastAsia="zh-CN"/>
        </w:rPr>
      </w:pPr>
      <w:r>
        <w:rPr>
          <w:rFonts w:hint="eastAsia"/>
          <w:color w:val="auto"/>
          <w:lang w:val="en-US" w:eastAsia="zh-CN"/>
        </w:rPr>
        <w:t>本项目橇装装置拟按照国家规范要求设置消防系统，油罐、设备、管道、电气设施等设置防雷接地、防静电系统。</w:t>
      </w:r>
    </w:p>
    <w:p w14:paraId="1F49F761">
      <w:pPr>
        <w:rPr>
          <w:rFonts w:hint="eastAsia"/>
          <w:color w:val="auto"/>
          <w:lang w:val="en-US" w:eastAsia="zh-CN"/>
        </w:rPr>
      </w:pPr>
      <w:r>
        <w:rPr>
          <w:rFonts w:hint="eastAsia"/>
          <w:color w:val="auto"/>
          <w:lang w:val="en-US" w:eastAsia="zh-CN"/>
        </w:rPr>
        <w:t>本项目橇装加油装置拟由具有国家设计、制造和安装资质的单位负责设备设施的设计、购置、施工，因此企业在按照国家相应要求进行油罐、加油机、管线等设备选型和制作安装、检测调试的情况下，改建项目的储存装置能够形成符合安全生产的支持条件。</w:t>
      </w:r>
    </w:p>
    <w:p w14:paraId="23702C45">
      <w:pPr>
        <w:rPr>
          <w:rFonts w:hint="eastAsia"/>
          <w:color w:val="auto"/>
          <w:lang w:val="en-US" w:eastAsia="zh-CN"/>
        </w:rPr>
      </w:pPr>
      <w:r>
        <w:rPr>
          <w:rFonts w:hint="eastAsia"/>
          <w:color w:val="auto"/>
          <w:lang w:val="en-US" w:eastAsia="zh-CN"/>
        </w:rPr>
        <w:br w:type="page"/>
      </w:r>
    </w:p>
    <w:p w14:paraId="31FFF5C3">
      <w:pPr>
        <w:pStyle w:val="2"/>
        <w:bidi w:val="0"/>
        <w:rPr>
          <w:rFonts w:hint="eastAsia"/>
          <w:color w:val="auto"/>
          <w:lang w:val="en-US" w:eastAsia="zh-CN"/>
        </w:rPr>
      </w:pPr>
      <w:bookmarkStart w:id="156" w:name="_Toc10586"/>
      <w:bookmarkStart w:id="157" w:name="_Toc26646"/>
      <w:bookmarkStart w:id="158" w:name="_Toc32391"/>
      <w:bookmarkStart w:id="159" w:name="_Toc8248"/>
      <w:r>
        <w:rPr>
          <w:rFonts w:hint="eastAsia"/>
          <w:color w:val="auto"/>
          <w:lang w:val="en-US" w:eastAsia="zh-CN"/>
        </w:rPr>
        <w:t xml:space="preserve">7. </w:t>
      </w:r>
      <w:bookmarkEnd w:id="156"/>
      <w:bookmarkEnd w:id="157"/>
      <w:bookmarkEnd w:id="158"/>
      <w:r>
        <w:rPr>
          <w:rFonts w:hint="eastAsia"/>
          <w:color w:val="auto"/>
          <w:lang w:val="en-US" w:eastAsia="zh-CN"/>
        </w:rPr>
        <w:t>符合性评价</w:t>
      </w:r>
      <w:bookmarkEnd w:id="159"/>
    </w:p>
    <w:p w14:paraId="2F91F86D">
      <w:pPr>
        <w:pStyle w:val="3"/>
        <w:bidi w:val="0"/>
        <w:rPr>
          <w:rFonts w:hint="eastAsia"/>
          <w:color w:val="auto"/>
          <w:lang w:val="en-US" w:eastAsia="zh-CN"/>
        </w:rPr>
      </w:pPr>
      <w:bookmarkStart w:id="160" w:name="_Toc27652"/>
      <w:bookmarkStart w:id="161" w:name="_Toc31084"/>
      <w:bookmarkStart w:id="162" w:name="_Toc23505"/>
      <w:bookmarkStart w:id="163" w:name="_Toc8352"/>
      <w:r>
        <w:rPr>
          <w:rFonts w:hint="eastAsia"/>
          <w:color w:val="auto"/>
          <w:lang w:val="en-US" w:eastAsia="zh-CN"/>
        </w:rPr>
        <w:t xml:space="preserve">7.1 </w:t>
      </w:r>
      <w:bookmarkEnd w:id="160"/>
      <w:bookmarkEnd w:id="161"/>
      <w:bookmarkEnd w:id="162"/>
      <w:r>
        <w:rPr>
          <w:rFonts w:hint="eastAsia"/>
          <w:color w:val="auto"/>
          <w:lang w:val="en-US" w:eastAsia="zh-CN"/>
        </w:rPr>
        <w:t>周边环境与总平面布置</w:t>
      </w:r>
      <w:bookmarkEnd w:id="163"/>
    </w:p>
    <w:p w14:paraId="1D27CF12">
      <w:pPr>
        <w:rPr>
          <w:rFonts w:hint="eastAsia"/>
          <w:color w:val="auto"/>
          <w:lang w:val="en-US" w:eastAsia="zh-CN"/>
        </w:rPr>
      </w:pPr>
      <w:r>
        <w:rPr>
          <w:rFonts w:hint="eastAsia"/>
          <w:color w:val="auto"/>
          <w:lang w:val="en-US" w:eastAsia="zh-CN"/>
        </w:rPr>
        <w:t>1. 采矿场撬装加油站橇装式加油装置与站外建（构）筑物的安全间距不足，本报告已在安全对策措施中提出相关要求。</w:t>
      </w:r>
    </w:p>
    <w:p w14:paraId="3FA80CC4">
      <w:pPr>
        <w:rPr>
          <w:rFonts w:hint="eastAsia"/>
          <w:color w:val="auto"/>
          <w:lang w:val="en-US" w:eastAsia="zh-CN"/>
        </w:rPr>
      </w:pPr>
      <w:r>
        <w:rPr>
          <w:rFonts w:hint="eastAsia"/>
          <w:color w:val="auto"/>
          <w:lang w:val="en-US" w:eastAsia="zh-CN"/>
        </w:rPr>
        <w:t>2. 汽车队撬装加油站橇装式加油装置与站外建（构）筑物的安全间距符合要求。</w:t>
      </w:r>
    </w:p>
    <w:p w14:paraId="6DF22125">
      <w:pPr>
        <w:pStyle w:val="3"/>
        <w:bidi w:val="0"/>
        <w:rPr>
          <w:rFonts w:hint="eastAsia"/>
          <w:color w:val="auto"/>
          <w:lang w:val="en-US" w:eastAsia="zh-CN"/>
        </w:rPr>
      </w:pPr>
      <w:bookmarkStart w:id="164" w:name="_Toc11377"/>
      <w:bookmarkStart w:id="165" w:name="_Toc29027"/>
      <w:bookmarkStart w:id="166" w:name="_Toc8175"/>
      <w:bookmarkStart w:id="167" w:name="_Toc26098"/>
      <w:r>
        <w:rPr>
          <w:rFonts w:hint="eastAsia"/>
          <w:color w:val="auto"/>
          <w:lang w:val="en-US" w:eastAsia="zh-CN"/>
        </w:rPr>
        <w:t xml:space="preserve">7.2 </w:t>
      </w:r>
      <w:bookmarkEnd w:id="164"/>
      <w:bookmarkEnd w:id="165"/>
      <w:bookmarkEnd w:id="166"/>
      <w:r>
        <w:rPr>
          <w:rFonts w:hint="eastAsia"/>
          <w:color w:val="auto"/>
          <w:lang w:val="en-US" w:eastAsia="zh-CN"/>
        </w:rPr>
        <w:t>设备设施</w:t>
      </w:r>
      <w:bookmarkEnd w:id="167"/>
    </w:p>
    <w:p w14:paraId="2F816DD3">
      <w:pPr>
        <w:bidi w:val="0"/>
        <w:rPr>
          <w:rFonts w:hint="eastAsia"/>
          <w:color w:val="auto"/>
          <w:lang w:val="en-US" w:eastAsia="zh-CN"/>
        </w:rPr>
      </w:pPr>
      <w:r>
        <w:rPr>
          <w:rFonts w:hint="eastAsia"/>
          <w:color w:val="auto"/>
          <w:lang w:val="en-US" w:eastAsia="zh-CN"/>
        </w:rPr>
        <w:t>1. 本项目橇装装置为50m</w:t>
      </w:r>
      <w:r>
        <w:rPr>
          <w:rFonts w:hint="eastAsia"/>
          <w:color w:val="auto"/>
          <w:vertAlign w:val="superscript"/>
          <w:lang w:val="en-US" w:eastAsia="zh-CN"/>
        </w:rPr>
        <w:t>3</w:t>
      </w:r>
      <w:r>
        <w:rPr>
          <w:rFonts w:hint="eastAsia"/>
          <w:color w:val="auto"/>
          <w:lang w:val="en-US" w:eastAsia="zh-CN"/>
        </w:rPr>
        <w:t>阻隔防爆橇装柴油加油装置，设备选型材料暂未涉及，本报告已在安全对策措施中提出相关要求。</w:t>
      </w:r>
    </w:p>
    <w:p w14:paraId="4679415A">
      <w:pPr>
        <w:bidi w:val="0"/>
        <w:rPr>
          <w:rFonts w:hint="eastAsia"/>
          <w:color w:val="auto"/>
          <w:lang w:val="en-US" w:eastAsia="zh-CN"/>
        </w:rPr>
      </w:pPr>
      <w:r>
        <w:rPr>
          <w:rFonts w:hint="eastAsia"/>
          <w:color w:val="auto"/>
          <w:lang w:val="en-US" w:eastAsia="zh-CN"/>
        </w:rPr>
        <w:t>2. 本项目橇装装置主要危险为火灾、触电、车辆伤害、机械伤害、物体打击、中毒和窒息等，危险等级均为Ⅱ级（临界的），处于事故的边缘状态，暂时还不会造成人员伤亡、系统损坏降低系统性能，但应予排除或采取控制措施。</w:t>
      </w:r>
    </w:p>
    <w:p w14:paraId="76C52E22">
      <w:pPr>
        <w:bidi w:val="0"/>
        <w:rPr>
          <w:color w:val="auto"/>
        </w:rPr>
      </w:pPr>
      <w:r>
        <w:rPr>
          <w:rFonts w:hint="eastAsia"/>
          <w:color w:val="auto"/>
          <w:lang w:val="en-US" w:eastAsia="zh-CN"/>
        </w:rPr>
        <w:t>3. 采矿场撬装加油站撬装加油装置得分为9分，为Ⅲ级，属低度危险。</w:t>
      </w:r>
    </w:p>
    <w:p w14:paraId="23A0FF40">
      <w:pPr>
        <w:bidi w:val="0"/>
        <w:rPr>
          <w:rFonts w:hint="default" w:eastAsia="宋体"/>
          <w:color w:val="auto"/>
          <w:lang w:val="en-US" w:eastAsia="zh-CN"/>
        </w:rPr>
      </w:pPr>
      <w:r>
        <w:rPr>
          <w:rFonts w:hint="eastAsia"/>
          <w:color w:val="auto"/>
          <w:lang w:val="en-US" w:eastAsia="zh-CN"/>
        </w:rPr>
        <w:t>4. 汽车队撬装加油站撬装加油装置得分为9分，为Ⅲ级，属低度危险。</w:t>
      </w:r>
    </w:p>
    <w:p w14:paraId="4ED07B37">
      <w:pPr>
        <w:bidi w:val="0"/>
        <w:rPr>
          <w:rFonts w:hint="eastAsia"/>
          <w:color w:val="auto"/>
          <w:lang w:val="en-US" w:eastAsia="zh-CN"/>
        </w:rPr>
      </w:pPr>
      <w:r>
        <w:rPr>
          <w:rFonts w:hint="eastAsia"/>
          <w:color w:val="auto"/>
          <w:lang w:val="en-US" w:eastAsia="zh-CN"/>
        </w:rPr>
        <w:t>5. 本项目的作业条件相对比较安全。在选定的评价单元中的作业均在“一般危险”或“稍有危险”范围，作业条件相对安全。</w:t>
      </w:r>
    </w:p>
    <w:p w14:paraId="06073915">
      <w:pPr>
        <w:bidi w:val="0"/>
        <w:rPr>
          <w:rFonts w:hint="eastAsia"/>
          <w:color w:val="auto"/>
          <w:lang w:val="en-US" w:eastAsia="zh-CN"/>
        </w:rPr>
      </w:pPr>
      <w:r>
        <w:rPr>
          <w:rFonts w:hint="eastAsia"/>
          <w:color w:val="auto"/>
          <w:lang w:val="en-US" w:eastAsia="zh-CN"/>
        </w:rPr>
        <w:br w:type="page"/>
      </w:r>
    </w:p>
    <w:p w14:paraId="043FCF2B">
      <w:pPr>
        <w:pStyle w:val="2"/>
        <w:bidi w:val="0"/>
        <w:rPr>
          <w:rFonts w:hint="eastAsia"/>
          <w:color w:val="auto"/>
          <w:lang w:val="en-US" w:eastAsia="zh-CN"/>
        </w:rPr>
      </w:pPr>
      <w:bookmarkStart w:id="168" w:name="_Toc21715"/>
      <w:bookmarkStart w:id="169" w:name="_Toc31244"/>
      <w:bookmarkStart w:id="170" w:name="_Toc27706"/>
      <w:bookmarkStart w:id="171" w:name="_Toc3586"/>
      <w:r>
        <w:rPr>
          <w:rFonts w:hint="eastAsia"/>
          <w:color w:val="auto"/>
          <w:lang w:val="en-US" w:eastAsia="zh-CN"/>
        </w:rPr>
        <w:t>8. 安全对策措施与建议</w:t>
      </w:r>
      <w:bookmarkEnd w:id="168"/>
      <w:bookmarkEnd w:id="169"/>
      <w:bookmarkEnd w:id="170"/>
      <w:bookmarkEnd w:id="171"/>
    </w:p>
    <w:p w14:paraId="00CEDAE0">
      <w:pPr>
        <w:pStyle w:val="3"/>
        <w:bidi w:val="0"/>
        <w:rPr>
          <w:rFonts w:hint="eastAsia"/>
          <w:color w:val="auto"/>
          <w:lang w:val="en-US" w:eastAsia="zh-CN"/>
        </w:rPr>
      </w:pPr>
      <w:bookmarkStart w:id="172" w:name="_Toc10874"/>
      <w:r>
        <w:rPr>
          <w:rFonts w:hint="eastAsia"/>
          <w:color w:val="auto"/>
          <w:lang w:val="en-US" w:eastAsia="zh-CN"/>
        </w:rPr>
        <w:t>8.1 安全对策措施及要求</w:t>
      </w:r>
      <w:bookmarkEnd w:id="172"/>
    </w:p>
    <w:p w14:paraId="2869EE1F">
      <w:pPr>
        <w:pStyle w:val="4"/>
        <w:bidi w:val="0"/>
        <w:rPr>
          <w:rFonts w:hint="eastAsia"/>
          <w:color w:val="auto"/>
          <w:lang w:val="en-US" w:eastAsia="zh-CN"/>
        </w:rPr>
      </w:pPr>
      <w:bookmarkStart w:id="173" w:name="_Toc18479"/>
      <w:r>
        <w:rPr>
          <w:rFonts w:hint="eastAsia"/>
          <w:color w:val="auto"/>
          <w:lang w:val="en-US" w:eastAsia="zh-CN"/>
        </w:rPr>
        <w:t>8.1.1 规模和选址要求</w:t>
      </w:r>
      <w:bookmarkEnd w:id="173"/>
    </w:p>
    <w:p w14:paraId="679343E4">
      <w:pPr>
        <w:rPr>
          <w:rFonts w:hint="default"/>
          <w:color w:val="auto"/>
          <w:lang w:val="en-US" w:eastAsia="zh-CN"/>
        </w:rPr>
      </w:pPr>
      <w:r>
        <w:rPr>
          <w:rFonts w:hint="eastAsia"/>
          <w:color w:val="auto"/>
          <w:lang w:val="en-US" w:eastAsia="zh-CN"/>
        </w:rPr>
        <w:t>1. 采矿场撬装加油站橇装式加油装置与东侧矿山运输道路距离应大于等于6m。</w:t>
      </w:r>
    </w:p>
    <w:p w14:paraId="6B0EF84D">
      <w:pPr>
        <w:rPr>
          <w:rFonts w:hint="default"/>
          <w:color w:val="auto"/>
          <w:lang w:val="en-US" w:eastAsia="zh-CN"/>
        </w:rPr>
      </w:pPr>
      <w:r>
        <w:rPr>
          <w:rFonts w:hint="eastAsia"/>
          <w:color w:val="auto"/>
          <w:lang w:val="en-US" w:eastAsia="zh-CN"/>
        </w:rPr>
        <w:t>2</w:t>
      </w:r>
      <w:r>
        <w:rPr>
          <w:rFonts w:hint="default"/>
          <w:color w:val="auto"/>
          <w:lang w:val="en-US" w:eastAsia="zh-CN"/>
        </w:rPr>
        <w:t>. 柴油罐单罐容积大于20m</w:t>
      </w:r>
      <w:r>
        <w:rPr>
          <w:rFonts w:hint="default"/>
          <w:color w:val="auto"/>
          <w:vertAlign w:val="superscript"/>
          <w:lang w:val="en-US" w:eastAsia="zh-CN"/>
        </w:rPr>
        <w:t>3</w:t>
      </w:r>
      <w:r>
        <w:rPr>
          <w:rFonts w:hint="default"/>
          <w:color w:val="auto"/>
          <w:lang w:val="en-US" w:eastAsia="zh-CN"/>
        </w:rPr>
        <w:t>时，罐内应设隔舱，隔舱的容积不应大于20m</w:t>
      </w:r>
      <w:r>
        <w:rPr>
          <w:rFonts w:hint="default"/>
          <w:color w:val="auto"/>
          <w:vertAlign w:val="superscript"/>
          <w:lang w:val="en-US" w:eastAsia="zh-CN"/>
        </w:rPr>
        <w:t>3</w:t>
      </w:r>
      <w:r>
        <w:rPr>
          <w:rFonts w:hint="default"/>
          <w:color w:val="auto"/>
          <w:lang w:val="en-US" w:eastAsia="zh-CN"/>
        </w:rPr>
        <w:t>。</w:t>
      </w:r>
    </w:p>
    <w:p w14:paraId="38273335">
      <w:pPr>
        <w:pStyle w:val="4"/>
        <w:bidi w:val="0"/>
        <w:rPr>
          <w:rFonts w:hint="eastAsia"/>
          <w:color w:val="auto"/>
          <w:lang w:val="en-US" w:eastAsia="zh-CN"/>
        </w:rPr>
      </w:pPr>
      <w:bookmarkStart w:id="174" w:name="_Toc17032"/>
      <w:r>
        <w:rPr>
          <w:rFonts w:hint="eastAsia"/>
          <w:color w:val="auto"/>
          <w:lang w:val="en-US" w:eastAsia="zh-CN"/>
        </w:rPr>
        <w:t>8.1.2 装置技术要求</w:t>
      </w:r>
      <w:bookmarkEnd w:id="174"/>
    </w:p>
    <w:p w14:paraId="3092938F">
      <w:pPr>
        <w:rPr>
          <w:rFonts w:hint="eastAsia"/>
          <w:color w:val="auto"/>
          <w:lang w:val="en-US" w:eastAsia="zh-CN"/>
        </w:rPr>
      </w:pPr>
      <w:r>
        <w:rPr>
          <w:rFonts w:hint="eastAsia"/>
          <w:color w:val="auto"/>
          <w:lang w:val="en-US" w:eastAsia="zh-CN"/>
        </w:rPr>
        <w:t>1. 橇装装置必须具有防火、防爆性能。橇装式加油装置应作为整体产品，由供货商整体供应，其中油罐的防火、防爆性能和自动灭火器的性能应通过国家有关机构的测试认证。</w:t>
      </w:r>
    </w:p>
    <w:p w14:paraId="1FF8972C">
      <w:pPr>
        <w:rPr>
          <w:rFonts w:hint="eastAsia"/>
          <w:color w:val="auto"/>
          <w:lang w:val="en-US" w:eastAsia="zh-CN"/>
        </w:rPr>
      </w:pPr>
      <w:r>
        <w:rPr>
          <w:rFonts w:hint="eastAsia"/>
          <w:color w:val="auto"/>
          <w:lang w:val="en-US" w:eastAsia="zh-CN"/>
        </w:rPr>
        <w:t>2. 橇装装置油罐应设置高液位报警器、液位计、自动灭火器、紧急泄压装置、防溢流装置、内部燃烧抑制装置。油罐出油管道应设置高温自动断油保护阀。</w:t>
      </w:r>
    </w:p>
    <w:p w14:paraId="662CAAAF">
      <w:pPr>
        <w:rPr>
          <w:rFonts w:hint="eastAsia"/>
          <w:color w:val="auto"/>
          <w:lang w:val="en-US" w:eastAsia="zh-CN"/>
        </w:rPr>
      </w:pPr>
      <w:r>
        <w:rPr>
          <w:rFonts w:hint="eastAsia"/>
          <w:color w:val="auto"/>
          <w:lang w:val="en-US" w:eastAsia="zh-CN"/>
        </w:rPr>
        <w:t>3. 橇装装置储油罐应能在90%装载量时承受1h标准可燃液体火的作用，而不发生油罐泄漏、油罐失效及泄压功能受阻等现象。</w:t>
      </w:r>
    </w:p>
    <w:p w14:paraId="5B148F23">
      <w:pPr>
        <w:rPr>
          <w:rFonts w:hint="eastAsia"/>
          <w:color w:val="auto"/>
          <w:lang w:val="en-US" w:eastAsia="zh-CN"/>
        </w:rPr>
      </w:pPr>
      <w:r>
        <w:rPr>
          <w:rFonts w:hint="eastAsia"/>
          <w:color w:val="auto"/>
          <w:lang w:val="en-US" w:eastAsia="zh-CN"/>
        </w:rPr>
        <w:t>4. 橇装装置采用双壁油罐时，两层罐壁之间的底部应设漏油监测装置。</w:t>
      </w:r>
    </w:p>
    <w:p w14:paraId="21FEBFF9">
      <w:pPr>
        <w:rPr>
          <w:rFonts w:hint="eastAsia"/>
          <w:color w:val="auto"/>
          <w:lang w:val="en-US" w:eastAsia="zh-CN"/>
        </w:rPr>
      </w:pPr>
      <w:r>
        <w:rPr>
          <w:rFonts w:hint="eastAsia"/>
          <w:color w:val="auto"/>
          <w:lang w:val="en-US" w:eastAsia="zh-CN"/>
        </w:rPr>
        <w:t>5. 橇装装置宜设接纳卸油时溅漏油品的容器。</w:t>
      </w:r>
    </w:p>
    <w:p w14:paraId="3390FDE4">
      <w:pPr>
        <w:rPr>
          <w:rFonts w:hint="eastAsia"/>
          <w:color w:val="auto"/>
          <w:lang w:val="en-US" w:eastAsia="zh-CN"/>
        </w:rPr>
      </w:pPr>
      <w:r>
        <w:rPr>
          <w:rFonts w:hint="eastAsia"/>
          <w:color w:val="auto"/>
          <w:lang w:val="en-US" w:eastAsia="zh-CN"/>
        </w:rPr>
        <w:t>6. 橇装装置应设防雷和防静电设施，并应符合现行国家标准GB50156的有关规定。</w:t>
      </w:r>
    </w:p>
    <w:p w14:paraId="4E7AF20A">
      <w:pPr>
        <w:rPr>
          <w:rFonts w:hint="eastAsia"/>
          <w:color w:val="auto"/>
          <w:lang w:val="en-US" w:eastAsia="zh-CN"/>
        </w:rPr>
      </w:pPr>
      <w:r>
        <w:rPr>
          <w:rFonts w:hint="eastAsia"/>
          <w:color w:val="auto"/>
          <w:lang w:val="en-US" w:eastAsia="zh-CN"/>
        </w:rPr>
        <w:t>7. 橇装装置的自动灭火器的启动温度不应高于95℃。</w:t>
      </w:r>
    </w:p>
    <w:p w14:paraId="1F47BB2D">
      <w:pPr>
        <w:rPr>
          <w:rFonts w:hint="eastAsia"/>
          <w:color w:val="auto"/>
          <w:lang w:val="en-US" w:eastAsia="zh-CN"/>
        </w:rPr>
      </w:pPr>
      <w:r>
        <w:rPr>
          <w:rFonts w:hint="eastAsia"/>
          <w:color w:val="auto"/>
          <w:lang w:val="en-US" w:eastAsia="zh-CN"/>
        </w:rPr>
        <w:t>8. 油罐应采用上部进油方式。本项目橇装装置进油管接头拟设在下部，进油管的高点应高于油罐的最高液位。软管接头应采用快速自封接头。</w:t>
      </w:r>
    </w:p>
    <w:p w14:paraId="51A31909">
      <w:pPr>
        <w:rPr>
          <w:rFonts w:hint="eastAsia"/>
          <w:color w:val="auto"/>
          <w:lang w:val="en-US" w:eastAsia="zh-CN"/>
        </w:rPr>
      </w:pPr>
      <w:r>
        <w:rPr>
          <w:rFonts w:hint="eastAsia"/>
          <w:color w:val="auto"/>
          <w:lang w:val="en-US" w:eastAsia="zh-CN"/>
        </w:rPr>
        <w:t>9. 橇装装置油罐出油管管口距罐底的高度，不应低于0.15m。</w:t>
      </w:r>
    </w:p>
    <w:p w14:paraId="13BBEBDF">
      <w:pPr>
        <w:rPr>
          <w:rFonts w:hint="eastAsia"/>
          <w:color w:val="auto"/>
          <w:lang w:val="en-US" w:eastAsia="zh-CN"/>
        </w:rPr>
      </w:pPr>
      <w:r>
        <w:rPr>
          <w:rFonts w:hint="eastAsia"/>
          <w:color w:val="auto"/>
          <w:lang w:val="en-US" w:eastAsia="zh-CN"/>
        </w:rPr>
        <w:t>10. 橇装装置油罐应进行压力试验。油罐的压力试验应符合现行国家标准GB50156的规定。</w:t>
      </w:r>
    </w:p>
    <w:p w14:paraId="28DA19BE">
      <w:pPr>
        <w:rPr>
          <w:rFonts w:hint="eastAsia"/>
          <w:color w:val="auto"/>
          <w:lang w:val="en-US" w:eastAsia="zh-CN"/>
        </w:rPr>
      </w:pPr>
      <w:r>
        <w:rPr>
          <w:rFonts w:hint="eastAsia"/>
          <w:color w:val="auto"/>
          <w:lang w:val="en-US" w:eastAsia="zh-CN"/>
        </w:rPr>
        <w:t>11. 橇装装置油罐附件设置应符合下列规定：</w:t>
      </w:r>
    </w:p>
    <w:p w14:paraId="66F9C11F">
      <w:pPr>
        <w:rPr>
          <w:rFonts w:hint="eastAsia"/>
          <w:color w:val="auto"/>
          <w:lang w:val="en-US" w:eastAsia="zh-CN"/>
        </w:rPr>
      </w:pPr>
      <w:r>
        <w:rPr>
          <w:rFonts w:hint="eastAsia"/>
          <w:color w:val="auto"/>
          <w:lang w:val="en-US" w:eastAsia="zh-CN"/>
        </w:rPr>
        <w:t>（1）油罐应设紧急泄压装置、防溢流阀、液位计，液位应在油罐内的液位上升到油罐容量的90%时发出报警信号，防溢流阀应在油罐内的液位上升到油罐容量的95%时自动停止油进罐；</w:t>
      </w:r>
    </w:p>
    <w:p w14:paraId="0944B585">
      <w:pPr>
        <w:rPr>
          <w:rFonts w:hint="eastAsia"/>
          <w:color w:val="auto"/>
          <w:lang w:val="en-US" w:eastAsia="zh-CN"/>
        </w:rPr>
      </w:pPr>
      <w:r>
        <w:rPr>
          <w:rFonts w:hint="eastAsia"/>
          <w:color w:val="auto"/>
          <w:lang w:val="en-US" w:eastAsia="zh-CN"/>
        </w:rPr>
        <w:t>（2）油罐出油管道应设置高温自动断油保护；</w:t>
      </w:r>
    </w:p>
    <w:p w14:paraId="1DBB73CC">
      <w:pPr>
        <w:rPr>
          <w:rFonts w:hint="eastAsia"/>
          <w:color w:val="auto"/>
          <w:lang w:val="en-US" w:eastAsia="zh-CN"/>
        </w:rPr>
      </w:pPr>
      <w:r>
        <w:rPr>
          <w:rFonts w:hint="eastAsia"/>
          <w:color w:val="auto"/>
          <w:lang w:val="en-US" w:eastAsia="zh-CN"/>
        </w:rPr>
        <w:t>（3）油罐进油口应设置在油罐上部，进油管的高点应高于油罐的最高液位，进油管应伸至罐内距罐底50mm~100mm处，进油管应采取防虹吸措施；</w:t>
      </w:r>
    </w:p>
    <w:p w14:paraId="4DDDB04F">
      <w:pPr>
        <w:rPr>
          <w:rFonts w:hint="eastAsia"/>
          <w:color w:val="auto"/>
          <w:lang w:val="en-US" w:eastAsia="zh-CN"/>
        </w:rPr>
      </w:pPr>
      <w:r>
        <w:rPr>
          <w:rFonts w:hint="eastAsia"/>
          <w:color w:val="auto"/>
          <w:lang w:val="en-US" w:eastAsia="zh-CN"/>
        </w:rPr>
        <w:t>（4）卸油软管接头应采用自闭式快速接头；</w:t>
      </w:r>
    </w:p>
    <w:p w14:paraId="3C24B55C">
      <w:pPr>
        <w:rPr>
          <w:rFonts w:hint="eastAsia"/>
          <w:color w:val="auto"/>
          <w:lang w:val="en-US" w:eastAsia="zh-CN"/>
        </w:rPr>
      </w:pPr>
      <w:r>
        <w:rPr>
          <w:rFonts w:hint="eastAsia"/>
          <w:color w:val="auto"/>
          <w:lang w:val="en-US" w:eastAsia="zh-CN"/>
        </w:rPr>
        <w:t>（5）油罐出油管管口距罐底宜为0.15m，油罐出油管的高点应高于油罐的最高液位；</w:t>
      </w:r>
    </w:p>
    <w:p w14:paraId="7F7D3F9C">
      <w:pPr>
        <w:rPr>
          <w:rFonts w:hint="eastAsia"/>
          <w:color w:val="auto"/>
          <w:lang w:val="en-US" w:eastAsia="zh-CN"/>
        </w:rPr>
      </w:pPr>
      <w:r>
        <w:rPr>
          <w:rFonts w:hint="eastAsia"/>
          <w:color w:val="auto"/>
          <w:lang w:val="en-US" w:eastAsia="zh-CN"/>
        </w:rPr>
        <w:t>（6）油罐的最高液位以下有连接法兰和快速接头的区域应设置收集漏油的容器；</w:t>
      </w:r>
    </w:p>
    <w:p w14:paraId="5DE1A480">
      <w:pPr>
        <w:rPr>
          <w:rFonts w:hint="eastAsia"/>
          <w:color w:val="auto"/>
          <w:lang w:val="en-US" w:eastAsia="zh-CN"/>
        </w:rPr>
      </w:pPr>
      <w:r>
        <w:rPr>
          <w:rFonts w:hint="eastAsia"/>
          <w:color w:val="auto"/>
          <w:lang w:val="en-US" w:eastAsia="zh-CN"/>
        </w:rPr>
        <w:t>（7）油罐通气管管口应高于油罐周围地面4m，且应高于罐顶1.5m，管口应设阻火器和呼吸阀，呼吸阀的工作正压宜为2kPa~3kPa，工作负压宜为1.5kPa~2kPa。</w:t>
      </w:r>
    </w:p>
    <w:p w14:paraId="26DE5472">
      <w:pPr>
        <w:rPr>
          <w:rFonts w:hint="eastAsia"/>
          <w:color w:val="auto"/>
          <w:lang w:val="en-US" w:eastAsia="zh-CN"/>
        </w:rPr>
      </w:pPr>
      <w:r>
        <w:rPr>
          <w:rFonts w:hint="eastAsia"/>
          <w:color w:val="auto"/>
          <w:lang w:val="en-US" w:eastAsia="zh-CN"/>
        </w:rPr>
        <w:t>12. 橇装装置加油机设置应符合下列规定：</w:t>
      </w:r>
    </w:p>
    <w:p w14:paraId="5223DFC3">
      <w:pPr>
        <w:rPr>
          <w:rFonts w:hint="eastAsia"/>
          <w:color w:val="auto"/>
          <w:lang w:val="en-US" w:eastAsia="zh-CN"/>
        </w:rPr>
      </w:pPr>
      <w:r>
        <w:rPr>
          <w:rFonts w:hint="eastAsia"/>
          <w:color w:val="auto"/>
          <w:lang w:val="en-US" w:eastAsia="zh-CN"/>
        </w:rPr>
        <w:t>（1）加油机安装在箱体内时，箱体应采取良好的通风措施；</w:t>
      </w:r>
    </w:p>
    <w:p w14:paraId="21BD2B88">
      <w:pPr>
        <w:rPr>
          <w:rFonts w:hint="eastAsia"/>
          <w:color w:val="auto"/>
          <w:lang w:val="en-US" w:eastAsia="zh-CN"/>
        </w:rPr>
      </w:pPr>
      <w:r>
        <w:rPr>
          <w:rFonts w:hint="eastAsia"/>
          <w:color w:val="auto"/>
          <w:lang w:val="en-US" w:eastAsia="zh-CN"/>
        </w:rPr>
        <w:t>（2）加油机上方应设自动灭火器，自动灭火器的启动温度不应高于95℃；</w:t>
      </w:r>
    </w:p>
    <w:p w14:paraId="0118F776">
      <w:pPr>
        <w:rPr>
          <w:rFonts w:hint="eastAsia"/>
          <w:color w:val="auto"/>
          <w:lang w:val="en-US" w:eastAsia="zh-CN"/>
        </w:rPr>
      </w:pPr>
      <w:r>
        <w:rPr>
          <w:rFonts w:hint="eastAsia"/>
          <w:color w:val="auto"/>
          <w:lang w:val="en-US" w:eastAsia="zh-CN"/>
        </w:rPr>
        <w:t>（3）加油枪应采用自封式加油枪，汽油加油枪的流量不应大于50L/min；</w:t>
      </w:r>
    </w:p>
    <w:p w14:paraId="59408B68">
      <w:pPr>
        <w:rPr>
          <w:rFonts w:hint="eastAsia"/>
          <w:color w:val="auto"/>
          <w:lang w:val="en-US" w:eastAsia="zh-CN"/>
        </w:rPr>
      </w:pPr>
      <w:r>
        <w:rPr>
          <w:rFonts w:hint="eastAsia"/>
          <w:color w:val="auto"/>
          <w:lang w:val="en-US" w:eastAsia="zh-CN"/>
        </w:rPr>
        <w:t>（4）加油软管上应设安全拉断阀。</w:t>
      </w:r>
    </w:p>
    <w:p w14:paraId="3FDF2EF1">
      <w:pPr>
        <w:rPr>
          <w:rFonts w:hint="eastAsia"/>
          <w:color w:val="auto"/>
          <w:lang w:val="en-US" w:eastAsia="zh-CN"/>
        </w:rPr>
      </w:pPr>
      <w:r>
        <w:rPr>
          <w:rFonts w:hint="eastAsia"/>
          <w:color w:val="auto"/>
          <w:lang w:val="en-US" w:eastAsia="zh-CN"/>
        </w:rPr>
        <w:t>13. 涉及监测监控装置如液位仪及远传设备、火灾自动报警系统及远传设备、气体泄露探测报警系统及远传设备应配置相应的UPS不间断电源，应急照明系统应配置蓄电池且供电时间不应小于30min。</w:t>
      </w:r>
    </w:p>
    <w:p w14:paraId="3AF4F805">
      <w:pPr>
        <w:pStyle w:val="4"/>
        <w:bidi w:val="0"/>
        <w:rPr>
          <w:rFonts w:hint="eastAsia"/>
          <w:color w:val="auto"/>
          <w:lang w:val="en-US" w:eastAsia="zh-CN"/>
        </w:rPr>
      </w:pPr>
      <w:bookmarkStart w:id="175" w:name="_Toc30660"/>
      <w:r>
        <w:rPr>
          <w:rFonts w:hint="eastAsia"/>
          <w:color w:val="auto"/>
          <w:lang w:val="en-US" w:eastAsia="zh-CN"/>
        </w:rPr>
        <w:t>8.1.2 装置设计要求</w:t>
      </w:r>
      <w:bookmarkEnd w:id="175"/>
    </w:p>
    <w:p w14:paraId="1054E859">
      <w:pPr>
        <w:rPr>
          <w:rFonts w:hint="eastAsia"/>
          <w:color w:val="auto"/>
          <w:lang w:val="en-US" w:eastAsia="zh-CN"/>
        </w:rPr>
      </w:pPr>
      <w:r>
        <w:rPr>
          <w:rFonts w:hint="eastAsia"/>
          <w:color w:val="auto"/>
          <w:lang w:val="en-US" w:eastAsia="zh-CN"/>
        </w:rPr>
        <w:t>1. 橇装装置应采用卸油油气回收系统。</w:t>
      </w:r>
    </w:p>
    <w:p w14:paraId="52A95B05">
      <w:pPr>
        <w:rPr>
          <w:rFonts w:hint="eastAsia"/>
          <w:color w:val="auto"/>
          <w:lang w:val="en-US" w:eastAsia="zh-CN"/>
        </w:rPr>
      </w:pPr>
      <w:r>
        <w:rPr>
          <w:rFonts w:hint="eastAsia"/>
          <w:color w:val="auto"/>
          <w:lang w:val="en-US" w:eastAsia="zh-CN"/>
        </w:rPr>
        <w:t>2. 橇装装置的地面防火油罐通气管管口应高出地面4m及以上，并应高出罩棚的顶面1.5m及以上。通气管管口应安装呼吸阀和阻火器。</w:t>
      </w:r>
    </w:p>
    <w:p w14:paraId="0A3ED382">
      <w:pPr>
        <w:rPr>
          <w:rFonts w:hint="eastAsia"/>
          <w:color w:val="auto"/>
          <w:lang w:val="en-US" w:eastAsia="zh-CN"/>
        </w:rPr>
      </w:pPr>
      <w:r>
        <w:rPr>
          <w:rFonts w:hint="eastAsia"/>
          <w:color w:val="auto"/>
          <w:lang w:val="en-US" w:eastAsia="zh-CN"/>
        </w:rPr>
        <w:t>3. 橇装装置的基础面应高于地坪0.15m~0.2m。</w:t>
      </w:r>
    </w:p>
    <w:p w14:paraId="7EFBF315">
      <w:pPr>
        <w:rPr>
          <w:rFonts w:hint="eastAsia"/>
          <w:color w:val="auto"/>
          <w:lang w:val="en-US" w:eastAsia="zh-CN"/>
        </w:rPr>
      </w:pPr>
      <w:r>
        <w:rPr>
          <w:rFonts w:hint="eastAsia"/>
          <w:color w:val="auto"/>
          <w:lang w:val="en-US" w:eastAsia="zh-CN"/>
        </w:rPr>
        <w:t>4. 橇装装置周围应设防撞设施。</w:t>
      </w:r>
    </w:p>
    <w:p w14:paraId="5F0B72BE">
      <w:pPr>
        <w:rPr>
          <w:rFonts w:hint="eastAsia"/>
          <w:color w:val="auto"/>
          <w:lang w:val="en-US" w:eastAsia="zh-CN"/>
        </w:rPr>
      </w:pPr>
      <w:r>
        <w:rPr>
          <w:rFonts w:hint="eastAsia"/>
          <w:color w:val="auto"/>
          <w:lang w:val="en-US" w:eastAsia="zh-CN"/>
        </w:rPr>
        <w:t>5. 橇装装置的加油机、油罐和油罐通气孔的爆炸危险区域划分，应分别符合现行国家标准《汽车加油加气加氢站技术标准》GB50156-2021内相关的规定。</w:t>
      </w:r>
    </w:p>
    <w:p w14:paraId="68867AA9">
      <w:pPr>
        <w:rPr>
          <w:rFonts w:hint="eastAsia"/>
          <w:color w:val="auto"/>
          <w:lang w:val="en-US" w:eastAsia="zh-CN"/>
        </w:rPr>
      </w:pPr>
      <w:r>
        <w:rPr>
          <w:rFonts w:hint="eastAsia"/>
          <w:color w:val="auto"/>
          <w:lang w:val="en-US" w:eastAsia="zh-CN"/>
        </w:rPr>
        <w:t>6. 橇装装置的灭火器的设置应不少于2只5kg手提式干粉灭火器，站内应设35kg推车式干粉灭火器l个，应配置灭火毯2块，沙子2m</w:t>
      </w:r>
      <w:r>
        <w:rPr>
          <w:rFonts w:hint="eastAsia"/>
          <w:color w:val="auto"/>
          <w:vertAlign w:val="superscript"/>
          <w:lang w:val="en-US" w:eastAsia="zh-CN"/>
        </w:rPr>
        <w:t>2</w:t>
      </w:r>
      <w:r>
        <w:rPr>
          <w:rFonts w:hint="eastAsia"/>
          <w:color w:val="auto"/>
          <w:lang w:val="en-US" w:eastAsia="zh-CN"/>
        </w:rPr>
        <w:t>。</w:t>
      </w:r>
    </w:p>
    <w:p w14:paraId="00D43A61">
      <w:pPr>
        <w:rPr>
          <w:rFonts w:hint="eastAsia"/>
          <w:color w:val="auto"/>
          <w:lang w:val="en-US" w:eastAsia="zh-CN"/>
        </w:rPr>
      </w:pPr>
      <w:r>
        <w:rPr>
          <w:rFonts w:hint="eastAsia"/>
          <w:color w:val="auto"/>
          <w:lang w:val="en-US" w:eastAsia="zh-CN"/>
        </w:rPr>
        <w:t>7. 橇装装置的安装应持供货商的安装说明进行。</w:t>
      </w:r>
    </w:p>
    <w:p w14:paraId="74F935F7">
      <w:pPr>
        <w:rPr>
          <w:rFonts w:hint="eastAsia"/>
          <w:color w:val="auto"/>
          <w:lang w:val="en-US" w:eastAsia="zh-CN"/>
        </w:rPr>
      </w:pPr>
      <w:r>
        <w:rPr>
          <w:rFonts w:hint="eastAsia"/>
          <w:color w:val="auto"/>
          <w:lang w:val="en-US" w:eastAsia="zh-CN"/>
        </w:rPr>
        <w:t>8. 橇装装置的工程施工应符合现行国家标准《汽车加油加气加氢站技术标准》GB50156-2021的有关规定。</w:t>
      </w:r>
    </w:p>
    <w:p w14:paraId="390561C6">
      <w:pPr>
        <w:rPr>
          <w:rFonts w:hint="eastAsia"/>
          <w:color w:val="auto"/>
          <w:lang w:val="en-US" w:eastAsia="zh-CN"/>
        </w:rPr>
      </w:pPr>
      <w:r>
        <w:rPr>
          <w:rFonts w:hint="eastAsia"/>
          <w:color w:val="auto"/>
          <w:lang w:val="en-US" w:eastAsia="zh-CN"/>
        </w:rPr>
        <w:t>9. 橇装装置四周应设防护围堰或漏油收集池，防护围堰内或漏油收集池的有效容量不应小于储罐总容量的50%。防护围堰或漏油收集池应采用不燃烧实体材料建造，且不应渗漏。</w:t>
      </w:r>
    </w:p>
    <w:p w14:paraId="710742EB">
      <w:pPr>
        <w:pStyle w:val="4"/>
        <w:bidi w:val="0"/>
        <w:rPr>
          <w:rFonts w:hint="eastAsia"/>
          <w:color w:val="auto"/>
          <w:lang w:val="en-US" w:eastAsia="zh-CN"/>
        </w:rPr>
      </w:pPr>
      <w:bookmarkStart w:id="176" w:name="_Toc20265"/>
      <w:r>
        <w:rPr>
          <w:rFonts w:hint="eastAsia"/>
          <w:color w:val="auto"/>
          <w:lang w:val="en-US" w:eastAsia="zh-CN"/>
        </w:rPr>
        <w:t>8.1.3 阻隔防爆要求</w:t>
      </w:r>
      <w:bookmarkEnd w:id="176"/>
    </w:p>
    <w:p w14:paraId="296FBEF0">
      <w:pPr>
        <w:rPr>
          <w:rFonts w:hint="eastAsia"/>
          <w:color w:val="auto"/>
          <w:lang w:val="en-US" w:eastAsia="zh-CN"/>
        </w:rPr>
      </w:pPr>
      <w:r>
        <w:rPr>
          <w:rFonts w:hint="eastAsia"/>
          <w:color w:val="auto"/>
          <w:lang w:val="en-US" w:eastAsia="zh-CN"/>
        </w:rPr>
        <w:t>1. 橇装装置的内罐设计压力不应小于0.8MPa，建造应符合《固定式压力容器安全技术监察规程》TSG21、国家现行标准《压力容器》GB150.1~GB150.4、《卧式容器》NB/T47042和《石油化工钢制压力容器》SH/T3074的有关规定。</w:t>
      </w:r>
    </w:p>
    <w:p w14:paraId="200F253A">
      <w:pPr>
        <w:rPr>
          <w:rFonts w:hint="eastAsia"/>
          <w:color w:val="auto"/>
          <w:lang w:val="en-US" w:eastAsia="zh-CN"/>
        </w:rPr>
      </w:pPr>
      <w:r>
        <w:rPr>
          <w:rFonts w:hint="eastAsia"/>
          <w:color w:val="auto"/>
          <w:lang w:val="en-US" w:eastAsia="zh-CN"/>
        </w:rPr>
        <w:t>2. 橇装装置储罐要求</w:t>
      </w:r>
    </w:p>
    <w:p w14:paraId="5194E412">
      <w:pPr>
        <w:rPr>
          <w:rFonts w:hint="eastAsia"/>
          <w:color w:val="auto"/>
          <w:lang w:val="en-US" w:eastAsia="zh-CN"/>
        </w:rPr>
      </w:pPr>
      <w:r>
        <w:rPr>
          <w:rFonts w:hint="eastAsia"/>
          <w:color w:val="auto"/>
          <w:lang w:val="en-US" w:eastAsia="zh-CN"/>
        </w:rPr>
        <w:t>（1）常压容器应符合AQ3020的要求</w:t>
      </w:r>
    </w:p>
    <w:p w14:paraId="6C562EAB">
      <w:pPr>
        <w:rPr>
          <w:rFonts w:hint="eastAsia"/>
          <w:color w:val="auto"/>
          <w:lang w:val="en-US" w:eastAsia="zh-CN"/>
        </w:rPr>
      </w:pPr>
      <w:r>
        <w:rPr>
          <w:rFonts w:hint="eastAsia"/>
          <w:color w:val="auto"/>
          <w:lang w:val="en-US" w:eastAsia="zh-CN"/>
        </w:rPr>
        <w:t>（2）压力容器应符合GB150（所有部分）和TSG21的要求。</w:t>
      </w:r>
    </w:p>
    <w:p w14:paraId="453ACEAD">
      <w:pPr>
        <w:rPr>
          <w:rFonts w:hint="eastAsia"/>
          <w:color w:val="auto"/>
          <w:lang w:val="en-US" w:eastAsia="zh-CN"/>
        </w:rPr>
      </w:pPr>
      <w:r>
        <w:rPr>
          <w:rFonts w:hint="eastAsia"/>
          <w:color w:val="auto"/>
          <w:lang w:val="en-US" w:eastAsia="zh-CN"/>
        </w:rPr>
        <w:t>（3）橇装装置阻隔防爆技术一般要求</w:t>
      </w:r>
    </w:p>
    <w:p w14:paraId="0D655994">
      <w:pPr>
        <w:rPr>
          <w:rFonts w:hint="eastAsia"/>
          <w:color w:val="auto"/>
          <w:lang w:val="en-US" w:eastAsia="zh-CN"/>
        </w:rPr>
      </w:pPr>
      <w:r>
        <w:rPr>
          <w:rFonts w:hint="eastAsia"/>
          <w:color w:val="auto"/>
          <w:lang w:val="en-US" w:eastAsia="zh-CN"/>
        </w:rPr>
        <w:t>1）储罐容积降低率应不大于6%。</w:t>
      </w:r>
    </w:p>
    <w:p w14:paraId="7B988ACF">
      <w:pPr>
        <w:rPr>
          <w:rFonts w:hint="eastAsia"/>
          <w:color w:val="auto"/>
          <w:lang w:val="en-US" w:eastAsia="zh-CN"/>
        </w:rPr>
      </w:pPr>
      <w:r>
        <w:rPr>
          <w:rFonts w:hint="eastAsia"/>
          <w:color w:val="auto"/>
          <w:lang w:val="en-US" w:eastAsia="zh-CN"/>
        </w:rPr>
        <w:t>2）阻隔防爆材料应能采用机械化方式安装、机械化方式取出和机械化方式清洗。</w:t>
      </w:r>
    </w:p>
    <w:p w14:paraId="5A6A2DC7">
      <w:pPr>
        <w:rPr>
          <w:rFonts w:hint="eastAsia"/>
          <w:color w:val="auto"/>
          <w:lang w:val="en-US" w:eastAsia="zh-CN"/>
        </w:rPr>
      </w:pPr>
      <w:r>
        <w:rPr>
          <w:rFonts w:hint="eastAsia"/>
          <w:color w:val="auto"/>
          <w:lang w:val="en-US" w:eastAsia="zh-CN"/>
        </w:rPr>
        <w:t>4. 橇装装置阻隔防爆材料要求</w:t>
      </w:r>
    </w:p>
    <w:p w14:paraId="59380BDD">
      <w:pPr>
        <w:rPr>
          <w:rFonts w:hint="eastAsia"/>
          <w:color w:val="auto"/>
          <w:lang w:val="en-US" w:eastAsia="zh-CN"/>
        </w:rPr>
      </w:pPr>
      <w:r>
        <w:rPr>
          <w:rFonts w:hint="eastAsia"/>
          <w:color w:val="auto"/>
          <w:lang w:val="en-US" w:eastAsia="zh-CN"/>
        </w:rPr>
        <w:t>（1）体积电阻率应不大于1.0×108</w:t>
      </w:r>
      <w:r>
        <w:rPr>
          <w:rFonts w:hint="default" w:ascii="Times New Roman" w:hAnsi="Times New Roman" w:cs="Times New Roman"/>
          <w:color w:val="auto"/>
          <w:lang w:val="en-US" w:eastAsia="zh-CN"/>
        </w:rPr>
        <w:t>Ω</w:t>
      </w:r>
      <w:r>
        <w:rPr>
          <w:rFonts w:hint="eastAsia"/>
          <w:color w:val="auto"/>
          <w:lang w:val="en-US" w:eastAsia="zh-CN"/>
        </w:rPr>
        <w:t>·m。</w:t>
      </w:r>
    </w:p>
    <w:p w14:paraId="083B008B">
      <w:pPr>
        <w:rPr>
          <w:rFonts w:hint="eastAsia"/>
          <w:color w:val="auto"/>
          <w:lang w:val="en-US" w:eastAsia="zh-CN"/>
        </w:rPr>
      </w:pPr>
      <w:r>
        <w:rPr>
          <w:rFonts w:hint="eastAsia"/>
          <w:color w:val="auto"/>
          <w:lang w:val="en-US" w:eastAsia="zh-CN"/>
        </w:rPr>
        <w:t>（2）燃烧性能等级应满足GB8624的B2级。</w:t>
      </w:r>
    </w:p>
    <w:p w14:paraId="7559081F">
      <w:pPr>
        <w:rPr>
          <w:rFonts w:hint="eastAsia"/>
          <w:color w:val="auto"/>
          <w:lang w:val="en-US" w:eastAsia="zh-CN"/>
        </w:rPr>
      </w:pPr>
      <w:r>
        <w:rPr>
          <w:rFonts w:hint="eastAsia"/>
          <w:color w:val="auto"/>
          <w:lang w:val="en-US" w:eastAsia="zh-CN"/>
        </w:rPr>
        <w:t>（3）相容性试验前后，阻隔防爆材料的力学性能及储存介质的理化性能指标变化值不超出其精密度测量范围。</w:t>
      </w:r>
    </w:p>
    <w:p w14:paraId="7560A6F2">
      <w:pPr>
        <w:rPr>
          <w:rFonts w:hint="eastAsia"/>
          <w:color w:val="auto"/>
          <w:lang w:val="en-US" w:eastAsia="zh-CN"/>
        </w:rPr>
      </w:pPr>
      <w:r>
        <w:rPr>
          <w:rFonts w:hint="eastAsia"/>
          <w:color w:val="auto"/>
          <w:lang w:val="en-US" w:eastAsia="zh-CN"/>
        </w:rPr>
        <w:t>（4）振动耐久性试验后，碎屑质量应不大于1.0mg/L。</w:t>
      </w:r>
    </w:p>
    <w:p w14:paraId="35F66807">
      <w:pPr>
        <w:rPr>
          <w:rFonts w:hint="eastAsia"/>
          <w:color w:val="auto"/>
          <w:lang w:val="en-US" w:eastAsia="zh-CN"/>
        </w:rPr>
      </w:pPr>
      <w:r>
        <w:rPr>
          <w:rFonts w:hint="eastAsia"/>
          <w:color w:val="auto"/>
          <w:lang w:val="en-US" w:eastAsia="zh-CN"/>
        </w:rPr>
        <w:t>5. 橇装装置阻隔防爆性能要求</w:t>
      </w:r>
    </w:p>
    <w:p w14:paraId="01A6E36C">
      <w:pPr>
        <w:rPr>
          <w:rFonts w:hint="eastAsia"/>
          <w:color w:val="auto"/>
          <w:lang w:val="en-US" w:eastAsia="zh-CN"/>
        </w:rPr>
      </w:pPr>
      <w:r>
        <w:rPr>
          <w:rFonts w:hint="eastAsia"/>
          <w:color w:val="auto"/>
          <w:lang w:val="en-US" w:eastAsia="zh-CN"/>
        </w:rPr>
        <w:t>（1）燃爆增压试验中，试验容器内燃爆增压值应不大于0.14MPa。</w:t>
      </w:r>
    </w:p>
    <w:p w14:paraId="613D7257">
      <w:pPr>
        <w:rPr>
          <w:rFonts w:hint="eastAsia"/>
          <w:color w:val="auto"/>
          <w:lang w:val="en-US" w:eastAsia="zh-CN"/>
        </w:rPr>
      </w:pPr>
      <w:r>
        <w:rPr>
          <w:rFonts w:hint="eastAsia"/>
          <w:color w:val="auto"/>
          <w:lang w:val="en-US" w:eastAsia="zh-CN"/>
        </w:rPr>
        <w:t>（2）静爆试验中，试验容器内储存介质不发生二次爆炸。</w:t>
      </w:r>
    </w:p>
    <w:p w14:paraId="53BC160E">
      <w:pPr>
        <w:rPr>
          <w:rFonts w:hint="eastAsia"/>
          <w:color w:val="auto"/>
          <w:lang w:val="en-US" w:eastAsia="zh-CN"/>
        </w:rPr>
      </w:pPr>
      <w:r>
        <w:rPr>
          <w:rFonts w:hint="eastAsia"/>
          <w:color w:val="auto"/>
          <w:lang w:val="en-US" w:eastAsia="zh-CN"/>
        </w:rPr>
        <w:t>（3）烤燃试验中，试验容器内储存介质不发生二次爆炸。</w:t>
      </w:r>
    </w:p>
    <w:p w14:paraId="401B53F5">
      <w:pPr>
        <w:rPr>
          <w:rFonts w:hint="eastAsia"/>
          <w:color w:val="auto"/>
          <w:lang w:val="en-US" w:eastAsia="zh-CN"/>
        </w:rPr>
      </w:pPr>
      <w:r>
        <w:rPr>
          <w:rFonts w:hint="eastAsia"/>
          <w:color w:val="auto"/>
          <w:lang w:val="en-US" w:eastAsia="zh-CN"/>
        </w:rPr>
        <w:t>6. 橇装装置储罐清洗要求罐体内的特殊作业（受限空间作业）应符合GB30871的规定，阻隔防爆材料安装前，应对罐体进行清洗。</w:t>
      </w:r>
    </w:p>
    <w:p w14:paraId="11F4B42D">
      <w:pPr>
        <w:rPr>
          <w:rFonts w:hint="eastAsia"/>
          <w:color w:val="auto"/>
          <w:lang w:val="en-US" w:eastAsia="zh-CN"/>
        </w:rPr>
      </w:pPr>
      <w:r>
        <w:rPr>
          <w:rFonts w:hint="eastAsia"/>
          <w:color w:val="auto"/>
          <w:lang w:val="en-US" w:eastAsia="zh-CN"/>
        </w:rPr>
        <w:t>（1）检查并确定储罐渗漏试验用试剂。</w:t>
      </w:r>
    </w:p>
    <w:p w14:paraId="0BE5C0A1">
      <w:pPr>
        <w:rPr>
          <w:rFonts w:hint="eastAsia"/>
          <w:color w:val="auto"/>
          <w:lang w:val="en-US" w:eastAsia="zh-CN"/>
        </w:rPr>
      </w:pPr>
      <w:r>
        <w:rPr>
          <w:rFonts w:hint="eastAsia"/>
          <w:color w:val="auto"/>
          <w:lang w:val="en-US" w:eastAsia="zh-CN"/>
        </w:rPr>
        <w:t>（2）应选择毒性较低、非易燃易爆的清洗剂进行清洗作业。</w:t>
      </w:r>
    </w:p>
    <w:p w14:paraId="25B9B075">
      <w:pPr>
        <w:rPr>
          <w:rFonts w:hint="eastAsia"/>
          <w:color w:val="auto"/>
          <w:lang w:val="en-US" w:eastAsia="zh-CN"/>
        </w:rPr>
      </w:pPr>
      <w:r>
        <w:rPr>
          <w:rFonts w:hint="eastAsia"/>
          <w:color w:val="auto"/>
          <w:lang w:val="en-US" w:eastAsia="zh-CN"/>
        </w:rPr>
        <w:t>（3）罐体清洗完毕后，应对罐体内作业的安全性进行分析，内容及合格标准如下：</w:t>
      </w:r>
    </w:p>
    <w:p w14:paraId="56064C01">
      <w:pPr>
        <w:rPr>
          <w:rFonts w:hint="eastAsia"/>
          <w:color w:val="auto"/>
          <w:lang w:val="en-US" w:eastAsia="zh-CN"/>
        </w:rPr>
      </w:pPr>
      <w:r>
        <w:rPr>
          <w:rFonts w:hint="eastAsia"/>
          <w:color w:val="auto"/>
          <w:lang w:val="en-US" w:eastAsia="zh-CN"/>
        </w:rPr>
        <w:t>1）罐体内氧含量应为18%~21%，在富氧环境平应不大于23.5%；</w:t>
      </w:r>
    </w:p>
    <w:p w14:paraId="11ED46D9">
      <w:pPr>
        <w:rPr>
          <w:rFonts w:hint="eastAsia"/>
          <w:color w:val="auto"/>
          <w:lang w:val="en-US" w:eastAsia="zh-CN"/>
        </w:rPr>
      </w:pPr>
      <w:r>
        <w:rPr>
          <w:rFonts w:hint="eastAsia"/>
          <w:color w:val="auto"/>
          <w:lang w:val="en-US" w:eastAsia="zh-CN"/>
        </w:rPr>
        <w:t>2）罐体内有毒气体（物质，浓度应符合GBZ21M的规定）；</w:t>
      </w:r>
    </w:p>
    <w:p w14:paraId="0F248209">
      <w:pPr>
        <w:rPr>
          <w:rFonts w:hint="eastAsia"/>
          <w:color w:val="auto"/>
          <w:lang w:val="en-US" w:eastAsia="zh-CN"/>
        </w:rPr>
      </w:pPr>
      <w:r>
        <w:rPr>
          <w:rFonts w:hint="eastAsia"/>
          <w:color w:val="auto"/>
          <w:lang w:val="en-US" w:eastAsia="zh-CN"/>
        </w:rPr>
        <w:t>3）当罐体内被测的气体或可燃气体的爆炸下限大于或等于4%时，其被测浓度应小于0.5%（体积分数）；</w:t>
      </w:r>
    </w:p>
    <w:p w14:paraId="465D949C">
      <w:pPr>
        <w:rPr>
          <w:rFonts w:hint="eastAsia"/>
          <w:color w:val="auto"/>
          <w:lang w:val="en-US" w:eastAsia="zh-CN"/>
        </w:rPr>
      </w:pPr>
      <w:r>
        <w:rPr>
          <w:rFonts w:hint="eastAsia"/>
          <w:color w:val="auto"/>
          <w:lang w:val="en-US" w:eastAsia="zh-CN"/>
        </w:rPr>
        <w:t>4）当罐体内被测的气体或可燃气体的爆炸下限小于4时，其被测浓度应不大于0.2%（体积分数）。</w:t>
      </w:r>
    </w:p>
    <w:p w14:paraId="252C5B38">
      <w:pPr>
        <w:rPr>
          <w:rFonts w:hint="eastAsia"/>
          <w:color w:val="auto"/>
          <w:lang w:val="en-US" w:eastAsia="zh-CN"/>
        </w:rPr>
      </w:pPr>
      <w:r>
        <w:rPr>
          <w:rFonts w:hint="eastAsia"/>
          <w:color w:val="auto"/>
          <w:lang w:val="en-US" w:eastAsia="zh-CN"/>
        </w:rPr>
        <w:t>7. 橇装装置的阻隔防爆材料的安装要求</w:t>
      </w:r>
    </w:p>
    <w:p w14:paraId="2C064991">
      <w:pPr>
        <w:rPr>
          <w:rFonts w:hint="eastAsia"/>
          <w:color w:val="auto"/>
          <w:lang w:val="en-US" w:eastAsia="zh-CN"/>
        </w:rPr>
      </w:pPr>
      <w:r>
        <w:rPr>
          <w:rFonts w:hint="eastAsia"/>
          <w:color w:val="auto"/>
          <w:lang w:val="en-US" w:eastAsia="zh-CN"/>
        </w:rPr>
        <w:t>经清洗作业，检验安全分析合格后进行阻隔防爆材料安装。储罐内的特殊作业应符合GB30871的规定。按储罐和所储存介质的要求，选用不同材质和不同规格的阻隔质爆材料，应保证不污染储存介质，不被储存介质腐蚀。阻隔防爆材料应符合4.2、4.3、4.4的要求。阻隔防爆材料的安装应满足以下要求：</w:t>
      </w:r>
    </w:p>
    <w:p w14:paraId="204D9015">
      <w:pPr>
        <w:rPr>
          <w:rFonts w:hint="eastAsia"/>
          <w:color w:val="auto"/>
          <w:lang w:val="en-US" w:eastAsia="zh-CN"/>
        </w:rPr>
      </w:pPr>
      <w:r>
        <w:rPr>
          <w:rFonts w:hint="eastAsia"/>
          <w:color w:val="auto"/>
          <w:lang w:val="en-US" w:eastAsia="zh-CN"/>
        </w:rPr>
        <w:t>（1）填充密度不大于80kg/m</w:t>
      </w:r>
      <w:r>
        <w:rPr>
          <w:rFonts w:hint="eastAsia"/>
          <w:color w:val="auto"/>
          <w:vertAlign w:val="superscript"/>
          <w:lang w:val="en-US" w:eastAsia="zh-CN"/>
        </w:rPr>
        <w:t>2</w:t>
      </w:r>
      <w:r>
        <w:rPr>
          <w:rFonts w:hint="eastAsia"/>
          <w:color w:val="auto"/>
          <w:lang w:val="en-US" w:eastAsia="zh-CN"/>
        </w:rPr>
        <w:t>；</w:t>
      </w:r>
    </w:p>
    <w:p w14:paraId="2D81DD11">
      <w:pPr>
        <w:rPr>
          <w:rFonts w:hint="eastAsia"/>
          <w:color w:val="auto"/>
          <w:lang w:val="en-US" w:eastAsia="zh-CN"/>
        </w:rPr>
      </w:pPr>
      <w:r>
        <w:rPr>
          <w:rFonts w:hint="eastAsia"/>
          <w:color w:val="auto"/>
          <w:lang w:val="en-US" w:eastAsia="zh-CN"/>
        </w:rPr>
        <w:t>（2）储罐容积小于25m</w:t>
      </w:r>
      <w:r>
        <w:rPr>
          <w:rFonts w:hint="eastAsia"/>
          <w:color w:val="auto"/>
          <w:vertAlign w:val="superscript"/>
          <w:lang w:val="en-US" w:eastAsia="zh-CN"/>
        </w:rPr>
        <w:t>3</w:t>
      </w:r>
      <w:r>
        <w:rPr>
          <w:rFonts w:hint="eastAsia"/>
          <w:color w:val="auto"/>
          <w:lang w:val="en-US" w:eastAsia="zh-CN"/>
        </w:rPr>
        <w:t>时，留空率不大于8%，其他情况下留空率不大于10%；</w:t>
      </w:r>
    </w:p>
    <w:p w14:paraId="6C0E78A1">
      <w:pPr>
        <w:rPr>
          <w:rFonts w:hint="eastAsia"/>
          <w:color w:val="auto"/>
          <w:lang w:val="en-US" w:eastAsia="zh-CN"/>
        </w:rPr>
      </w:pPr>
      <w:r>
        <w:rPr>
          <w:rFonts w:hint="eastAsia"/>
          <w:color w:val="auto"/>
          <w:lang w:val="en-US" w:eastAsia="zh-CN"/>
        </w:rPr>
        <w:t>（3）阻隔防爆材料安装时，防爆材料不应进入储罐的装卸管路，不应影响储罐的功能。</w:t>
      </w:r>
    </w:p>
    <w:p w14:paraId="50C3E679">
      <w:pPr>
        <w:rPr>
          <w:rFonts w:hint="eastAsia"/>
          <w:color w:val="auto"/>
          <w:lang w:val="en-US" w:eastAsia="zh-CN"/>
        </w:rPr>
      </w:pPr>
      <w:r>
        <w:rPr>
          <w:rFonts w:hint="eastAsia"/>
          <w:color w:val="auto"/>
          <w:lang w:val="en-US" w:eastAsia="zh-CN"/>
        </w:rPr>
        <w:t>8. 橇装装置的阻隔防爆材料应按储罐定期检验周期的要求进行清洗。</w:t>
      </w:r>
    </w:p>
    <w:p w14:paraId="12838939">
      <w:pPr>
        <w:rPr>
          <w:rFonts w:hint="eastAsia"/>
          <w:color w:val="auto"/>
          <w:lang w:val="en-US" w:eastAsia="zh-CN"/>
        </w:rPr>
      </w:pPr>
      <w:r>
        <w:rPr>
          <w:rFonts w:hint="eastAsia"/>
          <w:color w:val="auto"/>
          <w:lang w:val="en-US" w:eastAsia="zh-CN"/>
        </w:rPr>
        <w:t>9. 橇装装置的储罐应在显著位置牢固粘贴或安装防爆标志，阻隔防爆标志的材质宜为铝合金材质、不锈钢材质或其他耐油气腐蚀的材质。</w:t>
      </w:r>
    </w:p>
    <w:p w14:paraId="0D5B0A07">
      <w:pPr>
        <w:rPr>
          <w:rFonts w:hint="eastAsia"/>
          <w:color w:val="auto"/>
          <w:lang w:val="en-US" w:eastAsia="zh-CN"/>
        </w:rPr>
      </w:pPr>
      <w:r>
        <w:rPr>
          <w:rFonts w:hint="eastAsia"/>
          <w:color w:val="auto"/>
          <w:lang w:val="en-US" w:eastAsia="zh-CN"/>
        </w:rPr>
        <w:t>10. 橇装装置采用的阻隔防爆材料应有产品合格证、出厂批号、产品编号、安装单位名称和型号、检验日期和检验员代号等。</w:t>
      </w:r>
    </w:p>
    <w:p w14:paraId="3E68909D">
      <w:pPr>
        <w:rPr>
          <w:rFonts w:hint="eastAsia"/>
          <w:color w:val="auto"/>
          <w:lang w:val="en-US" w:eastAsia="zh-CN"/>
        </w:rPr>
      </w:pPr>
      <w:r>
        <w:rPr>
          <w:rFonts w:hint="eastAsia"/>
          <w:color w:val="auto"/>
          <w:lang w:val="en-US" w:eastAsia="zh-CN"/>
        </w:rPr>
        <w:t>11. 橇装装置采用的阻隔防爆材料应有使用说明书并包括阻隔防爆材料的第三方性能检测报告、保质期、清洗方法和日常维护要求等。</w:t>
      </w:r>
    </w:p>
    <w:p w14:paraId="187BDE46">
      <w:pPr>
        <w:rPr>
          <w:rFonts w:hint="eastAsia"/>
          <w:color w:val="auto"/>
          <w:lang w:val="en-US" w:eastAsia="zh-CN"/>
        </w:rPr>
      </w:pPr>
      <w:r>
        <w:rPr>
          <w:rFonts w:hint="eastAsia"/>
          <w:color w:val="auto"/>
          <w:lang w:val="en-US" w:eastAsia="zh-CN"/>
        </w:rPr>
        <w:t>12. 橇装装置应定期检验，定期检验要求如下：</w:t>
      </w:r>
    </w:p>
    <w:p w14:paraId="62E2A4CC">
      <w:pPr>
        <w:rPr>
          <w:rFonts w:hint="eastAsia"/>
          <w:color w:val="auto"/>
          <w:lang w:val="en-US" w:eastAsia="zh-CN"/>
        </w:rPr>
      </w:pPr>
      <w:r>
        <w:rPr>
          <w:rFonts w:hint="eastAsia"/>
          <w:color w:val="auto"/>
          <w:lang w:val="en-US" w:eastAsia="zh-CN"/>
        </w:rPr>
        <w:t>（1）正常使用中，每年进行一次检验；</w:t>
      </w:r>
    </w:p>
    <w:p w14:paraId="5E5B1BC6">
      <w:pPr>
        <w:rPr>
          <w:rFonts w:hint="eastAsia"/>
          <w:color w:val="auto"/>
          <w:lang w:val="en-US" w:eastAsia="zh-CN"/>
        </w:rPr>
      </w:pPr>
      <w:r>
        <w:rPr>
          <w:rFonts w:hint="eastAsia"/>
          <w:color w:val="auto"/>
          <w:lang w:val="en-US" w:eastAsia="zh-CN"/>
        </w:rPr>
        <w:t>（2）储罐使用单位提出需要检验时应进行检验；</w:t>
      </w:r>
    </w:p>
    <w:p w14:paraId="223F4EE1">
      <w:pPr>
        <w:rPr>
          <w:rFonts w:hint="eastAsia"/>
          <w:color w:val="auto"/>
          <w:lang w:val="en-US" w:eastAsia="zh-CN"/>
        </w:rPr>
      </w:pPr>
      <w:r>
        <w:rPr>
          <w:rFonts w:hint="eastAsia"/>
          <w:color w:val="auto"/>
          <w:lang w:val="en-US" w:eastAsia="zh-CN"/>
        </w:rPr>
        <w:t>（3）采用阻隔防爆技术的储罐达到检验周期时应进行检验。</w:t>
      </w:r>
    </w:p>
    <w:p w14:paraId="2D277B6E">
      <w:pPr>
        <w:rPr>
          <w:rFonts w:hint="eastAsia"/>
          <w:color w:val="auto"/>
          <w:lang w:val="en-US" w:eastAsia="zh-CN"/>
        </w:rPr>
      </w:pPr>
      <w:r>
        <w:rPr>
          <w:rFonts w:hint="eastAsia"/>
          <w:color w:val="auto"/>
          <w:lang w:val="en-US" w:eastAsia="zh-CN"/>
        </w:rPr>
        <w:t>13. 橇装装置的加油站设计和施工应符合GB50156和SH/T3134的有关规定。</w:t>
      </w:r>
    </w:p>
    <w:p w14:paraId="03DDEF96">
      <w:pPr>
        <w:pStyle w:val="4"/>
        <w:bidi w:val="0"/>
        <w:rPr>
          <w:rFonts w:hint="eastAsia"/>
          <w:color w:val="auto"/>
          <w:lang w:val="en-US" w:eastAsia="zh-CN"/>
        </w:rPr>
      </w:pPr>
      <w:bookmarkStart w:id="177" w:name="_Toc30691"/>
      <w:r>
        <w:rPr>
          <w:rFonts w:hint="eastAsia"/>
          <w:color w:val="auto"/>
          <w:lang w:val="en-US" w:eastAsia="zh-CN"/>
        </w:rPr>
        <w:t>8.1.4 防雷防静电要求</w:t>
      </w:r>
      <w:bookmarkEnd w:id="177"/>
    </w:p>
    <w:p w14:paraId="2A3751C4">
      <w:pPr>
        <w:rPr>
          <w:rFonts w:hint="eastAsia"/>
          <w:color w:val="auto"/>
          <w:lang w:val="en-US" w:eastAsia="zh-CN"/>
        </w:rPr>
      </w:pPr>
      <w:r>
        <w:rPr>
          <w:rFonts w:hint="eastAsia"/>
          <w:color w:val="auto"/>
          <w:lang w:val="en-US" w:eastAsia="zh-CN"/>
        </w:rPr>
        <w:t>1. 橇装装置防雷设计应在综合调查其所处的地理位置、环境条件、地质情况和雷电活动规律的基础上，详细研究并确定防雷装置的形式及其布置。</w:t>
      </w:r>
    </w:p>
    <w:p w14:paraId="4F0E1A13">
      <w:pPr>
        <w:rPr>
          <w:rFonts w:hint="eastAsia"/>
          <w:color w:val="auto"/>
          <w:lang w:val="en-US" w:eastAsia="zh-CN"/>
        </w:rPr>
      </w:pPr>
      <w:r>
        <w:rPr>
          <w:rFonts w:hint="eastAsia"/>
          <w:color w:val="auto"/>
          <w:lang w:val="en-US" w:eastAsia="zh-CN"/>
        </w:rPr>
        <w:t>2. 橇装装置防雷施工时，施工单位应做好施工记录，其中防雷施工记录应有建设或监理单位代表确认签字。</w:t>
      </w:r>
    </w:p>
    <w:p w14:paraId="23CEC91F">
      <w:pPr>
        <w:rPr>
          <w:rFonts w:hint="eastAsia"/>
          <w:color w:val="auto"/>
          <w:lang w:val="en-US" w:eastAsia="zh-CN"/>
        </w:rPr>
      </w:pPr>
      <w:r>
        <w:rPr>
          <w:rFonts w:hint="eastAsia"/>
          <w:color w:val="auto"/>
          <w:lang w:val="en-US" w:eastAsia="zh-CN"/>
        </w:rPr>
        <w:t>3. 橇装装置的油罐呼吸阀应处于接闪杆的保护范围内，当呼吸阀装设有阻火器时，可不设接闪杆。</w:t>
      </w:r>
    </w:p>
    <w:p w14:paraId="0947E744">
      <w:pPr>
        <w:rPr>
          <w:rFonts w:hint="eastAsia"/>
          <w:color w:val="auto"/>
          <w:lang w:val="en-US" w:eastAsia="zh-CN"/>
        </w:rPr>
      </w:pPr>
      <w:r>
        <w:rPr>
          <w:rFonts w:hint="eastAsia"/>
          <w:color w:val="auto"/>
          <w:lang w:val="en-US" w:eastAsia="zh-CN"/>
        </w:rPr>
        <w:t>4. 橇装装置的顶棚为金属材料，利用其作为接闪器，但应符合下列规定：</w:t>
      </w:r>
    </w:p>
    <w:p w14:paraId="4EEE8091">
      <w:pPr>
        <w:rPr>
          <w:rFonts w:hint="eastAsia"/>
          <w:color w:val="auto"/>
          <w:lang w:val="en-US" w:eastAsia="zh-CN"/>
        </w:rPr>
      </w:pPr>
      <w:r>
        <w:rPr>
          <w:rFonts w:hint="eastAsia"/>
          <w:color w:val="auto"/>
          <w:lang w:val="en-US" w:eastAsia="zh-CN"/>
        </w:rPr>
        <w:t>（1）板间的连接应是持久的电气贯通，可采用铜锌合金焊、熔焊、卷边压接、缝接、螺钉或螺栓连接；</w:t>
      </w:r>
    </w:p>
    <w:p w14:paraId="370ED42A">
      <w:pPr>
        <w:rPr>
          <w:rFonts w:hint="eastAsia"/>
          <w:color w:val="auto"/>
          <w:lang w:val="en-US" w:eastAsia="zh-CN"/>
        </w:rPr>
      </w:pPr>
      <w:r>
        <w:rPr>
          <w:rFonts w:hint="eastAsia"/>
          <w:color w:val="auto"/>
          <w:lang w:val="en-US" w:eastAsia="zh-CN"/>
        </w:rPr>
        <w:t>（2）当顶面为多层金属板，且上层为金属板，其下为阻燃的夹层、吊顶材料时，不锈钢、热镀锌钢和铜板的厚度不应小于0.5mm，铝板的厚度不应小于0.65mm；</w:t>
      </w:r>
    </w:p>
    <w:p w14:paraId="5011BFC1">
      <w:pPr>
        <w:rPr>
          <w:rFonts w:hint="eastAsia"/>
          <w:color w:val="auto"/>
          <w:lang w:val="en-US" w:eastAsia="zh-CN"/>
        </w:rPr>
      </w:pPr>
      <w:r>
        <w:rPr>
          <w:rFonts w:hint="eastAsia"/>
          <w:color w:val="auto"/>
          <w:lang w:val="en-US" w:eastAsia="zh-CN"/>
        </w:rPr>
        <w:t>（3）当顶棚为单层金属板时，不锈钢、热镀锌钢的厚度不应小于4mm，铜板的厚度不应小于5mm，铝板的厚度不应小于7mm；</w:t>
      </w:r>
    </w:p>
    <w:p w14:paraId="0B95ACBD">
      <w:pPr>
        <w:rPr>
          <w:rFonts w:hint="eastAsia"/>
          <w:color w:val="auto"/>
          <w:lang w:val="en-US" w:eastAsia="zh-CN"/>
        </w:rPr>
      </w:pPr>
      <w:r>
        <w:rPr>
          <w:rFonts w:hint="eastAsia"/>
          <w:color w:val="auto"/>
          <w:lang w:val="en-US" w:eastAsia="zh-CN"/>
        </w:rPr>
        <w:t>（4）金属板无绝缘被覆层。</w:t>
      </w:r>
    </w:p>
    <w:p w14:paraId="3BC0A8B0">
      <w:pPr>
        <w:rPr>
          <w:rFonts w:hint="eastAsia"/>
          <w:color w:val="auto"/>
          <w:lang w:val="en-US" w:eastAsia="zh-CN"/>
        </w:rPr>
      </w:pPr>
      <w:r>
        <w:rPr>
          <w:rFonts w:hint="eastAsia"/>
          <w:color w:val="auto"/>
          <w:lang w:val="en-US" w:eastAsia="zh-CN"/>
        </w:rPr>
        <w:t>6. 橇装装置的顶棚为金属材料时，且厚度不满足要求时，应按要求设置接闪网，接闪网固定支架的高度宜大于200mm。</w:t>
      </w:r>
    </w:p>
    <w:p w14:paraId="26619D95">
      <w:pPr>
        <w:rPr>
          <w:rFonts w:hint="eastAsia"/>
          <w:color w:val="auto"/>
          <w:lang w:val="en-US" w:eastAsia="zh-CN"/>
        </w:rPr>
      </w:pPr>
      <w:r>
        <w:rPr>
          <w:rFonts w:hint="eastAsia"/>
          <w:color w:val="auto"/>
          <w:lang w:val="en-US" w:eastAsia="zh-CN"/>
        </w:rPr>
        <w:t>7. 橇装装置油罐的呼吸阀、液位仪孔、量油孔、人孔、法兰盘及其附着的金属构件均应与罐体保持电气贯通，活动性金属附着构件宜采用截面积不小于50mm</w:t>
      </w:r>
      <w:r>
        <w:rPr>
          <w:rFonts w:hint="eastAsia"/>
          <w:color w:val="auto"/>
          <w:vertAlign w:val="superscript"/>
          <w:lang w:val="en-US" w:eastAsia="zh-CN"/>
        </w:rPr>
        <w:t>2</w:t>
      </w:r>
      <w:r>
        <w:rPr>
          <w:rFonts w:hint="eastAsia"/>
          <w:color w:val="auto"/>
          <w:lang w:val="en-US" w:eastAsia="zh-CN"/>
        </w:rPr>
        <w:t>的软铜带与其附着体进行等电位连接。</w:t>
      </w:r>
    </w:p>
    <w:p w14:paraId="5CCEAB4D">
      <w:pPr>
        <w:rPr>
          <w:rFonts w:hint="eastAsia"/>
          <w:color w:val="auto"/>
          <w:lang w:val="en-US" w:eastAsia="zh-CN"/>
        </w:rPr>
      </w:pPr>
      <w:r>
        <w:rPr>
          <w:rFonts w:hint="eastAsia"/>
          <w:color w:val="auto"/>
          <w:lang w:val="en-US" w:eastAsia="zh-CN"/>
        </w:rPr>
        <w:t>8. 橇装装置顶部的金属板、人行栈桥、爬梯、装饰架等各类金属物应保持电气贯通并就近接地。</w:t>
      </w:r>
    </w:p>
    <w:p w14:paraId="5D65EBE5">
      <w:pPr>
        <w:rPr>
          <w:rFonts w:hint="eastAsia"/>
          <w:color w:val="auto"/>
          <w:lang w:val="en-US" w:eastAsia="zh-CN"/>
        </w:rPr>
      </w:pPr>
      <w:r>
        <w:rPr>
          <w:rFonts w:hint="eastAsia"/>
          <w:color w:val="auto"/>
          <w:lang w:val="en-US" w:eastAsia="zh-CN"/>
        </w:rPr>
        <w:t>9. 橇装装置的防雷接地、防静电接地、电气设备的工作接地、保护接地及电子系统的接地等应采用共用接地系统，其工频接地电阻值宜不大于4</w:t>
      </w:r>
      <w:r>
        <w:rPr>
          <w:rFonts w:hint="default" w:ascii="Times New Roman" w:hAnsi="Times New Roman" w:cs="Times New Roman"/>
          <w:color w:val="auto"/>
          <w:lang w:val="en-US" w:eastAsia="zh-CN"/>
        </w:rPr>
        <w:t>Ω</w:t>
      </w:r>
      <w:r>
        <w:rPr>
          <w:rFonts w:hint="eastAsia"/>
          <w:color w:val="auto"/>
          <w:lang w:val="en-US" w:eastAsia="zh-CN"/>
        </w:rPr>
        <w:t>。</w:t>
      </w:r>
    </w:p>
    <w:p w14:paraId="10C6ACC9">
      <w:pPr>
        <w:rPr>
          <w:rFonts w:hint="eastAsia"/>
          <w:color w:val="auto"/>
          <w:lang w:val="en-US" w:eastAsia="zh-CN"/>
        </w:rPr>
      </w:pPr>
      <w:r>
        <w:rPr>
          <w:rFonts w:hint="eastAsia"/>
          <w:color w:val="auto"/>
          <w:lang w:val="en-US" w:eastAsia="zh-CN"/>
        </w:rPr>
        <w:t>10. 橇装装置宜利用其基础内钢筋作为接地装置，但应满足下列条件：</w:t>
      </w:r>
    </w:p>
    <w:p w14:paraId="1DDE13DC">
      <w:pPr>
        <w:rPr>
          <w:rFonts w:hint="eastAsia"/>
          <w:color w:val="auto"/>
          <w:lang w:val="en-US" w:eastAsia="zh-CN"/>
        </w:rPr>
      </w:pPr>
      <w:r>
        <w:rPr>
          <w:rFonts w:hint="eastAsia"/>
          <w:color w:val="auto"/>
          <w:lang w:val="en-US" w:eastAsia="zh-CN"/>
        </w:rPr>
        <w:t>（1）用作接地的基础内钢筋应焊接连通形成网状；</w:t>
      </w:r>
    </w:p>
    <w:p w14:paraId="0BD109F2">
      <w:pPr>
        <w:rPr>
          <w:rFonts w:hint="eastAsia"/>
          <w:color w:val="auto"/>
          <w:lang w:val="en-US" w:eastAsia="zh-CN"/>
        </w:rPr>
      </w:pPr>
      <w:r>
        <w:rPr>
          <w:rFonts w:hint="eastAsia"/>
          <w:color w:val="auto"/>
          <w:lang w:val="en-US" w:eastAsia="zh-CN"/>
        </w:rPr>
        <w:t>（2）应在橇装站轮廓线外沿四角和中部，从基础内作为接地装置的钢筋焊接引出预留接地端子与橇装站箱体底座连接，其接地端子为截面积不小于100mm</w:t>
      </w:r>
      <w:r>
        <w:rPr>
          <w:rFonts w:hint="eastAsia"/>
          <w:color w:val="auto"/>
          <w:vertAlign w:val="superscript"/>
          <w:lang w:val="en-US" w:eastAsia="zh-CN"/>
        </w:rPr>
        <w:t>2</w:t>
      </w:r>
      <w:r>
        <w:rPr>
          <w:rFonts w:hint="eastAsia"/>
          <w:color w:val="auto"/>
          <w:lang w:val="en-US" w:eastAsia="zh-CN"/>
        </w:rPr>
        <w:t>的扁钢，接地连接线为截面积不小于50mm</w:t>
      </w:r>
      <w:r>
        <w:rPr>
          <w:rFonts w:hint="eastAsia"/>
          <w:color w:val="auto"/>
          <w:vertAlign w:val="superscript"/>
          <w:lang w:val="en-US" w:eastAsia="zh-CN"/>
        </w:rPr>
        <w:t>2</w:t>
      </w:r>
      <w:r>
        <w:rPr>
          <w:rFonts w:hint="eastAsia"/>
          <w:color w:val="auto"/>
          <w:lang w:val="en-US" w:eastAsia="zh-CN"/>
        </w:rPr>
        <w:t>的软铜带；</w:t>
      </w:r>
    </w:p>
    <w:p w14:paraId="5927E91E">
      <w:pPr>
        <w:rPr>
          <w:rFonts w:hint="eastAsia"/>
          <w:color w:val="auto"/>
          <w:lang w:val="en-US" w:eastAsia="zh-CN"/>
        </w:rPr>
      </w:pPr>
      <w:r>
        <w:rPr>
          <w:rFonts w:hint="eastAsia"/>
          <w:color w:val="auto"/>
          <w:lang w:val="en-US" w:eastAsia="zh-CN"/>
        </w:rPr>
        <w:t>（3）四周设置有吸油坑且吸油坑围堰内布置有钢筋的，围堰钢筋应就近与用作接地的基础内钢筋作等电位连接；橇装站四周设置有金属防撞栏的，应通过在防撞栏下预埋截面积不小于50mm</w:t>
      </w:r>
      <w:r>
        <w:rPr>
          <w:rFonts w:hint="eastAsia"/>
          <w:color w:val="auto"/>
          <w:vertAlign w:val="superscript"/>
          <w:lang w:val="en-US" w:eastAsia="zh-CN"/>
        </w:rPr>
        <w:t>2</w:t>
      </w:r>
      <w:r>
        <w:rPr>
          <w:rFonts w:hint="eastAsia"/>
          <w:color w:val="auto"/>
          <w:lang w:val="en-US" w:eastAsia="zh-CN"/>
        </w:rPr>
        <w:t>的扁钢或圆钢作接地干线将各金属防撞栏连通并与橇装站地网连通。</w:t>
      </w:r>
    </w:p>
    <w:p w14:paraId="1E79E920">
      <w:pPr>
        <w:rPr>
          <w:rFonts w:hint="eastAsia"/>
          <w:color w:val="auto"/>
          <w:lang w:val="en-US" w:eastAsia="zh-CN"/>
        </w:rPr>
      </w:pPr>
      <w:r>
        <w:rPr>
          <w:rFonts w:hint="eastAsia"/>
          <w:color w:val="auto"/>
          <w:lang w:val="en-US" w:eastAsia="zh-CN"/>
        </w:rPr>
        <w:t>11. 橇装装置当无法利用基础内钢筋作为接地装置，或利用基础内钢筋作为接地装置无法满足条件时，应本项目橇装装置沿轮廓线外沿布设闭合环形的人工接地体，人工接地体应符合以下要求：</w:t>
      </w:r>
    </w:p>
    <w:p w14:paraId="263145F3">
      <w:pPr>
        <w:rPr>
          <w:rFonts w:hint="eastAsia"/>
          <w:color w:val="auto"/>
          <w:lang w:val="en-US" w:eastAsia="zh-CN"/>
        </w:rPr>
      </w:pPr>
      <w:r>
        <w:rPr>
          <w:rFonts w:hint="eastAsia"/>
          <w:color w:val="auto"/>
          <w:lang w:val="en-US" w:eastAsia="zh-CN"/>
        </w:rPr>
        <w:t>（1）人工垂直接地体可布置于地基轮廓线外边沿，沿周长水平间隔不小于人工垂直接地体长度的2倍，外边沿四角应有人工垂直接地体；</w:t>
      </w:r>
    </w:p>
    <w:p w14:paraId="780AB836">
      <w:pPr>
        <w:rPr>
          <w:rFonts w:hint="eastAsia"/>
          <w:color w:val="auto"/>
          <w:lang w:val="en-US" w:eastAsia="zh-CN"/>
        </w:rPr>
      </w:pPr>
      <w:r>
        <w:rPr>
          <w:rFonts w:hint="eastAsia"/>
          <w:color w:val="auto"/>
          <w:lang w:val="en-US" w:eastAsia="zh-CN"/>
        </w:rPr>
        <w:t>（2）人工接地体的材型规格应符合GB50057—2010的表5.4.1的要求；</w:t>
      </w:r>
    </w:p>
    <w:p w14:paraId="287D3969">
      <w:pPr>
        <w:rPr>
          <w:rFonts w:hint="eastAsia"/>
          <w:color w:val="auto"/>
          <w:lang w:val="en-US" w:eastAsia="zh-CN"/>
        </w:rPr>
      </w:pPr>
      <w:r>
        <w:rPr>
          <w:rFonts w:hint="eastAsia"/>
          <w:color w:val="auto"/>
          <w:lang w:val="en-US" w:eastAsia="zh-CN"/>
        </w:rPr>
        <w:t>（3）人工接地体的埋设深度，不应小于0.5m，并敷设在当地冻土层以下；</w:t>
      </w:r>
    </w:p>
    <w:p w14:paraId="5932BF15">
      <w:pPr>
        <w:rPr>
          <w:rFonts w:hint="eastAsia"/>
          <w:color w:val="auto"/>
          <w:lang w:val="en-US" w:eastAsia="zh-CN"/>
        </w:rPr>
      </w:pPr>
      <w:r>
        <w:rPr>
          <w:rFonts w:hint="eastAsia"/>
          <w:color w:val="auto"/>
          <w:lang w:val="en-US" w:eastAsia="zh-CN"/>
        </w:rPr>
        <w:t>（4）当利用橇装装置基础内钢筋作为接地装置时，人工垂直接地体的顶部应与用作接地的基础内钢筋焊接连通，连接线宜采用直径不小于12mm的圆钢；</w:t>
      </w:r>
    </w:p>
    <w:p w14:paraId="43294B3E">
      <w:pPr>
        <w:rPr>
          <w:rFonts w:hint="eastAsia"/>
          <w:color w:val="auto"/>
          <w:lang w:val="en-US" w:eastAsia="zh-CN"/>
        </w:rPr>
      </w:pPr>
      <w:r>
        <w:rPr>
          <w:rFonts w:hint="eastAsia"/>
          <w:color w:val="auto"/>
          <w:lang w:val="en-US" w:eastAsia="zh-CN"/>
        </w:rPr>
        <w:t>（5）当无法利用本项目橇装装置基础内钢筋作为接地装置时，应在橇装站轮廓线外沿四角和中部，从人工接地装置引出预留接地端子与橇装站箱体底座连接，其接地端子为截面积不小于50mm</w:t>
      </w:r>
      <w:r>
        <w:rPr>
          <w:rFonts w:hint="eastAsia"/>
          <w:color w:val="auto"/>
          <w:vertAlign w:val="superscript"/>
          <w:lang w:val="en-US" w:eastAsia="zh-CN"/>
        </w:rPr>
        <w:t>2</w:t>
      </w:r>
      <w:r>
        <w:rPr>
          <w:rFonts w:hint="eastAsia"/>
          <w:color w:val="auto"/>
          <w:lang w:val="en-US" w:eastAsia="zh-CN"/>
        </w:rPr>
        <w:t>的扁钢，接地连接线为截面积不小于50mm</w:t>
      </w:r>
      <w:r>
        <w:rPr>
          <w:rFonts w:hint="eastAsia"/>
          <w:color w:val="auto"/>
          <w:vertAlign w:val="superscript"/>
          <w:lang w:val="en-US" w:eastAsia="zh-CN"/>
        </w:rPr>
        <w:t>2</w:t>
      </w:r>
      <w:r>
        <w:rPr>
          <w:rFonts w:hint="eastAsia"/>
          <w:color w:val="auto"/>
          <w:lang w:val="en-US" w:eastAsia="zh-CN"/>
        </w:rPr>
        <w:t>的软铜带。</w:t>
      </w:r>
    </w:p>
    <w:p w14:paraId="2124F7D0">
      <w:pPr>
        <w:rPr>
          <w:rFonts w:hint="eastAsia"/>
          <w:color w:val="auto"/>
          <w:lang w:val="en-US" w:eastAsia="zh-CN"/>
        </w:rPr>
      </w:pPr>
      <w:r>
        <w:rPr>
          <w:rFonts w:hint="eastAsia"/>
          <w:color w:val="auto"/>
          <w:lang w:val="en-US" w:eastAsia="zh-CN"/>
        </w:rPr>
        <w:t>12. 橇装装置接地装置应按照GB50057—2010的4.5.6的规定采取防接触电压和跨步电压措施。</w:t>
      </w:r>
    </w:p>
    <w:p w14:paraId="70699D22">
      <w:pPr>
        <w:rPr>
          <w:rFonts w:hint="eastAsia"/>
          <w:color w:val="auto"/>
          <w:lang w:val="en-US" w:eastAsia="zh-CN"/>
        </w:rPr>
      </w:pPr>
      <w:r>
        <w:rPr>
          <w:rFonts w:hint="eastAsia"/>
          <w:color w:val="auto"/>
          <w:lang w:val="en-US" w:eastAsia="zh-CN"/>
        </w:rPr>
        <w:t>13. 橇装装置箱体底部承重钢梁与油罐底部鞍座应用截面不小于50mm</w:t>
      </w:r>
      <w:r>
        <w:rPr>
          <w:rFonts w:hint="eastAsia"/>
          <w:color w:val="auto"/>
          <w:vertAlign w:val="superscript"/>
          <w:lang w:val="en-US" w:eastAsia="zh-CN"/>
        </w:rPr>
        <w:t>2</w:t>
      </w:r>
      <w:r>
        <w:rPr>
          <w:rFonts w:hint="eastAsia"/>
          <w:color w:val="auto"/>
          <w:lang w:val="en-US" w:eastAsia="zh-CN"/>
        </w:rPr>
        <w:t>的软铜带跨接，且跨接点不少于2处。</w:t>
      </w:r>
    </w:p>
    <w:p w14:paraId="376A7C11">
      <w:pPr>
        <w:rPr>
          <w:rFonts w:hint="eastAsia"/>
          <w:color w:val="auto"/>
          <w:lang w:val="en-US" w:eastAsia="zh-CN"/>
        </w:rPr>
      </w:pPr>
      <w:r>
        <w:rPr>
          <w:rFonts w:hint="eastAsia"/>
          <w:color w:val="auto"/>
          <w:lang w:val="en-US" w:eastAsia="zh-CN"/>
        </w:rPr>
        <w:t>14. 橇装装置箱体底部承重钢梁与加油机除用螺栓连接外，并用截面不小于16mm</w:t>
      </w:r>
      <w:r>
        <w:rPr>
          <w:rFonts w:hint="eastAsia"/>
          <w:color w:val="auto"/>
          <w:vertAlign w:val="superscript"/>
          <w:lang w:val="en-US" w:eastAsia="zh-CN"/>
        </w:rPr>
        <w:t>2</w:t>
      </w:r>
      <w:r>
        <w:rPr>
          <w:rFonts w:hint="eastAsia"/>
          <w:color w:val="auto"/>
          <w:lang w:val="en-US" w:eastAsia="zh-CN"/>
        </w:rPr>
        <w:t>的铜线跨接。加油机应就近接地，加油枪与加油机之间应保持电气贯通。箱体所有金属外壳物件（包括铝合金门窗、百叶、装饰板、铰链等）应保证电气贯通，并应就近接地。用于箱体底部调高的金属垫片应与箱体金属底座焊接。</w:t>
      </w:r>
    </w:p>
    <w:p w14:paraId="05C8C9B3">
      <w:pPr>
        <w:rPr>
          <w:rFonts w:hint="eastAsia"/>
          <w:color w:val="auto"/>
          <w:lang w:val="en-US" w:eastAsia="zh-CN"/>
        </w:rPr>
      </w:pPr>
      <w:r>
        <w:rPr>
          <w:rFonts w:hint="eastAsia"/>
          <w:color w:val="auto"/>
          <w:lang w:val="en-US" w:eastAsia="zh-CN"/>
        </w:rPr>
        <w:t>15. 橇装装置电气系统、电子系统接地的预留接地端子应分别引出，接地端子宜采用截面积不小于50mm</w:t>
      </w:r>
      <w:r>
        <w:rPr>
          <w:rFonts w:hint="eastAsia"/>
          <w:color w:val="auto"/>
          <w:vertAlign w:val="superscript"/>
          <w:lang w:val="en-US" w:eastAsia="zh-CN"/>
        </w:rPr>
        <w:t>2</w:t>
      </w:r>
      <w:r>
        <w:rPr>
          <w:rFonts w:hint="eastAsia"/>
          <w:color w:val="auto"/>
          <w:lang w:val="en-US" w:eastAsia="zh-CN"/>
        </w:rPr>
        <w:t>的铜带且预留足够孔位。</w:t>
      </w:r>
    </w:p>
    <w:p w14:paraId="7BE94DB6">
      <w:pPr>
        <w:rPr>
          <w:rFonts w:hint="eastAsia"/>
          <w:color w:val="auto"/>
          <w:lang w:val="en-US" w:eastAsia="zh-CN"/>
        </w:rPr>
      </w:pPr>
      <w:r>
        <w:rPr>
          <w:rFonts w:hint="eastAsia"/>
          <w:color w:val="auto"/>
          <w:lang w:val="en-US" w:eastAsia="zh-CN"/>
        </w:rPr>
        <w:t>16. 橇装装置的电气系统、电子系统线缆宜埋地敷设，并应采用铠装电缆或导线穿钢管配线，在进出箱体的交界面处，线缆金属外皮两端、保护钢管两端均应接地。</w:t>
      </w:r>
    </w:p>
    <w:p w14:paraId="59B64CEE">
      <w:pPr>
        <w:rPr>
          <w:rFonts w:hint="eastAsia"/>
          <w:color w:val="auto"/>
          <w:lang w:val="en-US" w:eastAsia="zh-CN"/>
        </w:rPr>
      </w:pPr>
      <w:r>
        <w:rPr>
          <w:rFonts w:hint="eastAsia"/>
          <w:color w:val="auto"/>
          <w:lang w:val="en-US" w:eastAsia="zh-CN"/>
        </w:rPr>
        <w:t>17. 应在橇装装置电源线路适当位置装设相应等级的SPD。</w:t>
      </w:r>
    </w:p>
    <w:p w14:paraId="17086331">
      <w:pPr>
        <w:rPr>
          <w:rFonts w:hint="eastAsia"/>
          <w:color w:val="auto"/>
          <w:lang w:val="en-US" w:eastAsia="zh-CN"/>
        </w:rPr>
      </w:pPr>
      <w:r>
        <w:rPr>
          <w:rFonts w:hint="eastAsia"/>
          <w:color w:val="auto"/>
          <w:lang w:val="en-US" w:eastAsia="zh-CN"/>
        </w:rPr>
        <w:t>18. 橇装装置电子系统配电线路首、末段与电子器件连接时，应装设与电子器件耐压水平相适应的SPD。</w:t>
      </w:r>
    </w:p>
    <w:p w14:paraId="617242BF">
      <w:pPr>
        <w:rPr>
          <w:rFonts w:hint="eastAsia"/>
          <w:color w:val="auto"/>
          <w:lang w:val="en-US" w:eastAsia="zh-CN"/>
        </w:rPr>
      </w:pPr>
      <w:r>
        <w:rPr>
          <w:rFonts w:hint="eastAsia"/>
          <w:color w:val="auto"/>
          <w:lang w:val="en-US" w:eastAsia="zh-CN"/>
        </w:rPr>
        <w:t>19. 电源SPD的相线连接线截面积不应小于6mm</w:t>
      </w:r>
      <w:r>
        <w:rPr>
          <w:rFonts w:hint="eastAsia"/>
          <w:color w:val="auto"/>
          <w:vertAlign w:val="superscript"/>
          <w:lang w:val="en-US" w:eastAsia="zh-CN"/>
        </w:rPr>
        <w:t>2</w:t>
      </w:r>
      <w:r>
        <w:rPr>
          <w:rFonts w:hint="eastAsia"/>
          <w:color w:val="auto"/>
          <w:lang w:val="en-US" w:eastAsia="zh-CN"/>
        </w:rPr>
        <w:t>，接地连接线截面积不应小于10mm</w:t>
      </w:r>
      <w:r>
        <w:rPr>
          <w:rFonts w:hint="eastAsia"/>
          <w:color w:val="auto"/>
          <w:vertAlign w:val="superscript"/>
          <w:lang w:val="en-US" w:eastAsia="zh-CN"/>
        </w:rPr>
        <w:t>2</w:t>
      </w:r>
      <w:r>
        <w:rPr>
          <w:rFonts w:hint="eastAsia"/>
          <w:color w:val="auto"/>
          <w:lang w:val="en-US" w:eastAsia="zh-CN"/>
        </w:rPr>
        <w:t>。电源SPD连接导线长度不宜大于0.5m。</w:t>
      </w:r>
    </w:p>
    <w:p w14:paraId="6F37514D">
      <w:pPr>
        <w:rPr>
          <w:rFonts w:hint="eastAsia"/>
          <w:color w:val="auto"/>
          <w:lang w:val="en-US" w:eastAsia="zh-CN"/>
        </w:rPr>
      </w:pPr>
      <w:r>
        <w:rPr>
          <w:rFonts w:hint="eastAsia"/>
          <w:color w:val="auto"/>
          <w:lang w:val="en-US" w:eastAsia="zh-CN"/>
        </w:rPr>
        <w:t>20. 橇装装置的输油管线应保持首尾电气贯通，并与底座钢梁作不少于2处等电位连接，连接线应为截面积不小于16mm</w:t>
      </w:r>
      <w:r>
        <w:rPr>
          <w:rFonts w:hint="eastAsia"/>
          <w:color w:val="auto"/>
          <w:vertAlign w:val="superscript"/>
          <w:lang w:val="en-US" w:eastAsia="zh-CN"/>
        </w:rPr>
        <w:t>2</w:t>
      </w:r>
      <w:r>
        <w:rPr>
          <w:rFonts w:hint="eastAsia"/>
          <w:color w:val="auto"/>
          <w:lang w:val="en-US" w:eastAsia="zh-CN"/>
        </w:rPr>
        <w:t>的软铜带。管道上的法兰应用软铜带跨接，当法兰的连接螺栓不少于5颗时，在非腐蚀环境下，可不跨接。</w:t>
      </w:r>
    </w:p>
    <w:p w14:paraId="2C753FE5">
      <w:pPr>
        <w:rPr>
          <w:rFonts w:hint="eastAsia"/>
          <w:color w:val="auto"/>
          <w:lang w:val="en-US" w:eastAsia="zh-CN"/>
        </w:rPr>
      </w:pPr>
      <w:r>
        <w:rPr>
          <w:rFonts w:hint="eastAsia"/>
          <w:color w:val="auto"/>
          <w:lang w:val="en-US" w:eastAsia="zh-CN"/>
        </w:rPr>
        <w:t>21. 应在距卸油口距离大于1.5m处安装静电接地报警仪，静电接地报警仪可靠接地。</w:t>
      </w:r>
    </w:p>
    <w:p w14:paraId="32254968">
      <w:pPr>
        <w:pStyle w:val="4"/>
        <w:bidi w:val="0"/>
        <w:rPr>
          <w:rFonts w:hint="eastAsia"/>
          <w:color w:val="auto"/>
          <w:lang w:val="en-US" w:eastAsia="zh-CN"/>
        </w:rPr>
      </w:pPr>
      <w:bookmarkStart w:id="178" w:name="_Toc29797"/>
      <w:r>
        <w:rPr>
          <w:rFonts w:hint="eastAsia"/>
          <w:color w:val="auto"/>
          <w:lang w:val="en-US" w:eastAsia="zh-CN"/>
        </w:rPr>
        <w:t>8.1.5 安全管理要求</w:t>
      </w:r>
      <w:bookmarkEnd w:id="178"/>
    </w:p>
    <w:p w14:paraId="392FBC6A">
      <w:pPr>
        <w:rPr>
          <w:rFonts w:hint="eastAsia"/>
          <w:color w:val="auto"/>
          <w:lang w:val="en-US" w:eastAsia="zh-CN"/>
        </w:rPr>
      </w:pPr>
      <w:r>
        <w:rPr>
          <w:rFonts w:hint="eastAsia"/>
          <w:color w:val="auto"/>
          <w:lang w:val="en-US" w:eastAsia="zh-CN"/>
        </w:rPr>
        <w:t>针对项目的运行，企业要编制以下符合项目管理要求的安全生产管理制度，包括：安全生产责任制，安全教育管理制度，安全检查管理制度，安全技术措施管理制度，防火、防爆安全管理制度，防止急性中毒和抢救措施管理办法，安全装置与劳动防护器具管理办法，事故管理制度，储罐区安全管理制度，加油区安全管理制度、职工个人防护用品发放管理规定，防暑降温费标准规定，消防设施、器材管理规定，防火检查管理制度等等。</w:t>
      </w:r>
    </w:p>
    <w:p w14:paraId="739D35D9">
      <w:pPr>
        <w:rPr>
          <w:rFonts w:hint="eastAsia"/>
          <w:color w:val="auto"/>
          <w:lang w:val="en-US" w:eastAsia="zh-CN"/>
        </w:rPr>
      </w:pPr>
      <w:r>
        <w:rPr>
          <w:rFonts w:hint="eastAsia"/>
          <w:color w:val="auto"/>
          <w:lang w:val="en-US" w:eastAsia="zh-CN"/>
        </w:rPr>
        <w:t>本项目的安全管理应做好以下方面：</w:t>
      </w:r>
    </w:p>
    <w:p w14:paraId="4756BDBA">
      <w:pPr>
        <w:rPr>
          <w:rFonts w:hint="eastAsia"/>
          <w:color w:val="auto"/>
          <w:lang w:val="en-US" w:eastAsia="zh-CN"/>
        </w:rPr>
      </w:pPr>
      <w:r>
        <w:rPr>
          <w:rFonts w:hint="eastAsia"/>
          <w:color w:val="auto"/>
          <w:lang w:val="en-US" w:eastAsia="zh-CN"/>
        </w:rPr>
        <w:t>1. 经营单位主要负责人、安全生产管理人员应按有关部门规定参加安全生产培训、考核，并持证上岗。至少配备1名专职安全管理人员。</w:t>
      </w:r>
    </w:p>
    <w:p w14:paraId="192D9928">
      <w:pPr>
        <w:rPr>
          <w:rFonts w:hint="eastAsia"/>
          <w:color w:val="auto"/>
          <w:lang w:val="en-US" w:eastAsia="zh-CN"/>
        </w:rPr>
      </w:pPr>
      <w:r>
        <w:rPr>
          <w:rFonts w:hint="eastAsia"/>
          <w:color w:val="auto"/>
          <w:lang w:val="en-US" w:eastAsia="zh-CN"/>
        </w:rPr>
        <w:t>2. 建立健全安全生产管理机构，安全管理领导小组，制定完善安全生产责任制和岗位安全职责及各工种安全操作规程。健全安全检查、安全考核、奖惩、安全教育培训、危险有害因素定期监测报告等项制度，并要认真贯彻实施。</w:t>
      </w:r>
    </w:p>
    <w:p w14:paraId="4216AD75">
      <w:pPr>
        <w:rPr>
          <w:rFonts w:hint="eastAsia"/>
          <w:color w:val="auto"/>
          <w:lang w:val="en-US" w:eastAsia="zh-CN"/>
        </w:rPr>
      </w:pPr>
      <w:r>
        <w:rPr>
          <w:rFonts w:hint="eastAsia"/>
          <w:color w:val="auto"/>
          <w:lang w:val="en-US" w:eastAsia="zh-CN"/>
        </w:rPr>
        <w:t>3. 运用安全系统工程的方法，实施安全目标全面安全管理（即全员参与的安全管理，全过程的安全管理和全天侯的安全管理）。将安全管理纳入良性循环的轨道。</w:t>
      </w:r>
    </w:p>
    <w:p w14:paraId="4A511F1F">
      <w:pPr>
        <w:rPr>
          <w:rFonts w:hint="eastAsia"/>
          <w:color w:val="auto"/>
          <w:lang w:val="en-US" w:eastAsia="zh-CN"/>
        </w:rPr>
      </w:pPr>
      <w:r>
        <w:rPr>
          <w:rFonts w:hint="eastAsia"/>
          <w:color w:val="auto"/>
          <w:lang w:val="en-US" w:eastAsia="zh-CN"/>
        </w:rPr>
        <w:t>4. 加强全员安全教育和安全技术培训工作，积极开展危险隐患辨识活动，提高危险辨识能力，增强全员安全意识，提高自我保护能力。</w:t>
      </w:r>
    </w:p>
    <w:p w14:paraId="523BD14A">
      <w:pPr>
        <w:rPr>
          <w:rFonts w:hint="eastAsia"/>
          <w:color w:val="auto"/>
          <w:lang w:val="en-US" w:eastAsia="zh-CN"/>
        </w:rPr>
      </w:pPr>
      <w:r>
        <w:rPr>
          <w:rFonts w:hint="eastAsia"/>
          <w:color w:val="auto"/>
          <w:lang w:val="en-US" w:eastAsia="zh-CN"/>
        </w:rPr>
        <w:t>5. 应将危险化学品的有关安全和卫生资料向职工公开，教育职工掌握必要的火情应急处理方法和自救措施，经常对职工进行实际场所防火安全的教育和培训。</w:t>
      </w:r>
    </w:p>
    <w:p w14:paraId="0AED7BEF">
      <w:pPr>
        <w:rPr>
          <w:rFonts w:hint="eastAsia"/>
          <w:color w:val="auto"/>
          <w:lang w:val="en-US" w:eastAsia="zh-CN"/>
        </w:rPr>
      </w:pPr>
      <w:r>
        <w:rPr>
          <w:rFonts w:hint="eastAsia"/>
          <w:color w:val="auto"/>
          <w:lang w:val="en-US" w:eastAsia="zh-CN"/>
        </w:rPr>
        <w:t>6. 企业应教育职工遵守劳动安全卫生规章制度和安全操作规程，并应及时报告认为可能造成危害和自己无法处理的情况。</w:t>
      </w:r>
    </w:p>
    <w:p w14:paraId="0FCF2A9B">
      <w:pPr>
        <w:rPr>
          <w:rFonts w:hint="eastAsia"/>
          <w:color w:val="auto"/>
          <w:lang w:val="en-US" w:eastAsia="zh-CN"/>
        </w:rPr>
      </w:pPr>
      <w:r>
        <w:rPr>
          <w:rFonts w:hint="eastAsia"/>
          <w:color w:val="auto"/>
          <w:lang w:val="en-US" w:eastAsia="zh-CN"/>
        </w:rPr>
        <w:t>7. 加油站应教育职工对违章指挥或强令冒险作业，有权拒绝执行；对危害人身安全和健康的行为，有权检举和控告。</w:t>
      </w:r>
    </w:p>
    <w:p w14:paraId="39FB06FE">
      <w:pPr>
        <w:rPr>
          <w:rFonts w:hint="eastAsia"/>
          <w:color w:val="auto"/>
          <w:lang w:val="en-US" w:eastAsia="zh-CN"/>
        </w:rPr>
      </w:pPr>
      <w:r>
        <w:rPr>
          <w:rFonts w:hint="eastAsia"/>
          <w:color w:val="auto"/>
          <w:lang w:val="en-US" w:eastAsia="zh-CN"/>
        </w:rPr>
        <w:t>8. 制订安全技术规程和岗位操作规程，并认真落实、执行。</w:t>
      </w:r>
    </w:p>
    <w:p w14:paraId="407D92CB">
      <w:pPr>
        <w:rPr>
          <w:rFonts w:hint="eastAsia"/>
          <w:color w:val="auto"/>
          <w:lang w:val="en-US" w:eastAsia="zh-CN"/>
        </w:rPr>
      </w:pPr>
      <w:r>
        <w:rPr>
          <w:rFonts w:hint="eastAsia"/>
          <w:color w:val="auto"/>
          <w:lang w:val="en-US" w:eastAsia="zh-CN"/>
        </w:rPr>
        <w:t>9. 建立设备台帐，加强设备管理，对关键设备和设施应经常检查、检测，发现情况应及时处理。</w:t>
      </w:r>
    </w:p>
    <w:p w14:paraId="3892DE91">
      <w:pPr>
        <w:rPr>
          <w:rFonts w:hint="eastAsia"/>
          <w:color w:val="auto"/>
          <w:lang w:val="en-US" w:eastAsia="zh-CN"/>
        </w:rPr>
      </w:pPr>
      <w:r>
        <w:rPr>
          <w:rFonts w:hint="eastAsia"/>
          <w:color w:val="auto"/>
          <w:lang w:val="en-US" w:eastAsia="zh-CN"/>
        </w:rPr>
        <w:t>10. 加油站区域要明确禁烟、禁火范围，并设有明显的安全警示标志标识，严格禁烟、禁火区内的动火维修作业管理。应确保橇装装置与明火点安全间距的范围内不得有明火出现，同时本项目应明确并加强橇装装置与明火点安全间距范围内停放的非加油车辆的安全管理。</w:t>
      </w:r>
    </w:p>
    <w:p w14:paraId="3C935344">
      <w:pPr>
        <w:rPr>
          <w:rFonts w:hint="eastAsia"/>
          <w:color w:val="auto"/>
          <w:lang w:val="en-US" w:eastAsia="zh-CN"/>
        </w:rPr>
      </w:pPr>
      <w:r>
        <w:rPr>
          <w:rFonts w:hint="eastAsia"/>
          <w:color w:val="auto"/>
          <w:lang w:val="en-US" w:eastAsia="zh-CN"/>
        </w:rPr>
        <w:t>11. 加油员对进站加油的汽车负有安全引导的责任，敦促进站加油车辆、人员遵守消防安全规则。注意监控并及时制止外来人员违章行为，如吸烟、点打火机、在加油区打手机、无绳电话、对讲机，杜绝外来火源进入加油站危险区。</w:t>
      </w:r>
    </w:p>
    <w:p w14:paraId="7A8A3E40">
      <w:pPr>
        <w:rPr>
          <w:rFonts w:hint="eastAsia"/>
          <w:color w:val="auto"/>
          <w:lang w:val="en-US" w:eastAsia="zh-CN"/>
        </w:rPr>
      </w:pPr>
      <w:r>
        <w:rPr>
          <w:rFonts w:hint="eastAsia"/>
          <w:color w:val="auto"/>
          <w:lang w:val="en-US" w:eastAsia="zh-CN"/>
        </w:rPr>
        <w:t>12. 按《劳动防护用品配备标准》制订发放、管理办法，配备、发放劳动防护用品。</w:t>
      </w:r>
    </w:p>
    <w:p w14:paraId="17CAADC2">
      <w:pPr>
        <w:rPr>
          <w:rFonts w:hint="eastAsia"/>
          <w:color w:val="auto"/>
          <w:lang w:val="en-US" w:eastAsia="zh-CN"/>
        </w:rPr>
      </w:pPr>
      <w:r>
        <w:rPr>
          <w:rFonts w:hint="eastAsia"/>
          <w:color w:val="auto"/>
          <w:lang w:val="en-US" w:eastAsia="zh-CN"/>
        </w:rPr>
        <w:t>13. 在项目建造中，建设指挥部明确建设方、施工方、监理方等多方在施工期间的安全职责，加强与施工单位和工程监理部门的联系和沟通，监督和配合施工单位共同做好建筑施工过程中的安全防范工作。</w:t>
      </w:r>
    </w:p>
    <w:p w14:paraId="7476A64D">
      <w:pPr>
        <w:rPr>
          <w:rFonts w:hint="eastAsia"/>
          <w:color w:val="auto"/>
          <w:lang w:val="en-US" w:eastAsia="zh-CN"/>
        </w:rPr>
      </w:pPr>
      <w:r>
        <w:rPr>
          <w:rFonts w:hint="eastAsia"/>
          <w:color w:val="auto"/>
          <w:lang w:val="en-US" w:eastAsia="zh-CN"/>
        </w:rPr>
        <w:t>14. 工程建成后，应组织有关人员对工程进行验收，对建筑物、构筑物、生产装置、设备设施及隐蔽工程等进行全面验收，作出验收结论；应对安全设施、设备和与安全有关的装置、附件等按有关规范进行检验、调试保证其功能达到有关技术标准、产品质量的要求，并有详细调试记录。</w:t>
      </w:r>
    </w:p>
    <w:p w14:paraId="268683A4">
      <w:pPr>
        <w:rPr>
          <w:rFonts w:hint="eastAsia"/>
          <w:color w:val="auto"/>
          <w:lang w:val="en-US" w:eastAsia="zh-CN"/>
        </w:rPr>
      </w:pPr>
      <w:r>
        <w:rPr>
          <w:rFonts w:hint="eastAsia"/>
          <w:color w:val="auto"/>
          <w:lang w:val="en-US" w:eastAsia="zh-CN"/>
        </w:rPr>
        <w:t>15. 工程建成后，应邀请检测、检验单位对橇装装置及附件、防雷、防静电设施进行检测、检验，确保安全设施有效。工程项目竣工后，应严格按规定进行三同时验收。</w:t>
      </w:r>
    </w:p>
    <w:p w14:paraId="76090969">
      <w:pPr>
        <w:rPr>
          <w:rFonts w:hint="eastAsia"/>
          <w:color w:val="auto"/>
          <w:lang w:val="en-US" w:eastAsia="zh-CN"/>
        </w:rPr>
      </w:pPr>
      <w:r>
        <w:rPr>
          <w:rFonts w:hint="eastAsia"/>
          <w:color w:val="auto"/>
          <w:lang w:val="en-US" w:eastAsia="zh-CN"/>
        </w:rPr>
        <w:t>16. 项目在试经营运行期间，应制订完备的试经营安全运行方案，保证试经营的安全，同时搜集和积累资料，不断补充和完善安全操作规程。</w:t>
      </w:r>
    </w:p>
    <w:p w14:paraId="38A349B0">
      <w:pPr>
        <w:rPr>
          <w:rFonts w:hint="eastAsia"/>
          <w:color w:val="auto"/>
          <w:lang w:val="en-US" w:eastAsia="zh-CN"/>
        </w:rPr>
      </w:pPr>
      <w:r>
        <w:rPr>
          <w:rFonts w:hint="eastAsia"/>
          <w:color w:val="auto"/>
          <w:lang w:val="en-US" w:eastAsia="zh-CN"/>
        </w:rPr>
        <w:t>17. 电气设备必须设有可靠的接地（接零）装置，防雷和防静电设施必须完好并应定期检测。</w:t>
      </w:r>
    </w:p>
    <w:p w14:paraId="43D88617">
      <w:pPr>
        <w:rPr>
          <w:rFonts w:hint="eastAsia"/>
          <w:color w:val="auto"/>
          <w:lang w:val="en-US" w:eastAsia="zh-CN"/>
        </w:rPr>
      </w:pPr>
      <w:r>
        <w:rPr>
          <w:rFonts w:hint="eastAsia"/>
          <w:color w:val="auto"/>
          <w:lang w:val="en-US" w:eastAsia="zh-CN"/>
        </w:rPr>
        <w:t>18. 橇装加油场区应设置相应的车辆导流措施，引导入站车辆有序进行排队加油，同时因在橇装加油装置场地区域设置相应的安全防护措施。</w:t>
      </w:r>
    </w:p>
    <w:p w14:paraId="767790D7">
      <w:pPr>
        <w:rPr>
          <w:rFonts w:hint="eastAsia"/>
          <w:color w:val="auto"/>
          <w:lang w:val="en-US" w:eastAsia="zh-CN"/>
        </w:rPr>
      </w:pPr>
      <w:r>
        <w:rPr>
          <w:rFonts w:hint="eastAsia"/>
          <w:color w:val="auto"/>
          <w:lang w:val="en-US" w:eastAsia="zh-CN"/>
        </w:rPr>
        <w:t>19. 橇装装置12m半径内为三类保护物控制线，区域内禁止临建、改扩建/禁止泊车，橇装装置16m半径内为二类保护物控制线，区域内禁止临建、改扩建/禁止泊车，橇装装置25m半径内为明火或散发火花地点控制线，区域内禁止有明火或散发火花设备。</w:t>
      </w:r>
    </w:p>
    <w:p w14:paraId="4485AC0E">
      <w:pPr>
        <w:rPr>
          <w:rFonts w:hint="eastAsia"/>
          <w:color w:val="auto"/>
          <w:lang w:val="en-US" w:eastAsia="zh-CN"/>
        </w:rPr>
      </w:pPr>
      <w:r>
        <w:rPr>
          <w:rFonts w:hint="eastAsia"/>
          <w:color w:val="auto"/>
          <w:lang w:val="en-US" w:eastAsia="zh-CN"/>
        </w:rPr>
        <w:t>20. 企业应加强日常对消防通道的管理，撬装加油装置的消防通道应保持始终处于畅通状态，禁止其他无关社会车辆停放或其他阻碍消防通道的行为。</w:t>
      </w:r>
    </w:p>
    <w:p w14:paraId="3BE266A8">
      <w:pPr>
        <w:rPr>
          <w:rFonts w:hint="eastAsia"/>
          <w:color w:val="auto"/>
          <w:lang w:val="en-US" w:eastAsia="zh-CN"/>
        </w:rPr>
      </w:pPr>
      <w:r>
        <w:rPr>
          <w:rFonts w:hint="eastAsia"/>
          <w:color w:val="auto"/>
          <w:lang w:val="en-US" w:eastAsia="zh-CN"/>
        </w:rPr>
        <w:t>21. 供电负荷可为三级，但信息系统应设不间断供电电源。</w:t>
      </w:r>
    </w:p>
    <w:p w14:paraId="67AA9CF3">
      <w:pPr>
        <w:rPr>
          <w:rFonts w:hint="eastAsia"/>
          <w:color w:val="auto"/>
          <w:lang w:val="en-US" w:eastAsia="zh-CN"/>
        </w:rPr>
      </w:pPr>
      <w:r>
        <w:rPr>
          <w:rFonts w:hint="eastAsia"/>
          <w:color w:val="auto"/>
          <w:lang w:val="en-US" w:eastAsia="zh-CN"/>
        </w:rPr>
        <w:t>22. 撬装装置爆炸危险区域内的电气设备选型、安装、电气线路敷设等，应符合现行国家标准《爆炸危险环境电力装置设计规范》GB50058的有关规定。</w:t>
      </w:r>
    </w:p>
    <w:p w14:paraId="4400FF81">
      <w:pPr>
        <w:rPr>
          <w:rFonts w:hint="eastAsia"/>
          <w:color w:val="auto"/>
          <w:lang w:val="en-US" w:eastAsia="zh-CN"/>
        </w:rPr>
      </w:pPr>
      <w:r>
        <w:rPr>
          <w:rFonts w:hint="eastAsia"/>
          <w:color w:val="auto"/>
          <w:lang w:val="en-US" w:eastAsia="zh-CN"/>
        </w:rPr>
        <w:t>23. 撬装装置爆炸危险区域以外的照明灯具，可选用非防爆型。罩棚</w:t>
      </w:r>
    </w:p>
    <w:p w14:paraId="03FA89F9">
      <w:pPr>
        <w:ind w:left="0" w:leftChars="0" w:firstLine="0" w:firstLineChars="0"/>
        <w:rPr>
          <w:rFonts w:hint="eastAsia"/>
          <w:color w:val="auto"/>
          <w:lang w:val="en-US" w:eastAsia="zh-CN"/>
        </w:rPr>
      </w:pPr>
      <w:r>
        <w:rPr>
          <w:rFonts w:hint="eastAsia"/>
          <w:color w:val="auto"/>
          <w:lang w:val="en-US" w:eastAsia="zh-CN"/>
        </w:rPr>
        <w:t>下处于非爆炸危险区域的灯具，应选用防护灯具不低于IP44级的照明灯具。</w:t>
      </w:r>
    </w:p>
    <w:p w14:paraId="303A08B1">
      <w:pPr>
        <w:rPr>
          <w:rFonts w:hint="eastAsia"/>
          <w:color w:val="auto"/>
          <w:lang w:val="en-US" w:eastAsia="zh-CN"/>
        </w:rPr>
      </w:pPr>
      <w:r>
        <w:rPr>
          <w:rFonts w:hint="eastAsia"/>
          <w:color w:val="auto"/>
          <w:lang w:val="en-US" w:eastAsia="zh-CN"/>
        </w:rPr>
        <w:t>24. 撬装装置应配备相应的火灾报警系统或自动灭火系统。</w:t>
      </w:r>
    </w:p>
    <w:p w14:paraId="76B225CB">
      <w:pPr>
        <w:rPr>
          <w:rFonts w:hint="eastAsia"/>
          <w:color w:val="auto"/>
          <w:lang w:val="en-US" w:eastAsia="zh-CN"/>
        </w:rPr>
      </w:pPr>
      <w:r>
        <w:rPr>
          <w:rFonts w:hint="eastAsia"/>
          <w:color w:val="auto"/>
          <w:lang w:val="en-US" w:eastAsia="zh-CN"/>
        </w:rPr>
        <w:t>25. 撬装装置加油软管上宜设安全拉断阀。</w:t>
      </w:r>
    </w:p>
    <w:p w14:paraId="62F4B893">
      <w:pPr>
        <w:rPr>
          <w:rFonts w:hint="eastAsia"/>
          <w:color w:val="auto"/>
          <w:lang w:val="en-US" w:eastAsia="zh-CN"/>
        </w:rPr>
      </w:pPr>
      <w:r>
        <w:rPr>
          <w:rFonts w:hint="eastAsia"/>
          <w:color w:val="auto"/>
          <w:lang w:val="en-US" w:eastAsia="zh-CN"/>
        </w:rPr>
        <w:t>26. 撬装装置加油泵上的紧急切断阀，应能由手动启动的远程控制切断系统操纵关闭。</w:t>
      </w:r>
    </w:p>
    <w:p w14:paraId="16CE6BF5">
      <w:pPr>
        <w:pStyle w:val="3"/>
        <w:bidi w:val="0"/>
        <w:rPr>
          <w:rFonts w:hint="eastAsia"/>
          <w:color w:val="auto"/>
          <w:lang w:val="en-US" w:eastAsia="zh-CN"/>
        </w:rPr>
      </w:pPr>
      <w:bookmarkStart w:id="179" w:name="_Toc20604"/>
      <w:r>
        <w:rPr>
          <w:rFonts w:hint="eastAsia"/>
          <w:color w:val="auto"/>
          <w:lang w:val="en-US" w:eastAsia="zh-CN"/>
        </w:rPr>
        <w:t>8.2 补充的相关建议</w:t>
      </w:r>
      <w:bookmarkEnd w:id="179"/>
    </w:p>
    <w:p w14:paraId="21EA55BB">
      <w:pPr>
        <w:rPr>
          <w:rFonts w:hint="eastAsia"/>
          <w:color w:val="auto"/>
          <w:lang w:val="en-US" w:eastAsia="zh-CN"/>
        </w:rPr>
      </w:pPr>
      <w:r>
        <w:rPr>
          <w:rFonts w:hint="eastAsia"/>
          <w:color w:val="auto"/>
          <w:lang w:val="en-US" w:eastAsia="zh-CN"/>
        </w:rPr>
        <w:t>1. 进一步加强相关人员的安全培训和安全技能教育。完善安全检测、控制设施，进一步提高本质安全度，达到安全生产的目的。</w:t>
      </w:r>
    </w:p>
    <w:p w14:paraId="13FA83D2">
      <w:pPr>
        <w:rPr>
          <w:rFonts w:hint="eastAsia"/>
          <w:color w:val="auto"/>
          <w:lang w:val="en-US" w:eastAsia="zh-CN"/>
        </w:rPr>
      </w:pPr>
      <w:r>
        <w:rPr>
          <w:rFonts w:hint="eastAsia"/>
          <w:color w:val="auto"/>
          <w:lang w:val="en-US" w:eastAsia="zh-CN"/>
        </w:rPr>
        <w:t>2. 橇装装置为公司内部使用，不应对外经营加油，应从有资质的单位购买油品。</w:t>
      </w:r>
    </w:p>
    <w:p w14:paraId="7F606257">
      <w:pPr>
        <w:rPr>
          <w:rFonts w:hint="eastAsia"/>
          <w:color w:val="auto"/>
          <w:lang w:val="en-US" w:eastAsia="zh-CN"/>
        </w:rPr>
      </w:pPr>
      <w:r>
        <w:rPr>
          <w:rFonts w:hint="eastAsia"/>
          <w:color w:val="auto"/>
          <w:lang w:val="en-US" w:eastAsia="zh-CN"/>
        </w:rPr>
        <w:t>3. 橇装装置应在场区的进出入口设置限速标志、减速带、进场引导线等交通安全指示标志标识，确保车辆有序进出入撬装加油装置区域加油。</w:t>
      </w:r>
    </w:p>
    <w:p w14:paraId="4F465F27">
      <w:pPr>
        <w:rPr>
          <w:rFonts w:hint="eastAsia"/>
          <w:color w:val="auto"/>
          <w:lang w:val="en-US" w:eastAsia="zh-CN"/>
        </w:rPr>
      </w:pPr>
      <w:r>
        <w:rPr>
          <w:rFonts w:hint="eastAsia"/>
          <w:color w:val="auto"/>
          <w:lang w:val="en-US" w:eastAsia="zh-CN"/>
        </w:rPr>
        <w:t>5. 橇装装置的设备上应设置如禁止吸烟、禁止火源、禁用手机等相关安全标志标识。</w:t>
      </w:r>
    </w:p>
    <w:p w14:paraId="09F6551B">
      <w:pPr>
        <w:rPr>
          <w:rFonts w:hint="eastAsia"/>
          <w:color w:val="auto"/>
          <w:lang w:val="en-US" w:eastAsia="zh-CN"/>
        </w:rPr>
      </w:pPr>
      <w:r>
        <w:rPr>
          <w:rFonts w:hint="eastAsia"/>
          <w:color w:val="auto"/>
          <w:lang w:val="en-US" w:eastAsia="zh-CN"/>
        </w:rPr>
        <w:t>6. 橇装装置的安全保护设施、消防设施应按规范配置齐全，日常检修维护管理中应重点检查撬装加油装置的安全保护设施，如紧急泄压装置、防溢流装置、自动关闭保护阀以及自动灭火器等，同时加强对撬装加油装置的消防设施管理，如消防灭火器、消防沙、灭火毯、防毒面具等相关消防器材。确保消防器材的数量和设置内容满足要求。</w:t>
      </w:r>
    </w:p>
    <w:p w14:paraId="007700E8">
      <w:pPr>
        <w:rPr>
          <w:rFonts w:hint="eastAsia"/>
          <w:color w:val="auto"/>
          <w:lang w:val="en-US" w:eastAsia="zh-CN"/>
        </w:rPr>
      </w:pPr>
      <w:r>
        <w:rPr>
          <w:rFonts w:hint="eastAsia"/>
          <w:color w:val="auto"/>
          <w:lang w:val="en-US" w:eastAsia="zh-CN"/>
        </w:rPr>
        <w:t>7. 应急预案相关要求</w:t>
      </w:r>
    </w:p>
    <w:p w14:paraId="3737C352">
      <w:pPr>
        <w:rPr>
          <w:rFonts w:hint="eastAsia"/>
          <w:color w:val="auto"/>
          <w:lang w:val="en-US" w:eastAsia="zh-CN"/>
        </w:rPr>
      </w:pPr>
      <w:r>
        <w:rPr>
          <w:rFonts w:hint="eastAsia"/>
          <w:color w:val="auto"/>
          <w:lang w:val="en-US" w:eastAsia="zh-CN"/>
        </w:rPr>
        <w:t>应当针对本单位可能发生的生产安全事故的特点和危害，进行风险辨识和评估，制定相应的生产安全事故应急救援预案，并向本单位从业人员公布。生产安全事故应急预案应满足以下几点：</w:t>
      </w:r>
    </w:p>
    <w:p w14:paraId="67BC4878">
      <w:pPr>
        <w:rPr>
          <w:rFonts w:hint="eastAsia"/>
          <w:color w:val="auto"/>
          <w:lang w:val="en-US" w:eastAsia="zh-CN"/>
        </w:rPr>
      </w:pPr>
      <w:r>
        <w:rPr>
          <w:rFonts w:hint="eastAsia"/>
          <w:color w:val="auto"/>
          <w:lang w:val="en-US" w:eastAsia="zh-CN"/>
        </w:rPr>
        <w:t>（1）生产安全事故应急救援预案应当符合有关法律、法规、规章和标准的规定，具有科学性、针对性和可操作性，明确规定应急组织体系、职责分工以及应急救援程序和措施。</w:t>
      </w:r>
    </w:p>
    <w:p w14:paraId="1C4B1381">
      <w:pPr>
        <w:rPr>
          <w:rFonts w:hint="eastAsia"/>
          <w:color w:val="auto"/>
          <w:lang w:val="en-US" w:eastAsia="zh-CN"/>
        </w:rPr>
      </w:pPr>
      <w:r>
        <w:rPr>
          <w:rFonts w:hint="eastAsia"/>
          <w:color w:val="auto"/>
          <w:lang w:val="en-US" w:eastAsia="zh-CN"/>
        </w:rPr>
        <w:t>（2）有下列情形之一的，生产安全事故应急救援预案制定单位应当及时修订相关预案：</w:t>
      </w:r>
    </w:p>
    <w:p w14:paraId="4D2E5925">
      <w:pPr>
        <w:rPr>
          <w:rFonts w:hint="eastAsia"/>
          <w:color w:val="auto"/>
          <w:lang w:val="en-US" w:eastAsia="zh-CN"/>
        </w:rPr>
      </w:pPr>
      <w:r>
        <w:rPr>
          <w:rFonts w:hint="eastAsia"/>
          <w:color w:val="auto"/>
          <w:lang w:val="en-US" w:eastAsia="zh-CN"/>
        </w:rPr>
        <w:t>1）制定预案所依据的法律、法规、规章、标准发生重大变化；</w:t>
      </w:r>
    </w:p>
    <w:p w14:paraId="00D1C25B">
      <w:pPr>
        <w:rPr>
          <w:rFonts w:hint="eastAsia"/>
          <w:color w:val="auto"/>
          <w:lang w:val="en-US" w:eastAsia="zh-CN"/>
        </w:rPr>
      </w:pPr>
      <w:r>
        <w:rPr>
          <w:rFonts w:hint="eastAsia"/>
          <w:color w:val="auto"/>
          <w:lang w:val="en-US" w:eastAsia="zh-CN"/>
        </w:rPr>
        <w:t>2）应急指挥机构及其职责发生调整；</w:t>
      </w:r>
    </w:p>
    <w:p w14:paraId="64E56600">
      <w:pPr>
        <w:rPr>
          <w:rFonts w:hint="eastAsia"/>
          <w:color w:val="auto"/>
          <w:lang w:val="en-US" w:eastAsia="zh-CN"/>
        </w:rPr>
      </w:pPr>
      <w:r>
        <w:rPr>
          <w:rFonts w:hint="eastAsia"/>
          <w:color w:val="auto"/>
          <w:lang w:val="en-US" w:eastAsia="zh-CN"/>
        </w:rPr>
        <w:t>3）安全生产面临的风险发生重大变化；</w:t>
      </w:r>
    </w:p>
    <w:p w14:paraId="57513655">
      <w:pPr>
        <w:rPr>
          <w:rFonts w:hint="eastAsia"/>
          <w:color w:val="auto"/>
          <w:lang w:val="en-US" w:eastAsia="zh-CN"/>
        </w:rPr>
      </w:pPr>
      <w:r>
        <w:rPr>
          <w:rFonts w:hint="eastAsia"/>
          <w:color w:val="auto"/>
          <w:lang w:val="en-US" w:eastAsia="zh-CN"/>
        </w:rPr>
        <w:t>4）重要应急资源发生重大变化；</w:t>
      </w:r>
    </w:p>
    <w:p w14:paraId="67B16CE0">
      <w:pPr>
        <w:rPr>
          <w:rFonts w:hint="eastAsia"/>
          <w:color w:val="auto"/>
          <w:lang w:val="en-US" w:eastAsia="zh-CN"/>
        </w:rPr>
      </w:pPr>
      <w:r>
        <w:rPr>
          <w:rFonts w:hint="eastAsia"/>
          <w:color w:val="auto"/>
          <w:lang w:val="en-US" w:eastAsia="zh-CN"/>
        </w:rPr>
        <w:t>5）在预案演练或者应急救援中发现需要修订预案的重大问题；</w:t>
      </w:r>
    </w:p>
    <w:p w14:paraId="47785F78">
      <w:pPr>
        <w:rPr>
          <w:rFonts w:hint="eastAsia"/>
          <w:color w:val="auto"/>
          <w:lang w:val="en-US" w:eastAsia="zh-CN"/>
        </w:rPr>
      </w:pPr>
      <w:r>
        <w:rPr>
          <w:rFonts w:hint="eastAsia"/>
          <w:color w:val="auto"/>
          <w:lang w:val="en-US" w:eastAsia="zh-CN"/>
        </w:rPr>
        <w:t>6）其他应当修订的情形。</w:t>
      </w:r>
    </w:p>
    <w:p w14:paraId="6F845BFA">
      <w:pPr>
        <w:rPr>
          <w:rFonts w:hint="eastAsia"/>
          <w:color w:val="auto"/>
          <w:lang w:val="en-US" w:eastAsia="zh-CN"/>
        </w:rPr>
      </w:pPr>
      <w:r>
        <w:rPr>
          <w:rFonts w:hint="eastAsia"/>
          <w:color w:val="auto"/>
          <w:lang w:val="en-US" w:eastAsia="zh-CN"/>
        </w:rPr>
        <w:t>（3）应急救援队伍建立单位或者兼职应急救援人员所在单位应当按照国家有关规定对应急救援人员进行培训；应急救援人员经培训合格后，方可参加应急救援工作。应急救援队伍应当配备必要的应急救援装备和物资，并定期组织训练。</w:t>
      </w:r>
    </w:p>
    <w:p w14:paraId="1258E454">
      <w:pPr>
        <w:rPr>
          <w:rFonts w:hint="eastAsia"/>
          <w:color w:val="auto"/>
          <w:lang w:val="en-US" w:eastAsia="zh-CN"/>
        </w:rPr>
      </w:pPr>
      <w:r>
        <w:rPr>
          <w:rFonts w:hint="eastAsia"/>
          <w:color w:val="auto"/>
          <w:lang w:val="en-US" w:eastAsia="zh-CN"/>
        </w:rPr>
        <w:t>（4）生产经营单位应当及时将本单位应急救援队伍建立情况按照国家有关规定报送县级以上人民政府负有安全生产监督管理职责的部门，并依法向社会公布。</w:t>
      </w:r>
    </w:p>
    <w:p w14:paraId="1881DE47">
      <w:pPr>
        <w:rPr>
          <w:rFonts w:hint="eastAsia"/>
          <w:color w:val="auto"/>
          <w:lang w:val="en-US" w:eastAsia="zh-CN"/>
        </w:rPr>
      </w:pPr>
      <w:r>
        <w:rPr>
          <w:rFonts w:hint="eastAsia"/>
          <w:color w:val="auto"/>
          <w:lang w:val="en-US" w:eastAsia="zh-CN"/>
        </w:rPr>
        <w:t>（5）生产经营单位应当对从业人员进行应急教育和培训，保证从业人员具备必要的应急知识，掌握风险防范技能和事故应急措施。</w:t>
      </w:r>
    </w:p>
    <w:p w14:paraId="289837EE">
      <w:pPr>
        <w:rPr>
          <w:rFonts w:hint="eastAsia"/>
          <w:color w:val="auto"/>
          <w:lang w:val="en-US" w:eastAsia="zh-CN"/>
        </w:rPr>
      </w:pPr>
      <w:r>
        <w:rPr>
          <w:rFonts w:hint="eastAsia"/>
          <w:color w:val="auto"/>
          <w:lang w:val="en-US" w:eastAsia="zh-CN"/>
        </w:rPr>
        <w:t>（6）应按《生产经营单位安全生产事故应急预案编制导则》（GB/T29639-2020）的要求编制应急救援预案，配置救援器材和劳动防护用品，以保证应急救援预案的有效性，在事故发生后能及时予以控制，防止重大事故的蔓延，有效的组织抢险和救助。本项目事故应急救援预案必须与企业总体预案相衔接。</w:t>
      </w:r>
    </w:p>
    <w:p w14:paraId="67D71D6E">
      <w:pPr>
        <w:rPr>
          <w:rFonts w:hint="eastAsia"/>
          <w:color w:val="auto"/>
          <w:lang w:val="en-US" w:eastAsia="zh-CN"/>
        </w:rPr>
      </w:pPr>
      <w:r>
        <w:rPr>
          <w:rFonts w:hint="eastAsia"/>
          <w:color w:val="auto"/>
          <w:lang w:val="en-US" w:eastAsia="zh-CN"/>
        </w:rPr>
        <w:t>（7）根据《生产安全事故应急预案管理办法》要求，应急预案必须经过评审或论证，才能由生产经营单位主要负责人签署公布。建设单位应将编制的应急救援预案报属地应急管理局备案，同时企业应按“预案”要求定期演练。</w:t>
      </w:r>
    </w:p>
    <w:p w14:paraId="51679E93">
      <w:pPr>
        <w:rPr>
          <w:rFonts w:hint="eastAsia"/>
          <w:color w:val="auto"/>
          <w:lang w:val="en-US" w:eastAsia="zh-CN"/>
        </w:rPr>
      </w:pPr>
      <w:r>
        <w:rPr>
          <w:rFonts w:hint="eastAsia"/>
          <w:color w:val="auto"/>
          <w:lang w:val="en-US" w:eastAsia="zh-CN"/>
        </w:rPr>
        <w:t>（8）事故应急救援所选用的救援器材、劳动防护用品应使用有相应资质的生产企业生产的产品，并保管好、维护好。事故应急救援的车辆、通讯器材、物资、药品等，必须定期检验、检查、检修、更换，做到随时可以使用。</w:t>
      </w:r>
    </w:p>
    <w:p w14:paraId="60A99EFF">
      <w:pPr>
        <w:rPr>
          <w:rFonts w:hint="eastAsia"/>
          <w:color w:val="auto"/>
          <w:lang w:val="en-US" w:eastAsia="zh-CN"/>
        </w:rPr>
      </w:pPr>
      <w:r>
        <w:rPr>
          <w:rFonts w:hint="eastAsia"/>
          <w:color w:val="auto"/>
          <w:lang w:val="en-US" w:eastAsia="zh-CN"/>
        </w:rPr>
        <w:t>（9）应急物资以满足消防应急救援需求为主，应做到以下几点：</w:t>
      </w:r>
    </w:p>
    <w:p w14:paraId="370050D3">
      <w:pPr>
        <w:rPr>
          <w:rFonts w:hint="eastAsia"/>
          <w:color w:val="auto"/>
          <w:lang w:val="en-US" w:eastAsia="zh-CN"/>
        </w:rPr>
      </w:pPr>
      <w:r>
        <w:rPr>
          <w:rFonts w:hint="eastAsia"/>
          <w:color w:val="auto"/>
          <w:lang w:val="en-US" w:eastAsia="zh-CN"/>
        </w:rPr>
        <w:t>1）消防应急救援装备的配备应针对救援任务的特点、典型灾害事故的类别，并综合考虑当地的自然条件和经济发展水平，且装备性能应满足消防应急救援的需要。</w:t>
      </w:r>
    </w:p>
    <w:p w14:paraId="3203E672">
      <w:pPr>
        <w:rPr>
          <w:rFonts w:hint="eastAsia"/>
          <w:color w:val="auto"/>
          <w:lang w:val="en-US" w:eastAsia="zh-CN"/>
        </w:rPr>
      </w:pPr>
      <w:r>
        <w:rPr>
          <w:rFonts w:hint="eastAsia"/>
          <w:color w:val="auto"/>
          <w:lang w:val="en-US" w:eastAsia="zh-CN"/>
        </w:rPr>
        <w:t>2）消防应急救援装备的配备应确保系统配套、搭配合理、功能齐全、数量充足。</w:t>
      </w:r>
    </w:p>
    <w:p w14:paraId="21AE1C8F">
      <w:pPr>
        <w:rPr>
          <w:rFonts w:hint="eastAsia"/>
          <w:color w:val="auto"/>
          <w:lang w:val="en-US" w:eastAsia="zh-CN"/>
        </w:rPr>
      </w:pPr>
      <w:r>
        <w:rPr>
          <w:rFonts w:hint="eastAsia"/>
          <w:color w:val="auto"/>
          <w:lang w:val="en-US" w:eastAsia="zh-CN"/>
        </w:rPr>
        <w:t>3）消防应急救援装备的配备应优先选择性能先进、轻便高效、功能多样、通用性强的装备，应定期对已配装备的有效性、使用效能等方面进行检查评估，及时淘汰过期和低效能装备。</w:t>
      </w:r>
    </w:p>
    <w:p w14:paraId="7684F803">
      <w:pPr>
        <w:rPr>
          <w:rFonts w:hint="eastAsia"/>
          <w:color w:val="auto"/>
          <w:lang w:val="en-US" w:eastAsia="zh-CN"/>
        </w:rPr>
      </w:pPr>
      <w:r>
        <w:rPr>
          <w:rFonts w:hint="eastAsia"/>
          <w:color w:val="auto"/>
          <w:lang w:val="en-US" w:eastAsia="zh-CN"/>
        </w:rPr>
        <w:t>4）消防应急救援装备的配备应统一筹划，同类装备应尽量统一和兼容，消防应急救援工作中必不可少但使用频率低、价格昂贵的大（重）型装备应统筹配置。</w:t>
      </w:r>
    </w:p>
    <w:p w14:paraId="38623D4D">
      <w:pPr>
        <w:rPr>
          <w:rFonts w:hint="eastAsia"/>
          <w:color w:val="auto"/>
          <w:lang w:val="en-US" w:eastAsia="zh-CN"/>
        </w:rPr>
      </w:pPr>
      <w:r>
        <w:rPr>
          <w:rFonts w:hint="eastAsia"/>
          <w:color w:val="auto"/>
          <w:lang w:val="en-US" w:eastAsia="zh-CN"/>
        </w:rPr>
        <w:t>5）所配备的消防应急救援装备应为符合国家相关市场准入规定的合格产品。</w:t>
      </w:r>
    </w:p>
    <w:p w14:paraId="419440CF">
      <w:pPr>
        <w:rPr>
          <w:rFonts w:hint="eastAsia"/>
          <w:color w:val="auto"/>
          <w:lang w:val="en-US" w:eastAsia="zh-CN"/>
        </w:rPr>
      </w:pPr>
      <w:r>
        <w:rPr>
          <w:rFonts w:hint="eastAsia"/>
          <w:color w:val="auto"/>
          <w:lang w:val="en-US" w:eastAsia="zh-CN"/>
        </w:rPr>
        <w:t>6）应根据不同灾害事故类别，选择防护、救生、警戒、洗消、照明、送风、排烟、通信等类装备及其他器材设备，装备配备要求应参考《消防应急救援装备配备指南》（GB/T29178-2012）内表1至10内容。</w:t>
      </w:r>
    </w:p>
    <w:p w14:paraId="53B3C398">
      <w:pPr>
        <w:rPr>
          <w:rFonts w:hint="eastAsia"/>
          <w:color w:val="auto"/>
          <w:lang w:val="en-US" w:eastAsia="zh-CN"/>
        </w:rPr>
      </w:pPr>
      <w:r>
        <w:rPr>
          <w:rFonts w:hint="eastAsia"/>
          <w:color w:val="auto"/>
          <w:lang w:val="en-US" w:eastAsia="zh-CN"/>
        </w:rPr>
        <w:t>7）因本项目处于条件评价阶段，尚未完成应急救援预案编制工作，在完成应急救援预案编制并取得备案后，应根据本项目《应急救援预案》内容对应急救援物资的要求配备相应应急物资。</w:t>
      </w:r>
    </w:p>
    <w:p w14:paraId="0F25DE83">
      <w:pPr>
        <w:rPr>
          <w:rFonts w:hint="eastAsia"/>
          <w:color w:val="auto"/>
          <w:lang w:val="en-US" w:eastAsia="zh-CN"/>
        </w:rPr>
      </w:pPr>
      <w:r>
        <w:rPr>
          <w:rFonts w:hint="eastAsia"/>
          <w:color w:val="auto"/>
          <w:lang w:val="en-US" w:eastAsia="zh-CN"/>
        </w:rPr>
        <w:t>8. 项目施工期相关建议措施</w:t>
      </w:r>
    </w:p>
    <w:p w14:paraId="41280369">
      <w:pPr>
        <w:rPr>
          <w:rFonts w:hint="eastAsia"/>
          <w:color w:val="auto"/>
          <w:lang w:val="en-US" w:eastAsia="zh-CN"/>
        </w:rPr>
      </w:pPr>
      <w:r>
        <w:rPr>
          <w:rFonts w:hint="eastAsia"/>
          <w:color w:val="auto"/>
          <w:lang w:val="en-US" w:eastAsia="zh-CN"/>
        </w:rPr>
        <w:t>（1）建设单位应认真学习，严格贯彻执行《建设工程安全生产管理条例》，并对设计单位、施工单位、监理单位加强安全生产管理，按相关资质、条件和程度进行审查，明确安全生产责任，制定相应的施工安全管理方案，责成施工单位制定应急预案。</w:t>
      </w:r>
    </w:p>
    <w:p w14:paraId="3B46DD68">
      <w:pPr>
        <w:rPr>
          <w:rFonts w:hint="eastAsia"/>
          <w:color w:val="auto"/>
          <w:lang w:val="en-US" w:eastAsia="zh-CN"/>
        </w:rPr>
      </w:pPr>
      <w:r>
        <w:rPr>
          <w:rFonts w:hint="eastAsia"/>
          <w:color w:val="auto"/>
          <w:lang w:val="en-US" w:eastAsia="zh-CN"/>
        </w:rPr>
        <w:t>（2）项目的施工、安装单位必须具有设备、设施的施工、安装资格的认可手续，经上级主管部门批准，取得相应的有关合格证书。在工程施工前，施工安装单位应根据有关标准、规程、法规编制施工组织设计，并报技监部门审查批准后，按施工组织设计严格执行，严格把好建筑施工、安装质量关。施工、安装完毕，应做好安全、质量检查和验收交接。施工单位应按图施工，遇有变更，应由设计、施工安装及生产单位三方商定。重要变更，须报有关部门批准，建设单位与施工单位应签订施工期间安全生产责任书。</w:t>
      </w:r>
    </w:p>
    <w:p w14:paraId="1D61C6F0">
      <w:pPr>
        <w:rPr>
          <w:rFonts w:hint="eastAsia"/>
          <w:color w:val="auto"/>
          <w:lang w:val="en-US" w:eastAsia="zh-CN"/>
        </w:rPr>
      </w:pPr>
      <w:r>
        <w:rPr>
          <w:rFonts w:hint="eastAsia"/>
          <w:color w:val="auto"/>
          <w:lang w:val="en-US" w:eastAsia="zh-CN"/>
        </w:rPr>
        <w:t>（3）要求工程建设过程中，建设单位、勘察单位、设计单位、施工单位、工程监理单位及其他与建设工程安全生产有关的单位，必须遵守安全生产法律、法规的规定，保证建设工程安全生产，依法承担建设工程安全生产管理责任。</w:t>
      </w:r>
    </w:p>
    <w:p w14:paraId="3145C5AA">
      <w:pPr>
        <w:rPr>
          <w:rFonts w:hint="eastAsia"/>
          <w:color w:val="auto"/>
          <w:lang w:val="en-US" w:eastAsia="zh-CN"/>
        </w:rPr>
      </w:pPr>
      <w:r>
        <w:rPr>
          <w:rFonts w:hint="eastAsia"/>
          <w:color w:val="auto"/>
          <w:lang w:val="en-US" w:eastAsia="zh-CN"/>
        </w:rPr>
        <w:t>（4）施工过程中的主要危险提出主要建议：</w:t>
      </w:r>
    </w:p>
    <w:p w14:paraId="28EF57A3">
      <w:pPr>
        <w:rPr>
          <w:rFonts w:hint="eastAsia"/>
          <w:color w:val="auto"/>
          <w:lang w:val="en-US" w:eastAsia="zh-CN"/>
        </w:rPr>
      </w:pPr>
      <w:r>
        <w:rPr>
          <w:rFonts w:hint="eastAsia"/>
          <w:color w:val="auto"/>
          <w:lang w:val="en-US" w:eastAsia="zh-CN"/>
        </w:rPr>
        <w:t>1）建设单位应认真贯彻执行“安全第一、预防为主、综合治理”的安全生产方针。落实《安全生产法》、《建设工程安全生产管理条例》等法律法规的要求；建立健全安全生产管理制度，对设计、施工、监理等单位的资质及能力进行严格审查。规范相关单位应履行的安全生产主体在责任。</w:t>
      </w:r>
    </w:p>
    <w:p w14:paraId="7974D870">
      <w:pPr>
        <w:rPr>
          <w:rFonts w:hint="eastAsia"/>
          <w:color w:val="auto"/>
          <w:lang w:val="en-US" w:eastAsia="zh-CN"/>
        </w:rPr>
      </w:pPr>
      <w:r>
        <w:rPr>
          <w:rFonts w:hint="eastAsia"/>
          <w:color w:val="auto"/>
          <w:lang w:val="en-US" w:eastAsia="zh-CN"/>
        </w:rPr>
        <w:t>2）施工合同中应明确对于甲乙双方安全管理责任、安全措施费用的有关规定。</w:t>
      </w:r>
    </w:p>
    <w:p w14:paraId="441C2567">
      <w:pPr>
        <w:rPr>
          <w:rFonts w:hint="eastAsia"/>
          <w:color w:val="auto"/>
          <w:lang w:val="en-US" w:eastAsia="zh-CN"/>
        </w:rPr>
      </w:pPr>
      <w:r>
        <w:rPr>
          <w:rFonts w:hint="eastAsia"/>
          <w:color w:val="auto"/>
          <w:lang w:val="en-US" w:eastAsia="zh-CN"/>
        </w:rPr>
        <w:t>3）在施工过程中必须严格执行相关法律法规。施工人员必须严格遵守三大纪律：进现场戴好安全帽，上高空系好安全带，严禁高空落物。</w:t>
      </w:r>
    </w:p>
    <w:p w14:paraId="58D86C41">
      <w:pPr>
        <w:rPr>
          <w:rFonts w:hint="eastAsia"/>
          <w:color w:val="auto"/>
          <w:lang w:val="en-US" w:eastAsia="zh-CN"/>
        </w:rPr>
      </w:pPr>
      <w:r>
        <w:rPr>
          <w:rFonts w:hint="eastAsia"/>
          <w:color w:val="auto"/>
          <w:lang w:val="en-US" w:eastAsia="zh-CN"/>
        </w:rPr>
        <w:t>4）特种作业必须持证上岗。特种设备应在安装过程中进行安装检验，并办理登记使用证，企业对所有特种设备应建立管理档案。</w:t>
      </w:r>
    </w:p>
    <w:p w14:paraId="26735421">
      <w:pPr>
        <w:rPr>
          <w:rFonts w:hint="eastAsia"/>
          <w:color w:val="auto"/>
          <w:lang w:val="en-US" w:eastAsia="zh-CN"/>
        </w:rPr>
      </w:pPr>
      <w:r>
        <w:rPr>
          <w:rFonts w:hint="eastAsia"/>
          <w:color w:val="auto"/>
          <w:lang w:val="en-US" w:eastAsia="zh-CN"/>
        </w:rPr>
        <w:t>5）施工过程必须选用质量合格的施工机械（具）。</w:t>
      </w:r>
    </w:p>
    <w:p w14:paraId="35CE7CBC">
      <w:pPr>
        <w:rPr>
          <w:rFonts w:hint="eastAsia"/>
          <w:color w:val="auto"/>
          <w:lang w:val="en-US" w:eastAsia="zh-CN"/>
        </w:rPr>
      </w:pPr>
      <w:r>
        <w:rPr>
          <w:rFonts w:hint="eastAsia"/>
          <w:color w:val="auto"/>
          <w:lang w:val="en-US" w:eastAsia="zh-CN"/>
        </w:rPr>
        <w:t>6）高处作业人员应进行体格检查，体检合格者方可从事高处作业；高处作业平台、走道、斜道等应装设1.2m高的防护栏杆和18cm高挡脚板或设防护立网；高处作业使用的脚于架，梯子及安全防护网应符合相应的规定，在恶劣天气时应停止室外高处作业，高处作业必须系好安全带，安全带应挂在上方的牢固可靠处。</w:t>
      </w:r>
    </w:p>
    <w:p w14:paraId="5C56F15B">
      <w:pPr>
        <w:rPr>
          <w:rFonts w:hint="eastAsia"/>
          <w:color w:val="auto"/>
          <w:lang w:val="en-US" w:eastAsia="zh-CN"/>
        </w:rPr>
      </w:pPr>
      <w:r>
        <w:rPr>
          <w:rFonts w:hint="eastAsia"/>
          <w:color w:val="auto"/>
          <w:lang w:val="en-US" w:eastAsia="zh-CN"/>
        </w:rPr>
        <w:t>7）为防止物体打击，进入施工现场必须佩戴安全帽，高处禁止倾倒垃圾，废物等，在通道上方应加装硬制防护顶，通道应避开上方有作业地区。</w:t>
      </w:r>
    </w:p>
    <w:p w14:paraId="28A38F46">
      <w:pPr>
        <w:rPr>
          <w:rFonts w:hint="eastAsia"/>
          <w:color w:val="auto"/>
          <w:lang w:val="en-US" w:eastAsia="zh-CN"/>
        </w:rPr>
      </w:pPr>
      <w:r>
        <w:rPr>
          <w:rFonts w:hint="eastAsia"/>
          <w:color w:val="auto"/>
          <w:lang w:val="en-US" w:eastAsia="zh-CN"/>
        </w:rPr>
        <w:t>8）施工场地在夜间施工或光线不好的地方应加装照明设施。</w:t>
      </w:r>
    </w:p>
    <w:p w14:paraId="2698DC50">
      <w:pPr>
        <w:rPr>
          <w:rFonts w:hint="eastAsia"/>
          <w:color w:val="auto"/>
          <w:lang w:val="en-US" w:eastAsia="zh-CN"/>
        </w:rPr>
      </w:pPr>
      <w:r>
        <w:rPr>
          <w:rFonts w:hint="eastAsia"/>
          <w:color w:val="auto"/>
          <w:lang w:val="en-US" w:eastAsia="zh-CN"/>
        </w:rPr>
        <w:t>9）周转性施工材料如脚手架、扣件等应把好采购关，定期进行检查，确保安全可靠。</w:t>
      </w:r>
    </w:p>
    <w:p w14:paraId="7F30F6AA">
      <w:pPr>
        <w:rPr>
          <w:rFonts w:hint="eastAsia"/>
          <w:color w:val="auto"/>
          <w:lang w:val="en-US" w:eastAsia="zh-CN"/>
        </w:rPr>
      </w:pPr>
      <w:r>
        <w:rPr>
          <w:rFonts w:hint="eastAsia"/>
          <w:color w:val="auto"/>
          <w:lang w:val="en-US" w:eastAsia="zh-CN"/>
        </w:rPr>
        <w:t>10）加强施工监理；加强施工单位资质管理。施工作业前施工技术负责人针对施工项目进行技术方面的具体要求对具体操作者进行施工前技术要求的交代，帮助施工操作中解决一些技术难点，避免施工过程中出现，技术问题，这些具体问题一定要当面多操作者做交代，还要形成书面材料，双方签字确定落实并存档，以保证施工的进度和质量。</w:t>
      </w:r>
    </w:p>
    <w:p w14:paraId="2DABB338">
      <w:pPr>
        <w:rPr>
          <w:rFonts w:hint="eastAsia"/>
          <w:color w:val="auto"/>
          <w:lang w:val="en-US" w:eastAsia="zh-CN"/>
        </w:rPr>
      </w:pPr>
      <w:r>
        <w:rPr>
          <w:rFonts w:hint="eastAsia"/>
          <w:color w:val="auto"/>
          <w:lang w:val="en-US" w:eastAsia="zh-CN"/>
        </w:rPr>
        <w:t>11）施工中应尽量减少立体交叉作业。必需交叉时，施工负责人应事先组织交叉作业各方，商定各方的施工范围及安全注意事项，明确各自的安全生产管理职责和应当采取的安全措施，制定专职安全生产管理人员进行监督检查和协调；各工序应密切配合，施工场地尽量错开，以减少干扰；无法错开的垂直交叉作业，层间必须搭设严密、牢固的防护隔离设施。交叉作业场所的通道应保持畅通；有危险的出入口处应设围栏或悬挂警告牌。</w:t>
      </w:r>
    </w:p>
    <w:p w14:paraId="02A32F75">
      <w:pPr>
        <w:rPr>
          <w:rFonts w:hint="eastAsia"/>
          <w:color w:val="auto"/>
          <w:lang w:val="en-US" w:eastAsia="zh-CN"/>
        </w:rPr>
      </w:pPr>
      <w:r>
        <w:rPr>
          <w:rFonts w:hint="eastAsia"/>
          <w:color w:val="auto"/>
          <w:lang w:val="en-US" w:eastAsia="zh-CN"/>
        </w:rPr>
        <w:br w:type="page"/>
      </w:r>
    </w:p>
    <w:p w14:paraId="54C80BFD">
      <w:pPr>
        <w:pStyle w:val="2"/>
        <w:bidi w:val="0"/>
        <w:rPr>
          <w:rFonts w:hint="eastAsia"/>
          <w:color w:val="auto"/>
        </w:rPr>
      </w:pPr>
      <w:bookmarkStart w:id="180" w:name="_Toc26198"/>
      <w:bookmarkStart w:id="181" w:name="_Toc10772"/>
      <w:bookmarkStart w:id="182" w:name="_Toc571"/>
      <w:bookmarkStart w:id="183" w:name="_Toc24626"/>
      <w:bookmarkStart w:id="184" w:name="_Toc5635"/>
      <w:r>
        <w:rPr>
          <w:rFonts w:hint="eastAsia"/>
          <w:color w:val="auto"/>
        </w:rPr>
        <w:t>9</w:t>
      </w:r>
      <w:r>
        <w:rPr>
          <w:color w:val="auto"/>
        </w:rPr>
        <w:t xml:space="preserve">. </w:t>
      </w:r>
      <w:r>
        <w:rPr>
          <w:rFonts w:hint="eastAsia"/>
          <w:color w:val="auto"/>
        </w:rPr>
        <w:t>安全评价结论</w:t>
      </w:r>
      <w:bookmarkEnd w:id="180"/>
      <w:bookmarkEnd w:id="181"/>
      <w:bookmarkEnd w:id="182"/>
      <w:bookmarkEnd w:id="183"/>
      <w:bookmarkEnd w:id="184"/>
    </w:p>
    <w:p w14:paraId="3B7FFFF6">
      <w:pPr>
        <w:pStyle w:val="3"/>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bookmarkStart w:id="185" w:name="_Toc13488"/>
      <w:bookmarkStart w:id="186" w:name="_Toc26741"/>
      <w:bookmarkStart w:id="187" w:name="_Toc16193"/>
      <w:bookmarkStart w:id="188" w:name="_Toc2459"/>
      <w:r>
        <w:rPr>
          <w:rFonts w:hint="eastAsia"/>
          <w:color w:val="auto"/>
          <w:lang w:val="en-US" w:eastAsia="zh-CN"/>
        </w:rPr>
        <w:t xml:space="preserve">9.1 </w:t>
      </w:r>
      <w:bookmarkEnd w:id="185"/>
      <w:bookmarkEnd w:id="186"/>
      <w:bookmarkEnd w:id="187"/>
      <w:r>
        <w:rPr>
          <w:rFonts w:hint="eastAsia"/>
          <w:color w:val="auto"/>
          <w:lang w:val="en-US" w:eastAsia="zh-CN"/>
        </w:rPr>
        <w:t>危险、有害因素辨识结果</w:t>
      </w:r>
      <w:bookmarkEnd w:id="188"/>
    </w:p>
    <w:p w14:paraId="119F7E93">
      <w:pPr>
        <w:pageBreakBefore w:val="0"/>
        <w:widowControl w:val="0"/>
        <w:kinsoku/>
        <w:wordWrap/>
        <w:overflowPunct/>
        <w:topLinePunct w:val="0"/>
        <w:autoSpaceDE/>
        <w:autoSpaceDN/>
        <w:bidi w:val="0"/>
        <w:adjustRightInd/>
        <w:snapToGrid/>
        <w:spacing w:line="600" w:lineRule="exact"/>
        <w:textAlignment w:val="auto"/>
        <w:rPr>
          <w:rFonts w:hint="eastAsia"/>
          <w:b/>
          <w:bCs/>
          <w:color w:val="auto"/>
          <w:lang w:val="en-US" w:eastAsia="zh-CN"/>
        </w:rPr>
      </w:pPr>
      <w:r>
        <w:rPr>
          <w:rFonts w:hint="eastAsia"/>
          <w:b/>
          <w:bCs/>
          <w:color w:val="auto"/>
          <w:lang w:val="en-US" w:eastAsia="zh-CN"/>
        </w:rPr>
        <w:t>一、危险化学品及危险工艺辨识结果</w:t>
      </w:r>
    </w:p>
    <w:p w14:paraId="00C0367E">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1. 根据《危险化学品目录》（2015年版，2022年调整），本项目涉及的危险化学品为柴油。</w:t>
      </w:r>
    </w:p>
    <w:p w14:paraId="03814562">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2. 本项目不涉及剧毒化学品、高毒物品、易制毒化学品、易制爆危险化学品、监控化学品和特别管控危险化学品。</w:t>
      </w:r>
    </w:p>
    <w:p w14:paraId="732D6A52">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3. 根据《重点监管危险化学品名录》（2013年完整版）的规定，本项目不涉及重点监管的危险化学品。</w:t>
      </w:r>
    </w:p>
    <w:p w14:paraId="608B49A6">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4. 根据《重点监管的危险化工工艺目录》（2013年完整版），本项目不涉及危险工艺。</w:t>
      </w:r>
    </w:p>
    <w:p w14:paraId="2160C36D">
      <w:pPr>
        <w:pageBreakBefore w:val="0"/>
        <w:widowControl w:val="0"/>
        <w:kinsoku/>
        <w:wordWrap/>
        <w:overflowPunct/>
        <w:topLinePunct w:val="0"/>
        <w:autoSpaceDE/>
        <w:autoSpaceDN/>
        <w:bidi w:val="0"/>
        <w:adjustRightInd/>
        <w:snapToGrid/>
        <w:spacing w:line="600" w:lineRule="exact"/>
        <w:textAlignment w:val="auto"/>
        <w:rPr>
          <w:rFonts w:hint="eastAsia"/>
          <w:b/>
          <w:bCs/>
          <w:color w:val="auto"/>
          <w:lang w:val="en-US" w:eastAsia="zh-CN"/>
        </w:rPr>
      </w:pPr>
      <w:r>
        <w:rPr>
          <w:rFonts w:hint="eastAsia"/>
          <w:b/>
          <w:bCs/>
          <w:color w:val="auto"/>
          <w:lang w:val="en-US" w:eastAsia="zh-CN"/>
        </w:rPr>
        <w:t>二、重大危险源辨识结果</w:t>
      </w:r>
    </w:p>
    <w:p w14:paraId="64E72642">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根据《危险化学品重大危险源辨识》对本项目进行重大危险源辨识得知，本项目生产单元和储存单元均不构成危险化学品重大危险源。</w:t>
      </w:r>
    </w:p>
    <w:p w14:paraId="22C00418">
      <w:pPr>
        <w:pageBreakBefore w:val="0"/>
        <w:widowControl w:val="0"/>
        <w:kinsoku/>
        <w:wordWrap/>
        <w:overflowPunct/>
        <w:topLinePunct w:val="0"/>
        <w:autoSpaceDE/>
        <w:autoSpaceDN/>
        <w:bidi w:val="0"/>
        <w:adjustRightInd/>
        <w:snapToGrid/>
        <w:spacing w:line="600" w:lineRule="exact"/>
        <w:textAlignment w:val="auto"/>
        <w:rPr>
          <w:rFonts w:hint="eastAsia"/>
          <w:b/>
          <w:bCs/>
          <w:color w:val="auto"/>
          <w:lang w:val="en-US" w:eastAsia="zh-CN"/>
        </w:rPr>
      </w:pPr>
      <w:r>
        <w:rPr>
          <w:rFonts w:hint="eastAsia"/>
          <w:b/>
          <w:bCs/>
          <w:color w:val="auto"/>
          <w:lang w:val="en-US" w:eastAsia="zh-CN"/>
        </w:rPr>
        <w:t>三、危险、有害因素的辨识结果</w:t>
      </w:r>
    </w:p>
    <w:p w14:paraId="4DD60DA4">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本项目在运行过程中存在的主要危险、有害因素为：山体滑坡、地震、火灾、触电、车辆伤害、机械伤害、物体打击、中毒和窒息；主要有害因素为：有毒物质、噪声。</w:t>
      </w:r>
    </w:p>
    <w:p w14:paraId="09AB8B46">
      <w:pPr>
        <w:pageBreakBefore w:val="0"/>
        <w:widowControl w:val="0"/>
        <w:kinsoku/>
        <w:wordWrap/>
        <w:overflowPunct/>
        <w:topLinePunct w:val="0"/>
        <w:autoSpaceDE/>
        <w:autoSpaceDN/>
        <w:bidi w:val="0"/>
        <w:adjustRightInd/>
        <w:snapToGrid/>
        <w:spacing w:line="600" w:lineRule="exact"/>
        <w:textAlignment w:val="auto"/>
        <w:rPr>
          <w:rFonts w:hint="eastAsia"/>
          <w:b/>
          <w:bCs/>
          <w:color w:val="auto"/>
          <w:lang w:val="en-US" w:eastAsia="zh-CN"/>
        </w:rPr>
      </w:pPr>
      <w:r>
        <w:rPr>
          <w:rFonts w:hint="eastAsia"/>
          <w:b/>
          <w:bCs/>
          <w:color w:val="auto"/>
          <w:lang w:val="en-US" w:eastAsia="zh-CN"/>
        </w:rPr>
        <w:t>四、定性、定量分析评价结果</w:t>
      </w:r>
    </w:p>
    <w:p w14:paraId="48789AB0">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1. 采矿场撬装加油站橇装式加油装置与站外建（构）筑物的安全间距不足，本报告已在安全对策措施中提出相关要求。</w:t>
      </w:r>
    </w:p>
    <w:p w14:paraId="65DEDEBB">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2. 汽车队撬装加油站橇装式加油装置与站外建（构）筑物的安全间距符合要求。</w:t>
      </w:r>
    </w:p>
    <w:p w14:paraId="2FAC3BE8">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3. 本项目橇装装置均为50m</w:t>
      </w:r>
      <w:r>
        <w:rPr>
          <w:rFonts w:hint="eastAsia"/>
          <w:color w:val="auto"/>
          <w:vertAlign w:val="superscript"/>
          <w:lang w:val="en-US" w:eastAsia="zh-CN"/>
        </w:rPr>
        <w:t>3</w:t>
      </w:r>
      <w:r>
        <w:rPr>
          <w:rFonts w:hint="eastAsia"/>
          <w:color w:val="auto"/>
          <w:lang w:val="en-US" w:eastAsia="zh-CN"/>
        </w:rPr>
        <w:t>阻隔防爆橇装柴油加油装置，设备选型材料暂未涉及，本报告已在安全对策措施中提出相关要求。</w:t>
      </w:r>
    </w:p>
    <w:p w14:paraId="79B7ACC5">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4. 通过预先危险性分析评价分析，本项目橇装装置的主要危险为火灾、触电、车辆伤害、机械伤害、物体打击、中毒和窒息等，危险等级均为Ⅱ级（临界的），处于事故的边缘状态，暂时还不会造成人员伤亡、系统损坏降低系统性能，但应予排除或采取控制措施。</w:t>
      </w:r>
    </w:p>
    <w:p w14:paraId="0E074FA5">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5. 通过危险度评价分析，本项目橇装装置的危险性为低度危险，危险有害程度能控制在可接受的范围。</w:t>
      </w:r>
    </w:p>
    <w:p w14:paraId="5E5E2BE1">
      <w:pPr>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r>
        <w:rPr>
          <w:rFonts w:hint="eastAsia"/>
          <w:color w:val="auto"/>
          <w:lang w:val="en-US" w:eastAsia="zh-CN"/>
        </w:rPr>
        <w:t>6. 通过作业条件危险性评价分析，本项目橇装装置在选定的评价单元中的作业均在一般危险或稍有危险范围，作业条件相对较为安全。</w:t>
      </w:r>
    </w:p>
    <w:p w14:paraId="7441FC05">
      <w:pPr>
        <w:pStyle w:val="3"/>
        <w:pageBreakBefore w:val="0"/>
        <w:widowControl w:val="0"/>
        <w:kinsoku/>
        <w:wordWrap/>
        <w:overflowPunct/>
        <w:topLinePunct w:val="0"/>
        <w:autoSpaceDE/>
        <w:autoSpaceDN/>
        <w:bidi w:val="0"/>
        <w:adjustRightInd/>
        <w:snapToGrid/>
        <w:spacing w:line="600" w:lineRule="exact"/>
        <w:textAlignment w:val="auto"/>
        <w:rPr>
          <w:rFonts w:hint="eastAsia"/>
          <w:color w:val="auto"/>
          <w:lang w:val="en-US" w:eastAsia="zh-CN"/>
        </w:rPr>
      </w:pPr>
      <w:bookmarkStart w:id="189" w:name="_Toc18716"/>
      <w:bookmarkStart w:id="190" w:name="_Toc1987"/>
      <w:bookmarkStart w:id="191" w:name="_Toc31307"/>
      <w:bookmarkStart w:id="192" w:name="_Toc27253"/>
      <w:r>
        <w:rPr>
          <w:rFonts w:hint="eastAsia"/>
          <w:color w:val="auto"/>
          <w:lang w:val="en-US" w:eastAsia="zh-CN"/>
        </w:rPr>
        <w:t>9.2 评价结论</w:t>
      </w:r>
      <w:bookmarkEnd w:id="189"/>
      <w:bookmarkEnd w:id="190"/>
      <w:bookmarkEnd w:id="191"/>
      <w:bookmarkEnd w:id="192"/>
    </w:p>
    <w:p w14:paraId="4EC6F6D6">
      <w:pPr>
        <w:pageBreakBefore w:val="0"/>
        <w:widowControl w:val="0"/>
        <w:kinsoku/>
        <w:wordWrap/>
        <w:overflowPunct/>
        <w:topLinePunct w:val="0"/>
        <w:autoSpaceDE/>
        <w:autoSpaceDN/>
        <w:bidi w:val="0"/>
        <w:adjustRightInd/>
        <w:snapToGrid/>
        <w:spacing w:line="600" w:lineRule="exact"/>
        <w:textAlignment w:val="auto"/>
        <w:rPr>
          <w:rFonts w:hint="eastAsia"/>
          <w:b/>
          <w:bCs/>
          <w:color w:val="auto"/>
          <w:lang w:val="en-US" w:eastAsia="zh-CN"/>
        </w:rPr>
      </w:pPr>
      <w:r>
        <w:rPr>
          <w:rFonts w:hint="eastAsia"/>
          <w:b/>
          <w:bCs/>
          <w:color w:val="auto"/>
          <w:lang w:val="en-US" w:eastAsia="zh-CN"/>
        </w:rPr>
        <w:t>综上所述：宜春钽铌矿有限公司油库升级改造项目在以后的项目建设和运行阶段，如施工图设计和建设施工、安装调试及生产运行中，在严格执行国家有关安全生产法律、法规和有关标准、规范和采纳本报告提出的安全对策措施与建议的前提下，符合国家和省关于橇装加油装置项目安全审查办法的要求，符合安全设施必须按照同时设计、同时施工、同时投入生产和使用的“三同时”的要求，从安全角度符合国家有关法律法规、标准、规章、规范的要求。</w:t>
      </w:r>
    </w:p>
    <w:p w14:paraId="0F73A88B">
      <w:pPr>
        <w:pageBreakBefore w:val="0"/>
        <w:widowControl w:val="0"/>
        <w:kinsoku/>
        <w:wordWrap/>
        <w:overflowPunct/>
        <w:topLinePunct w:val="0"/>
        <w:autoSpaceDE/>
        <w:autoSpaceDN/>
        <w:bidi w:val="0"/>
        <w:adjustRightInd/>
        <w:snapToGrid/>
        <w:spacing w:line="600" w:lineRule="exact"/>
        <w:textAlignment w:val="auto"/>
        <w:rPr>
          <w:rFonts w:hint="eastAsia"/>
          <w:b/>
          <w:bCs/>
          <w:color w:val="auto"/>
          <w:lang w:val="en-US" w:eastAsia="zh-CN"/>
        </w:rPr>
      </w:pPr>
      <w:r>
        <w:rPr>
          <w:rFonts w:hint="eastAsia"/>
          <w:b/>
          <w:bCs/>
          <w:color w:val="auto"/>
          <w:lang w:val="en-US" w:eastAsia="zh-CN"/>
        </w:rPr>
        <w:br w:type="page"/>
      </w:r>
    </w:p>
    <w:p w14:paraId="6C6863B3">
      <w:pPr>
        <w:ind w:left="0" w:leftChars="0" w:firstLine="0" w:firstLineChars="0"/>
        <w:jc w:val="center"/>
        <w:rPr>
          <w:rFonts w:hint="eastAsia"/>
          <w:b/>
          <w:bCs/>
          <w:color w:val="auto"/>
          <w:lang w:val="en-US" w:eastAsia="zh-CN"/>
        </w:rPr>
      </w:pPr>
      <w:r>
        <w:rPr>
          <w:rFonts w:hint="eastAsia"/>
          <w:b/>
          <w:bCs/>
          <w:color w:val="auto"/>
          <w:lang w:val="en-US" w:eastAsia="zh-CN"/>
        </w:rPr>
        <w:t>现 场 影 像</w:t>
      </w:r>
    </w:p>
    <w:p w14:paraId="337439CA">
      <w:pPr>
        <w:ind w:left="0" w:leftChars="0" w:firstLine="0" w:firstLineChars="0"/>
        <w:jc w:val="center"/>
        <w:rPr>
          <w:rFonts w:hint="eastAsia"/>
          <w:b/>
          <w:bCs/>
          <w:color w:val="auto"/>
          <w:lang w:val="en-US" w:eastAsia="zh-CN"/>
        </w:rPr>
      </w:pPr>
      <w:r>
        <w:rPr>
          <w:rFonts w:hint="eastAsia"/>
          <w:b/>
          <w:bCs/>
          <w:color w:val="auto"/>
          <w:lang w:val="en-US" w:eastAsia="zh-CN"/>
        </w:rPr>
        <w:drawing>
          <wp:inline distT="0" distB="0" distL="114300" distR="114300">
            <wp:extent cx="5039995" cy="2716530"/>
            <wp:effectExtent l="0" t="0" r="8255" b="7620"/>
            <wp:docPr id="41" name="图片 41" descr="IMG_20240305_102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0240305_102944"/>
                    <pic:cNvPicPr>
                      <a:picLocks noChangeAspect="1"/>
                    </pic:cNvPicPr>
                  </pic:nvPicPr>
                  <pic:blipFill>
                    <a:blip r:embed="rId13"/>
                    <a:stretch>
                      <a:fillRect/>
                    </a:stretch>
                  </pic:blipFill>
                  <pic:spPr>
                    <a:xfrm>
                      <a:off x="0" y="0"/>
                      <a:ext cx="5039995" cy="2716530"/>
                    </a:xfrm>
                    <a:prstGeom prst="rect">
                      <a:avLst/>
                    </a:prstGeom>
                  </pic:spPr>
                </pic:pic>
              </a:graphicData>
            </a:graphic>
          </wp:inline>
        </w:drawing>
      </w:r>
    </w:p>
    <w:p w14:paraId="6EFBB351">
      <w:pPr>
        <w:ind w:left="0" w:leftChars="0" w:firstLine="0" w:firstLineChars="0"/>
        <w:jc w:val="center"/>
        <w:rPr>
          <w:rFonts w:hint="eastAsia"/>
          <w:b/>
          <w:bCs/>
          <w:color w:val="auto"/>
          <w:lang w:val="en-US" w:eastAsia="zh-CN"/>
        </w:rPr>
      </w:pPr>
      <w:r>
        <w:rPr>
          <w:rFonts w:hint="eastAsia"/>
          <w:b/>
          <w:bCs/>
          <w:color w:val="auto"/>
          <w:lang w:val="en-US" w:eastAsia="zh-CN"/>
        </w:rPr>
        <w:drawing>
          <wp:inline distT="0" distB="0" distL="114300" distR="114300">
            <wp:extent cx="5039995" cy="2717800"/>
            <wp:effectExtent l="0" t="0" r="8255" b="6350"/>
            <wp:docPr id="42" name="图片 42" descr="IMG_20240305_105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IMG_20240305_105639"/>
                    <pic:cNvPicPr>
                      <a:picLocks noChangeAspect="1"/>
                    </pic:cNvPicPr>
                  </pic:nvPicPr>
                  <pic:blipFill>
                    <a:blip r:embed="rId14"/>
                    <a:stretch>
                      <a:fillRect/>
                    </a:stretch>
                  </pic:blipFill>
                  <pic:spPr>
                    <a:xfrm>
                      <a:off x="0" y="0"/>
                      <a:ext cx="5039995" cy="2717800"/>
                    </a:xfrm>
                    <a:prstGeom prst="rect">
                      <a:avLst/>
                    </a:prstGeom>
                  </pic:spPr>
                </pic:pic>
              </a:graphicData>
            </a:graphic>
          </wp:inline>
        </w:drawing>
      </w:r>
    </w:p>
    <w:p w14:paraId="24394AF1">
      <w:pPr>
        <w:rPr>
          <w:rFonts w:hint="eastAsia"/>
          <w:color w:val="auto"/>
          <w:lang w:val="en-US" w:eastAsia="zh-CN"/>
        </w:rPr>
      </w:pPr>
      <w:r>
        <w:rPr>
          <w:rFonts w:hint="eastAsia"/>
          <w:color w:val="auto"/>
          <w:lang w:val="en-US" w:eastAsia="zh-CN"/>
        </w:rPr>
        <w:br w:type="page"/>
      </w:r>
    </w:p>
    <w:p w14:paraId="589A9B75">
      <w:pPr>
        <w:pStyle w:val="2"/>
        <w:bidi w:val="0"/>
        <w:rPr>
          <w:rFonts w:hint="eastAsia"/>
          <w:color w:val="auto"/>
          <w:lang w:val="en-US" w:eastAsia="zh-CN"/>
        </w:rPr>
      </w:pPr>
      <w:bookmarkStart w:id="193" w:name="_Toc23625"/>
      <w:bookmarkStart w:id="194" w:name="_Toc1720"/>
      <w:bookmarkStart w:id="195" w:name="_Toc21011"/>
      <w:bookmarkStart w:id="196" w:name="_Toc17051"/>
      <w:r>
        <w:rPr>
          <w:rFonts w:hint="eastAsia"/>
          <w:color w:val="auto"/>
          <w:lang w:val="en-US" w:eastAsia="zh-CN"/>
        </w:rPr>
        <w:t>附件一 选用的安全评价方法简介</w:t>
      </w:r>
      <w:bookmarkEnd w:id="193"/>
      <w:bookmarkEnd w:id="194"/>
      <w:bookmarkEnd w:id="195"/>
      <w:bookmarkEnd w:id="196"/>
    </w:p>
    <w:p w14:paraId="4D3DD5E6">
      <w:pPr>
        <w:pStyle w:val="3"/>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bookmarkStart w:id="197" w:name="_Toc27957"/>
      <w:bookmarkStart w:id="198" w:name="_Toc10558"/>
      <w:bookmarkStart w:id="199" w:name="_Toc28344"/>
      <w:bookmarkStart w:id="200" w:name="_Toc7893"/>
      <w:r>
        <w:rPr>
          <w:rFonts w:hint="eastAsia"/>
          <w:color w:val="auto"/>
          <w:lang w:val="en-US" w:eastAsia="zh-CN"/>
        </w:rPr>
        <w:t>1.1 预先危险性分析评价（PHA）</w:t>
      </w:r>
      <w:bookmarkEnd w:id="197"/>
      <w:bookmarkEnd w:id="198"/>
      <w:bookmarkEnd w:id="199"/>
      <w:bookmarkEnd w:id="200"/>
    </w:p>
    <w:p w14:paraId="7D5A8A56">
      <w:pPr>
        <w:pageBreakBefore w:val="0"/>
        <w:widowControl w:val="0"/>
        <w:kinsoku/>
        <w:wordWrap/>
        <w:overflowPunct/>
        <w:topLinePunct w:val="0"/>
        <w:autoSpaceDE/>
        <w:autoSpaceDN/>
        <w:bidi w:val="0"/>
        <w:adjustRightInd/>
        <w:snapToGrid/>
        <w:spacing w:line="580" w:lineRule="exact"/>
        <w:textAlignment w:val="auto"/>
        <w:rPr>
          <w:rFonts w:hint="eastAsia"/>
          <w:b/>
          <w:bCs/>
          <w:color w:val="auto"/>
          <w:lang w:val="en-US" w:eastAsia="zh-CN"/>
        </w:rPr>
      </w:pPr>
      <w:r>
        <w:rPr>
          <w:rFonts w:hint="eastAsia"/>
          <w:b/>
          <w:bCs/>
          <w:color w:val="auto"/>
          <w:lang w:val="en-US" w:eastAsia="zh-CN"/>
        </w:rPr>
        <w:t>一、评价方法简介</w:t>
      </w:r>
    </w:p>
    <w:p w14:paraId="5A5CBE49">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预先危险性分析（PHA）又称初步危险分析，主要用于对危险物质和装置的主要工艺区域等进行分析，用于分析物料、装置、工艺过程及能量失控时可能出现的危险性类别、条件及可能造成的后果，作宏观的概略分析，其目的是辨识系统中存在的潜在危险，确定其危险等级，防止危险发展成事故。</w:t>
      </w:r>
    </w:p>
    <w:p w14:paraId="1A1F4416">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其功能主要有：</w:t>
      </w:r>
    </w:p>
    <w:p w14:paraId="296237E1">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1. 大体识别与系统有关的主要危险；</w:t>
      </w:r>
    </w:p>
    <w:p w14:paraId="0BD9A5D4">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2. 鉴别产生危险的原因；</w:t>
      </w:r>
    </w:p>
    <w:p w14:paraId="7EA6EC5D">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3. 估计事故出现对人体及系统产生的影响；</w:t>
      </w:r>
    </w:p>
    <w:p w14:paraId="336CD186">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4. 判定已识别的危险等级，并提出消除或控制危险性的措施。</w:t>
      </w:r>
    </w:p>
    <w:p w14:paraId="4F0E9A3A">
      <w:pPr>
        <w:pageBreakBefore w:val="0"/>
        <w:widowControl w:val="0"/>
        <w:kinsoku/>
        <w:wordWrap/>
        <w:overflowPunct/>
        <w:topLinePunct w:val="0"/>
        <w:autoSpaceDE/>
        <w:autoSpaceDN/>
        <w:bidi w:val="0"/>
        <w:adjustRightInd/>
        <w:snapToGrid/>
        <w:spacing w:line="580" w:lineRule="exact"/>
        <w:textAlignment w:val="auto"/>
        <w:rPr>
          <w:rFonts w:hint="eastAsia"/>
          <w:b/>
          <w:bCs/>
          <w:color w:val="auto"/>
          <w:lang w:val="en-US" w:eastAsia="zh-CN"/>
        </w:rPr>
      </w:pPr>
      <w:r>
        <w:rPr>
          <w:rFonts w:hint="eastAsia"/>
          <w:b/>
          <w:bCs/>
          <w:color w:val="auto"/>
          <w:lang w:val="en-US" w:eastAsia="zh-CN"/>
        </w:rPr>
        <w:t>二、分析步骤</w:t>
      </w:r>
    </w:p>
    <w:p w14:paraId="22E7497D">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预先危险性分步骤为：</w:t>
      </w:r>
    </w:p>
    <w:p w14:paraId="78B67D45">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1. 通过经验判断、技术诊断或其他方法调查确定危险源；</w:t>
      </w:r>
    </w:p>
    <w:p w14:paraId="11CE8780">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2. 根据过去的经验教训及同类行业中发生的事故情况，判断能够造成系统故障、物质损失和人员伤害的危险性，分析事故的可能类型；</w:t>
      </w:r>
    </w:p>
    <w:p w14:paraId="5877C7A9">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3. 对确定的危险源，制定预先危险性分析表；</w:t>
      </w:r>
    </w:p>
    <w:p w14:paraId="22FCFA33">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4. 进行危险性分级；</w:t>
      </w:r>
    </w:p>
    <w:p w14:paraId="1BB6F2DE">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5. 制定对策措施。</w:t>
      </w:r>
    </w:p>
    <w:p w14:paraId="210EBC4C">
      <w:pPr>
        <w:pageBreakBefore w:val="0"/>
        <w:widowControl w:val="0"/>
        <w:kinsoku/>
        <w:wordWrap/>
        <w:overflowPunct/>
        <w:topLinePunct w:val="0"/>
        <w:autoSpaceDE/>
        <w:autoSpaceDN/>
        <w:bidi w:val="0"/>
        <w:adjustRightInd/>
        <w:snapToGrid/>
        <w:spacing w:line="580" w:lineRule="exact"/>
        <w:textAlignment w:val="auto"/>
        <w:rPr>
          <w:rFonts w:hint="eastAsia"/>
          <w:b/>
          <w:bCs/>
          <w:color w:val="auto"/>
          <w:lang w:val="en-US" w:eastAsia="zh-CN"/>
        </w:rPr>
      </w:pPr>
      <w:r>
        <w:rPr>
          <w:rFonts w:hint="eastAsia"/>
          <w:b/>
          <w:bCs/>
          <w:color w:val="auto"/>
          <w:lang w:val="en-US" w:eastAsia="zh-CN"/>
        </w:rPr>
        <w:t>三、预先危险性等级划分</w:t>
      </w:r>
    </w:p>
    <w:p w14:paraId="3C6DA1B3">
      <w:pPr>
        <w:pageBreakBefore w:val="0"/>
        <w:widowControl w:val="0"/>
        <w:kinsoku/>
        <w:wordWrap/>
        <w:overflowPunct/>
        <w:topLinePunct w:val="0"/>
        <w:autoSpaceDE/>
        <w:autoSpaceDN/>
        <w:bidi w:val="0"/>
        <w:adjustRightInd/>
        <w:snapToGrid/>
        <w:spacing w:line="580" w:lineRule="exact"/>
        <w:textAlignment w:val="auto"/>
        <w:rPr>
          <w:rFonts w:hint="eastAsia"/>
          <w:color w:val="auto"/>
          <w:lang w:val="en-US" w:eastAsia="zh-CN"/>
        </w:rPr>
      </w:pPr>
      <w:r>
        <w:rPr>
          <w:rFonts w:hint="eastAsia"/>
          <w:color w:val="auto"/>
          <w:lang w:val="en-US" w:eastAsia="zh-CN"/>
        </w:rPr>
        <w:t>在分析系统危险性时，为了衡量危险性大小及其对系统破坏性的影响程度，将各类危险性划分为4个等级。等级表见附表1.1-1。</w:t>
      </w:r>
    </w:p>
    <w:p w14:paraId="1E7C3C0C">
      <w:pPr>
        <w:ind w:left="0" w:leftChars="0" w:firstLine="0" w:firstLineChars="0"/>
        <w:jc w:val="center"/>
        <w:rPr>
          <w:rFonts w:hint="eastAsia"/>
          <w:color w:val="auto"/>
          <w:lang w:val="en-US" w:eastAsia="zh-CN"/>
        </w:rPr>
      </w:pPr>
      <w:r>
        <w:rPr>
          <w:rFonts w:hint="eastAsia"/>
          <w:color w:val="auto"/>
          <w:lang w:val="en-US" w:eastAsia="zh-CN"/>
        </w:rPr>
        <w:t>附表1.1-1 危险等级划分表</w:t>
      </w:r>
    </w:p>
    <w:tbl>
      <w:tblPr>
        <w:tblStyle w:val="14"/>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272"/>
        <w:gridCol w:w="7472"/>
      </w:tblGrid>
      <w:tr w14:paraId="53824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654" w:type="dxa"/>
            <w:noWrap w:val="0"/>
            <w:vAlign w:val="center"/>
          </w:tcPr>
          <w:p w14:paraId="1FAF1738">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级别</w:t>
            </w:r>
          </w:p>
        </w:tc>
        <w:tc>
          <w:tcPr>
            <w:tcW w:w="1272" w:type="dxa"/>
            <w:noWrap w:val="0"/>
            <w:vAlign w:val="center"/>
          </w:tcPr>
          <w:p w14:paraId="367E7D78">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危险程度</w:t>
            </w:r>
          </w:p>
        </w:tc>
        <w:tc>
          <w:tcPr>
            <w:tcW w:w="7472" w:type="dxa"/>
            <w:noWrap w:val="0"/>
            <w:vAlign w:val="center"/>
          </w:tcPr>
          <w:p w14:paraId="4631FDE4">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可能导致的后果</w:t>
            </w:r>
          </w:p>
        </w:tc>
      </w:tr>
      <w:tr w14:paraId="2C066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654" w:type="dxa"/>
            <w:noWrap w:val="0"/>
            <w:vAlign w:val="center"/>
          </w:tcPr>
          <w:p w14:paraId="2AFFE7F5">
            <w:pPr>
              <w:spacing w:line="2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Ⅰ</w:t>
            </w:r>
          </w:p>
        </w:tc>
        <w:tc>
          <w:tcPr>
            <w:tcW w:w="1272" w:type="dxa"/>
            <w:noWrap w:val="0"/>
            <w:vAlign w:val="center"/>
          </w:tcPr>
          <w:p w14:paraId="12A8DABB">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安全的</w:t>
            </w:r>
          </w:p>
        </w:tc>
        <w:tc>
          <w:tcPr>
            <w:tcW w:w="7472" w:type="dxa"/>
            <w:noWrap w:val="0"/>
            <w:vAlign w:val="center"/>
          </w:tcPr>
          <w:p w14:paraId="09E30A17">
            <w:pPr>
              <w:spacing w:line="240" w:lineRule="exac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不会造成人员伤亡及系统损坏</w:t>
            </w:r>
          </w:p>
        </w:tc>
      </w:tr>
      <w:tr w14:paraId="08B79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654" w:type="dxa"/>
            <w:noWrap w:val="0"/>
            <w:vAlign w:val="center"/>
          </w:tcPr>
          <w:p w14:paraId="3D43A6A6">
            <w:pPr>
              <w:spacing w:line="2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Ⅱ</w:t>
            </w:r>
          </w:p>
        </w:tc>
        <w:tc>
          <w:tcPr>
            <w:tcW w:w="1272" w:type="dxa"/>
            <w:noWrap w:val="0"/>
            <w:vAlign w:val="center"/>
          </w:tcPr>
          <w:p w14:paraId="25E9D92A">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临界的</w:t>
            </w:r>
          </w:p>
        </w:tc>
        <w:tc>
          <w:tcPr>
            <w:tcW w:w="7472" w:type="dxa"/>
            <w:noWrap w:val="0"/>
            <w:vAlign w:val="center"/>
          </w:tcPr>
          <w:p w14:paraId="53223532">
            <w:pPr>
              <w:spacing w:line="240" w:lineRule="exac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处于事故的边缘状态，暂时还不致于造成人员伤亡、系统损坏或降低系统性能，但应予以排除或采取控制措施</w:t>
            </w:r>
          </w:p>
        </w:tc>
      </w:tr>
      <w:tr w14:paraId="4C88F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654" w:type="dxa"/>
            <w:noWrap w:val="0"/>
            <w:vAlign w:val="center"/>
          </w:tcPr>
          <w:p w14:paraId="79C26A32">
            <w:pPr>
              <w:spacing w:line="2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Ⅲ</w:t>
            </w:r>
          </w:p>
        </w:tc>
        <w:tc>
          <w:tcPr>
            <w:tcW w:w="1272" w:type="dxa"/>
            <w:noWrap w:val="0"/>
            <w:vAlign w:val="center"/>
          </w:tcPr>
          <w:p w14:paraId="2C34E95E">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危险的</w:t>
            </w:r>
          </w:p>
        </w:tc>
        <w:tc>
          <w:tcPr>
            <w:tcW w:w="7472" w:type="dxa"/>
            <w:noWrap w:val="0"/>
            <w:vAlign w:val="center"/>
          </w:tcPr>
          <w:p w14:paraId="00A079A9">
            <w:pPr>
              <w:spacing w:line="240" w:lineRule="exac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会造成人员伤亡及系统损坏，要立即采取防范对策措施</w:t>
            </w:r>
          </w:p>
        </w:tc>
      </w:tr>
      <w:tr w14:paraId="5255F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654" w:type="dxa"/>
            <w:noWrap w:val="0"/>
            <w:vAlign w:val="center"/>
          </w:tcPr>
          <w:p w14:paraId="153E045A">
            <w:pPr>
              <w:spacing w:line="240" w:lineRule="exact"/>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Ⅳ</w:t>
            </w:r>
          </w:p>
        </w:tc>
        <w:tc>
          <w:tcPr>
            <w:tcW w:w="1272" w:type="dxa"/>
            <w:noWrap w:val="0"/>
            <w:vAlign w:val="center"/>
          </w:tcPr>
          <w:p w14:paraId="3BD243A5">
            <w:pPr>
              <w:spacing w:line="240" w:lineRule="exact"/>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灾难性的</w:t>
            </w:r>
          </w:p>
        </w:tc>
        <w:tc>
          <w:tcPr>
            <w:tcW w:w="7472" w:type="dxa"/>
            <w:noWrap w:val="0"/>
            <w:vAlign w:val="center"/>
          </w:tcPr>
          <w:p w14:paraId="6257CEF9">
            <w:pPr>
              <w:spacing w:line="240" w:lineRule="exact"/>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造成人员重大伤亡及系统严重破坏的灾难性事故，必须予以果断排除并进行重点防范</w:t>
            </w:r>
          </w:p>
        </w:tc>
      </w:tr>
    </w:tbl>
    <w:p w14:paraId="70967741">
      <w:pPr>
        <w:pStyle w:val="3"/>
        <w:bidi w:val="0"/>
        <w:rPr>
          <w:rFonts w:hint="eastAsia"/>
          <w:color w:val="auto"/>
          <w:lang w:val="en-US" w:eastAsia="zh-CN"/>
        </w:rPr>
      </w:pPr>
      <w:bookmarkStart w:id="201" w:name="_Toc20501"/>
      <w:bookmarkStart w:id="202" w:name="_Toc7629"/>
      <w:bookmarkStart w:id="203" w:name="_Toc6071"/>
      <w:bookmarkStart w:id="204" w:name="_Toc2113"/>
      <w:r>
        <w:rPr>
          <w:rFonts w:hint="eastAsia"/>
          <w:color w:val="auto"/>
          <w:lang w:val="en-US" w:eastAsia="zh-CN"/>
        </w:rPr>
        <w:t>1.2 危险度评价</w:t>
      </w:r>
      <w:bookmarkEnd w:id="201"/>
      <w:bookmarkEnd w:id="202"/>
      <w:bookmarkEnd w:id="203"/>
      <w:bookmarkEnd w:id="204"/>
    </w:p>
    <w:p w14:paraId="735AD5F3">
      <w:pPr>
        <w:bidi w:val="0"/>
        <w:rPr>
          <w:rFonts w:hint="default"/>
          <w:color w:val="auto"/>
        </w:rPr>
      </w:pPr>
      <w:r>
        <w:rPr>
          <w:rFonts w:hint="default"/>
          <w:color w:val="auto"/>
        </w:rPr>
        <w:t>危险度评价法是根据日本劳动省</w:t>
      </w:r>
      <w:r>
        <w:rPr>
          <w:rFonts w:hint="eastAsia"/>
          <w:color w:val="auto"/>
          <w:lang w:eastAsia="zh-CN"/>
        </w:rPr>
        <w:t>“</w:t>
      </w:r>
      <w:r>
        <w:rPr>
          <w:rFonts w:hint="default"/>
          <w:color w:val="auto"/>
        </w:rPr>
        <w:t>六阶段法</w:t>
      </w:r>
      <w:r>
        <w:rPr>
          <w:rFonts w:hint="eastAsia"/>
          <w:color w:val="auto"/>
          <w:lang w:eastAsia="zh-CN"/>
        </w:rPr>
        <w:t>”</w:t>
      </w:r>
      <w:r>
        <w:rPr>
          <w:rFonts w:hint="default"/>
          <w:color w:val="auto"/>
        </w:rPr>
        <w:t>的定量评价表，结合我国有关标准和规程编制</w:t>
      </w:r>
      <w:r>
        <w:rPr>
          <w:rFonts w:hint="eastAsia"/>
          <w:color w:val="auto"/>
          <w:lang w:eastAsia="zh-CN"/>
        </w:rPr>
        <w:t>“</w:t>
      </w:r>
      <w:r>
        <w:rPr>
          <w:rFonts w:hint="default"/>
          <w:color w:val="auto"/>
        </w:rPr>
        <w:t>危险度评价取值表</w:t>
      </w:r>
      <w:r>
        <w:rPr>
          <w:rFonts w:hint="eastAsia"/>
          <w:color w:val="auto"/>
          <w:lang w:eastAsia="zh-CN"/>
        </w:rPr>
        <w:t>”</w:t>
      </w:r>
      <w:r>
        <w:rPr>
          <w:rFonts w:hint="default"/>
          <w:color w:val="auto"/>
        </w:rPr>
        <w:t>，在表中单元危险度由物质、容量、温度、压力和操作5个项目共同确定。其危险长分别按A=10分，B=5分，C=2分，D=0分赋值计分，由累计分值确定单元危险度。危险度评价取值表见</w:t>
      </w:r>
      <w:r>
        <w:rPr>
          <w:rFonts w:hint="eastAsia"/>
          <w:color w:val="auto"/>
          <w:lang w:val="en-US" w:eastAsia="zh-CN"/>
        </w:rPr>
        <w:t>附表1.2-1</w:t>
      </w:r>
      <w:r>
        <w:rPr>
          <w:rFonts w:hint="default"/>
          <w:color w:val="auto"/>
        </w:rPr>
        <w:t>。</w:t>
      </w:r>
    </w:p>
    <w:p w14:paraId="30F566CC">
      <w:pPr>
        <w:widowControl w:val="0"/>
        <w:jc w:val="center"/>
        <w:rPr>
          <w:rFonts w:hint="default" w:ascii="Times New Roman" w:hAnsi="Times New Roman" w:eastAsia="宋体" w:cs="Times New Roman"/>
          <w:color w:val="auto"/>
          <w:kern w:val="2"/>
          <w:sz w:val="21"/>
          <w:szCs w:val="21"/>
          <w:lang w:val="en-US" w:eastAsia="zh-CN" w:bidi="ar-SA"/>
        </w:rPr>
      </w:pPr>
    </w:p>
    <w:p w14:paraId="02F934A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color w:val="auto"/>
          <w:lang w:val="en-US" w:eastAsia="zh-CN"/>
        </w:rPr>
      </w:pPr>
      <w:r>
        <w:rPr>
          <w:rFonts w:hint="eastAsia"/>
          <w:color w:val="auto"/>
          <w:lang w:val="en-US" w:eastAsia="zh-CN"/>
        </w:rPr>
        <w:t>附表1.2-1</w:t>
      </w:r>
      <w:r>
        <w:rPr>
          <w:rFonts w:hint="default"/>
          <w:color w:val="auto"/>
          <w:lang w:val="en-US" w:eastAsia="zh-CN"/>
        </w:rPr>
        <w:t xml:space="preserve"> 危险度评价取值表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843"/>
        <w:gridCol w:w="2229"/>
        <w:gridCol w:w="2229"/>
        <w:gridCol w:w="1857"/>
      </w:tblGrid>
      <w:tr w14:paraId="53E40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1128" w:type="dxa"/>
            <w:tcBorders>
              <w:tl2br w:val="single" w:color="auto" w:sz="4" w:space="0"/>
            </w:tcBorders>
            <w:noWrap w:val="0"/>
            <w:vAlign w:val="top"/>
          </w:tcPr>
          <w:p w14:paraId="48761993">
            <w:pPr>
              <w:spacing w:line="240" w:lineRule="exact"/>
              <w:ind w:firstLine="420" w:firstLineChars="20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分值</w:t>
            </w:r>
          </w:p>
          <w:p w14:paraId="088DE51E">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项目</w:t>
            </w:r>
          </w:p>
        </w:tc>
        <w:tc>
          <w:tcPr>
            <w:tcW w:w="1843" w:type="dxa"/>
            <w:noWrap w:val="0"/>
            <w:vAlign w:val="center"/>
          </w:tcPr>
          <w:p w14:paraId="10C66027">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A（10分）</w:t>
            </w:r>
          </w:p>
        </w:tc>
        <w:tc>
          <w:tcPr>
            <w:tcW w:w="2229" w:type="dxa"/>
            <w:noWrap w:val="0"/>
            <w:vAlign w:val="center"/>
          </w:tcPr>
          <w:p w14:paraId="2F9C25B5">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B（5分）</w:t>
            </w:r>
          </w:p>
        </w:tc>
        <w:tc>
          <w:tcPr>
            <w:tcW w:w="2229" w:type="dxa"/>
            <w:noWrap w:val="0"/>
            <w:vAlign w:val="center"/>
          </w:tcPr>
          <w:p w14:paraId="1AFF17AC">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C（2分）</w:t>
            </w:r>
          </w:p>
        </w:tc>
        <w:tc>
          <w:tcPr>
            <w:tcW w:w="1857" w:type="dxa"/>
            <w:noWrap w:val="0"/>
            <w:vAlign w:val="center"/>
          </w:tcPr>
          <w:p w14:paraId="3F088115">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D（0分）</w:t>
            </w:r>
          </w:p>
        </w:tc>
      </w:tr>
      <w:tr w14:paraId="18EA0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128" w:type="dxa"/>
            <w:noWrap w:val="0"/>
            <w:vAlign w:val="center"/>
          </w:tcPr>
          <w:p w14:paraId="5D3033AC">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物质</w:t>
            </w:r>
          </w:p>
        </w:tc>
        <w:tc>
          <w:tcPr>
            <w:tcW w:w="1843" w:type="dxa"/>
            <w:noWrap w:val="0"/>
            <w:vAlign w:val="center"/>
          </w:tcPr>
          <w:p w14:paraId="258C0795">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甲类可燃气体；</w:t>
            </w:r>
          </w:p>
          <w:p w14:paraId="07E68728">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甲</w:t>
            </w:r>
            <w:r>
              <w:rPr>
                <w:rFonts w:hint="default" w:ascii="Times New Roman" w:hAnsi="Times New Roman" w:eastAsia="宋体" w:cs="Times New Roman"/>
                <w:color w:val="auto"/>
                <w:kern w:val="2"/>
                <w:sz w:val="21"/>
                <w:szCs w:val="21"/>
                <w:vertAlign w:val="subscript"/>
              </w:rPr>
              <w:t>A</w:t>
            </w:r>
            <w:r>
              <w:rPr>
                <w:rFonts w:hint="default" w:ascii="Times New Roman" w:hAnsi="Times New Roman" w:eastAsia="宋体" w:cs="Times New Roman"/>
                <w:color w:val="auto"/>
                <w:kern w:val="2"/>
                <w:sz w:val="21"/>
                <w:szCs w:val="21"/>
              </w:rPr>
              <w:t>类物质及液态烃类；</w:t>
            </w:r>
          </w:p>
          <w:p w14:paraId="1E01499A">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甲类固体；</w:t>
            </w:r>
          </w:p>
          <w:p w14:paraId="616E1583">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极度有害介质</w:t>
            </w:r>
          </w:p>
        </w:tc>
        <w:tc>
          <w:tcPr>
            <w:tcW w:w="2229" w:type="dxa"/>
            <w:noWrap w:val="0"/>
            <w:vAlign w:val="center"/>
          </w:tcPr>
          <w:p w14:paraId="77117AFD">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乙类气体；</w:t>
            </w:r>
          </w:p>
          <w:p w14:paraId="5352A3CA">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甲</w:t>
            </w:r>
            <w:r>
              <w:rPr>
                <w:rFonts w:hint="default" w:ascii="Times New Roman" w:hAnsi="Times New Roman" w:eastAsia="宋体" w:cs="Times New Roman"/>
                <w:color w:val="auto"/>
                <w:kern w:val="2"/>
                <w:sz w:val="21"/>
                <w:szCs w:val="21"/>
                <w:vertAlign w:val="subscript"/>
              </w:rPr>
              <w:t>B</w:t>
            </w:r>
            <w:r>
              <w:rPr>
                <w:rFonts w:hint="default" w:ascii="Times New Roman" w:hAnsi="Times New Roman" w:eastAsia="宋体" w:cs="Times New Roman"/>
                <w:color w:val="auto"/>
                <w:kern w:val="2"/>
                <w:sz w:val="21"/>
                <w:szCs w:val="21"/>
              </w:rPr>
              <w:t>、乙</w:t>
            </w:r>
            <w:r>
              <w:rPr>
                <w:rFonts w:hint="default" w:ascii="Times New Roman" w:hAnsi="Times New Roman" w:eastAsia="宋体" w:cs="Times New Roman"/>
                <w:color w:val="auto"/>
                <w:kern w:val="2"/>
                <w:sz w:val="21"/>
                <w:szCs w:val="21"/>
                <w:vertAlign w:val="subscript"/>
              </w:rPr>
              <w:t>A</w:t>
            </w:r>
            <w:r>
              <w:rPr>
                <w:rFonts w:hint="default" w:ascii="Times New Roman" w:hAnsi="Times New Roman" w:eastAsia="宋体" w:cs="Times New Roman"/>
                <w:color w:val="auto"/>
                <w:kern w:val="2"/>
                <w:sz w:val="21"/>
                <w:szCs w:val="21"/>
              </w:rPr>
              <w:t>类可燃液体；</w:t>
            </w:r>
          </w:p>
          <w:p w14:paraId="72BDFD4B">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乙类固体；；</w:t>
            </w:r>
          </w:p>
          <w:p w14:paraId="3C5E8EA9">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高度有害介质</w:t>
            </w:r>
          </w:p>
        </w:tc>
        <w:tc>
          <w:tcPr>
            <w:tcW w:w="2229" w:type="dxa"/>
            <w:noWrap w:val="0"/>
            <w:vAlign w:val="center"/>
          </w:tcPr>
          <w:p w14:paraId="7C22A6A7">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乙</w:t>
            </w:r>
            <w:r>
              <w:rPr>
                <w:rFonts w:hint="default" w:ascii="Times New Roman" w:hAnsi="Times New Roman" w:eastAsia="宋体" w:cs="Times New Roman"/>
                <w:color w:val="auto"/>
                <w:kern w:val="2"/>
                <w:sz w:val="21"/>
                <w:szCs w:val="21"/>
                <w:vertAlign w:val="subscript"/>
              </w:rPr>
              <w:t>B</w:t>
            </w:r>
            <w:r>
              <w:rPr>
                <w:rFonts w:hint="default" w:ascii="Times New Roman" w:hAnsi="Times New Roman" w:eastAsia="宋体" w:cs="Times New Roman"/>
                <w:color w:val="auto"/>
                <w:kern w:val="2"/>
                <w:sz w:val="21"/>
                <w:szCs w:val="21"/>
              </w:rPr>
              <w:t>、丙</w:t>
            </w:r>
            <w:r>
              <w:rPr>
                <w:rFonts w:hint="default" w:ascii="Times New Roman" w:hAnsi="Times New Roman" w:eastAsia="宋体" w:cs="Times New Roman"/>
                <w:color w:val="auto"/>
                <w:kern w:val="2"/>
                <w:sz w:val="21"/>
                <w:szCs w:val="21"/>
                <w:vertAlign w:val="subscript"/>
              </w:rPr>
              <w:t>A</w:t>
            </w:r>
            <w:r>
              <w:rPr>
                <w:rFonts w:hint="default" w:ascii="Times New Roman" w:hAnsi="Times New Roman" w:eastAsia="宋体" w:cs="Times New Roman"/>
                <w:color w:val="auto"/>
                <w:kern w:val="2"/>
                <w:sz w:val="21"/>
                <w:szCs w:val="21"/>
              </w:rPr>
              <w:t>、丙</w:t>
            </w:r>
            <w:r>
              <w:rPr>
                <w:rFonts w:hint="default" w:ascii="Times New Roman" w:hAnsi="Times New Roman" w:eastAsia="宋体" w:cs="Times New Roman"/>
                <w:color w:val="auto"/>
                <w:kern w:val="2"/>
                <w:sz w:val="21"/>
                <w:szCs w:val="21"/>
                <w:vertAlign w:val="subscript"/>
              </w:rPr>
              <w:t>B</w:t>
            </w:r>
            <w:r>
              <w:rPr>
                <w:rFonts w:hint="default" w:ascii="Times New Roman" w:hAnsi="Times New Roman" w:eastAsia="宋体" w:cs="Times New Roman"/>
                <w:color w:val="auto"/>
                <w:kern w:val="2"/>
                <w:sz w:val="21"/>
                <w:szCs w:val="21"/>
              </w:rPr>
              <w:t>类可燃液体；</w:t>
            </w:r>
          </w:p>
          <w:p w14:paraId="78A9024E">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丙类固体；</w:t>
            </w:r>
          </w:p>
          <w:p w14:paraId="22E60AA0">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中、轻度有害介质</w:t>
            </w:r>
          </w:p>
        </w:tc>
        <w:tc>
          <w:tcPr>
            <w:tcW w:w="1857" w:type="dxa"/>
            <w:noWrap w:val="0"/>
            <w:vAlign w:val="center"/>
          </w:tcPr>
          <w:p w14:paraId="3BDCC953">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不属A、B、C项之物质</w:t>
            </w:r>
          </w:p>
        </w:tc>
      </w:tr>
      <w:tr w14:paraId="6BE21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128" w:type="dxa"/>
            <w:noWrap w:val="0"/>
            <w:vAlign w:val="center"/>
          </w:tcPr>
          <w:p w14:paraId="7B3AA561">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容量</w:t>
            </w:r>
          </w:p>
        </w:tc>
        <w:tc>
          <w:tcPr>
            <w:tcW w:w="1843" w:type="dxa"/>
            <w:noWrap w:val="0"/>
            <w:vAlign w:val="center"/>
          </w:tcPr>
          <w:p w14:paraId="4CE5A106">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气体1000m</w:t>
            </w:r>
            <w:r>
              <w:rPr>
                <w:rFonts w:hint="default" w:ascii="Times New Roman" w:hAnsi="Times New Roman" w:eastAsia="宋体" w:cs="Times New Roman"/>
                <w:color w:val="auto"/>
                <w:kern w:val="2"/>
                <w:sz w:val="21"/>
                <w:szCs w:val="21"/>
                <w:vertAlign w:val="superscript"/>
              </w:rPr>
              <w:t>3</w:t>
            </w:r>
            <w:r>
              <w:rPr>
                <w:rFonts w:hint="default" w:ascii="Times New Roman" w:hAnsi="Times New Roman" w:eastAsia="宋体" w:cs="Times New Roman"/>
                <w:color w:val="auto"/>
                <w:kern w:val="2"/>
                <w:sz w:val="21"/>
                <w:szCs w:val="21"/>
              </w:rPr>
              <w:t>以上</w:t>
            </w:r>
          </w:p>
          <w:p w14:paraId="0A92AE8E">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液体100 m</w:t>
            </w:r>
            <w:r>
              <w:rPr>
                <w:rFonts w:hint="default" w:ascii="Times New Roman" w:hAnsi="Times New Roman" w:eastAsia="宋体" w:cs="Times New Roman"/>
                <w:color w:val="auto"/>
                <w:kern w:val="2"/>
                <w:sz w:val="21"/>
                <w:szCs w:val="21"/>
                <w:vertAlign w:val="superscript"/>
              </w:rPr>
              <w:t>3</w:t>
            </w:r>
            <w:r>
              <w:rPr>
                <w:rFonts w:hint="default" w:ascii="Times New Roman" w:hAnsi="Times New Roman" w:eastAsia="宋体" w:cs="Times New Roman"/>
                <w:color w:val="auto"/>
                <w:kern w:val="2"/>
                <w:sz w:val="21"/>
                <w:szCs w:val="21"/>
              </w:rPr>
              <w:t>以上</w:t>
            </w:r>
          </w:p>
        </w:tc>
        <w:tc>
          <w:tcPr>
            <w:tcW w:w="2229" w:type="dxa"/>
            <w:noWrap w:val="0"/>
            <w:vAlign w:val="center"/>
          </w:tcPr>
          <w:p w14:paraId="5195273B">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气体500~1000 m</w:t>
            </w:r>
            <w:r>
              <w:rPr>
                <w:rFonts w:hint="default" w:ascii="Times New Roman" w:hAnsi="Times New Roman" w:eastAsia="宋体" w:cs="Times New Roman"/>
                <w:color w:val="auto"/>
                <w:kern w:val="2"/>
                <w:sz w:val="21"/>
                <w:szCs w:val="21"/>
                <w:vertAlign w:val="superscript"/>
              </w:rPr>
              <w:t>3</w:t>
            </w:r>
          </w:p>
          <w:p w14:paraId="0D370149">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液体50~100 m</w:t>
            </w:r>
            <w:r>
              <w:rPr>
                <w:rFonts w:hint="default" w:ascii="Times New Roman" w:hAnsi="Times New Roman" w:eastAsia="宋体" w:cs="Times New Roman"/>
                <w:color w:val="auto"/>
                <w:kern w:val="2"/>
                <w:sz w:val="21"/>
                <w:szCs w:val="21"/>
                <w:vertAlign w:val="superscript"/>
              </w:rPr>
              <w:t>3</w:t>
            </w:r>
          </w:p>
        </w:tc>
        <w:tc>
          <w:tcPr>
            <w:tcW w:w="2229" w:type="dxa"/>
            <w:noWrap w:val="0"/>
            <w:vAlign w:val="center"/>
          </w:tcPr>
          <w:p w14:paraId="0A38A38A">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气体100~500 m</w:t>
            </w:r>
            <w:r>
              <w:rPr>
                <w:rFonts w:hint="default" w:ascii="Times New Roman" w:hAnsi="Times New Roman" w:eastAsia="宋体" w:cs="Times New Roman"/>
                <w:color w:val="auto"/>
                <w:kern w:val="2"/>
                <w:sz w:val="21"/>
                <w:szCs w:val="21"/>
                <w:vertAlign w:val="superscript"/>
              </w:rPr>
              <w:t>3</w:t>
            </w:r>
          </w:p>
          <w:p w14:paraId="53FDACB1">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液体10~50 m</w:t>
            </w:r>
            <w:r>
              <w:rPr>
                <w:rFonts w:hint="default" w:ascii="Times New Roman" w:hAnsi="Times New Roman" w:eastAsia="宋体" w:cs="Times New Roman"/>
                <w:color w:val="auto"/>
                <w:kern w:val="2"/>
                <w:sz w:val="21"/>
                <w:szCs w:val="21"/>
                <w:vertAlign w:val="superscript"/>
              </w:rPr>
              <w:t>3</w:t>
            </w:r>
          </w:p>
        </w:tc>
        <w:tc>
          <w:tcPr>
            <w:tcW w:w="1857" w:type="dxa"/>
            <w:noWrap w:val="0"/>
            <w:vAlign w:val="center"/>
          </w:tcPr>
          <w:p w14:paraId="69C9B94C">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气体＜100 m</w:t>
            </w:r>
            <w:r>
              <w:rPr>
                <w:rFonts w:hint="default" w:ascii="Times New Roman" w:hAnsi="Times New Roman" w:eastAsia="宋体" w:cs="Times New Roman"/>
                <w:color w:val="auto"/>
                <w:kern w:val="2"/>
                <w:sz w:val="21"/>
                <w:szCs w:val="21"/>
                <w:vertAlign w:val="superscript"/>
              </w:rPr>
              <w:t>3</w:t>
            </w:r>
          </w:p>
          <w:p w14:paraId="489FD954">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液体＜10 m</w:t>
            </w:r>
            <w:r>
              <w:rPr>
                <w:rFonts w:hint="default" w:ascii="Times New Roman" w:hAnsi="Times New Roman" w:eastAsia="宋体" w:cs="Times New Roman"/>
                <w:color w:val="auto"/>
                <w:kern w:val="2"/>
                <w:sz w:val="21"/>
                <w:szCs w:val="21"/>
                <w:vertAlign w:val="superscript"/>
              </w:rPr>
              <w:t>3</w:t>
            </w:r>
          </w:p>
        </w:tc>
      </w:tr>
      <w:tr w14:paraId="3298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128" w:type="dxa"/>
            <w:noWrap w:val="0"/>
            <w:vAlign w:val="center"/>
          </w:tcPr>
          <w:p w14:paraId="2C110CDF">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温度</w:t>
            </w:r>
          </w:p>
        </w:tc>
        <w:tc>
          <w:tcPr>
            <w:tcW w:w="1843" w:type="dxa"/>
            <w:noWrap w:val="0"/>
            <w:vAlign w:val="center"/>
          </w:tcPr>
          <w:p w14:paraId="086FD62E">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1000℃以上使用，其操作温度在燃点以上</w:t>
            </w:r>
          </w:p>
        </w:tc>
        <w:tc>
          <w:tcPr>
            <w:tcW w:w="2229" w:type="dxa"/>
            <w:noWrap w:val="0"/>
            <w:vAlign w:val="center"/>
          </w:tcPr>
          <w:p w14:paraId="2379B9BC">
            <w:pPr>
              <w:spacing w:line="240" w:lineRule="exact"/>
              <w:ind w:firstLine="0" w:firstLineChars="0"/>
              <w:rPr>
                <w:rFonts w:hint="default" w:ascii="Times New Roman" w:hAnsi="Times New Roman" w:eastAsia="宋体" w:cs="Times New Roman"/>
                <w:color w:val="auto"/>
                <w:spacing w:val="-8"/>
                <w:kern w:val="2"/>
                <w:sz w:val="21"/>
                <w:szCs w:val="21"/>
              </w:rPr>
            </w:pPr>
            <w:r>
              <w:rPr>
                <w:rFonts w:hint="default" w:ascii="Times New Roman" w:hAnsi="Times New Roman" w:eastAsia="宋体" w:cs="Times New Roman"/>
                <w:color w:val="auto"/>
                <w:spacing w:val="-8"/>
                <w:kern w:val="2"/>
                <w:sz w:val="21"/>
                <w:szCs w:val="21"/>
              </w:rPr>
              <w:t>1000℃以上使用，但操作温度在燃点以下；</w:t>
            </w:r>
          </w:p>
          <w:p w14:paraId="7213F207">
            <w:pPr>
              <w:spacing w:line="240" w:lineRule="exact"/>
              <w:ind w:firstLine="0" w:firstLineChars="0"/>
              <w:rPr>
                <w:rFonts w:hint="default" w:ascii="Times New Roman" w:hAnsi="Times New Roman" w:eastAsia="宋体" w:cs="Times New Roman"/>
                <w:color w:val="auto"/>
                <w:spacing w:val="-8"/>
                <w:kern w:val="2"/>
                <w:sz w:val="21"/>
                <w:szCs w:val="21"/>
              </w:rPr>
            </w:pPr>
            <w:r>
              <w:rPr>
                <w:rFonts w:hint="default" w:ascii="Times New Roman" w:hAnsi="Times New Roman" w:eastAsia="宋体" w:cs="Times New Roman"/>
                <w:color w:val="auto"/>
                <w:spacing w:val="-8"/>
                <w:kern w:val="2"/>
                <w:sz w:val="21"/>
                <w:szCs w:val="21"/>
              </w:rPr>
              <w:t>在250~1000℃使用，其操作温度在燃点以上</w:t>
            </w:r>
          </w:p>
        </w:tc>
        <w:tc>
          <w:tcPr>
            <w:tcW w:w="2229" w:type="dxa"/>
            <w:noWrap w:val="0"/>
            <w:vAlign w:val="center"/>
          </w:tcPr>
          <w:p w14:paraId="2F6DE629">
            <w:pPr>
              <w:spacing w:line="240" w:lineRule="exact"/>
              <w:ind w:firstLine="0" w:firstLineChars="0"/>
              <w:rPr>
                <w:rFonts w:hint="default" w:ascii="Times New Roman" w:hAnsi="Times New Roman" w:eastAsia="宋体" w:cs="Times New Roman"/>
                <w:color w:val="auto"/>
                <w:spacing w:val="-8"/>
                <w:kern w:val="2"/>
                <w:sz w:val="21"/>
                <w:szCs w:val="21"/>
              </w:rPr>
            </w:pPr>
            <w:r>
              <w:rPr>
                <w:rFonts w:hint="default" w:ascii="Times New Roman" w:hAnsi="Times New Roman" w:eastAsia="宋体" w:cs="Times New Roman"/>
                <w:color w:val="auto"/>
                <w:spacing w:val="-8"/>
                <w:kern w:val="2"/>
                <w:sz w:val="21"/>
                <w:szCs w:val="21"/>
              </w:rPr>
              <w:t>在250~1000℃使用，但操作温度在燃点以下；</w:t>
            </w:r>
          </w:p>
          <w:p w14:paraId="138317CB">
            <w:pPr>
              <w:spacing w:line="240" w:lineRule="exact"/>
              <w:ind w:firstLine="0" w:firstLineChars="0"/>
              <w:rPr>
                <w:rFonts w:hint="default" w:ascii="Times New Roman" w:hAnsi="Times New Roman" w:eastAsia="宋体" w:cs="Times New Roman"/>
                <w:color w:val="auto"/>
                <w:spacing w:val="-8"/>
                <w:kern w:val="2"/>
                <w:sz w:val="21"/>
                <w:szCs w:val="21"/>
              </w:rPr>
            </w:pPr>
            <w:r>
              <w:rPr>
                <w:rFonts w:hint="default" w:ascii="Times New Roman" w:hAnsi="Times New Roman" w:eastAsia="宋体" w:cs="Times New Roman"/>
                <w:color w:val="auto"/>
                <w:spacing w:val="-8"/>
                <w:kern w:val="2"/>
                <w:sz w:val="21"/>
                <w:szCs w:val="21"/>
              </w:rPr>
              <w:t>在低于在250℃使用，其操作温度在燃点以上</w:t>
            </w:r>
          </w:p>
        </w:tc>
        <w:tc>
          <w:tcPr>
            <w:tcW w:w="1857" w:type="dxa"/>
            <w:noWrap w:val="0"/>
            <w:vAlign w:val="center"/>
          </w:tcPr>
          <w:p w14:paraId="4C950F3D">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在低于在250℃使用，其操作温度在燃点以下</w:t>
            </w:r>
          </w:p>
        </w:tc>
      </w:tr>
      <w:tr w14:paraId="1A707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128" w:type="dxa"/>
            <w:noWrap w:val="0"/>
            <w:vAlign w:val="center"/>
          </w:tcPr>
          <w:p w14:paraId="0F640784">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压力</w:t>
            </w:r>
          </w:p>
        </w:tc>
        <w:tc>
          <w:tcPr>
            <w:tcW w:w="1843" w:type="dxa"/>
            <w:noWrap w:val="0"/>
            <w:vAlign w:val="center"/>
          </w:tcPr>
          <w:p w14:paraId="34C69389">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100MPa</w:t>
            </w:r>
          </w:p>
        </w:tc>
        <w:tc>
          <w:tcPr>
            <w:tcW w:w="2229" w:type="dxa"/>
            <w:noWrap w:val="0"/>
            <w:vAlign w:val="center"/>
          </w:tcPr>
          <w:p w14:paraId="0B621CE4">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20~100 MPa</w:t>
            </w:r>
          </w:p>
        </w:tc>
        <w:tc>
          <w:tcPr>
            <w:tcW w:w="2229" w:type="dxa"/>
            <w:noWrap w:val="0"/>
            <w:vAlign w:val="center"/>
          </w:tcPr>
          <w:p w14:paraId="38C0C510">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1~20 MPa</w:t>
            </w:r>
          </w:p>
        </w:tc>
        <w:tc>
          <w:tcPr>
            <w:tcW w:w="1857" w:type="dxa"/>
            <w:noWrap w:val="0"/>
            <w:vAlign w:val="center"/>
          </w:tcPr>
          <w:p w14:paraId="30D83590">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 Mpa以下</w:t>
            </w:r>
          </w:p>
        </w:tc>
      </w:tr>
      <w:tr w14:paraId="134EC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 w:hRule="atLeast"/>
        </w:trPr>
        <w:tc>
          <w:tcPr>
            <w:tcW w:w="1128" w:type="dxa"/>
            <w:noWrap w:val="0"/>
            <w:vAlign w:val="center"/>
          </w:tcPr>
          <w:p w14:paraId="51B5B759">
            <w:pPr>
              <w:spacing w:line="24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操作</w:t>
            </w:r>
          </w:p>
        </w:tc>
        <w:tc>
          <w:tcPr>
            <w:tcW w:w="1843" w:type="dxa"/>
            <w:noWrap w:val="0"/>
            <w:vAlign w:val="center"/>
          </w:tcPr>
          <w:p w14:paraId="1943B3ED">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临界放热和特别剧烈的反应操作</w:t>
            </w:r>
          </w:p>
          <w:p w14:paraId="510C61B2">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在爆炸极限范围内或其附近操作</w:t>
            </w:r>
          </w:p>
        </w:tc>
        <w:tc>
          <w:tcPr>
            <w:tcW w:w="2229" w:type="dxa"/>
            <w:noWrap w:val="0"/>
            <w:vAlign w:val="center"/>
          </w:tcPr>
          <w:p w14:paraId="44DF26D5">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中等放热反应；</w:t>
            </w:r>
          </w:p>
          <w:p w14:paraId="64C87688">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spacing w:val="-16"/>
                <w:kern w:val="2"/>
                <w:sz w:val="21"/>
                <w:szCs w:val="21"/>
              </w:rPr>
              <w:t>系统进入空气或不纯物质，可能发生危险的操作</w:t>
            </w:r>
            <w:r>
              <w:rPr>
                <w:rFonts w:hint="default" w:ascii="Times New Roman" w:hAnsi="Times New Roman" w:eastAsia="宋体" w:cs="Times New Roman"/>
                <w:color w:val="auto"/>
                <w:kern w:val="2"/>
                <w:sz w:val="21"/>
                <w:szCs w:val="21"/>
              </w:rPr>
              <w:t>；</w:t>
            </w:r>
          </w:p>
          <w:p w14:paraId="5DF92F05">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使用粉状或雾状物质，有可能发生粉尘爆炸的操作</w:t>
            </w:r>
          </w:p>
          <w:p w14:paraId="15184950">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单批式操作</w:t>
            </w:r>
          </w:p>
        </w:tc>
        <w:tc>
          <w:tcPr>
            <w:tcW w:w="2229" w:type="dxa"/>
            <w:noWrap w:val="0"/>
            <w:vAlign w:val="center"/>
          </w:tcPr>
          <w:p w14:paraId="13EFE871">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轻微放热反应；</w:t>
            </w:r>
          </w:p>
          <w:p w14:paraId="0E6E4F13">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在精制过程中伴有化学反应；</w:t>
            </w:r>
          </w:p>
          <w:p w14:paraId="7562DC2E">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单批式操作，但开始使用机械进行程序操作；</w:t>
            </w:r>
          </w:p>
          <w:p w14:paraId="01E0767D">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有一定危险的操作</w:t>
            </w:r>
          </w:p>
        </w:tc>
        <w:tc>
          <w:tcPr>
            <w:tcW w:w="1857" w:type="dxa"/>
            <w:noWrap w:val="0"/>
            <w:vAlign w:val="center"/>
          </w:tcPr>
          <w:p w14:paraId="28860F52">
            <w:pPr>
              <w:spacing w:line="240" w:lineRule="exact"/>
              <w:ind w:firstLine="0" w:firstLineChars="0"/>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无危险的操作</w:t>
            </w:r>
          </w:p>
        </w:tc>
      </w:tr>
    </w:tbl>
    <w:p w14:paraId="66862BDA">
      <w:pPr>
        <w:bidi w:val="0"/>
        <w:rPr>
          <w:rFonts w:hint="default"/>
          <w:color w:val="auto"/>
        </w:rPr>
      </w:pPr>
      <w:r>
        <w:rPr>
          <w:rFonts w:hint="default"/>
          <w:color w:val="auto"/>
        </w:rPr>
        <w:t>危险度分级见</w:t>
      </w:r>
      <w:r>
        <w:rPr>
          <w:rFonts w:hint="eastAsia"/>
          <w:color w:val="auto"/>
          <w:lang w:val="en-US" w:eastAsia="zh-CN"/>
        </w:rPr>
        <w:t>附表1.2-2</w:t>
      </w:r>
      <w:r>
        <w:rPr>
          <w:rFonts w:hint="default"/>
          <w:color w:val="auto"/>
        </w:rPr>
        <w:t>。</w:t>
      </w:r>
    </w:p>
    <w:p w14:paraId="6C016657">
      <w:pPr>
        <w:bidi w:val="0"/>
        <w:ind w:left="0" w:leftChars="0" w:firstLine="0" w:firstLineChars="0"/>
        <w:jc w:val="center"/>
        <w:rPr>
          <w:rFonts w:hint="default" w:ascii="Times New Roman" w:hAnsi="Times New Roman" w:eastAsia="宋体" w:cs="Times New Roman"/>
          <w:color w:val="auto"/>
          <w:kern w:val="2"/>
          <w:szCs w:val="21"/>
          <w:lang w:val="en-US" w:eastAsia="zh-CN" w:bidi="ar-SA"/>
        </w:rPr>
      </w:pPr>
      <w:r>
        <w:rPr>
          <w:rFonts w:hint="eastAsia"/>
          <w:color w:val="auto"/>
          <w:lang w:val="en-US" w:eastAsia="zh-CN"/>
        </w:rPr>
        <w:t>附表1.2-2</w:t>
      </w:r>
      <w:r>
        <w:rPr>
          <w:rFonts w:hint="default"/>
          <w:color w:val="auto"/>
          <w:lang w:val="en-US" w:eastAsia="zh-CN"/>
        </w:rPr>
        <w:t xml:space="preserve"> 危险度分级表</w:t>
      </w:r>
    </w:p>
    <w:tbl>
      <w:tblPr>
        <w:tblStyle w:val="14"/>
        <w:tblW w:w="0" w:type="auto"/>
        <w:jc w:val="center"/>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07"/>
        <w:gridCol w:w="1913"/>
        <w:gridCol w:w="2292"/>
        <w:gridCol w:w="2746"/>
      </w:tblGrid>
      <w:tr w14:paraId="380F011B">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1807" w:type="dxa"/>
            <w:tcBorders>
              <w:left w:val="single" w:color="auto" w:sz="4" w:space="0"/>
              <w:bottom w:val="single" w:color="auto" w:sz="4" w:space="0"/>
              <w:right w:val="single" w:color="auto" w:sz="4" w:space="0"/>
            </w:tcBorders>
            <w:noWrap w:val="0"/>
            <w:vAlign w:val="center"/>
          </w:tcPr>
          <w:p w14:paraId="1E2CDAFF">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总分值</w:t>
            </w:r>
          </w:p>
        </w:tc>
        <w:tc>
          <w:tcPr>
            <w:tcW w:w="1913" w:type="dxa"/>
            <w:tcBorders>
              <w:left w:val="single" w:color="auto" w:sz="4" w:space="0"/>
              <w:bottom w:val="single" w:color="auto" w:sz="4" w:space="0"/>
              <w:right w:val="single" w:color="auto" w:sz="4" w:space="0"/>
            </w:tcBorders>
            <w:noWrap w:val="0"/>
            <w:vAlign w:val="center"/>
          </w:tcPr>
          <w:p w14:paraId="0366C23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≥16分</w:t>
            </w:r>
          </w:p>
        </w:tc>
        <w:tc>
          <w:tcPr>
            <w:tcW w:w="2292" w:type="dxa"/>
            <w:tcBorders>
              <w:left w:val="single" w:color="auto" w:sz="4" w:space="0"/>
              <w:bottom w:val="single" w:color="auto" w:sz="4" w:space="0"/>
              <w:right w:val="single" w:color="auto" w:sz="4" w:space="0"/>
            </w:tcBorders>
            <w:noWrap w:val="0"/>
            <w:vAlign w:val="center"/>
          </w:tcPr>
          <w:p w14:paraId="383B125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11~15分</w:t>
            </w:r>
          </w:p>
        </w:tc>
        <w:tc>
          <w:tcPr>
            <w:tcW w:w="2746" w:type="dxa"/>
            <w:tcBorders>
              <w:left w:val="single" w:color="auto" w:sz="4" w:space="0"/>
              <w:bottom w:val="single" w:color="auto" w:sz="4" w:space="0"/>
              <w:right w:val="single" w:color="auto" w:sz="4" w:space="0"/>
            </w:tcBorders>
            <w:noWrap w:val="0"/>
            <w:vAlign w:val="center"/>
          </w:tcPr>
          <w:p w14:paraId="136138C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≤10分</w:t>
            </w:r>
          </w:p>
        </w:tc>
      </w:tr>
      <w:tr w14:paraId="4946B528">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1807" w:type="dxa"/>
            <w:tcBorders>
              <w:top w:val="single" w:color="auto" w:sz="4" w:space="0"/>
              <w:left w:val="single" w:color="auto" w:sz="4" w:space="0"/>
              <w:bottom w:val="single" w:color="auto" w:sz="4" w:space="0"/>
              <w:right w:val="single" w:color="auto" w:sz="4" w:space="0"/>
            </w:tcBorders>
            <w:noWrap w:val="0"/>
            <w:vAlign w:val="center"/>
          </w:tcPr>
          <w:p w14:paraId="44F2766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等级</w:t>
            </w:r>
          </w:p>
        </w:tc>
        <w:tc>
          <w:tcPr>
            <w:tcW w:w="1913" w:type="dxa"/>
            <w:tcBorders>
              <w:top w:val="single" w:color="auto" w:sz="4" w:space="0"/>
              <w:left w:val="single" w:color="auto" w:sz="4" w:space="0"/>
              <w:bottom w:val="single" w:color="auto" w:sz="4" w:space="0"/>
              <w:right w:val="single" w:color="auto" w:sz="4" w:space="0"/>
            </w:tcBorders>
            <w:noWrap w:val="0"/>
            <w:vAlign w:val="center"/>
          </w:tcPr>
          <w:p w14:paraId="016D756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Ⅰ</w:t>
            </w:r>
          </w:p>
        </w:tc>
        <w:tc>
          <w:tcPr>
            <w:tcW w:w="2292" w:type="dxa"/>
            <w:tcBorders>
              <w:top w:val="single" w:color="auto" w:sz="4" w:space="0"/>
              <w:left w:val="single" w:color="auto" w:sz="4" w:space="0"/>
              <w:bottom w:val="single" w:color="auto" w:sz="4" w:space="0"/>
              <w:right w:val="single" w:color="auto" w:sz="4" w:space="0"/>
            </w:tcBorders>
            <w:noWrap w:val="0"/>
            <w:vAlign w:val="center"/>
          </w:tcPr>
          <w:p w14:paraId="48AD4E7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Ⅱ</w:t>
            </w:r>
          </w:p>
        </w:tc>
        <w:tc>
          <w:tcPr>
            <w:tcW w:w="2746" w:type="dxa"/>
            <w:tcBorders>
              <w:top w:val="single" w:color="auto" w:sz="4" w:space="0"/>
              <w:left w:val="single" w:color="auto" w:sz="4" w:space="0"/>
              <w:bottom w:val="single" w:color="auto" w:sz="4" w:space="0"/>
              <w:right w:val="single" w:color="auto" w:sz="4" w:space="0"/>
            </w:tcBorders>
            <w:noWrap w:val="0"/>
            <w:vAlign w:val="center"/>
          </w:tcPr>
          <w:p w14:paraId="0EBC5A3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Ⅲ</w:t>
            </w:r>
          </w:p>
        </w:tc>
      </w:tr>
      <w:tr w14:paraId="6AE27DD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1807" w:type="dxa"/>
            <w:tcBorders>
              <w:top w:val="single" w:color="auto" w:sz="4" w:space="0"/>
              <w:left w:val="single" w:color="auto" w:sz="4" w:space="0"/>
              <w:bottom w:val="single" w:color="auto" w:sz="4" w:space="0"/>
              <w:right w:val="single" w:color="auto" w:sz="4" w:space="0"/>
            </w:tcBorders>
            <w:noWrap w:val="0"/>
            <w:vAlign w:val="center"/>
          </w:tcPr>
          <w:p w14:paraId="48D1E74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危险程度</w:t>
            </w:r>
          </w:p>
        </w:tc>
        <w:tc>
          <w:tcPr>
            <w:tcW w:w="1913" w:type="dxa"/>
            <w:tcBorders>
              <w:top w:val="single" w:color="auto" w:sz="4" w:space="0"/>
              <w:left w:val="single" w:color="auto" w:sz="4" w:space="0"/>
              <w:bottom w:val="single" w:color="auto" w:sz="4" w:space="0"/>
              <w:right w:val="single" w:color="auto" w:sz="4" w:space="0"/>
            </w:tcBorders>
            <w:noWrap w:val="0"/>
            <w:vAlign w:val="center"/>
          </w:tcPr>
          <w:p w14:paraId="7EE4877B">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高度危险</w:t>
            </w:r>
          </w:p>
        </w:tc>
        <w:tc>
          <w:tcPr>
            <w:tcW w:w="2292" w:type="dxa"/>
            <w:tcBorders>
              <w:top w:val="single" w:color="auto" w:sz="4" w:space="0"/>
              <w:left w:val="single" w:color="auto" w:sz="4" w:space="0"/>
              <w:bottom w:val="single" w:color="auto" w:sz="4" w:space="0"/>
              <w:right w:val="single" w:color="auto" w:sz="4" w:space="0"/>
            </w:tcBorders>
            <w:noWrap w:val="0"/>
            <w:vAlign w:val="center"/>
          </w:tcPr>
          <w:p w14:paraId="13579EB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中度危险</w:t>
            </w:r>
          </w:p>
        </w:tc>
        <w:tc>
          <w:tcPr>
            <w:tcW w:w="2746" w:type="dxa"/>
            <w:tcBorders>
              <w:top w:val="single" w:color="auto" w:sz="4" w:space="0"/>
              <w:left w:val="single" w:color="auto" w:sz="4" w:space="0"/>
              <w:bottom w:val="single" w:color="auto" w:sz="4" w:space="0"/>
              <w:right w:val="single" w:color="auto" w:sz="4" w:space="0"/>
            </w:tcBorders>
            <w:noWrap w:val="0"/>
            <w:vAlign w:val="center"/>
          </w:tcPr>
          <w:p w14:paraId="6CDEAEF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低度危险</w:t>
            </w:r>
          </w:p>
        </w:tc>
      </w:tr>
    </w:tbl>
    <w:p w14:paraId="1B53883C">
      <w:pPr>
        <w:pStyle w:val="3"/>
        <w:bidi w:val="0"/>
        <w:rPr>
          <w:rFonts w:hint="eastAsia"/>
          <w:color w:val="auto"/>
          <w:lang w:val="en-US" w:eastAsia="zh-CN"/>
        </w:rPr>
      </w:pPr>
      <w:bookmarkStart w:id="205" w:name="_Toc15269"/>
      <w:bookmarkStart w:id="206" w:name="_Toc5204"/>
      <w:bookmarkStart w:id="207" w:name="_Toc20162"/>
      <w:bookmarkStart w:id="208" w:name="_Toc1711"/>
      <w:r>
        <w:rPr>
          <w:rFonts w:hint="eastAsia"/>
          <w:color w:val="auto"/>
          <w:lang w:val="en-US" w:eastAsia="zh-CN"/>
        </w:rPr>
        <w:t>1.4 作业条件危险性评价法</w:t>
      </w:r>
      <w:bookmarkEnd w:id="205"/>
      <w:bookmarkEnd w:id="206"/>
      <w:bookmarkEnd w:id="207"/>
      <w:bookmarkEnd w:id="208"/>
    </w:p>
    <w:p w14:paraId="23F3D750">
      <w:pPr>
        <w:rPr>
          <w:rFonts w:hint="eastAsia"/>
          <w:b/>
          <w:bCs/>
          <w:color w:val="auto"/>
          <w:lang w:val="en-US" w:eastAsia="zh-CN"/>
        </w:rPr>
      </w:pPr>
      <w:r>
        <w:rPr>
          <w:rFonts w:hint="eastAsia"/>
          <w:b/>
          <w:bCs/>
          <w:color w:val="auto"/>
          <w:lang w:val="en-US" w:eastAsia="zh-CN"/>
        </w:rPr>
        <w:t>一、评价方法简介</w:t>
      </w:r>
    </w:p>
    <w:p w14:paraId="5E2E50D9">
      <w:pPr>
        <w:rPr>
          <w:rFonts w:hint="eastAsia"/>
          <w:color w:val="auto"/>
          <w:lang w:val="en-US" w:eastAsia="zh-CN"/>
        </w:rPr>
      </w:pPr>
      <w:r>
        <w:rPr>
          <w:rFonts w:hint="eastAsia"/>
          <w:color w:val="auto"/>
          <w:lang w:val="en-US" w:eastAsia="zh-CN"/>
        </w:rPr>
        <w:t>作业条件危险性评价法是一种简单易行的评价操作人员在具有潜在危险性环境中作业时的危险性的半定量评价方法。</w:t>
      </w:r>
    </w:p>
    <w:p w14:paraId="7C3B01C1">
      <w:pPr>
        <w:rPr>
          <w:rFonts w:hint="eastAsia"/>
          <w:color w:val="auto"/>
          <w:lang w:val="en-US" w:eastAsia="zh-CN"/>
        </w:rPr>
      </w:pPr>
      <w:r>
        <w:rPr>
          <w:rFonts w:hint="eastAsia"/>
          <w:color w:val="auto"/>
          <w:lang w:val="en-US" w:eastAsia="zh-CN"/>
        </w:rPr>
        <w:t>作业条件危险性评价法用与系统风险有关的三种因素指标值之积来评价操作人员伤亡风险大小，这三种因素是L：事故发生的可能性；E：人员暴露于危险环境中的频繁程度；C：一旦发生事故可能造成的后果。给三种因素的不同等级分别确定不同的分值，再以三个分值的乘积D来评价作业条件危险性的大小。即：D＝L×E×C。</w:t>
      </w:r>
    </w:p>
    <w:p w14:paraId="72D270FB">
      <w:pPr>
        <w:rPr>
          <w:rFonts w:hint="eastAsia"/>
          <w:b/>
          <w:bCs/>
          <w:color w:val="auto"/>
          <w:lang w:val="en-US" w:eastAsia="zh-CN"/>
        </w:rPr>
      </w:pPr>
      <w:r>
        <w:rPr>
          <w:rFonts w:hint="eastAsia"/>
          <w:b/>
          <w:bCs/>
          <w:color w:val="auto"/>
          <w:lang w:val="en-US" w:eastAsia="zh-CN"/>
        </w:rPr>
        <w:t>二、评价步骤</w:t>
      </w:r>
    </w:p>
    <w:p w14:paraId="071085A9">
      <w:pPr>
        <w:rPr>
          <w:rFonts w:hint="eastAsia"/>
          <w:color w:val="auto"/>
          <w:lang w:val="en-US" w:eastAsia="zh-CN"/>
        </w:rPr>
      </w:pPr>
      <w:r>
        <w:rPr>
          <w:rFonts w:hint="eastAsia"/>
          <w:color w:val="auto"/>
          <w:lang w:val="en-US" w:eastAsia="zh-CN"/>
        </w:rPr>
        <w:t>评价步骤为：</w:t>
      </w:r>
    </w:p>
    <w:p w14:paraId="78A7EAB3">
      <w:pPr>
        <w:rPr>
          <w:rFonts w:hint="eastAsia"/>
          <w:color w:val="auto"/>
          <w:lang w:val="en-US" w:eastAsia="zh-CN"/>
        </w:rPr>
      </w:pPr>
      <w:r>
        <w:rPr>
          <w:rFonts w:hint="eastAsia"/>
          <w:color w:val="auto"/>
          <w:lang w:val="en-US" w:eastAsia="zh-CN"/>
        </w:rPr>
        <w:t>1、以类比作业条件比较为基础，由熟悉作业条件的人员组成评价小组；</w:t>
      </w:r>
    </w:p>
    <w:p w14:paraId="5489B284">
      <w:pPr>
        <w:rPr>
          <w:rFonts w:hint="eastAsia"/>
          <w:color w:val="auto"/>
          <w:lang w:val="en-US" w:eastAsia="zh-CN"/>
        </w:rPr>
      </w:pPr>
      <w:r>
        <w:rPr>
          <w:rFonts w:hint="eastAsia"/>
          <w:color w:val="auto"/>
          <w:lang w:val="en-US" w:eastAsia="zh-CN"/>
        </w:rPr>
        <w:t>2、由评价小组成员按照标准给L、E、C分别打分，取各组的平均值作为L、E、C的计算分值，用计算的危险性分值D来评价作业条件的危险性等级。</w:t>
      </w:r>
    </w:p>
    <w:p w14:paraId="2F8187B3">
      <w:pPr>
        <w:rPr>
          <w:rFonts w:hint="eastAsia"/>
          <w:b/>
          <w:bCs/>
          <w:color w:val="auto"/>
          <w:lang w:val="en-US" w:eastAsia="zh-CN"/>
        </w:rPr>
      </w:pPr>
      <w:r>
        <w:rPr>
          <w:rFonts w:hint="eastAsia"/>
          <w:b/>
          <w:bCs/>
          <w:color w:val="auto"/>
          <w:lang w:val="en-US" w:eastAsia="zh-CN"/>
        </w:rPr>
        <w:t>三、赋分标准</w:t>
      </w:r>
    </w:p>
    <w:p w14:paraId="44EA40E4">
      <w:pPr>
        <w:rPr>
          <w:rFonts w:hint="eastAsia"/>
          <w:color w:val="auto"/>
          <w:lang w:val="en-US" w:eastAsia="zh-CN"/>
        </w:rPr>
      </w:pPr>
      <w:r>
        <w:rPr>
          <w:rFonts w:hint="eastAsia"/>
          <w:color w:val="auto"/>
          <w:lang w:val="en-US" w:eastAsia="zh-CN"/>
        </w:rPr>
        <w:t>1、事故发生的可能性（L）</w:t>
      </w:r>
    </w:p>
    <w:p w14:paraId="225581DC">
      <w:pPr>
        <w:rPr>
          <w:rFonts w:hint="eastAsia"/>
          <w:color w:val="auto"/>
          <w:lang w:val="en-US" w:eastAsia="zh-CN"/>
        </w:rPr>
      </w:pPr>
      <w:r>
        <w:rPr>
          <w:rFonts w:hint="eastAsia"/>
          <w:color w:val="auto"/>
          <w:lang w:val="en-US" w:eastAsia="zh-CN"/>
        </w:rPr>
        <w:t>事故发生的可能性用概率来表示时，绝对不可能发生的事故频率为0，而必然发生的事故概率为1。然而，从系统安全的角度考虑，绝对不发生的事故是不可能的，所以人为地将发生事故的可能性极小的分值定为0.1，而必然要发生的事故的分值定为10，以此为基础介于这两者之间的指定为若干中间值。见附表1.4-1。</w:t>
      </w:r>
    </w:p>
    <w:p w14:paraId="79A8E27E">
      <w:pPr>
        <w:ind w:left="0" w:leftChars="0" w:firstLine="0" w:firstLineChars="0"/>
        <w:jc w:val="center"/>
        <w:rPr>
          <w:rFonts w:hint="eastAsia"/>
          <w:color w:val="auto"/>
          <w:lang w:val="en-US" w:eastAsia="zh-CN"/>
        </w:rPr>
      </w:pPr>
      <w:r>
        <w:rPr>
          <w:rFonts w:hint="eastAsia"/>
          <w:color w:val="auto"/>
          <w:lang w:val="en-US" w:eastAsia="zh-CN"/>
        </w:rPr>
        <w:t>附表1.4-1 事故发生的可能性（L）</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3230"/>
        <w:gridCol w:w="1076"/>
        <w:gridCol w:w="3328"/>
      </w:tblGrid>
      <w:tr w14:paraId="342FC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5107DA6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230" w:type="dxa"/>
            <w:noWrap w:val="0"/>
            <w:vAlign w:val="center"/>
          </w:tcPr>
          <w:p w14:paraId="696F7BB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事故发生的可能性</w:t>
            </w:r>
          </w:p>
        </w:tc>
        <w:tc>
          <w:tcPr>
            <w:tcW w:w="1076" w:type="dxa"/>
            <w:noWrap w:val="0"/>
            <w:vAlign w:val="center"/>
          </w:tcPr>
          <w:p w14:paraId="573F072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3328" w:type="dxa"/>
            <w:noWrap w:val="0"/>
            <w:vAlign w:val="center"/>
          </w:tcPr>
          <w:p w14:paraId="5853FD3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事故发生的可能性</w:t>
            </w:r>
          </w:p>
        </w:tc>
      </w:tr>
      <w:tr w14:paraId="116BC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08822F5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3230" w:type="dxa"/>
            <w:noWrap w:val="0"/>
            <w:vAlign w:val="center"/>
          </w:tcPr>
          <w:p w14:paraId="3028D03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完全可以预料到</w:t>
            </w:r>
          </w:p>
        </w:tc>
        <w:tc>
          <w:tcPr>
            <w:tcW w:w="1076" w:type="dxa"/>
            <w:noWrap w:val="0"/>
            <w:vAlign w:val="center"/>
          </w:tcPr>
          <w:p w14:paraId="0947DC1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3328" w:type="dxa"/>
            <w:noWrap w:val="0"/>
            <w:vAlign w:val="center"/>
          </w:tcPr>
          <w:p w14:paraId="3011DB7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极不可能，可以设想</w:t>
            </w:r>
          </w:p>
        </w:tc>
      </w:tr>
      <w:tr w14:paraId="62F44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1376FE4E">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3230" w:type="dxa"/>
            <w:noWrap w:val="0"/>
            <w:vAlign w:val="center"/>
          </w:tcPr>
          <w:p w14:paraId="3A50CBB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相当可能</w:t>
            </w:r>
          </w:p>
        </w:tc>
        <w:tc>
          <w:tcPr>
            <w:tcW w:w="1076" w:type="dxa"/>
            <w:noWrap w:val="0"/>
            <w:vAlign w:val="center"/>
          </w:tcPr>
          <w:p w14:paraId="6DB9692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0.2</w:t>
            </w:r>
          </w:p>
        </w:tc>
        <w:tc>
          <w:tcPr>
            <w:tcW w:w="3328" w:type="dxa"/>
            <w:noWrap w:val="0"/>
            <w:vAlign w:val="center"/>
          </w:tcPr>
          <w:p w14:paraId="5A5B094B">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极不可能</w:t>
            </w:r>
          </w:p>
        </w:tc>
      </w:tr>
      <w:tr w14:paraId="08F20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jc w:val="center"/>
        </w:trPr>
        <w:tc>
          <w:tcPr>
            <w:tcW w:w="1174" w:type="dxa"/>
            <w:noWrap w:val="0"/>
            <w:vAlign w:val="center"/>
          </w:tcPr>
          <w:p w14:paraId="01D07B93">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3230" w:type="dxa"/>
            <w:noWrap w:val="0"/>
            <w:vAlign w:val="center"/>
          </w:tcPr>
          <w:p w14:paraId="6A771AB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可能，但不经常</w:t>
            </w:r>
          </w:p>
        </w:tc>
        <w:tc>
          <w:tcPr>
            <w:tcW w:w="1076" w:type="dxa"/>
            <w:noWrap w:val="0"/>
            <w:vAlign w:val="center"/>
          </w:tcPr>
          <w:p w14:paraId="423D11B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0.1</w:t>
            </w:r>
          </w:p>
        </w:tc>
        <w:tc>
          <w:tcPr>
            <w:tcW w:w="3328" w:type="dxa"/>
            <w:noWrap w:val="0"/>
            <w:vAlign w:val="center"/>
          </w:tcPr>
          <w:p w14:paraId="0B91518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实际不可能</w:t>
            </w:r>
          </w:p>
        </w:tc>
      </w:tr>
      <w:tr w14:paraId="23B10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exact"/>
          <w:jc w:val="center"/>
        </w:trPr>
        <w:tc>
          <w:tcPr>
            <w:tcW w:w="1174" w:type="dxa"/>
            <w:noWrap w:val="0"/>
            <w:vAlign w:val="center"/>
          </w:tcPr>
          <w:p w14:paraId="55BA5420">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3230" w:type="dxa"/>
            <w:noWrap w:val="0"/>
            <w:vAlign w:val="center"/>
          </w:tcPr>
          <w:p w14:paraId="1BA17339">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可能性小，完全意外</w:t>
            </w:r>
          </w:p>
        </w:tc>
        <w:tc>
          <w:tcPr>
            <w:tcW w:w="1076" w:type="dxa"/>
            <w:noWrap w:val="0"/>
            <w:vAlign w:val="center"/>
          </w:tcPr>
          <w:p w14:paraId="2336CC99">
            <w:pPr>
              <w:spacing w:line="240" w:lineRule="auto"/>
              <w:ind w:firstLine="0" w:firstLineChars="0"/>
              <w:jc w:val="center"/>
              <w:rPr>
                <w:rFonts w:hint="default" w:ascii="Times New Roman" w:hAnsi="Times New Roman" w:cs="Times New Roman"/>
                <w:color w:val="auto"/>
                <w:sz w:val="21"/>
                <w:szCs w:val="21"/>
              </w:rPr>
            </w:pPr>
          </w:p>
        </w:tc>
        <w:tc>
          <w:tcPr>
            <w:tcW w:w="3328" w:type="dxa"/>
            <w:noWrap w:val="0"/>
            <w:vAlign w:val="center"/>
          </w:tcPr>
          <w:p w14:paraId="189CEC3A">
            <w:pPr>
              <w:spacing w:line="240" w:lineRule="auto"/>
              <w:ind w:firstLine="0" w:firstLineChars="0"/>
              <w:jc w:val="center"/>
              <w:rPr>
                <w:rFonts w:hint="default" w:ascii="Times New Roman" w:hAnsi="Times New Roman" w:cs="Times New Roman"/>
                <w:color w:val="auto"/>
                <w:sz w:val="21"/>
                <w:szCs w:val="21"/>
              </w:rPr>
            </w:pPr>
          </w:p>
        </w:tc>
      </w:tr>
    </w:tbl>
    <w:p w14:paraId="2A7D910D">
      <w:pPr>
        <w:bidi w:val="0"/>
        <w:rPr>
          <w:rFonts w:hint="eastAsia"/>
          <w:color w:val="auto"/>
          <w:lang w:val="en-US" w:eastAsia="zh-CN"/>
        </w:rPr>
      </w:pPr>
      <w:r>
        <w:rPr>
          <w:rFonts w:hint="eastAsia"/>
          <w:color w:val="auto"/>
          <w:lang w:val="en-US" w:eastAsia="zh-CN"/>
        </w:rPr>
        <w:t>2、人员暴露于危险环境的频繁程度（E）</w:t>
      </w:r>
    </w:p>
    <w:p w14:paraId="7EF718AE">
      <w:pPr>
        <w:bidi w:val="0"/>
        <w:rPr>
          <w:rFonts w:hint="eastAsia"/>
          <w:color w:val="auto"/>
          <w:lang w:val="en-US" w:eastAsia="zh-CN"/>
        </w:rPr>
      </w:pPr>
      <w:r>
        <w:rPr>
          <w:rFonts w:hint="eastAsia"/>
          <w:color w:val="auto"/>
          <w:lang w:val="en-US" w:eastAsia="zh-CN"/>
        </w:rPr>
        <w:t>人员暴露于危险环境中的时间越多，受到伤害的可能性越大，相应的危险性也越大。规定人员连续出现在危险环境的情况分值为10，而非常罕见地出现在危险环境中的情况分值为0.5，介于两者之间的各种情况规定若干个中间值。见附表1.4-2。</w:t>
      </w:r>
    </w:p>
    <w:p w14:paraId="111F5E0D">
      <w:pPr>
        <w:ind w:left="0" w:leftChars="0" w:firstLine="0" w:firstLineChars="0"/>
        <w:jc w:val="center"/>
        <w:rPr>
          <w:rFonts w:hint="eastAsia"/>
          <w:color w:val="auto"/>
          <w:lang w:val="en-US" w:eastAsia="zh-CN"/>
        </w:rPr>
      </w:pPr>
      <w:r>
        <w:rPr>
          <w:rFonts w:hint="eastAsia"/>
          <w:color w:val="auto"/>
          <w:lang w:val="en-US" w:eastAsia="zh-CN"/>
        </w:rPr>
        <w:t>附表1.4-2 人员暴露于危险环境的频繁程度（E）</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2895"/>
        <w:gridCol w:w="1154"/>
        <w:gridCol w:w="3355"/>
      </w:tblGrid>
      <w:tr w14:paraId="72612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1304" w:type="dxa"/>
            <w:noWrap w:val="0"/>
            <w:vAlign w:val="center"/>
          </w:tcPr>
          <w:p w14:paraId="0A34C033">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分数值</w:t>
            </w:r>
          </w:p>
        </w:tc>
        <w:tc>
          <w:tcPr>
            <w:tcW w:w="2895" w:type="dxa"/>
            <w:noWrap w:val="0"/>
            <w:vAlign w:val="center"/>
          </w:tcPr>
          <w:p w14:paraId="77A796F2">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人员暴露于危险</w:t>
            </w:r>
          </w:p>
          <w:p w14:paraId="65A5064B">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环境的频繁程度</w:t>
            </w:r>
          </w:p>
        </w:tc>
        <w:tc>
          <w:tcPr>
            <w:tcW w:w="1154" w:type="dxa"/>
            <w:noWrap w:val="0"/>
            <w:vAlign w:val="center"/>
          </w:tcPr>
          <w:p w14:paraId="61E40224">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分数值</w:t>
            </w:r>
          </w:p>
        </w:tc>
        <w:tc>
          <w:tcPr>
            <w:tcW w:w="3355" w:type="dxa"/>
            <w:noWrap w:val="0"/>
            <w:vAlign w:val="center"/>
          </w:tcPr>
          <w:p w14:paraId="6B1345BE">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人员暴露于危险</w:t>
            </w:r>
          </w:p>
          <w:p w14:paraId="0F5CA124">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环境的频繁程度</w:t>
            </w:r>
          </w:p>
        </w:tc>
      </w:tr>
      <w:tr w14:paraId="081B8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304" w:type="dxa"/>
            <w:noWrap w:val="0"/>
            <w:vAlign w:val="center"/>
          </w:tcPr>
          <w:p w14:paraId="1B36F3A4">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10</w:t>
            </w:r>
          </w:p>
        </w:tc>
        <w:tc>
          <w:tcPr>
            <w:tcW w:w="2895" w:type="dxa"/>
            <w:noWrap w:val="0"/>
            <w:vAlign w:val="center"/>
          </w:tcPr>
          <w:p w14:paraId="1DD782A6">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连续暴露</w:t>
            </w:r>
          </w:p>
        </w:tc>
        <w:tc>
          <w:tcPr>
            <w:tcW w:w="1154" w:type="dxa"/>
            <w:noWrap w:val="0"/>
            <w:vAlign w:val="center"/>
          </w:tcPr>
          <w:p w14:paraId="27371C4A">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2</w:t>
            </w:r>
          </w:p>
        </w:tc>
        <w:tc>
          <w:tcPr>
            <w:tcW w:w="3355" w:type="dxa"/>
            <w:noWrap w:val="0"/>
            <w:vAlign w:val="center"/>
          </w:tcPr>
          <w:p w14:paraId="7F01EBD3">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每月一次暴露</w:t>
            </w:r>
          </w:p>
        </w:tc>
      </w:tr>
      <w:tr w14:paraId="5602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304" w:type="dxa"/>
            <w:noWrap w:val="0"/>
            <w:vAlign w:val="center"/>
          </w:tcPr>
          <w:p w14:paraId="25E327C6">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6</w:t>
            </w:r>
          </w:p>
        </w:tc>
        <w:tc>
          <w:tcPr>
            <w:tcW w:w="2895" w:type="dxa"/>
            <w:noWrap w:val="0"/>
            <w:vAlign w:val="center"/>
          </w:tcPr>
          <w:p w14:paraId="1ACADBDB">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每天工作时间暴露</w:t>
            </w:r>
          </w:p>
        </w:tc>
        <w:tc>
          <w:tcPr>
            <w:tcW w:w="1154" w:type="dxa"/>
            <w:noWrap w:val="0"/>
            <w:vAlign w:val="center"/>
          </w:tcPr>
          <w:p w14:paraId="11D12C4D">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w:t>
            </w:r>
          </w:p>
        </w:tc>
        <w:tc>
          <w:tcPr>
            <w:tcW w:w="3355" w:type="dxa"/>
            <w:noWrap w:val="0"/>
            <w:vAlign w:val="center"/>
          </w:tcPr>
          <w:p w14:paraId="26BB50BF">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每年几次暴露</w:t>
            </w:r>
          </w:p>
        </w:tc>
      </w:tr>
      <w:tr w14:paraId="1C369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1304" w:type="dxa"/>
            <w:noWrap w:val="0"/>
            <w:vAlign w:val="center"/>
          </w:tcPr>
          <w:p w14:paraId="6D6BE12A">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3</w:t>
            </w:r>
          </w:p>
        </w:tc>
        <w:tc>
          <w:tcPr>
            <w:tcW w:w="2895" w:type="dxa"/>
            <w:noWrap w:val="0"/>
            <w:vAlign w:val="center"/>
          </w:tcPr>
          <w:p w14:paraId="50981BA5">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每周一次，或偶然暴露</w:t>
            </w:r>
          </w:p>
        </w:tc>
        <w:tc>
          <w:tcPr>
            <w:tcW w:w="1154" w:type="dxa"/>
            <w:noWrap w:val="0"/>
            <w:vAlign w:val="center"/>
          </w:tcPr>
          <w:p w14:paraId="178BFF27">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0.5</w:t>
            </w:r>
          </w:p>
        </w:tc>
        <w:tc>
          <w:tcPr>
            <w:tcW w:w="3355" w:type="dxa"/>
            <w:noWrap w:val="0"/>
            <w:vAlign w:val="center"/>
          </w:tcPr>
          <w:p w14:paraId="33C8BC5C">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非常罕见的暴露</w:t>
            </w:r>
          </w:p>
        </w:tc>
      </w:tr>
    </w:tbl>
    <w:p w14:paraId="5B4EA415">
      <w:pPr>
        <w:bidi w:val="0"/>
        <w:rPr>
          <w:rFonts w:hint="eastAsia"/>
          <w:color w:val="auto"/>
          <w:lang w:val="en-US" w:eastAsia="zh-CN"/>
        </w:rPr>
      </w:pPr>
      <w:r>
        <w:rPr>
          <w:rFonts w:hint="eastAsia"/>
          <w:color w:val="auto"/>
          <w:lang w:val="en-US" w:eastAsia="zh-CN"/>
        </w:rPr>
        <w:t>3、发生事故可能造成的后果（C）</w:t>
      </w:r>
    </w:p>
    <w:p w14:paraId="4C3EBB46">
      <w:pPr>
        <w:bidi w:val="0"/>
        <w:rPr>
          <w:rFonts w:hint="eastAsia"/>
          <w:color w:val="auto"/>
          <w:lang w:val="en-US" w:eastAsia="zh-CN"/>
        </w:rPr>
      </w:pPr>
      <w:r>
        <w:rPr>
          <w:rFonts w:hint="eastAsia"/>
          <w:color w:val="auto"/>
          <w:lang w:val="en-US" w:eastAsia="zh-CN"/>
        </w:rPr>
        <w:t>事故造成的人员伤亡和财产损失的范围变化很大，所以规定分数值为1－100。把需要治疗的轻微伤害或较小财产损失的分数值规定为1，造成多人死亡或重大财产损失的分数值规定为100，介于两者之间的情况规定若干个中间值。见附表1.4-3。</w:t>
      </w:r>
    </w:p>
    <w:p w14:paraId="040C6BF5">
      <w:pPr>
        <w:bidi w:val="0"/>
        <w:ind w:left="0" w:leftChars="0" w:firstLine="0" w:firstLineChars="0"/>
        <w:jc w:val="center"/>
        <w:rPr>
          <w:rFonts w:hint="eastAsia"/>
          <w:color w:val="auto"/>
          <w:lang w:val="en-US" w:eastAsia="zh-CN"/>
        </w:rPr>
      </w:pPr>
      <w:r>
        <w:rPr>
          <w:rFonts w:hint="eastAsia"/>
          <w:color w:val="auto"/>
          <w:lang w:val="en-US" w:eastAsia="zh-CN"/>
        </w:rPr>
        <w:t>附表1.4-3 发生事故可能造成的后果（C）</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3708"/>
        <w:gridCol w:w="1060"/>
        <w:gridCol w:w="3178"/>
      </w:tblGrid>
      <w:tr w14:paraId="31F3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059" w:type="dxa"/>
            <w:noWrap w:val="0"/>
            <w:vAlign w:val="center"/>
          </w:tcPr>
          <w:p w14:paraId="720B1698">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分数值</w:t>
            </w:r>
          </w:p>
        </w:tc>
        <w:tc>
          <w:tcPr>
            <w:tcW w:w="3708" w:type="dxa"/>
            <w:noWrap w:val="0"/>
            <w:vAlign w:val="center"/>
          </w:tcPr>
          <w:p w14:paraId="3CA1FCAE">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发生事故可能造成的后果</w:t>
            </w:r>
          </w:p>
        </w:tc>
        <w:tc>
          <w:tcPr>
            <w:tcW w:w="1060" w:type="dxa"/>
            <w:noWrap w:val="0"/>
            <w:vAlign w:val="center"/>
          </w:tcPr>
          <w:p w14:paraId="7EF6039B">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分数值</w:t>
            </w:r>
          </w:p>
        </w:tc>
        <w:tc>
          <w:tcPr>
            <w:tcW w:w="3178" w:type="dxa"/>
            <w:noWrap w:val="0"/>
            <w:vAlign w:val="center"/>
          </w:tcPr>
          <w:p w14:paraId="40A788A3">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发生事故可能造成的后果</w:t>
            </w:r>
          </w:p>
        </w:tc>
      </w:tr>
      <w:tr w14:paraId="079B0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059" w:type="dxa"/>
            <w:noWrap w:val="0"/>
            <w:vAlign w:val="center"/>
          </w:tcPr>
          <w:p w14:paraId="000D2D05">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100</w:t>
            </w:r>
          </w:p>
        </w:tc>
        <w:tc>
          <w:tcPr>
            <w:tcW w:w="3708" w:type="dxa"/>
            <w:noWrap w:val="0"/>
            <w:vAlign w:val="center"/>
          </w:tcPr>
          <w:p w14:paraId="00A401B3">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大灾难，多人死亡或重大财产损失</w:t>
            </w:r>
          </w:p>
        </w:tc>
        <w:tc>
          <w:tcPr>
            <w:tcW w:w="1060" w:type="dxa"/>
            <w:noWrap w:val="0"/>
            <w:vAlign w:val="center"/>
          </w:tcPr>
          <w:p w14:paraId="1C2852F0">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7</w:t>
            </w:r>
          </w:p>
        </w:tc>
        <w:tc>
          <w:tcPr>
            <w:tcW w:w="3178" w:type="dxa"/>
            <w:noWrap w:val="0"/>
            <w:vAlign w:val="center"/>
          </w:tcPr>
          <w:p w14:paraId="42E4BAC2">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严重，重伤或较小的财产损失</w:t>
            </w:r>
          </w:p>
        </w:tc>
      </w:tr>
      <w:tr w14:paraId="3836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059" w:type="dxa"/>
            <w:noWrap w:val="0"/>
            <w:vAlign w:val="center"/>
          </w:tcPr>
          <w:p w14:paraId="5A08CFD2">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40</w:t>
            </w:r>
          </w:p>
        </w:tc>
        <w:tc>
          <w:tcPr>
            <w:tcW w:w="3708" w:type="dxa"/>
            <w:noWrap w:val="0"/>
            <w:vAlign w:val="center"/>
          </w:tcPr>
          <w:p w14:paraId="7739D2AA">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灾难，数人死亡或很大财产损失</w:t>
            </w:r>
          </w:p>
        </w:tc>
        <w:tc>
          <w:tcPr>
            <w:tcW w:w="1060" w:type="dxa"/>
            <w:noWrap w:val="0"/>
            <w:vAlign w:val="center"/>
          </w:tcPr>
          <w:p w14:paraId="049E95F6">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3</w:t>
            </w:r>
          </w:p>
        </w:tc>
        <w:tc>
          <w:tcPr>
            <w:tcW w:w="3178" w:type="dxa"/>
            <w:noWrap w:val="0"/>
            <w:vAlign w:val="center"/>
          </w:tcPr>
          <w:p w14:paraId="4225705E">
            <w:pPr>
              <w:spacing w:line="40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重大，致残或很小的财产损失</w:t>
            </w:r>
          </w:p>
        </w:tc>
      </w:tr>
      <w:tr w14:paraId="759DB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059" w:type="dxa"/>
            <w:noWrap w:val="0"/>
            <w:vAlign w:val="center"/>
          </w:tcPr>
          <w:p w14:paraId="4A302045">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15</w:t>
            </w:r>
          </w:p>
        </w:tc>
        <w:tc>
          <w:tcPr>
            <w:tcW w:w="3708" w:type="dxa"/>
            <w:noWrap w:val="0"/>
            <w:vAlign w:val="center"/>
          </w:tcPr>
          <w:p w14:paraId="01B2696A">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非常严重，一人死亡</w:t>
            </w:r>
          </w:p>
          <w:p w14:paraId="0A1C320D">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或一定的财产损失</w:t>
            </w:r>
          </w:p>
        </w:tc>
        <w:tc>
          <w:tcPr>
            <w:tcW w:w="1060" w:type="dxa"/>
            <w:noWrap w:val="0"/>
            <w:vAlign w:val="center"/>
          </w:tcPr>
          <w:p w14:paraId="376C5D45">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1</w:t>
            </w:r>
          </w:p>
        </w:tc>
        <w:tc>
          <w:tcPr>
            <w:tcW w:w="3178" w:type="dxa"/>
            <w:noWrap w:val="0"/>
            <w:vAlign w:val="center"/>
          </w:tcPr>
          <w:p w14:paraId="78BAE02A">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　引人注目，</w:t>
            </w:r>
          </w:p>
          <w:p w14:paraId="0A4B9832">
            <w:pPr>
              <w:spacing w:line="280" w:lineRule="exact"/>
              <w:ind w:firstLine="0" w:firstLineChars="0"/>
              <w:jc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color w:val="auto"/>
                <w:kern w:val="2"/>
                <w:sz w:val="21"/>
                <w:szCs w:val="21"/>
              </w:rPr>
              <w:t>不利于基本的安全卫生要求</w:t>
            </w:r>
          </w:p>
        </w:tc>
      </w:tr>
    </w:tbl>
    <w:p w14:paraId="253DEFF2">
      <w:pPr>
        <w:bidi w:val="0"/>
        <w:rPr>
          <w:rFonts w:hint="default"/>
          <w:b/>
          <w:bCs/>
          <w:color w:val="auto"/>
          <w:lang w:val="en-US" w:eastAsia="zh-CN"/>
        </w:rPr>
      </w:pPr>
      <w:r>
        <w:rPr>
          <w:rFonts w:hint="default"/>
          <w:b/>
          <w:bCs/>
          <w:color w:val="auto"/>
          <w:lang w:val="en-US" w:eastAsia="zh-CN"/>
        </w:rPr>
        <w:t>四、危险等级划分标准</w:t>
      </w:r>
    </w:p>
    <w:p w14:paraId="2A35C25F">
      <w:pPr>
        <w:bidi w:val="0"/>
        <w:rPr>
          <w:rFonts w:hint="default"/>
          <w:color w:val="auto"/>
          <w:lang w:val="en-US" w:eastAsia="zh-CN"/>
        </w:rPr>
      </w:pPr>
      <w:r>
        <w:rPr>
          <w:rFonts w:hint="default"/>
          <w:color w:val="auto"/>
          <w:lang w:val="en-US" w:eastAsia="zh-CN"/>
        </w:rPr>
        <w:t>根据经验，危险性分值在20分以下为低危险性，这样的危险比日常生活中骑自行车去上班还要安全些，如果危险性分值在20-70之间，为一般危险，需要注意；如果危险性分值在70-160之间，有显著的危险性，需要采取措施整改；如果危险性分值在160-320之间，有高度危险性，必须立即整改；如果危险性分值大于320，极度危险，应立即停止作业，彻底整改。按危险性分值划分危险性等级的标准</w:t>
      </w:r>
      <w:r>
        <w:rPr>
          <w:rFonts w:hint="eastAsia"/>
          <w:color w:val="auto"/>
          <w:lang w:val="en-US" w:eastAsia="zh-CN"/>
        </w:rPr>
        <w:t>见附表1.4-4</w:t>
      </w:r>
      <w:r>
        <w:rPr>
          <w:rFonts w:hint="default"/>
          <w:color w:val="auto"/>
          <w:lang w:val="en-US" w:eastAsia="zh-CN"/>
        </w:rPr>
        <w:t>。</w:t>
      </w:r>
    </w:p>
    <w:p w14:paraId="72CC0CF3">
      <w:pPr>
        <w:ind w:left="0" w:leftChars="0" w:firstLine="0" w:firstLineChars="0"/>
        <w:jc w:val="center"/>
        <w:rPr>
          <w:rFonts w:hint="eastAsia"/>
          <w:color w:val="auto"/>
          <w:lang w:val="en-US" w:eastAsia="zh-CN"/>
        </w:rPr>
      </w:pPr>
      <w:r>
        <w:rPr>
          <w:rFonts w:hint="eastAsia"/>
          <w:color w:val="auto"/>
          <w:lang w:val="en-US" w:eastAsia="zh-CN"/>
        </w:rPr>
        <w:t>附表1.4-4 危险性等级划分标准</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901"/>
        <w:gridCol w:w="1537"/>
        <w:gridCol w:w="3009"/>
      </w:tblGrid>
      <w:tr w14:paraId="6760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193" w:type="dxa"/>
            <w:noWrap w:val="0"/>
            <w:vAlign w:val="center"/>
          </w:tcPr>
          <w:p w14:paraId="2DFD4D5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D值</w:t>
            </w:r>
          </w:p>
        </w:tc>
        <w:tc>
          <w:tcPr>
            <w:tcW w:w="2901" w:type="dxa"/>
            <w:noWrap w:val="0"/>
            <w:vAlign w:val="center"/>
          </w:tcPr>
          <w:p w14:paraId="1A6C8575">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危险程度</w:t>
            </w:r>
          </w:p>
        </w:tc>
        <w:tc>
          <w:tcPr>
            <w:tcW w:w="1537" w:type="dxa"/>
            <w:noWrap w:val="0"/>
            <w:vAlign w:val="center"/>
          </w:tcPr>
          <w:p w14:paraId="37C9C3F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D值</w:t>
            </w:r>
          </w:p>
        </w:tc>
        <w:tc>
          <w:tcPr>
            <w:tcW w:w="3009" w:type="dxa"/>
            <w:noWrap w:val="0"/>
            <w:vAlign w:val="center"/>
          </w:tcPr>
          <w:p w14:paraId="74272DE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危险程度</w:t>
            </w:r>
          </w:p>
        </w:tc>
      </w:tr>
      <w:tr w14:paraId="103B7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1193" w:type="dxa"/>
            <w:noWrap w:val="0"/>
            <w:vAlign w:val="center"/>
          </w:tcPr>
          <w:p w14:paraId="71B3DFF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＞320</w:t>
            </w:r>
          </w:p>
        </w:tc>
        <w:tc>
          <w:tcPr>
            <w:tcW w:w="2901" w:type="dxa"/>
            <w:noWrap w:val="0"/>
            <w:vAlign w:val="center"/>
          </w:tcPr>
          <w:p w14:paraId="537E6AC1">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极其危险，不能继续作业</w:t>
            </w:r>
          </w:p>
        </w:tc>
        <w:tc>
          <w:tcPr>
            <w:tcW w:w="1537" w:type="dxa"/>
            <w:noWrap w:val="0"/>
            <w:vAlign w:val="center"/>
          </w:tcPr>
          <w:p w14:paraId="17B5F9CD">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20－70</w:t>
            </w:r>
          </w:p>
        </w:tc>
        <w:tc>
          <w:tcPr>
            <w:tcW w:w="3009" w:type="dxa"/>
            <w:noWrap w:val="0"/>
            <w:vAlign w:val="center"/>
          </w:tcPr>
          <w:p w14:paraId="36C5E8F6">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一般危险，需要注意</w:t>
            </w:r>
          </w:p>
        </w:tc>
      </w:tr>
      <w:tr w14:paraId="6E7B7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193" w:type="dxa"/>
            <w:noWrap w:val="0"/>
            <w:vAlign w:val="center"/>
          </w:tcPr>
          <w:p w14:paraId="0000635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160－320</w:t>
            </w:r>
          </w:p>
        </w:tc>
        <w:tc>
          <w:tcPr>
            <w:tcW w:w="2901" w:type="dxa"/>
            <w:noWrap w:val="0"/>
            <w:vAlign w:val="center"/>
          </w:tcPr>
          <w:p w14:paraId="2CD2D7AF">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高度危险，需立即整改</w:t>
            </w:r>
          </w:p>
        </w:tc>
        <w:tc>
          <w:tcPr>
            <w:tcW w:w="1537" w:type="dxa"/>
            <w:noWrap w:val="0"/>
            <w:vAlign w:val="center"/>
          </w:tcPr>
          <w:p w14:paraId="4B76A898">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3009" w:type="dxa"/>
            <w:noWrap w:val="0"/>
            <w:vAlign w:val="center"/>
          </w:tcPr>
          <w:p w14:paraId="1018CD3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稍有危险，可以接受</w:t>
            </w:r>
          </w:p>
        </w:tc>
      </w:tr>
      <w:tr w14:paraId="008D6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1193" w:type="dxa"/>
            <w:noWrap w:val="0"/>
            <w:vAlign w:val="center"/>
          </w:tcPr>
          <w:p w14:paraId="7368395C">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70－160</w:t>
            </w:r>
          </w:p>
        </w:tc>
        <w:tc>
          <w:tcPr>
            <w:tcW w:w="2901" w:type="dxa"/>
            <w:noWrap w:val="0"/>
            <w:vAlign w:val="center"/>
          </w:tcPr>
          <w:p w14:paraId="61141227">
            <w:pPr>
              <w:spacing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显著危险，需要整改</w:t>
            </w:r>
          </w:p>
        </w:tc>
        <w:tc>
          <w:tcPr>
            <w:tcW w:w="1537" w:type="dxa"/>
            <w:noWrap w:val="0"/>
            <w:vAlign w:val="center"/>
          </w:tcPr>
          <w:p w14:paraId="5C38EE66">
            <w:pPr>
              <w:spacing w:line="240" w:lineRule="auto"/>
              <w:ind w:firstLine="0" w:firstLineChars="0"/>
              <w:jc w:val="center"/>
              <w:rPr>
                <w:rFonts w:hint="default" w:ascii="Times New Roman" w:hAnsi="Times New Roman" w:cs="Times New Roman"/>
                <w:color w:val="auto"/>
                <w:sz w:val="21"/>
                <w:szCs w:val="21"/>
              </w:rPr>
            </w:pPr>
          </w:p>
        </w:tc>
        <w:tc>
          <w:tcPr>
            <w:tcW w:w="3009" w:type="dxa"/>
            <w:noWrap w:val="0"/>
            <w:vAlign w:val="center"/>
          </w:tcPr>
          <w:p w14:paraId="571AA7DB">
            <w:pPr>
              <w:spacing w:line="240" w:lineRule="auto"/>
              <w:ind w:firstLine="0" w:firstLineChars="0"/>
              <w:jc w:val="center"/>
              <w:rPr>
                <w:rFonts w:hint="default" w:ascii="Times New Roman" w:hAnsi="Times New Roman" w:cs="Times New Roman"/>
                <w:color w:val="auto"/>
                <w:sz w:val="21"/>
                <w:szCs w:val="21"/>
              </w:rPr>
            </w:pPr>
          </w:p>
        </w:tc>
      </w:tr>
    </w:tbl>
    <w:p w14:paraId="4D4A650E">
      <w:pPr>
        <w:pStyle w:val="3"/>
        <w:bidi w:val="0"/>
        <w:rPr>
          <w:rFonts w:hint="default"/>
          <w:color w:val="auto"/>
          <w:lang w:val="en-US" w:eastAsia="zh-CN"/>
        </w:rPr>
      </w:pPr>
      <w:bookmarkStart w:id="209" w:name="_Toc7673"/>
      <w:bookmarkStart w:id="210" w:name="_Toc11999"/>
      <w:bookmarkStart w:id="211" w:name="_Toc20585"/>
      <w:bookmarkStart w:id="212" w:name="_Toc6861"/>
      <w:r>
        <w:rPr>
          <w:rFonts w:hint="eastAsia"/>
          <w:color w:val="auto"/>
          <w:lang w:val="en-US" w:eastAsia="zh-CN"/>
        </w:rPr>
        <w:t xml:space="preserve">1.5 </w:t>
      </w:r>
      <w:r>
        <w:rPr>
          <w:rFonts w:hint="default"/>
          <w:color w:val="auto"/>
          <w:lang w:val="en-US" w:eastAsia="zh-CN"/>
        </w:rPr>
        <w:t>安全检查表法</w:t>
      </w:r>
      <w:bookmarkEnd w:id="209"/>
      <w:bookmarkEnd w:id="210"/>
      <w:bookmarkEnd w:id="211"/>
      <w:bookmarkEnd w:id="212"/>
    </w:p>
    <w:p w14:paraId="0E208006">
      <w:pPr>
        <w:rPr>
          <w:rFonts w:hint="default"/>
          <w:color w:val="auto"/>
          <w:lang w:val="en-US" w:eastAsia="zh-CN"/>
        </w:rPr>
      </w:pPr>
      <w:r>
        <w:rPr>
          <w:rFonts w:hint="default"/>
          <w:color w:val="auto"/>
          <w:lang w:val="en-US" w:eastAsia="zh-CN"/>
        </w:rPr>
        <w:t>安全检查表法是系统安全工程的一种最基础、最简便、广泛应用的系统安全评价方法。安全检查表不仅用于查找系统中各种潜在的事故隐患，还用于进行系统安全评价。安全检查表是由一些对工艺过程、机械设备和作业情况熟悉并富有安全技术、安全管理经验的人员，事先对分析对象进行详尽分析和充分讨论，列出检查单元和部位、检查项目、检查要求等内容的表格（清单）对系统进行评价时，对照安全检查表逐项检查，从而评价出系统的安全等级。当安全检查表用于设计、维修、环境、管理等方面查找缺陷或隐患时，可省略赋分、评级等内容和步骤。常见的安全检查表见附表1.</w:t>
      </w:r>
      <w:r>
        <w:rPr>
          <w:rFonts w:hint="eastAsia"/>
          <w:color w:val="auto"/>
          <w:lang w:val="en-US" w:eastAsia="zh-CN"/>
        </w:rPr>
        <w:t>5</w:t>
      </w:r>
      <w:r>
        <w:rPr>
          <w:rFonts w:hint="default"/>
          <w:color w:val="auto"/>
          <w:lang w:val="en-US" w:eastAsia="zh-CN"/>
        </w:rPr>
        <w:t>-1。</w:t>
      </w:r>
    </w:p>
    <w:p w14:paraId="2C8FA594">
      <w:pPr>
        <w:ind w:left="0" w:leftChars="0" w:firstLine="0" w:firstLineChars="0"/>
        <w:jc w:val="center"/>
        <w:rPr>
          <w:rFonts w:hint="eastAsia"/>
          <w:color w:val="auto"/>
          <w:lang w:val="en-US" w:eastAsia="zh-CN"/>
        </w:rPr>
      </w:pPr>
      <w:r>
        <w:rPr>
          <w:rFonts w:hint="default"/>
          <w:color w:val="auto"/>
          <w:lang w:val="en-US" w:eastAsia="zh-CN"/>
        </w:rPr>
        <w:t>附表1.</w:t>
      </w:r>
      <w:r>
        <w:rPr>
          <w:rFonts w:hint="eastAsia"/>
          <w:color w:val="auto"/>
          <w:lang w:val="en-US" w:eastAsia="zh-CN"/>
        </w:rPr>
        <w:t>5</w:t>
      </w:r>
      <w:r>
        <w:rPr>
          <w:rFonts w:hint="default"/>
          <w:color w:val="auto"/>
          <w:lang w:val="en-US" w:eastAsia="zh-CN"/>
        </w:rPr>
        <w:t>-1</w:t>
      </w:r>
      <w:r>
        <w:rPr>
          <w:rFonts w:hint="eastAsia"/>
          <w:color w:val="auto"/>
          <w:lang w:val="en-US" w:eastAsia="zh-CN"/>
        </w:rPr>
        <w:t xml:space="preserve"> 常见安全检查表格式</w:t>
      </w:r>
    </w:p>
    <w:tbl>
      <w:tblPr>
        <w:tblStyle w:val="14"/>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4"/>
        <w:gridCol w:w="2553"/>
        <w:gridCol w:w="2028"/>
        <w:gridCol w:w="1622"/>
        <w:gridCol w:w="1623"/>
      </w:tblGrid>
      <w:tr w14:paraId="44884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94" w:type="dxa"/>
            <w:noWrap w:val="0"/>
            <w:vAlign w:val="center"/>
          </w:tcPr>
          <w:p w14:paraId="2534A817">
            <w:pPr>
              <w:spacing w:line="240" w:lineRule="auto"/>
              <w:ind w:firstLine="0" w:firstLineChars="0"/>
              <w:jc w:val="center"/>
              <w:rPr>
                <w:rFonts w:ascii="Times New Roman" w:hAnsi="Times New Roman" w:eastAsia="宋体"/>
                <w:b w:val="0"/>
                <w:bCs w:val="0"/>
                <w:color w:val="auto"/>
                <w:kern w:val="0"/>
                <w:sz w:val="21"/>
                <w:szCs w:val="21"/>
              </w:rPr>
            </w:pPr>
            <w:r>
              <w:rPr>
                <w:rFonts w:ascii="宋体" w:hAnsi="宋体" w:eastAsia="宋体"/>
                <w:b w:val="0"/>
                <w:bCs w:val="0"/>
                <w:color w:val="auto"/>
                <w:kern w:val="0"/>
                <w:sz w:val="21"/>
                <w:szCs w:val="21"/>
              </w:rPr>
              <w:t>序号</w:t>
            </w:r>
          </w:p>
        </w:tc>
        <w:tc>
          <w:tcPr>
            <w:tcW w:w="2553" w:type="dxa"/>
            <w:noWrap w:val="0"/>
            <w:vAlign w:val="center"/>
          </w:tcPr>
          <w:p w14:paraId="565C0D02">
            <w:pPr>
              <w:spacing w:line="240" w:lineRule="auto"/>
              <w:ind w:firstLine="0" w:firstLineChars="0"/>
              <w:jc w:val="center"/>
              <w:rPr>
                <w:rFonts w:ascii="Times New Roman" w:hAnsi="Times New Roman" w:eastAsia="宋体"/>
                <w:b w:val="0"/>
                <w:bCs w:val="0"/>
                <w:color w:val="auto"/>
                <w:kern w:val="0"/>
                <w:sz w:val="21"/>
                <w:szCs w:val="21"/>
              </w:rPr>
            </w:pPr>
            <w:r>
              <w:rPr>
                <w:rFonts w:ascii="宋体" w:hAnsi="宋体" w:eastAsia="宋体"/>
                <w:b w:val="0"/>
                <w:bCs w:val="0"/>
                <w:color w:val="auto"/>
                <w:kern w:val="0"/>
                <w:sz w:val="21"/>
                <w:szCs w:val="21"/>
              </w:rPr>
              <w:t>检查</w:t>
            </w:r>
            <w:r>
              <w:rPr>
                <w:rFonts w:hint="eastAsia" w:ascii="宋体" w:hAnsi="宋体" w:eastAsia="宋体"/>
                <w:b w:val="0"/>
                <w:bCs w:val="0"/>
                <w:color w:val="auto"/>
                <w:kern w:val="0"/>
                <w:sz w:val="21"/>
                <w:szCs w:val="21"/>
              </w:rPr>
              <w:t>项目和</w:t>
            </w:r>
            <w:r>
              <w:rPr>
                <w:rFonts w:ascii="宋体" w:hAnsi="宋体" w:eastAsia="宋体"/>
                <w:b w:val="0"/>
                <w:bCs w:val="0"/>
                <w:color w:val="auto"/>
                <w:kern w:val="0"/>
                <w:sz w:val="21"/>
                <w:szCs w:val="21"/>
              </w:rPr>
              <w:t>内容</w:t>
            </w:r>
          </w:p>
        </w:tc>
        <w:tc>
          <w:tcPr>
            <w:tcW w:w="2028" w:type="dxa"/>
            <w:noWrap w:val="0"/>
            <w:vAlign w:val="center"/>
          </w:tcPr>
          <w:p w14:paraId="233F9CCF">
            <w:pPr>
              <w:spacing w:line="240" w:lineRule="auto"/>
              <w:ind w:firstLine="0" w:firstLineChars="0"/>
              <w:jc w:val="center"/>
              <w:rPr>
                <w:rFonts w:ascii="Times New Roman" w:hAnsi="Times New Roman" w:eastAsia="宋体"/>
                <w:b w:val="0"/>
                <w:bCs w:val="0"/>
                <w:color w:val="auto"/>
                <w:kern w:val="0"/>
                <w:sz w:val="21"/>
                <w:szCs w:val="21"/>
              </w:rPr>
            </w:pPr>
            <w:r>
              <w:rPr>
                <w:rFonts w:ascii="宋体" w:hAnsi="宋体" w:eastAsia="宋体"/>
                <w:b w:val="0"/>
                <w:bCs w:val="0"/>
                <w:color w:val="auto"/>
                <w:kern w:val="0"/>
                <w:sz w:val="21"/>
                <w:szCs w:val="21"/>
              </w:rPr>
              <w:t>检查结果</w:t>
            </w:r>
          </w:p>
        </w:tc>
        <w:tc>
          <w:tcPr>
            <w:tcW w:w="1622" w:type="dxa"/>
            <w:noWrap w:val="0"/>
            <w:vAlign w:val="center"/>
          </w:tcPr>
          <w:p w14:paraId="5576ABC6">
            <w:pPr>
              <w:spacing w:line="240" w:lineRule="auto"/>
              <w:ind w:firstLine="0" w:firstLineChars="0"/>
              <w:jc w:val="center"/>
              <w:rPr>
                <w:rFonts w:ascii="Times New Roman" w:hAnsi="Times New Roman" w:eastAsia="宋体"/>
                <w:b w:val="0"/>
                <w:bCs w:val="0"/>
                <w:color w:val="auto"/>
                <w:kern w:val="0"/>
                <w:sz w:val="21"/>
                <w:szCs w:val="21"/>
              </w:rPr>
            </w:pPr>
            <w:r>
              <w:rPr>
                <w:rFonts w:ascii="宋体" w:hAnsi="宋体" w:eastAsia="宋体"/>
                <w:b w:val="0"/>
                <w:bCs w:val="0"/>
                <w:color w:val="auto"/>
                <w:kern w:val="0"/>
                <w:sz w:val="21"/>
                <w:szCs w:val="21"/>
              </w:rPr>
              <w:t>检查依据</w:t>
            </w:r>
          </w:p>
        </w:tc>
        <w:tc>
          <w:tcPr>
            <w:tcW w:w="1623" w:type="dxa"/>
            <w:noWrap w:val="0"/>
            <w:vAlign w:val="center"/>
          </w:tcPr>
          <w:p w14:paraId="466E495A">
            <w:pPr>
              <w:spacing w:line="240" w:lineRule="auto"/>
              <w:ind w:firstLine="0" w:firstLineChars="0"/>
              <w:jc w:val="center"/>
              <w:rPr>
                <w:rFonts w:ascii="Times New Roman" w:hAnsi="Times New Roman" w:eastAsia="宋体"/>
                <w:b w:val="0"/>
                <w:bCs w:val="0"/>
                <w:color w:val="auto"/>
                <w:kern w:val="0"/>
                <w:sz w:val="21"/>
                <w:szCs w:val="21"/>
              </w:rPr>
            </w:pPr>
            <w:r>
              <w:rPr>
                <w:rFonts w:hint="eastAsia" w:ascii="宋体" w:hAnsi="宋体" w:eastAsia="宋体"/>
                <w:b w:val="0"/>
                <w:bCs w:val="0"/>
                <w:color w:val="auto"/>
                <w:kern w:val="0"/>
                <w:sz w:val="21"/>
                <w:szCs w:val="21"/>
              </w:rPr>
              <w:t>检查记录</w:t>
            </w:r>
          </w:p>
        </w:tc>
      </w:tr>
      <w:tr w14:paraId="0238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trPr>
        <w:tc>
          <w:tcPr>
            <w:tcW w:w="994" w:type="dxa"/>
            <w:noWrap w:val="0"/>
            <w:vAlign w:val="center"/>
          </w:tcPr>
          <w:p w14:paraId="36AF00FA">
            <w:pPr>
              <w:spacing w:line="240" w:lineRule="auto"/>
              <w:ind w:firstLine="0" w:firstLineChars="0"/>
              <w:jc w:val="center"/>
              <w:rPr>
                <w:rFonts w:ascii="Times New Roman" w:hAnsi="Times New Roman" w:eastAsia="宋体"/>
                <w:b w:val="0"/>
                <w:bCs w:val="0"/>
                <w:color w:val="auto"/>
                <w:kern w:val="0"/>
                <w:sz w:val="21"/>
                <w:szCs w:val="21"/>
              </w:rPr>
            </w:pPr>
          </w:p>
        </w:tc>
        <w:tc>
          <w:tcPr>
            <w:tcW w:w="2553" w:type="dxa"/>
            <w:noWrap w:val="0"/>
            <w:vAlign w:val="center"/>
          </w:tcPr>
          <w:p w14:paraId="695F13F3">
            <w:pPr>
              <w:spacing w:line="240" w:lineRule="auto"/>
              <w:ind w:firstLine="0" w:firstLineChars="0"/>
              <w:jc w:val="center"/>
              <w:rPr>
                <w:rFonts w:ascii="Times New Roman" w:hAnsi="Times New Roman" w:eastAsia="宋体"/>
                <w:b w:val="0"/>
                <w:bCs w:val="0"/>
                <w:color w:val="auto"/>
                <w:kern w:val="0"/>
                <w:sz w:val="21"/>
                <w:szCs w:val="21"/>
              </w:rPr>
            </w:pPr>
          </w:p>
        </w:tc>
        <w:tc>
          <w:tcPr>
            <w:tcW w:w="2028" w:type="dxa"/>
            <w:noWrap w:val="0"/>
            <w:vAlign w:val="center"/>
          </w:tcPr>
          <w:p w14:paraId="200A259F">
            <w:pPr>
              <w:spacing w:line="240" w:lineRule="auto"/>
              <w:ind w:firstLine="0" w:firstLineChars="0"/>
              <w:jc w:val="center"/>
              <w:rPr>
                <w:rFonts w:ascii="Times New Roman" w:hAnsi="Times New Roman" w:eastAsia="宋体"/>
                <w:b w:val="0"/>
                <w:bCs w:val="0"/>
                <w:color w:val="auto"/>
                <w:kern w:val="0"/>
                <w:sz w:val="21"/>
                <w:szCs w:val="21"/>
              </w:rPr>
            </w:pPr>
          </w:p>
        </w:tc>
        <w:tc>
          <w:tcPr>
            <w:tcW w:w="1622" w:type="dxa"/>
            <w:noWrap w:val="0"/>
            <w:vAlign w:val="center"/>
          </w:tcPr>
          <w:p w14:paraId="0659253C">
            <w:pPr>
              <w:spacing w:line="240" w:lineRule="auto"/>
              <w:ind w:firstLine="0" w:firstLineChars="0"/>
              <w:jc w:val="center"/>
              <w:rPr>
                <w:rFonts w:ascii="Times New Roman" w:hAnsi="Times New Roman" w:eastAsia="宋体"/>
                <w:b w:val="0"/>
                <w:bCs w:val="0"/>
                <w:color w:val="auto"/>
                <w:kern w:val="0"/>
                <w:sz w:val="21"/>
                <w:szCs w:val="21"/>
              </w:rPr>
            </w:pPr>
          </w:p>
        </w:tc>
        <w:tc>
          <w:tcPr>
            <w:tcW w:w="1623" w:type="dxa"/>
            <w:noWrap w:val="0"/>
            <w:vAlign w:val="center"/>
          </w:tcPr>
          <w:p w14:paraId="337829CA">
            <w:pPr>
              <w:spacing w:line="240" w:lineRule="auto"/>
              <w:ind w:firstLine="0" w:firstLineChars="0"/>
              <w:jc w:val="center"/>
              <w:rPr>
                <w:rFonts w:ascii="Times New Roman" w:hAnsi="Times New Roman" w:eastAsia="宋体"/>
                <w:b w:val="0"/>
                <w:bCs w:val="0"/>
                <w:color w:val="auto"/>
                <w:kern w:val="0"/>
                <w:sz w:val="21"/>
                <w:szCs w:val="21"/>
              </w:rPr>
            </w:pPr>
          </w:p>
        </w:tc>
      </w:tr>
    </w:tbl>
    <w:p w14:paraId="4F5F491A">
      <w:pPr>
        <w:rPr>
          <w:rFonts w:hint="default"/>
          <w:color w:val="auto"/>
          <w:lang w:val="en-US" w:eastAsia="zh-CN"/>
        </w:rPr>
      </w:pPr>
      <w:r>
        <w:rPr>
          <w:rFonts w:hint="default"/>
          <w:color w:val="auto"/>
          <w:lang w:val="en-US" w:eastAsia="zh-CN"/>
        </w:rPr>
        <w:br w:type="page"/>
      </w:r>
    </w:p>
    <w:p w14:paraId="38A83017">
      <w:pPr>
        <w:pStyle w:val="2"/>
        <w:bidi w:val="0"/>
        <w:rPr>
          <w:rFonts w:hint="default"/>
          <w:color w:val="auto"/>
          <w:lang w:val="en-US" w:eastAsia="zh-CN"/>
        </w:rPr>
      </w:pPr>
      <w:bookmarkStart w:id="213" w:name="_Toc1358"/>
      <w:bookmarkStart w:id="214" w:name="_Toc14411"/>
      <w:bookmarkStart w:id="215" w:name="_Toc32711"/>
      <w:bookmarkStart w:id="216" w:name="_Toc29547"/>
      <w:r>
        <w:rPr>
          <w:rFonts w:hint="default"/>
          <w:color w:val="auto"/>
          <w:lang w:val="en-US" w:eastAsia="zh-CN"/>
        </w:rPr>
        <w:t>附件二 危险、有害因素的辨识及分析过程</w:t>
      </w:r>
      <w:bookmarkEnd w:id="213"/>
      <w:bookmarkEnd w:id="214"/>
      <w:bookmarkEnd w:id="215"/>
      <w:bookmarkEnd w:id="216"/>
    </w:p>
    <w:p w14:paraId="0BF198EC">
      <w:pPr>
        <w:pStyle w:val="3"/>
        <w:bidi w:val="0"/>
        <w:rPr>
          <w:rFonts w:hint="default"/>
          <w:color w:val="auto"/>
          <w:lang w:val="en-US" w:eastAsia="zh-CN"/>
        </w:rPr>
      </w:pPr>
      <w:bookmarkStart w:id="217" w:name="_Toc22758"/>
      <w:bookmarkStart w:id="218" w:name="_Toc26690"/>
      <w:bookmarkStart w:id="219" w:name="_Toc30612"/>
      <w:bookmarkStart w:id="220" w:name="_Toc19866"/>
      <w:r>
        <w:rPr>
          <w:rFonts w:hint="default"/>
          <w:color w:val="auto"/>
          <w:lang w:val="en-US" w:eastAsia="zh-CN"/>
        </w:rPr>
        <w:t>2.1</w:t>
      </w:r>
      <w:r>
        <w:rPr>
          <w:rFonts w:hint="eastAsia"/>
          <w:color w:val="auto"/>
          <w:lang w:val="en-US" w:eastAsia="zh-CN"/>
        </w:rPr>
        <w:t xml:space="preserve"> </w:t>
      </w:r>
      <w:r>
        <w:rPr>
          <w:rFonts w:hint="default"/>
          <w:color w:val="auto"/>
          <w:lang w:val="en-US" w:eastAsia="zh-CN"/>
        </w:rPr>
        <w:t>辨识依据及产生原因</w:t>
      </w:r>
      <w:bookmarkEnd w:id="217"/>
      <w:bookmarkEnd w:id="218"/>
      <w:bookmarkEnd w:id="219"/>
      <w:bookmarkEnd w:id="220"/>
    </w:p>
    <w:p w14:paraId="095B3BA3">
      <w:pPr>
        <w:rPr>
          <w:rFonts w:hint="default"/>
          <w:b/>
          <w:bCs/>
          <w:color w:val="auto"/>
          <w:lang w:val="en-US" w:eastAsia="zh-CN"/>
        </w:rPr>
      </w:pPr>
      <w:r>
        <w:rPr>
          <w:rFonts w:hint="default"/>
          <w:b/>
          <w:bCs/>
          <w:color w:val="auto"/>
          <w:lang w:val="en-US" w:eastAsia="zh-CN"/>
        </w:rPr>
        <w:t>一、辨识依据</w:t>
      </w:r>
    </w:p>
    <w:p w14:paraId="06566CBE">
      <w:pPr>
        <w:rPr>
          <w:rFonts w:hint="default"/>
          <w:color w:val="auto"/>
          <w:lang w:val="en-US" w:eastAsia="zh-CN"/>
        </w:rPr>
      </w:pPr>
      <w:r>
        <w:rPr>
          <w:rFonts w:hint="default"/>
          <w:color w:val="auto"/>
          <w:lang w:val="en-US" w:eastAsia="zh-CN"/>
        </w:rPr>
        <w:t>危险因素是指能对人造成伤亡或对物造成突发性损坏的因素，有害因素是指能影响人的身体健康，导致疾病，或对物造成慢性损坏的因素。危险、有害因素分析是安全评价的重要环节，也是安全评价的基础。</w:t>
      </w:r>
    </w:p>
    <w:p w14:paraId="6A01C944">
      <w:pPr>
        <w:rPr>
          <w:rFonts w:hint="default"/>
          <w:color w:val="auto"/>
          <w:lang w:val="en-US" w:eastAsia="zh-CN"/>
        </w:rPr>
      </w:pPr>
      <w:r>
        <w:rPr>
          <w:rFonts w:hint="default"/>
          <w:color w:val="auto"/>
          <w:lang w:val="en-US" w:eastAsia="zh-CN"/>
        </w:rPr>
        <w:t>对</w:t>
      </w:r>
      <w:r>
        <w:rPr>
          <w:rFonts w:hint="eastAsia"/>
          <w:color w:val="auto"/>
          <w:lang w:val="en-US" w:eastAsia="zh-CN"/>
        </w:rPr>
        <w:t>本项目</w:t>
      </w:r>
      <w:r>
        <w:rPr>
          <w:rFonts w:hint="default"/>
          <w:color w:val="auto"/>
          <w:lang w:val="en-US" w:eastAsia="zh-CN"/>
        </w:rPr>
        <w:t>的危险、有害因素进行辨识，依据《生产过程危险和有害因素分类与代码》GB/T13861-2022、《企业职工伤亡事故分类》GB6441-1986的同时，通过对</w:t>
      </w:r>
      <w:r>
        <w:rPr>
          <w:rFonts w:hint="eastAsia"/>
          <w:color w:val="auto"/>
          <w:lang w:val="en-US" w:eastAsia="zh-CN"/>
        </w:rPr>
        <w:t>本项目</w:t>
      </w:r>
      <w:r>
        <w:rPr>
          <w:rFonts w:hint="default"/>
          <w:color w:val="auto"/>
          <w:lang w:val="en-US" w:eastAsia="zh-CN"/>
        </w:rPr>
        <w:t>的站址、总平面布置、建（构）筑物、物料、生产工艺及设备、公用工程及辅助生产设施等方面进行分析而得出。</w:t>
      </w:r>
    </w:p>
    <w:p w14:paraId="293F905F">
      <w:pPr>
        <w:rPr>
          <w:rFonts w:hint="default"/>
          <w:b/>
          <w:bCs/>
          <w:color w:val="auto"/>
          <w:lang w:val="en-US" w:eastAsia="zh-CN"/>
        </w:rPr>
      </w:pPr>
      <w:r>
        <w:rPr>
          <w:rFonts w:hint="default"/>
          <w:b/>
          <w:bCs/>
          <w:color w:val="auto"/>
          <w:lang w:val="en-US" w:eastAsia="zh-CN"/>
        </w:rPr>
        <w:t>二、产生原因</w:t>
      </w:r>
    </w:p>
    <w:p w14:paraId="26AB4CD0">
      <w:pPr>
        <w:rPr>
          <w:rFonts w:hint="default"/>
          <w:color w:val="auto"/>
          <w:lang w:val="en-US" w:eastAsia="zh-CN"/>
        </w:rPr>
      </w:pPr>
      <w:r>
        <w:rPr>
          <w:rFonts w:hint="default"/>
          <w:color w:val="auto"/>
          <w:lang w:val="en-US" w:eastAsia="zh-CN"/>
        </w:rPr>
        <w:t>按导致事故的直接原因进行分析，根据《生产过程危险和有害因素分类与代码》GB/T13861-2022的规定，</w:t>
      </w:r>
      <w:r>
        <w:rPr>
          <w:rFonts w:hint="eastAsia"/>
          <w:color w:val="auto"/>
          <w:lang w:val="en-US" w:eastAsia="zh-CN"/>
        </w:rPr>
        <w:t>本项目</w:t>
      </w:r>
      <w:r>
        <w:rPr>
          <w:rFonts w:hint="default"/>
          <w:color w:val="auto"/>
          <w:lang w:val="en-US" w:eastAsia="zh-CN"/>
        </w:rPr>
        <w:t>存在以下四类危险、有害因素。</w:t>
      </w:r>
    </w:p>
    <w:p w14:paraId="48C4B575">
      <w:pPr>
        <w:numPr>
          <w:ilvl w:val="0"/>
          <w:numId w:val="3"/>
        </w:numPr>
        <w:rPr>
          <w:rFonts w:hint="default"/>
          <w:color w:val="auto"/>
          <w:lang w:val="en-US" w:eastAsia="zh-CN"/>
        </w:rPr>
      </w:pPr>
      <w:r>
        <w:rPr>
          <w:rFonts w:hint="default"/>
          <w:color w:val="auto"/>
          <w:lang w:val="en-US" w:eastAsia="zh-CN"/>
        </w:rPr>
        <w:t>人的因素</w:t>
      </w:r>
    </w:p>
    <w:p w14:paraId="74870F39">
      <w:pPr>
        <w:rPr>
          <w:rFonts w:hint="default"/>
          <w:color w:val="auto"/>
          <w:lang w:val="en-US" w:eastAsia="zh-CN"/>
        </w:rPr>
      </w:pPr>
      <w:r>
        <w:rPr>
          <w:rFonts w:hint="default"/>
          <w:color w:val="auto"/>
          <w:lang w:val="en-US" w:eastAsia="zh-CN"/>
        </w:rPr>
        <w:t>1）心理、生理性危险、有害因素（代码：11）</w:t>
      </w:r>
    </w:p>
    <w:p w14:paraId="51CD7D32">
      <w:pPr>
        <w:rPr>
          <w:rFonts w:hint="default"/>
          <w:color w:val="auto"/>
          <w:lang w:val="en-US" w:eastAsia="zh-CN"/>
        </w:rPr>
      </w:pPr>
      <w:r>
        <w:rPr>
          <w:rFonts w:hint="eastAsia"/>
          <w:color w:val="auto"/>
          <w:lang w:val="en-US" w:eastAsia="zh-CN"/>
        </w:rPr>
        <w:t>本项目</w:t>
      </w:r>
      <w:r>
        <w:rPr>
          <w:rFonts w:hint="default"/>
          <w:color w:val="auto"/>
          <w:lang w:val="en-US" w:eastAsia="zh-CN"/>
        </w:rPr>
        <w:t>中职工可能存在年龄、体质、受教育程度、操作熟练程度、心理承受能力、对事物的反应速度、休息好坏等差异。在生产过程中，存在过度疲劳、健康异常、心理异常（如情绪异常、过度紧张等）或有职业禁忌症，反应迟钝等，从而不能及时判断处理故障发生事故或引发事故。</w:t>
      </w:r>
    </w:p>
    <w:p w14:paraId="7DF22421">
      <w:pPr>
        <w:rPr>
          <w:rFonts w:hint="default"/>
          <w:color w:val="auto"/>
          <w:lang w:val="en-US" w:eastAsia="zh-CN"/>
        </w:rPr>
      </w:pPr>
      <w:r>
        <w:rPr>
          <w:rFonts w:hint="default"/>
          <w:color w:val="auto"/>
          <w:lang w:val="en-US" w:eastAsia="zh-CN"/>
        </w:rPr>
        <w:t>2）行为性危险、有害因素（代码：12）</w:t>
      </w:r>
    </w:p>
    <w:p w14:paraId="6E3EF212">
      <w:pPr>
        <w:rPr>
          <w:rFonts w:hint="default"/>
          <w:color w:val="auto"/>
          <w:lang w:val="en-US" w:eastAsia="zh-CN"/>
        </w:rPr>
      </w:pPr>
      <w:r>
        <w:rPr>
          <w:rFonts w:hint="default"/>
          <w:color w:val="auto"/>
          <w:lang w:val="en-US" w:eastAsia="zh-CN"/>
        </w:rPr>
        <w:t>行为性危险、有害因素主要表现为操作错误（如误操作、违章操作）或监护错误（如作业人员脱离岗位等）。</w:t>
      </w:r>
    </w:p>
    <w:p w14:paraId="18C62BD0">
      <w:pPr>
        <w:rPr>
          <w:rFonts w:hint="default"/>
          <w:color w:val="auto"/>
          <w:lang w:val="en-US" w:eastAsia="zh-CN"/>
        </w:rPr>
      </w:pPr>
      <w:r>
        <w:rPr>
          <w:rFonts w:hint="default"/>
          <w:color w:val="auto"/>
          <w:lang w:val="en-US" w:eastAsia="zh-CN"/>
        </w:rPr>
        <w:t>由于加油站是一个开放的</w:t>
      </w:r>
      <w:r>
        <w:rPr>
          <w:rFonts w:hint="eastAsia"/>
          <w:color w:val="auto"/>
          <w:lang w:val="en-US" w:eastAsia="zh-CN"/>
        </w:rPr>
        <w:t>运行</w:t>
      </w:r>
      <w:r>
        <w:rPr>
          <w:rFonts w:hint="default"/>
          <w:color w:val="auto"/>
          <w:lang w:val="en-US" w:eastAsia="zh-CN"/>
        </w:rPr>
        <w:t>场所，来往车辆多，车辆带来的是流动的外来人员，常有不明白加油站安全要求的人员进入加油站，并有点火吸烟、在加油区打手机等行为出现，这些人员的行为性危险有害因素需要加油站工作人员的安全引导和及时的制止。因此，加油站的行为性危险、有害因素多表现在外来人员中。</w:t>
      </w:r>
    </w:p>
    <w:p w14:paraId="4A25B6B2">
      <w:pPr>
        <w:numPr>
          <w:ilvl w:val="0"/>
          <w:numId w:val="3"/>
        </w:numPr>
        <w:ind w:left="0" w:leftChars="0" w:firstLine="560" w:firstLineChars="200"/>
        <w:rPr>
          <w:rFonts w:hint="default"/>
          <w:color w:val="auto"/>
          <w:lang w:val="en-US" w:eastAsia="zh-CN"/>
        </w:rPr>
      </w:pPr>
      <w:r>
        <w:rPr>
          <w:rFonts w:hint="default"/>
          <w:color w:val="auto"/>
          <w:lang w:val="en-US" w:eastAsia="zh-CN"/>
        </w:rPr>
        <w:t>物的因素</w:t>
      </w:r>
    </w:p>
    <w:p w14:paraId="14645C07">
      <w:pPr>
        <w:rPr>
          <w:rFonts w:hint="default"/>
          <w:color w:val="auto"/>
          <w:lang w:val="en-US" w:eastAsia="zh-CN"/>
        </w:rPr>
      </w:pPr>
      <w:r>
        <w:rPr>
          <w:rFonts w:hint="default"/>
          <w:color w:val="auto"/>
          <w:lang w:val="en-US" w:eastAsia="zh-CN"/>
        </w:rPr>
        <w:t>1）物理性危险和有害因素（代码：21）</w:t>
      </w:r>
    </w:p>
    <w:p w14:paraId="56E72DB0">
      <w:pPr>
        <w:rPr>
          <w:rFonts w:hint="default"/>
          <w:color w:val="auto"/>
          <w:lang w:val="en-US" w:eastAsia="zh-CN"/>
        </w:rPr>
      </w:pPr>
      <w:r>
        <w:rPr>
          <w:rFonts w:hint="default"/>
          <w:color w:val="auto"/>
          <w:lang w:val="en-US" w:eastAsia="zh-CN"/>
        </w:rPr>
        <w:t>（1）设备、设施缺陷（代码：2101）</w:t>
      </w:r>
    </w:p>
    <w:p w14:paraId="72BB8549">
      <w:pPr>
        <w:rPr>
          <w:rFonts w:hint="default"/>
          <w:color w:val="auto"/>
          <w:lang w:val="en-US" w:eastAsia="zh-CN"/>
        </w:rPr>
      </w:pPr>
      <w:r>
        <w:rPr>
          <w:rFonts w:hint="eastAsia"/>
          <w:color w:val="auto"/>
          <w:lang w:val="en-US" w:eastAsia="zh-CN"/>
        </w:rPr>
        <w:t>本项目</w:t>
      </w:r>
      <w:r>
        <w:rPr>
          <w:rFonts w:hint="default"/>
          <w:color w:val="auto"/>
          <w:lang w:val="en-US" w:eastAsia="zh-CN"/>
        </w:rPr>
        <w:t>中存在储罐、泵等设备、设施，如因设备基础、本体腐蚀、强度不够、安装质量低、管道密封不良、运动件损坏等可能引发各类事故。</w:t>
      </w:r>
    </w:p>
    <w:p w14:paraId="0C99D5C9">
      <w:pPr>
        <w:rPr>
          <w:rFonts w:hint="default"/>
          <w:color w:val="auto"/>
          <w:lang w:val="en-US" w:eastAsia="zh-CN"/>
        </w:rPr>
      </w:pPr>
      <w:r>
        <w:rPr>
          <w:rFonts w:hint="default"/>
          <w:color w:val="auto"/>
          <w:lang w:val="en-US" w:eastAsia="zh-CN"/>
        </w:rPr>
        <w:t>（2）电气危害（代码：2103）</w:t>
      </w:r>
    </w:p>
    <w:p w14:paraId="67FDDB8A">
      <w:pPr>
        <w:rPr>
          <w:rFonts w:hint="default"/>
          <w:color w:val="auto"/>
          <w:lang w:val="en-US" w:eastAsia="zh-CN"/>
        </w:rPr>
      </w:pPr>
      <w:r>
        <w:rPr>
          <w:rFonts w:hint="eastAsia"/>
          <w:color w:val="auto"/>
          <w:lang w:val="en-US" w:eastAsia="zh-CN"/>
        </w:rPr>
        <w:t>本项目</w:t>
      </w:r>
      <w:r>
        <w:rPr>
          <w:rFonts w:hint="default"/>
          <w:color w:val="auto"/>
          <w:lang w:val="en-US" w:eastAsia="zh-CN"/>
        </w:rPr>
        <w:t>中使用电气设备、设施，可能发生带电部位裸露、漏电、雷电、静电、电火花等电危害。</w:t>
      </w:r>
    </w:p>
    <w:p w14:paraId="61A64021">
      <w:pPr>
        <w:rPr>
          <w:rFonts w:hint="default"/>
          <w:color w:val="auto"/>
          <w:lang w:val="en-US" w:eastAsia="zh-CN"/>
        </w:rPr>
      </w:pPr>
      <w:r>
        <w:rPr>
          <w:rFonts w:hint="default"/>
          <w:color w:val="auto"/>
          <w:lang w:val="en-US" w:eastAsia="zh-CN"/>
        </w:rPr>
        <w:t>（3）运动物危害（代码：2108）</w:t>
      </w:r>
    </w:p>
    <w:p w14:paraId="58D3949F">
      <w:pPr>
        <w:rPr>
          <w:rFonts w:hint="default"/>
          <w:color w:val="auto"/>
          <w:lang w:val="en-US" w:eastAsia="zh-CN"/>
        </w:rPr>
      </w:pPr>
      <w:r>
        <w:rPr>
          <w:rFonts w:hint="eastAsia"/>
          <w:color w:val="auto"/>
          <w:lang w:val="en-US" w:eastAsia="zh-CN"/>
        </w:rPr>
        <w:t>本项目</w:t>
      </w:r>
      <w:r>
        <w:rPr>
          <w:rFonts w:hint="default"/>
          <w:color w:val="auto"/>
          <w:lang w:val="en-US" w:eastAsia="zh-CN"/>
        </w:rPr>
        <w:t>中的机泵在工作时可能发生机械伤人，另外，高处未固定好的物体或检修工具、器落下、飞出等。运输车辆可能因各种原因发生撞击设备或人员等。</w:t>
      </w:r>
    </w:p>
    <w:p w14:paraId="3EC5AB99">
      <w:pPr>
        <w:rPr>
          <w:rFonts w:hint="default"/>
          <w:color w:val="auto"/>
          <w:lang w:val="en-US" w:eastAsia="zh-CN"/>
        </w:rPr>
      </w:pPr>
      <w:r>
        <w:rPr>
          <w:rFonts w:hint="default"/>
          <w:color w:val="auto"/>
          <w:lang w:val="en-US" w:eastAsia="zh-CN"/>
        </w:rPr>
        <w:t>（4）明火（代码：2109）</w:t>
      </w:r>
    </w:p>
    <w:p w14:paraId="495895B5">
      <w:pPr>
        <w:rPr>
          <w:rFonts w:hint="default"/>
          <w:color w:val="auto"/>
          <w:lang w:val="en-US" w:eastAsia="zh-CN"/>
        </w:rPr>
      </w:pPr>
      <w:r>
        <w:rPr>
          <w:rFonts w:hint="default"/>
          <w:color w:val="auto"/>
          <w:lang w:val="en-US" w:eastAsia="zh-CN"/>
        </w:rPr>
        <w:t>包括检修动火，违章吸烟，动火及汽车排气管尾气带火等。</w:t>
      </w:r>
    </w:p>
    <w:p w14:paraId="0C7B38F8">
      <w:pPr>
        <w:rPr>
          <w:rFonts w:hint="default"/>
          <w:color w:val="auto"/>
          <w:lang w:val="en-US" w:eastAsia="zh-CN"/>
        </w:rPr>
      </w:pPr>
      <w:r>
        <w:rPr>
          <w:rFonts w:hint="default"/>
          <w:color w:val="auto"/>
          <w:lang w:val="en-US" w:eastAsia="zh-CN"/>
        </w:rPr>
        <w:t>（5）标志缺陷（代码：2113）</w:t>
      </w:r>
    </w:p>
    <w:p w14:paraId="29F1DBC5">
      <w:pPr>
        <w:rPr>
          <w:rFonts w:hint="default"/>
          <w:color w:val="auto"/>
          <w:lang w:val="en-US" w:eastAsia="zh-CN"/>
        </w:rPr>
      </w:pPr>
      <w:r>
        <w:rPr>
          <w:rFonts w:hint="eastAsia"/>
          <w:color w:val="auto"/>
          <w:lang w:val="en-US" w:eastAsia="zh-CN"/>
        </w:rPr>
        <w:t>本项目</w:t>
      </w:r>
      <w:r>
        <w:rPr>
          <w:rFonts w:hint="default"/>
          <w:color w:val="auto"/>
          <w:lang w:val="en-US" w:eastAsia="zh-CN"/>
        </w:rPr>
        <w:t>标志缺陷主要可能在于未设置警示标志或标志不规范等。</w:t>
      </w:r>
    </w:p>
    <w:p w14:paraId="19953018">
      <w:pPr>
        <w:rPr>
          <w:rFonts w:hint="default"/>
          <w:color w:val="auto"/>
          <w:lang w:val="en-US" w:eastAsia="zh-CN"/>
        </w:rPr>
      </w:pPr>
      <w:r>
        <w:rPr>
          <w:rFonts w:hint="default"/>
          <w:color w:val="auto"/>
          <w:lang w:val="en-US" w:eastAsia="zh-CN"/>
        </w:rPr>
        <w:t>2）化学性危险、有害因素（代码：2202）</w:t>
      </w:r>
    </w:p>
    <w:p w14:paraId="184253FE">
      <w:pPr>
        <w:rPr>
          <w:rFonts w:hint="default"/>
          <w:color w:val="auto"/>
          <w:lang w:val="en-US" w:eastAsia="zh-CN"/>
        </w:rPr>
      </w:pPr>
      <w:r>
        <w:rPr>
          <w:rFonts w:hint="default"/>
          <w:color w:val="auto"/>
          <w:lang w:val="en-US" w:eastAsia="zh-CN"/>
        </w:rPr>
        <w:t>（1）易燃易爆性物质</w:t>
      </w:r>
    </w:p>
    <w:p w14:paraId="1437425D">
      <w:pPr>
        <w:rPr>
          <w:rFonts w:hint="default"/>
          <w:color w:val="auto"/>
          <w:lang w:val="en-US" w:eastAsia="zh-CN"/>
        </w:rPr>
      </w:pPr>
      <w:r>
        <w:rPr>
          <w:rFonts w:hint="eastAsia"/>
          <w:color w:val="auto"/>
          <w:lang w:val="en-US" w:eastAsia="zh-CN"/>
        </w:rPr>
        <w:t>本项目</w:t>
      </w:r>
      <w:r>
        <w:rPr>
          <w:rFonts w:hint="default"/>
          <w:color w:val="auto"/>
          <w:lang w:val="en-US" w:eastAsia="zh-CN"/>
        </w:rPr>
        <w:t>中柴油是化学品液体。柴油为易燃液体（类别3），遇明火、高热或与氧化剂接触，有引起燃烧爆炸的危险。</w:t>
      </w:r>
    </w:p>
    <w:p w14:paraId="3011FD81">
      <w:pPr>
        <w:rPr>
          <w:rFonts w:hint="default"/>
          <w:color w:val="auto"/>
          <w:lang w:val="en-US" w:eastAsia="zh-CN"/>
        </w:rPr>
      </w:pPr>
      <w:r>
        <w:rPr>
          <w:rFonts w:hint="default"/>
          <w:color w:val="auto"/>
          <w:lang w:val="en-US" w:eastAsia="zh-CN"/>
        </w:rPr>
        <w:t>（2）有毒物质</w:t>
      </w:r>
    </w:p>
    <w:p w14:paraId="41060E43">
      <w:pPr>
        <w:rPr>
          <w:rFonts w:hint="default"/>
          <w:color w:val="auto"/>
          <w:lang w:val="en-US" w:eastAsia="zh-CN"/>
        </w:rPr>
      </w:pPr>
      <w:r>
        <w:rPr>
          <w:rFonts w:hint="default"/>
          <w:color w:val="auto"/>
          <w:lang w:val="en-US" w:eastAsia="zh-CN"/>
        </w:rPr>
        <w:t>柴油经口、鼻进入人体的呼吸系统，能使人体器官损害而产生慢性中毒。当空气中油气含量为0.28%，人在该环境中经过12～14min便会有头晕感；如含量达到1.13%～2.22%，将会使人难以支持；含量更高时，则会使人立即晕倒，失去知觉，造成急性中毒。若皮肤经常与油品接触，则会产生脱脂、干燥、裂口、皮炎或局部神经麻木等症状；油品进入口腔、眼睛时，会使黏膜枯萎，有时还会引起局部充血。</w:t>
      </w:r>
    </w:p>
    <w:p w14:paraId="608B4CC7">
      <w:pPr>
        <w:numPr>
          <w:ilvl w:val="0"/>
          <w:numId w:val="3"/>
        </w:numPr>
        <w:ind w:left="0" w:leftChars="0" w:firstLine="560" w:firstLineChars="200"/>
        <w:rPr>
          <w:rFonts w:hint="default"/>
          <w:color w:val="auto"/>
          <w:lang w:val="en-US" w:eastAsia="zh-CN"/>
        </w:rPr>
      </w:pPr>
      <w:r>
        <w:rPr>
          <w:rFonts w:hint="default"/>
          <w:color w:val="auto"/>
          <w:lang w:val="en-US" w:eastAsia="zh-CN"/>
        </w:rPr>
        <w:t>环境因素</w:t>
      </w:r>
    </w:p>
    <w:p w14:paraId="04216AB0">
      <w:pPr>
        <w:rPr>
          <w:rFonts w:hint="default"/>
          <w:color w:val="auto"/>
          <w:lang w:val="en-US" w:eastAsia="zh-CN"/>
        </w:rPr>
      </w:pPr>
      <w:r>
        <w:rPr>
          <w:rFonts w:hint="eastAsia"/>
          <w:color w:val="auto"/>
          <w:lang w:val="en-US" w:eastAsia="zh-CN"/>
        </w:rPr>
        <w:t>本项目</w:t>
      </w:r>
      <w:r>
        <w:rPr>
          <w:rFonts w:hint="default"/>
          <w:color w:val="auto"/>
          <w:lang w:val="en-US" w:eastAsia="zh-CN"/>
        </w:rPr>
        <w:t>作业环境不良主要包括高温高湿环境、雷雨天气、夜间作业采光照明不良、作业场所地面不平整及台风等自然灾害。（代码：3201、3214、3210、3110）</w:t>
      </w:r>
    </w:p>
    <w:p w14:paraId="4B2C72A6">
      <w:pPr>
        <w:rPr>
          <w:rFonts w:hint="default"/>
          <w:color w:val="auto"/>
          <w:lang w:val="en-US" w:eastAsia="zh-CN"/>
        </w:rPr>
      </w:pPr>
      <w:r>
        <w:rPr>
          <w:rFonts w:hint="eastAsia"/>
          <w:color w:val="auto"/>
          <w:lang w:val="en-US" w:eastAsia="zh-CN"/>
        </w:rPr>
        <w:t>本项目</w:t>
      </w:r>
      <w:r>
        <w:rPr>
          <w:rFonts w:hint="default"/>
          <w:color w:val="auto"/>
          <w:lang w:val="en-US" w:eastAsia="zh-CN"/>
        </w:rPr>
        <w:t>中其他危险、有害因素主要表现为周边环境、公用辅助设施的保证等。</w:t>
      </w:r>
    </w:p>
    <w:p w14:paraId="0B55CBF8">
      <w:pPr>
        <w:numPr>
          <w:ilvl w:val="0"/>
          <w:numId w:val="3"/>
        </w:numPr>
        <w:ind w:left="0" w:leftChars="0" w:firstLine="560" w:firstLineChars="200"/>
        <w:rPr>
          <w:rFonts w:hint="default"/>
          <w:color w:val="auto"/>
          <w:lang w:val="en-US" w:eastAsia="zh-CN"/>
        </w:rPr>
      </w:pPr>
      <w:r>
        <w:rPr>
          <w:rFonts w:hint="default"/>
          <w:color w:val="auto"/>
          <w:lang w:val="en-US" w:eastAsia="zh-CN"/>
        </w:rPr>
        <w:t>管理因素</w:t>
      </w:r>
    </w:p>
    <w:p w14:paraId="0D55F6F4">
      <w:pPr>
        <w:rPr>
          <w:rFonts w:hint="default"/>
          <w:color w:val="auto"/>
          <w:lang w:val="en-US" w:eastAsia="zh-CN"/>
        </w:rPr>
      </w:pPr>
      <w:r>
        <w:rPr>
          <w:rFonts w:hint="eastAsia"/>
          <w:color w:val="auto"/>
          <w:lang w:val="en-US" w:eastAsia="zh-CN"/>
        </w:rPr>
        <w:t>本项目</w:t>
      </w:r>
      <w:r>
        <w:rPr>
          <w:rFonts w:hint="default"/>
          <w:color w:val="auto"/>
          <w:lang w:val="en-US" w:eastAsia="zh-CN"/>
        </w:rPr>
        <w:t>管理缺陷主要为安全教育培训、职业健康管理不完善，包括安全教育培训、人员持证、职业健康体检及其档案管理等不完善。（代码：45）</w:t>
      </w:r>
    </w:p>
    <w:p w14:paraId="756904EE">
      <w:pPr>
        <w:pStyle w:val="3"/>
        <w:bidi w:val="0"/>
        <w:rPr>
          <w:rFonts w:hint="default"/>
          <w:color w:val="auto"/>
          <w:lang w:val="en-US" w:eastAsia="zh-CN"/>
        </w:rPr>
      </w:pPr>
      <w:bookmarkStart w:id="221" w:name="_Toc20586"/>
      <w:bookmarkStart w:id="222" w:name="_Toc2747"/>
      <w:bookmarkStart w:id="223" w:name="_Toc10310"/>
      <w:bookmarkStart w:id="224" w:name="_Toc19909"/>
      <w:r>
        <w:rPr>
          <w:rFonts w:hint="default"/>
          <w:color w:val="auto"/>
          <w:lang w:val="en-US" w:eastAsia="zh-CN"/>
        </w:rPr>
        <w:t>2.2</w:t>
      </w:r>
      <w:r>
        <w:rPr>
          <w:rFonts w:hint="eastAsia"/>
          <w:color w:val="auto"/>
          <w:lang w:val="en-US" w:eastAsia="zh-CN"/>
        </w:rPr>
        <w:t xml:space="preserve"> </w:t>
      </w:r>
      <w:r>
        <w:rPr>
          <w:rFonts w:hint="default"/>
          <w:color w:val="auto"/>
          <w:lang w:val="en-US" w:eastAsia="zh-CN"/>
        </w:rPr>
        <w:t>重大危险源辨识</w:t>
      </w:r>
      <w:bookmarkEnd w:id="221"/>
      <w:bookmarkEnd w:id="222"/>
      <w:bookmarkEnd w:id="223"/>
      <w:bookmarkEnd w:id="224"/>
    </w:p>
    <w:p w14:paraId="30976CBF">
      <w:pPr>
        <w:keepNext/>
        <w:keepLines/>
        <w:pageBreakBefore w:val="0"/>
        <w:widowControl w:val="0"/>
        <w:kinsoku/>
        <w:wordWrap/>
        <w:overflowPunct/>
        <w:topLinePunct w:val="0"/>
        <w:autoSpaceDE/>
        <w:autoSpaceDN/>
        <w:bidi w:val="0"/>
        <w:adjustRightInd/>
        <w:snapToGrid/>
        <w:spacing w:line="360" w:lineRule="auto"/>
        <w:ind w:firstLine="562" w:firstLineChars="200"/>
        <w:jc w:val="both"/>
        <w:textAlignment w:val="auto"/>
        <w:outlineLvl w:val="2"/>
        <w:rPr>
          <w:rFonts w:ascii="Times New Roman" w:hAnsi="Times New Roman" w:eastAsia="黑体" w:cs="Times New Roman"/>
          <w:b/>
          <w:bCs/>
          <w:color w:val="auto"/>
          <w:kern w:val="2"/>
          <w:sz w:val="28"/>
          <w:szCs w:val="28"/>
          <w:lang w:val="en-US" w:eastAsia="zh-CN" w:bidi="ar-SA"/>
        </w:rPr>
      </w:pPr>
      <w:bookmarkStart w:id="225" w:name="_Toc23723"/>
      <w:bookmarkStart w:id="226" w:name="_Toc15076"/>
      <w:bookmarkStart w:id="227" w:name="_Toc31958"/>
      <w:bookmarkStart w:id="228" w:name="_Toc22942"/>
      <w:r>
        <w:rPr>
          <w:rFonts w:ascii="Times New Roman" w:hAnsi="Times New Roman" w:eastAsia="黑体" w:cs="Times New Roman"/>
          <w:b/>
          <w:bCs/>
          <w:color w:val="auto"/>
          <w:kern w:val="2"/>
          <w:sz w:val="28"/>
          <w:szCs w:val="28"/>
          <w:lang w:val="en-US" w:eastAsia="zh-CN" w:bidi="ar-SA"/>
        </w:rPr>
        <w:t>2.2.1重大危险源辨识依据</w:t>
      </w:r>
      <w:bookmarkEnd w:id="225"/>
      <w:bookmarkEnd w:id="226"/>
      <w:bookmarkEnd w:id="227"/>
      <w:bookmarkEnd w:id="228"/>
    </w:p>
    <w:p w14:paraId="78307C44">
      <w:pPr>
        <w:bidi w:val="0"/>
        <w:rPr>
          <w:color w:val="auto"/>
        </w:rPr>
      </w:pPr>
      <w:r>
        <w:rPr>
          <w:color w:val="auto"/>
        </w:rPr>
        <w:t>根据《</w:t>
      </w:r>
      <w:r>
        <w:rPr>
          <w:rFonts w:hint="eastAsia"/>
          <w:color w:val="auto"/>
        </w:rPr>
        <w:t>危险化学品</w:t>
      </w:r>
      <w:r>
        <w:rPr>
          <w:color w:val="auto"/>
        </w:rPr>
        <w:t>重大危险源辨识》</w:t>
      </w:r>
      <w:r>
        <w:rPr>
          <w:rFonts w:hint="eastAsia"/>
          <w:color w:val="auto"/>
          <w:lang w:eastAsia="zh-CN"/>
        </w:rPr>
        <w:t>（</w:t>
      </w:r>
      <w:r>
        <w:rPr>
          <w:color w:val="auto"/>
        </w:rPr>
        <w:t>GB18218-20</w:t>
      </w:r>
      <w:r>
        <w:rPr>
          <w:rFonts w:hint="eastAsia"/>
          <w:color w:val="auto"/>
        </w:rPr>
        <w:t>18</w:t>
      </w:r>
      <w:r>
        <w:rPr>
          <w:rFonts w:hint="eastAsia"/>
          <w:color w:val="auto"/>
          <w:lang w:eastAsia="zh-CN"/>
        </w:rPr>
        <w:t>）</w:t>
      </w:r>
      <w:r>
        <w:rPr>
          <w:color w:val="auto"/>
        </w:rPr>
        <w:t>的定义，</w:t>
      </w:r>
      <w:r>
        <w:rPr>
          <w:rFonts w:hint="eastAsia"/>
          <w:color w:val="auto"/>
        </w:rPr>
        <w:t>危险化学品</w:t>
      </w:r>
      <w:r>
        <w:rPr>
          <w:color w:val="auto"/>
        </w:rPr>
        <w:t>重大危险源是指长期地或临时地生产</w:t>
      </w:r>
      <w:r>
        <w:rPr>
          <w:rFonts w:hint="eastAsia"/>
          <w:color w:val="auto"/>
        </w:rPr>
        <w:t>、储存、</w:t>
      </w:r>
      <w:r>
        <w:rPr>
          <w:color w:val="auto"/>
        </w:rPr>
        <w:t>使用</w:t>
      </w:r>
      <w:r>
        <w:rPr>
          <w:rFonts w:hint="eastAsia"/>
          <w:color w:val="auto"/>
        </w:rPr>
        <w:t>危险化学品</w:t>
      </w:r>
      <w:r>
        <w:rPr>
          <w:color w:val="auto"/>
        </w:rPr>
        <w:t>，且</w:t>
      </w:r>
      <w:r>
        <w:rPr>
          <w:rFonts w:hint="eastAsia"/>
          <w:color w:val="auto"/>
        </w:rPr>
        <w:t>危险化学品</w:t>
      </w:r>
      <w:r>
        <w:rPr>
          <w:color w:val="auto"/>
        </w:rPr>
        <w:t>的数量等于或超过临界量的单元。</w:t>
      </w:r>
    </w:p>
    <w:p w14:paraId="64CA28A1">
      <w:pPr>
        <w:bidi w:val="0"/>
        <w:rPr>
          <w:color w:val="auto"/>
        </w:rPr>
      </w:pPr>
      <w:r>
        <w:rPr>
          <w:color w:val="auto"/>
        </w:rPr>
        <w:t>危险化学品：具有毒害、腐蚀、爆炸、燃烧、助燃等性质，对人体、设施、环境具有危害的剧毒化学品和其他化学品。</w:t>
      </w:r>
    </w:p>
    <w:p w14:paraId="2282568C">
      <w:pPr>
        <w:bidi w:val="0"/>
        <w:rPr>
          <w:color w:val="auto"/>
        </w:rPr>
      </w:pPr>
      <w:r>
        <w:rPr>
          <w:rFonts w:hint="eastAsia"/>
          <w:color w:val="auto"/>
        </w:rPr>
        <w:t>单元：涉及危险化学品的生产、储存装置、设施或场所，分为生产单元和储存单元；</w:t>
      </w:r>
    </w:p>
    <w:p w14:paraId="227129BD">
      <w:pPr>
        <w:bidi w:val="0"/>
        <w:rPr>
          <w:color w:val="auto"/>
        </w:rPr>
      </w:pPr>
      <w:r>
        <w:rPr>
          <w:rFonts w:hint="eastAsia"/>
          <w:color w:val="auto"/>
        </w:rPr>
        <w:t>生产单元：指危险化学品的生产、加工及使用等装置及设施，当装置及设施之间有切断阀时，以切断阀作为分隔界限划分独立的单元；</w:t>
      </w:r>
    </w:p>
    <w:p w14:paraId="3F9BF745">
      <w:pPr>
        <w:bidi w:val="0"/>
        <w:rPr>
          <w:color w:val="auto"/>
        </w:rPr>
      </w:pPr>
      <w:r>
        <w:rPr>
          <w:rFonts w:hint="eastAsia"/>
          <w:color w:val="auto"/>
        </w:rPr>
        <w:t>储存单元：用于储存危险化学品的储罐或仓库组成的相对独立的区域，储罐区以罐区防火堤为界限划分为独立的单元，仓库以独立库房（独立建筑物）为界限划分为独立的单元。</w:t>
      </w:r>
    </w:p>
    <w:p w14:paraId="52C3CF5E">
      <w:pPr>
        <w:bidi w:val="0"/>
        <w:rPr>
          <w:color w:val="auto"/>
        </w:rPr>
      </w:pPr>
      <w:r>
        <w:rPr>
          <w:rFonts w:hint="eastAsia"/>
          <w:color w:val="auto"/>
        </w:rPr>
        <w:t>临界量：某种或某类危险化学品构成重大危险源所规定的最小数量。</w:t>
      </w:r>
    </w:p>
    <w:p w14:paraId="33712C98">
      <w:pPr>
        <w:bidi w:val="0"/>
        <w:rPr>
          <w:color w:val="auto"/>
        </w:rPr>
      </w:pPr>
      <w:r>
        <w:rPr>
          <w:rFonts w:hint="eastAsia"/>
          <w:color w:val="auto"/>
        </w:rPr>
        <w:t>危险化学品</w:t>
      </w:r>
      <w:r>
        <w:rPr>
          <w:color w:val="auto"/>
        </w:rPr>
        <w:t>重大危险源的辨识依据是物质的危险特性及其数量。</w:t>
      </w:r>
      <w:r>
        <w:rPr>
          <w:rFonts w:hint="eastAsia"/>
          <w:color w:val="auto"/>
        </w:rPr>
        <w:t>单元内存在的危险化学品的数量根据处理危险化学品种类的多少分为以下两种情况：</w:t>
      </w:r>
    </w:p>
    <w:p w14:paraId="74B8A032">
      <w:pPr>
        <w:bidi w:val="0"/>
        <w:rPr>
          <w:color w:val="auto"/>
        </w:rPr>
      </w:pPr>
      <w:r>
        <w:rPr>
          <w:rFonts w:hint="eastAsia"/>
          <w:color w:val="auto"/>
        </w:rPr>
        <w:t>1）单元内存在的危险化学品为单一品种，则该危险化学品的数量即为单元内危险化学品的总量，若等于或超过其对应的临界量，则定为重大危险源；</w:t>
      </w:r>
    </w:p>
    <w:p w14:paraId="2217C8D0">
      <w:pPr>
        <w:bidi w:val="0"/>
        <w:rPr>
          <w:color w:val="auto"/>
        </w:rPr>
      </w:pPr>
      <w:r>
        <w:rPr>
          <w:rFonts w:hint="eastAsia"/>
          <w:color w:val="auto"/>
        </w:rPr>
        <w:t>2）单元内存在的危险化学品为多品种时，则按式（1）计算，若满足式（1），则定为重大危险源：</w:t>
      </w:r>
    </w:p>
    <w:p w14:paraId="526C5692">
      <w:pPr>
        <w:spacing w:line="360" w:lineRule="auto"/>
        <w:ind w:firstLine="560" w:firstLineChars="200"/>
        <w:jc w:val="left"/>
        <w:rPr>
          <w:rFonts w:hint="default" w:ascii="Times New Roman" w:hAnsi="Times New Roman" w:eastAsia="宋体" w:cs="宋体"/>
          <w:color w:val="auto"/>
          <w:kern w:val="0"/>
          <w:sz w:val="28"/>
          <w:szCs w:val="28"/>
          <w:lang w:val="en-US" w:eastAsia="zh-CN"/>
        </w:rPr>
      </w:pPr>
      <w:r>
        <w:rPr>
          <w:rFonts w:hint="eastAsia" w:ascii="Times New Roman" w:hAnsi="Times New Roman" w:eastAsia="宋体" w:cs="宋体"/>
          <w:color w:val="auto"/>
          <w:kern w:val="0"/>
          <w:sz w:val="28"/>
          <w:szCs w:val="28"/>
        </w:rPr>
        <w:t>S＝q</w:t>
      </w:r>
      <w:r>
        <w:rPr>
          <w:rFonts w:hint="eastAsia" w:ascii="Times New Roman" w:hAnsi="Times New Roman" w:eastAsia="宋体" w:cs="宋体"/>
          <w:color w:val="auto"/>
          <w:kern w:val="0"/>
          <w:sz w:val="28"/>
          <w:szCs w:val="28"/>
          <w:vertAlign w:val="subscript"/>
        </w:rPr>
        <w:t>1</w:t>
      </w:r>
      <w:r>
        <w:rPr>
          <w:rFonts w:hint="eastAsia" w:ascii="Times New Roman" w:hAnsi="Times New Roman" w:eastAsia="宋体" w:cs="宋体"/>
          <w:color w:val="auto"/>
          <w:kern w:val="0"/>
          <w:sz w:val="28"/>
          <w:szCs w:val="28"/>
        </w:rPr>
        <w:t>/Q</w:t>
      </w:r>
      <w:r>
        <w:rPr>
          <w:rFonts w:hint="eastAsia" w:ascii="Times New Roman" w:hAnsi="Times New Roman" w:eastAsia="宋体" w:cs="宋体"/>
          <w:color w:val="auto"/>
          <w:kern w:val="0"/>
          <w:sz w:val="28"/>
          <w:szCs w:val="28"/>
          <w:vertAlign w:val="subscript"/>
        </w:rPr>
        <w:t>1</w:t>
      </w:r>
      <w:r>
        <w:rPr>
          <w:rFonts w:hint="eastAsia" w:ascii="Times New Roman" w:hAnsi="Times New Roman" w:eastAsia="宋体" w:cs="宋体"/>
          <w:color w:val="auto"/>
          <w:kern w:val="0"/>
          <w:sz w:val="28"/>
          <w:szCs w:val="28"/>
        </w:rPr>
        <w:t>＋q</w:t>
      </w:r>
      <w:r>
        <w:rPr>
          <w:rFonts w:hint="eastAsia" w:ascii="Times New Roman" w:hAnsi="Times New Roman" w:eastAsia="宋体" w:cs="宋体"/>
          <w:color w:val="auto"/>
          <w:kern w:val="0"/>
          <w:sz w:val="28"/>
          <w:szCs w:val="28"/>
          <w:vertAlign w:val="subscript"/>
        </w:rPr>
        <w:t>2</w:t>
      </w:r>
      <w:r>
        <w:rPr>
          <w:rFonts w:hint="eastAsia" w:ascii="Times New Roman" w:hAnsi="Times New Roman" w:eastAsia="宋体" w:cs="宋体"/>
          <w:color w:val="auto"/>
          <w:kern w:val="0"/>
          <w:sz w:val="28"/>
          <w:szCs w:val="28"/>
        </w:rPr>
        <w:t>/Q</w:t>
      </w:r>
      <w:r>
        <w:rPr>
          <w:rFonts w:hint="eastAsia" w:ascii="Times New Roman" w:hAnsi="Times New Roman" w:eastAsia="宋体" w:cs="宋体"/>
          <w:color w:val="auto"/>
          <w:kern w:val="0"/>
          <w:sz w:val="28"/>
          <w:szCs w:val="28"/>
          <w:vertAlign w:val="subscript"/>
        </w:rPr>
        <w:t>2</w:t>
      </w:r>
      <w:r>
        <w:rPr>
          <w:rFonts w:hint="eastAsia" w:ascii="Times New Roman" w:hAnsi="Times New Roman" w:eastAsia="宋体" w:cs="宋体"/>
          <w:color w:val="auto"/>
          <w:kern w:val="0"/>
          <w:sz w:val="28"/>
          <w:szCs w:val="28"/>
        </w:rPr>
        <w:t>＋…＋q</w:t>
      </w:r>
      <w:r>
        <w:rPr>
          <w:rFonts w:hint="eastAsia" w:ascii="Times New Roman" w:hAnsi="Times New Roman" w:eastAsia="宋体" w:cs="宋体"/>
          <w:color w:val="auto"/>
          <w:kern w:val="0"/>
          <w:sz w:val="28"/>
          <w:szCs w:val="28"/>
          <w:vertAlign w:val="subscript"/>
        </w:rPr>
        <w:t>n</w:t>
      </w:r>
      <w:r>
        <w:rPr>
          <w:rFonts w:hint="eastAsia" w:ascii="Times New Roman" w:hAnsi="Times New Roman" w:eastAsia="宋体" w:cs="宋体"/>
          <w:color w:val="auto"/>
          <w:kern w:val="0"/>
          <w:sz w:val="28"/>
          <w:szCs w:val="28"/>
        </w:rPr>
        <w:t>/Q</w:t>
      </w:r>
      <w:r>
        <w:rPr>
          <w:rFonts w:hint="eastAsia" w:ascii="Times New Roman" w:hAnsi="Times New Roman" w:eastAsia="宋体" w:cs="宋体"/>
          <w:color w:val="auto"/>
          <w:kern w:val="0"/>
          <w:sz w:val="28"/>
          <w:szCs w:val="28"/>
          <w:vertAlign w:val="subscript"/>
        </w:rPr>
        <w:t>n</w:t>
      </w:r>
      <w:r>
        <w:rPr>
          <w:rFonts w:hint="eastAsia" w:ascii="Times New Roman" w:hAnsi="Times New Roman" w:eastAsia="宋体" w:cs="宋体"/>
          <w:color w:val="auto"/>
          <w:kern w:val="0"/>
          <w:sz w:val="28"/>
          <w:szCs w:val="28"/>
        </w:rPr>
        <w:t>≥1</w:t>
      </w:r>
      <w:r>
        <w:rPr>
          <w:rFonts w:hint="eastAsia" w:ascii="Times New Roman" w:hAnsi="Times New Roman" w:eastAsia="宋体" w:cs="宋体"/>
          <w:color w:val="auto"/>
          <w:kern w:val="0"/>
          <w:sz w:val="28"/>
          <w:szCs w:val="28"/>
          <w:lang w:val="en-US" w:eastAsia="zh-CN"/>
        </w:rPr>
        <w:t xml:space="preserve">                    （1）</w:t>
      </w:r>
    </w:p>
    <w:p w14:paraId="439A1D27">
      <w:pPr>
        <w:bidi w:val="0"/>
        <w:rPr>
          <w:color w:val="auto"/>
        </w:rPr>
      </w:pPr>
      <w:r>
        <w:rPr>
          <w:color w:val="auto"/>
        </w:rPr>
        <w:t>式中：q</w:t>
      </w:r>
      <w:r>
        <w:rPr>
          <w:color w:val="auto"/>
          <w:vertAlign w:val="subscript"/>
        </w:rPr>
        <w:t>1</w:t>
      </w:r>
      <w:r>
        <w:rPr>
          <w:color w:val="auto"/>
        </w:rPr>
        <w:t>，q</w:t>
      </w:r>
      <w:r>
        <w:rPr>
          <w:color w:val="auto"/>
          <w:vertAlign w:val="subscript"/>
        </w:rPr>
        <w:t>2</w:t>
      </w:r>
      <w:r>
        <w:rPr>
          <w:color w:val="auto"/>
        </w:rPr>
        <w:t>……q</w:t>
      </w:r>
      <w:r>
        <w:rPr>
          <w:color w:val="auto"/>
          <w:vertAlign w:val="subscript"/>
        </w:rPr>
        <w:t>n</w:t>
      </w:r>
      <w:r>
        <w:rPr>
          <w:rFonts w:hint="eastAsia"/>
          <w:color w:val="auto"/>
        </w:rPr>
        <w:t xml:space="preserve">    </w:t>
      </w:r>
      <w:r>
        <w:rPr>
          <w:color w:val="auto"/>
        </w:rPr>
        <w:t>—每种</w:t>
      </w:r>
      <w:r>
        <w:rPr>
          <w:rFonts w:hint="eastAsia"/>
          <w:color w:val="auto"/>
        </w:rPr>
        <w:t>危险化学品</w:t>
      </w:r>
      <w:r>
        <w:rPr>
          <w:color w:val="auto"/>
        </w:rPr>
        <w:t>实际存在量，</w:t>
      </w:r>
      <w:r>
        <w:rPr>
          <w:rFonts w:hint="eastAsia"/>
          <w:color w:val="auto"/>
        </w:rPr>
        <w:t>单位为吨（</w:t>
      </w:r>
      <w:r>
        <w:rPr>
          <w:color w:val="auto"/>
        </w:rPr>
        <w:t>t</w:t>
      </w:r>
      <w:r>
        <w:rPr>
          <w:rFonts w:hint="eastAsia"/>
          <w:color w:val="auto"/>
        </w:rPr>
        <w:t>）</w:t>
      </w:r>
      <w:r>
        <w:rPr>
          <w:color w:val="auto"/>
        </w:rPr>
        <w:t>。</w:t>
      </w:r>
    </w:p>
    <w:p w14:paraId="5A1CC487">
      <w:pPr>
        <w:bidi w:val="0"/>
        <w:rPr>
          <w:color w:val="auto"/>
        </w:rPr>
      </w:pPr>
      <w:r>
        <w:rPr>
          <w:color w:val="auto"/>
        </w:rPr>
        <w:t>Q</w:t>
      </w:r>
      <w:r>
        <w:rPr>
          <w:color w:val="auto"/>
          <w:vertAlign w:val="subscript"/>
        </w:rPr>
        <w:t>1</w:t>
      </w:r>
      <w:r>
        <w:rPr>
          <w:color w:val="auto"/>
        </w:rPr>
        <w:t>，Q</w:t>
      </w:r>
      <w:r>
        <w:rPr>
          <w:color w:val="auto"/>
          <w:vertAlign w:val="subscript"/>
        </w:rPr>
        <w:t>2</w:t>
      </w:r>
      <w:r>
        <w:rPr>
          <w:color w:val="auto"/>
        </w:rPr>
        <w:t>……Q</w:t>
      </w:r>
      <w:r>
        <w:rPr>
          <w:color w:val="auto"/>
          <w:vertAlign w:val="subscript"/>
        </w:rPr>
        <w:t>n</w:t>
      </w:r>
      <w:r>
        <w:rPr>
          <w:rFonts w:hint="eastAsia"/>
          <w:color w:val="auto"/>
        </w:rPr>
        <w:t xml:space="preserve">  </w:t>
      </w:r>
      <w:r>
        <w:rPr>
          <w:color w:val="auto"/>
        </w:rPr>
        <w:t>—</w:t>
      </w:r>
      <w:r>
        <w:rPr>
          <w:rFonts w:hint="eastAsia"/>
          <w:color w:val="auto"/>
        </w:rPr>
        <w:t>与各危险化学品相对应</w:t>
      </w:r>
      <w:r>
        <w:rPr>
          <w:color w:val="auto"/>
        </w:rPr>
        <w:t>的临界量，</w:t>
      </w:r>
      <w:r>
        <w:rPr>
          <w:rFonts w:hint="eastAsia"/>
          <w:color w:val="auto"/>
        </w:rPr>
        <w:t>单位为吨（</w:t>
      </w:r>
      <w:r>
        <w:rPr>
          <w:color w:val="auto"/>
        </w:rPr>
        <w:t>t</w:t>
      </w:r>
      <w:r>
        <w:rPr>
          <w:rFonts w:hint="eastAsia"/>
          <w:color w:val="auto"/>
        </w:rPr>
        <w:t>）</w:t>
      </w:r>
      <w:r>
        <w:rPr>
          <w:color w:val="auto"/>
        </w:rPr>
        <w:t>。</w:t>
      </w:r>
    </w:p>
    <w:p w14:paraId="25DD9DEF">
      <w:pPr>
        <w:pStyle w:val="4"/>
        <w:bidi w:val="0"/>
        <w:rPr>
          <w:color w:val="auto"/>
        </w:rPr>
      </w:pPr>
      <w:bookmarkStart w:id="229" w:name="_Toc30127"/>
      <w:bookmarkStart w:id="230" w:name="_Toc17839"/>
      <w:bookmarkStart w:id="231" w:name="_Toc17538"/>
      <w:bookmarkStart w:id="232" w:name="_Toc70"/>
      <w:r>
        <w:rPr>
          <w:rFonts w:hint="eastAsia"/>
          <w:color w:val="auto"/>
        </w:rPr>
        <w:t>2.2.2</w:t>
      </w:r>
      <w:r>
        <w:rPr>
          <w:rFonts w:hint="eastAsia"/>
          <w:color w:val="auto"/>
          <w:lang w:val="en-US" w:eastAsia="zh-CN"/>
        </w:rPr>
        <w:t xml:space="preserve"> </w:t>
      </w:r>
      <w:r>
        <w:rPr>
          <w:rFonts w:hint="eastAsia"/>
          <w:color w:val="auto"/>
        </w:rPr>
        <w:t>危险化学品重大危险源的辨识情况</w:t>
      </w:r>
      <w:bookmarkEnd w:id="229"/>
      <w:bookmarkEnd w:id="230"/>
      <w:bookmarkEnd w:id="231"/>
      <w:bookmarkEnd w:id="232"/>
    </w:p>
    <w:p w14:paraId="1B2D3AF3">
      <w:pPr>
        <w:rPr>
          <w:rFonts w:hint="default"/>
          <w:color w:val="auto"/>
          <w:lang w:val="en-US" w:eastAsia="zh-CN"/>
        </w:rPr>
      </w:pPr>
      <w:r>
        <w:rPr>
          <w:rFonts w:hint="default"/>
          <w:color w:val="auto"/>
          <w:lang w:val="en-US" w:eastAsia="zh-CN"/>
        </w:rPr>
        <w:t>根据《危险化学品重大危险源辨识》（GB18218-2018）的规定，</w:t>
      </w:r>
      <w:r>
        <w:rPr>
          <w:rFonts w:hint="eastAsia"/>
          <w:color w:val="auto"/>
          <w:lang w:val="en-US" w:eastAsia="zh-CN"/>
        </w:rPr>
        <w:t>本项目</w:t>
      </w:r>
      <w:r>
        <w:rPr>
          <w:rFonts w:hint="default"/>
          <w:color w:val="auto"/>
          <w:lang w:val="en-US" w:eastAsia="zh-CN"/>
        </w:rPr>
        <w:t>涉及的柴油被列入危险化学品重大危险源辨识范畴内的物质，柴油被列入表2（易燃液体类别3，W5.4），临界量为5000t。</w:t>
      </w:r>
    </w:p>
    <w:p w14:paraId="4177383E">
      <w:pPr>
        <w:rPr>
          <w:rFonts w:hint="default"/>
          <w:color w:val="auto"/>
          <w:lang w:val="en-US" w:eastAsia="zh-CN"/>
        </w:rPr>
      </w:pPr>
      <w:r>
        <w:rPr>
          <w:rFonts w:hint="eastAsia"/>
          <w:color w:val="auto"/>
          <w:lang w:val="en-US" w:eastAsia="zh-CN"/>
        </w:rPr>
        <w:t>本项目</w:t>
      </w:r>
      <w:r>
        <w:rPr>
          <w:rFonts w:hint="default"/>
          <w:color w:val="auto"/>
          <w:lang w:val="en-US" w:eastAsia="zh-CN"/>
        </w:rPr>
        <w:t>橇装装置属于橇装加油装置，生产单元和储存均设置在一套设备内，整体划分为一个单元。</w:t>
      </w:r>
    </w:p>
    <w:p w14:paraId="4644A6D8">
      <w:pPr>
        <w:rPr>
          <w:rFonts w:hint="default"/>
          <w:color w:val="auto"/>
          <w:lang w:val="en-US" w:eastAsia="zh-CN"/>
        </w:rPr>
      </w:pPr>
      <w:r>
        <w:rPr>
          <w:rFonts w:hint="default"/>
          <w:color w:val="auto"/>
          <w:lang w:val="en-US" w:eastAsia="zh-CN"/>
        </w:rPr>
        <w:t>柴油的相对密度（水＝1）：0.8</w:t>
      </w:r>
      <w:r>
        <w:rPr>
          <w:rFonts w:hint="eastAsia"/>
          <w:color w:val="auto"/>
        </w:rPr>
        <w:t>～</w:t>
      </w:r>
      <w:r>
        <w:rPr>
          <w:rFonts w:hint="default"/>
          <w:color w:val="auto"/>
          <w:lang w:val="en-US" w:eastAsia="zh-CN"/>
        </w:rPr>
        <w:t>0.9g/ml，取0.85g/ml。</w:t>
      </w:r>
    </w:p>
    <w:p w14:paraId="6FFBBF63">
      <w:pPr>
        <w:numPr>
          <w:ilvl w:val="0"/>
          <w:numId w:val="4"/>
        </w:numPr>
        <w:bidi w:val="0"/>
        <w:ind w:left="0" w:leftChars="0" w:firstLine="560" w:firstLineChars="200"/>
        <w:rPr>
          <w:rFonts w:hint="default"/>
          <w:color w:val="auto"/>
          <w:lang w:val="en-US" w:eastAsia="zh-CN"/>
        </w:rPr>
      </w:pPr>
      <w:r>
        <w:rPr>
          <w:rFonts w:hint="default"/>
          <w:color w:val="auto"/>
          <w:lang w:val="en-US" w:eastAsia="zh-CN"/>
        </w:rPr>
        <w:t>重大危险源辨识过程</w:t>
      </w:r>
    </w:p>
    <w:p w14:paraId="36E1C6E7">
      <w:pPr>
        <w:numPr>
          <w:ilvl w:val="0"/>
          <w:numId w:val="0"/>
        </w:numPr>
        <w:bidi w:val="0"/>
        <w:jc w:val="center"/>
        <w:rPr>
          <w:rFonts w:hint="default"/>
          <w:color w:val="auto"/>
          <w:lang w:val="en-US" w:eastAsia="zh-CN"/>
        </w:rPr>
      </w:pPr>
      <w:r>
        <w:rPr>
          <w:rFonts w:hint="default"/>
          <w:color w:val="auto"/>
          <w:lang w:val="en-US" w:eastAsia="zh-CN"/>
        </w:rPr>
        <w:t>表2.2-3 重大危险源的危险化学品及临界量</w:t>
      </w:r>
    </w:p>
    <w:tbl>
      <w:tblPr>
        <w:tblStyle w:val="14"/>
        <w:tblW w:w="933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5"/>
        <w:gridCol w:w="881"/>
        <w:gridCol w:w="990"/>
        <w:gridCol w:w="1906"/>
        <w:gridCol w:w="1278"/>
        <w:gridCol w:w="1280"/>
        <w:gridCol w:w="1238"/>
        <w:gridCol w:w="818"/>
      </w:tblGrid>
      <w:tr w14:paraId="21FB38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945" w:type="dxa"/>
            <w:tcBorders>
              <w:tl2br w:val="nil"/>
              <w:tr2bl w:val="nil"/>
            </w:tcBorders>
            <w:noWrap w:val="0"/>
            <w:vAlign w:val="center"/>
          </w:tcPr>
          <w:p w14:paraId="57F7425A">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hint="eastAsia" w:ascii="宋体" w:hAnsi="宋体" w:cs="Times New Roman"/>
                <w:b/>
                <w:bCs/>
                <w:color w:val="auto"/>
                <w:kern w:val="0"/>
                <w:sz w:val="21"/>
                <w:szCs w:val="21"/>
                <w:lang w:val="en-US" w:eastAsia="zh-CN"/>
              </w:rPr>
              <w:t>位置</w:t>
            </w:r>
          </w:p>
        </w:tc>
        <w:tc>
          <w:tcPr>
            <w:tcW w:w="881" w:type="dxa"/>
            <w:tcBorders>
              <w:tl2br w:val="nil"/>
              <w:tr2bl w:val="nil"/>
            </w:tcBorders>
            <w:noWrap w:val="0"/>
            <w:vAlign w:val="center"/>
          </w:tcPr>
          <w:p w14:paraId="447C6367">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2"/>
                <w:sz w:val="21"/>
                <w:szCs w:val="21"/>
                <w:lang w:val="zh-CN"/>
              </w:rPr>
              <w:t>单元</w:t>
            </w:r>
          </w:p>
        </w:tc>
        <w:tc>
          <w:tcPr>
            <w:tcW w:w="990" w:type="dxa"/>
            <w:tcBorders>
              <w:tl2br w:val="nil"/>
              <w:tr2bl w:val="nil"/>
            </w:tcBorders>
            <w:noWrap w:val="0"/>
            <w:vAlign w:val="center"/>
          </w:tcPr>
          <w:p w14:paraId="1E5D147D">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2"/>
                <w:sz w:val="21"/>
                <w:szCs w:val="21"/>
                <w:lang w:val="zh-CN"/>
              </w:rPr>
              <w:t>物质</w:t>
            </w:r>
          </w:p>
        </w:tc>
        <w:tc>
          <w:tcPr>
            <w:tcW w:w="1906" w:type="dxa"/>
            <w:tcBorders>
              <w:tl2br w:val="nil"/>
              <w:tr2bl w:val="nil"/>
            </w:tcBorders>
            <w:noWrap w:val="0"/>
            <w:vAlign w:val="center"/>
          </w:tcPr>
          <w:p w14:paraId="260FE341">
            <w:pPr>
              <w:autoSpaceDE w:val="0"/>
              <w:autoSpaceDN w:val="0"/>
              <w:adjustRightInd w:val="0"/>
              <w:spacing w:line="240" w:lineRule="exact"/>
              <w:ind w:firstLine="207" w:firstLineChars="98"/>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2"/>
                <w:sz w:val="21"/>
                <w:szCs w:val="21"/>
                <w:lang w:val="zh-CN"/>
              </w:rPr>
              <w:t>危险性分类</w:t>
            </w:r>
          </w:p>
        </w:tc>
        <w:tc>
          <w:tcPr>
            <w:tcW w:w="1278" w:type="dxa"/>
            <w:tcBorders>
              <w:tl2br w:val="nil"/>
              <w:tr2bl w:val="nil"/>
            </w:tcBorders>
            <w:noWrap w:val="0"/>
            <w:vAlign w:val="center"/>
          </w:tcPr>
          <w:p w14:paraId="623D4519">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2"/>
                <w:sz w:val="21"/>
                <w:szCs w:val="21"/>
              </w:rPr>
              <w:t>临界量（</w:t>
            </w:r>
            <w:r>
              <w:rPr>
                <w:rFonts w:ascii="Times New Roman" w:hAnsi="Times New Roman" w:eastAsia="宋体"/>
                <w:b/>
                <w:bCs/>
                <w:color w:val="auto"/>
                <w:kern w:val="2"/>
                <w:sz w:val="21"/>
                <w:szCs w:val="21"/>
                <w:lang w:val="zh-CN"/>
              </w:rPr>
              <w:t>t</w:t>
            </w:r>
            <w:r>
              <w:rPr>
                <w:rFonts w:ascii="Times New Roman" w:hAnsi="Times New Roman" w:eastAsia="宋体"/>
                <w:b/>
                <w:bCs/>
                <w:color w:val="auto"/>
                <w:kern w:val="2"/>
                <w:sz w:val="21"/>
                <w:szCs w:val="21"/>
              </w:rPr>
              <w:t>）</w:t>
            </w:r>
          </w:p>
        </w:tc>
        <w:tc>
          <w:tcPr>
            <w:tcW w:w="1280" w:type="dxa"/>
            <w:tcBorders>
              <w:tl2br w:val="nil"/>
              <w:tr2bl w:val="nil"/>
            </w:tcBorders>
            <w:noWrap w:val="0"/>
            <w:vAlign w:val="center"/>
          </w:tcPr>
          <w:p w14:paraId="6B80BB95">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2"/>
                <w:sz w:val="21"/>
                <w:szCs w:val="21"/>
                <w:lang w:val="zh-CN"/>
              </w:rPr>
              <w:t>存在量</w:t>
            </w:r>
            <w:r>
              <w:rPr>
                <w:rFonts w:ascii="Times New Roman" w:hAnsi="Times New Roman" w:eastAsia="宋体"/>
                <w:b/>
                <w:bCs/>
                <w:color w:val="auto"/>
                <w:kern w:val="2"/>
                <w:sz w:val="21"/>
                <w:szCs w:val="21"/>
              </w:rPr>
              <w:t>（</w:t>
            </w:r>
            <w:r>
              <w:rPr>
                <w:rFonts w:ascii="Times New Roman" w:hAnsi="Times New Roman" w:eastAsia="宋体"/>
                <w:b/>
                <w:bCs/>
                <w:color w:val="auto"/>
                <w:kern w:val="2"/>
                <w:sz w:val="21"/>
                <w:szCs w:val="21"/>
                <w:lang w:val="zh-CN"/>
              </w:rPr>
              <w:t>t</w:t>
            </w:r>
            <w:r>
              <w:rPr>
                <w:rFonts w:ascii="Times New Roman" w:hAnsi="Times New Roman" w:eastAsia="宋体"/>
                <w:b/>
                <w:bCs/>
                <w:color w:val="auto"/>
                <w:kern w:val="2"/>
                <w:sz w:val="21"/>
                <w:szCs w:val="21"/>
              </w:rPr>
              <w:t>）</w:t>
            </w:r>
          </w:p>
        </w:tc>
        <w:tc>
          <w:tcPr>
            <w:tcW w:w="1238" w:type="dxa"/>
            <w:tcBorders>
              <w:tl2br w:val="nil"/>
              <w:tr2bl w:val="nil"/>
            </w:tcBorders>
            <w:noWrap w:val="0"/>
            <w:vAlign w:val="center"/>
          </w:tcPr>
          <w:p w14:paraId="01226E40">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0"/>
                <w:sz w:val="21"/>
                <w:szCs w:val="21"/>
              </w:rPr>
              <w:t>qn/Qn</w:t>
            </w:r>
          </w:p>
        </w:tc>
        <w:tc>
          <w:tcPr>
            <w:tcW w:w="818" w:type="dxa"/>
            <w:tcBorders>
              <w:tl2br w:val="nil"/>
              <w:tr2bl w:val="nil"/>
            </w:tcBorders>
            <w:noWrap w:val="0"/>
            <w:vAlign w:val="center"/>
          </w:tcPr>
          <w:p w14:paraId="7827B797">
            <w:pPr>
              <w:autoSpaceDE w:val="0"/>
              <w:autoSpaceDN w:val="0"/>
              <w:adjustRightInd w:val="0"/>
              <w:spacing w:line="240" w:lineRule="exact"/>
              <w:ind w:firstLine="0" w:firstLineChars="0"/>
              <w:jc w:val="center"/>
              <w:rPr>
                <w:rFonts w:ascii="Times New Roman" w:hAnsi="Times New Roman" w:eastAsia="宋体"/>
                <w:b/>
                <w:bCs/>
                <w:color w:val="auto"/>
                <w:kern w:val="2"/>
                <w:sz w:val="21"/>
                <w:szCs w:val="21"/>
                <w:lang w:val="zh-CN"/>
              </w:rPr>
            </w:pPr>
            <w:r>
              <w:rPr>
                <w:rFonts w:ascii="Times New Roman" w:hAnsi="Times New Roman" w:eastAsia="宋体"/>
                <w:b/>
                <w:bCs/>
                <w:color w:val="auto"/>
                <w:kern w:val="2"/>
                <w:sz w:val="21"/>
                <w:szCs w:val="21"/>
              </w:rPr>
              <w:t>辨识</w:t>
            </w:r>
          </w:p>
        </w:tc>
      </w:tr>
      <w:tr w14:paraId="0A14CC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45" w:type="dxa"/>
            <w:tcBorders>
              <w:tl2br w:val="nil"/>
              <w:tr2bl w:val="nil"/>
            </w:tcBorders>
            <w:noWrap w:val="0"/>
            <w:vAlign w:val="center"/>
          </w:tcPr>
          <w:p w14:paraId="3A9B80B8">
            <w:pPr>
              <w:autoSpaceDE w:val="0"/>
              <w:autoSpaceDN w:val="0"/>
              <w:adjustRightInd w:val="0"/>
              <w:spacing w:line="240" w:lineRule="exact"/>
              <w:ind w:firstLine="0" w:firstLineChars="0"/>
              <w:jc w:val="center"/>
              <w:rPr>
                <w:rFonts w:ascii="Times New Roman" w:hAnsi="Times New Roman" w:eastAsia="宋体"/>
                <w:color w:val="auto"/>
                <w:kern w:val="2"/>
                <w:sz w:val="21"/>
                <w:szCs w:val="21"/>
              </w:rPr>
            </w:pPr>
            <w:r>
              <w:rPr>
                <w:rFonts w:hint="eastAsia" w:ascii="宋体" w:hAnsi="宋体" w:eastAsia="宋体" w:cs="Times New Roman"/>
                <w:color w:val="auto"/>
                <w:kern w:val="0"/>
                <w:sz w:val="21"/>
                <w:szCs w:val="21"/>
              </w:rPr>
              <w:t>采矿场</w:t>
            </w:r>
            <w:r>
              <w:rPr>
                <w:rFonts w:hint="eastAsia" w:ascii="宋体" w:hAnsi="宋体" w:cs="Times New Roman"/>
                <w:color w:val="auto"/>
                <w:kern w:val="0"/>
                <w:sz w:val="21"/>
                <w:szCs w:val="21"/>
                <w:lang w:val="en-US" w:eastAsia="zh-CN"/>
              </w:rPr>
              <w:t>撬装</w:t>
            </w:r>
            <w:r>
              <w:rPr>
                <w:rFonts w:hint="eastAsia" w:ascii="宋体" w:hAnsi="宋体" w:eastAsia="宋体" w:cs="Times New Roman"/>
                <w:color w:val="auto"/>
                <w:kern w:val="0"/>
                <w:sz w:val="21"/>
                <w:szCs w:val="21"/>
              </w:rPr>
              <w:t>加油站</w:t>
            </w:r>
          </w:p>
        </w:tc>
        <w:tc>
          <w:tcPr>
            <w:tcW w:w="881" w:type="dxa"/>
            <w:tcBorders>
              <w:tl2br w:val="nil"/>
              <w:tr2bl w:val="nil"/>
            </w:tcBorders>
            <w:noWrap w:val="0"/>
            <w:vAlign w:val="center"/>
          </w:tcPr>
          <w:p w14:paraId="4517DB2C">
            <w:pPr>
              <w:autoSpaceDE w:val="0"/>
              <w:autoSpaceDN w:val="0"/>
              <w:adjustRightInd w:val="0"/>
              <w:spacing w:line="240" w:lineRule="exact"/>
              <w:ind w:firstLine="0" w:firstLineChars="0"/>
              <w:jc w:val="center"/>
              <w:rPr>
                <w:rFonts w:ascii="Times New Roman" w:hAnsi="Times New Roman" w:eastAsia="宋体"/>
                <w:color w:val="auto"/>
                <w:kern w:val="2"/>
                <w:sz w:val="21"/>
                <w:szCs w:val="21"/>
              </w:rPr>
            </w:pPr>
            <w:r>
              <w:rPr>
                <w:color w:val="auto"/>
                <w:spacing w:val="8"/>
                <w:sz w:val="20"/>
                <w:szCs w:val="20"/>
              </w:rPr>
              <w:t>橇装加油装置</w:t>
            </w:r>
          </w:p>
        </w:tc>
        <w:tc>
          <w:tcPr>
            <w:tcW w:w="990" w:type="dxa"/>
            <w:tcBorders>
              <w:tl2br w:val="nil"/>
              <w:tr2bl w:val="nil"/>
            </w:tcBorders>
            <w:noWrap w:val="0"/>
            <w:vAlign w:val="center"/>
          </w:tcPr>
          <w:p w14:paraId="58AA7707">
            <w:pPr>
              <w:autoSpaceDE w:val="0"/>
              <w:autoSpaceDN w:val="0"/>
              <w:adjustRightInd w:val="0"/>
              <w:spacing w:line="240" w:lineRule="exact"/>
              <w:ind w:firstLine="0" w:firstLineChars="0"/>
              <w:jc w:val="center"/>
              <w:rPr>
                <w:rFonts w:ascii="Times New Roman" w:hAnsi="Times New Roman" w:eastAsia="宋体"/>
                <w:color w:val="auto"/>
                <w:kern w:val="2"/>
                <w:sz w:val="21"/>
                <w:szCs w:val="21"/>
              </w:rPr>
            </w:pPr>
            <w:r>
              <w:rPr>
                <w:rFonts w:ascii="Times New Roman" w:hAnsi="Times New Roman" w:eastAsia="宋体"/>
                <w:color w:val="auto"/>
                <w:kern w:val="2"/>
                <w:sz w:val="21"/>
                <w:szCs w:val="21"/>
              </w:rPr>
              <w:t>柴油</w:t>
            </w:r>
          </w:p>
        </w:tc>
        <w:tc>
          <w:tcPr>
            <w:tcW w:w="1906" w:type="dxa"/>
            <w:tcBorders>
              <w:tl2br w:val="nil"/>
              <w:tr2bl w:val="nil"/>
            </w:tcBorders>
            <w:noWrap w:val="0"/>
            <w:vAlign w:val="center"/>
          </w:tcPr>
          <w:p w14:paraId="576779BE">
            <w:pPr>
              <w:autoSpaceDE w:val="0"/>
              <w:autoSpaceDN w:val="0"/>
              <w:adjustRightInd w:val="0"/>
              <w:spacing w:line="260" w:lineRule="exact"/>
              <w:ind w:firstLine="0" w:firstLineChars="0"/>
              <w:jc w:val="center"/>
              <w:rPr>
                <w:rFonts w:ascii="Times New Roman" w:hAnsi="Times New Roman" w:eastAsia="宋体"/>
                <w:color w:val="auto"/>
                <w:spacing w:val="-10"/>
                <w:kern w:val="0"/>
                <w:sz w:val="21"/>
                <w:szCs w:val="21"/>
              </w:rPr>
            </w:pPr>
            <w:r>
              <w:rPr>
                <w:rFonts w:ascii="Times New Roman" w:hAnsi="Times New Roman" w:eastAsia="宋体"/>
                <w:color w:val="auto"/>
                <w:kern w:val="2"/>
                <w:sz w:val="21"/>
                <w:szCs w:val="21"/>
              </w:rPr>
              <w:t>表2</w:t>
            </w:r>
            <w:r>
              <w:rPr>
                <w:rFonts w:hint="eastAsia" w:ascii="Times New Roman" w:hAnsi="Times New Roman" w:eastAsia="宋体"/>
                <w:color w:val="auto"/>
                <w:kern w:val="2"/>
                <w:sz w:val="21"/>
                <w:szCs w:val="21"/>
              </w:rPr>
              <w:t>（</w:t>
            </w:r>
            <w:r>
              <w:rPr>
                <w:rFonts w:ascii="Times New Roman" w:hAnsi="Times New Roman" w:eastAsia="宋体"/>
                <w:color w:val="auto"/>
                <w:kern w:val="2"/>
                <w:sz w:val="21"/>
                <w:szCs w:val="21"/>
              </w:rPr>
              <w:t>易燃液体W5.4</w:t>
            </w:r>
            <w:r>
              <w:rPr>
                <w:rFonts w:hint="eastAsia" w:ascii="Times New Roman" w:hAnsi="Times New Roman" w:eastAsia="宋体"/>
                <w:color w:val="auto"/>
                <w:kern w:val="2"/>
                <w:sz w:val="21"/>
                <w:szCs w:val="21"/>
              </w:rPr>
              <w:t>）</w:t>
            </w:r>
          </w:p>
        </w:tc>
        <w:tc>
          <w:tcPr>
            <w:tcW w:w="1278" w:type="dxa"/>
            <w:tcBorders>
              <w:tl2br w:val="nil"/>
              <w:tr2bl w:val="nil"/>
            </w:tcBorders>
            <w:noWrap w:val="0"/>
            <w:vAlign w:val="center"/>
          </w:tcPr>
          <w:p w14:paraId="21894F7A">
            <w:pPr>
              <w:autoSpaceDE w:val="0"/>
              <w:autoSpaceDN w:val="0"/>
              <w:adjustRightInd w:val="0"/>
              <w:spacing w:line="260" w:lineRule="exact"/>
              <w:ind w:firstLine="0" w:firstLineChars="0"/>
              <w:jc w:val="center"/>
              <w:rPr>
                <w:rFonts w:ascii="Times New Roman" w:hAnsi="Times New Roman" w:eastAsia="宋体"/>
                <w:color w:val="auto"/>
                <w:kern w:val="2"/>
                <w:sz w:val="21"/>
                <w:szCs w:val="21"/>
              </w:rPr>
            </w:pPr>
            <w:r>
              <w:rPr>
                <w:rFonts w:ascii="Times New Roman" w:hAnsi="Times New Roman" w:eastAsia="宋体"/>
                <w:color w:val="auto"/>
                <w:kern w:val="2"/>
                <w:sz w:val="21"/>
                <w:szCs w:val="21"/>
              </w:rPr>
              <w:t>5000</w:t>
            </w:r>
          </w:p>
        </w:tc>
        <w:tc>
          <w:tcPr>
            <w:tcW w:w="1280" w:type="dxa"/>
            <w:tcBorders>
              <w:tl2br w:val="nil"/>
              <w:tr2bl w:val="nil"/>
            </w:tcBorders>
            <w:noWrap w:val="0"/>
            <w:vAlign w:val="center"/>
          </w:tcPr>
          <w:p w14:paraId="5BE3635A">
            <w:pPr>
              <w:autoSpaceDE w:val="0"/>
              <w:autoSpaceDN w:val="0"/>
              <w:adjustRightInd w:val="0"/>
              <w:spacing w:line="240" w:lineRule="exact"/>
              <w:ind w:firstLine="0" w:firstLineChars="0"/>
              <w:jc w:val="center"/>
              <w:rPr>
                <w:rFonts w:hint="default" w:ascii="Times New Roman" w:hAnsi="Times New Roman" w:eastAsia="宋体"/>
                <w:color w:val="auto"/>
                <w:kern w:val="2"/>
                <w:sz w:val="21"/>
                <w:szCs w:val="21"/>
                <w:lang w:val="en-US" w:eastAsia="zh-CN"/>
              </w:rPr>
            </w:pPr>
            <w:r>
              <w:rPr>
                <w:rFonts w:hint="eastAsia"/>
                <w:color w:val="auto"/>
                <w:kern w:val="2"/>
                <w:sz w:val="21"/>
                <w:szCs w:val="21"/>
                <w:lang w:val="en-US" w:eastAsia="zh-CN"/>
              </w:rPr>
              <w:t>42.5</w:t>
            </w:r>
          </w:p>
        </w:tc>
        <w:tc>
          <w:tcPr>
            <w:tcW w:w="1238" w:type="dxa"/>
            <w:tcBorders>
              <w:tl2br w:val="nil"/>
              <w:tr2bl w:val="nil"/>
            </w:tcBorders>
            <w:noWrap w:val="0"/>
            <w:vAlign w:val="center"/>
          </w:tcPr>
          <w:p w14:paraId="68F5F301">
            <w:pPr>
              <w:autoSpaceDE w:val="0"/>
              <w:autoSpaceDN w:val="0"/>
              <w:adjustRightInd w:val="0"/>
              <w:spacing w:line="240" w:lineRule="exact"/>
              <w:ind w:firstLine="0" w:firstLineChars="0"/>
              <w:jc w:val="center"/>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rPr>
              <w:t>0</w:t>
            </w:r>
            <w:r>
              <w:rPr>
                <w:rFonts w:ascii="Times New Roman" w:hAnsi="Times New Roman" w:eastAsia="宋体"/>
                <w:color w:val="auto"/>
                <w:kern w:val="0"/>
                <w:sz w:val="21"/>
                <w:szCs w:val="21"/>
              </w:rPr>
              <w:t>.00</w:t>
            </w:r>
            <w:r>
              <w:rPr>
                <w:rFonts w:hint="eastAsia"/>
                <w:color w:val="auto"/>
                <w:kern w:val="0"/>
                <w:sz w:val="21"/>
                <w:szCs w:val="21"/>
                <w:lang w:val="en-US" w:eastAsia="zh-CN"/>
              </w:rPr>
              <w:t>85</w:t>
            </w:r>
          </w:p>
        </w:tc>
        <w:tc>
          <w:tcPr>
            <w:tcW w:w="818" w:type="dxa"/>
            <w:tcBorders>
              <w:tl2br w:val="nil"/>
              <w:tr2bl w:val="nil"/>
            </w:tcBorders>
            <w:noWrap w:val="0"/>
            <w:vAlign w:val="center"/>
          </w:tcPr>
          <w:p w14:paraId="24D88471">
            <w:pPr>
              <w:autoSpaceDE w:val="0"/>
              <w:autoSpaceDN w:val="0"/>
              <w:adjustRightInd w:val="0"/>
              <w:spacing w:line="240" w:lineRule="exact"/>
              <w:ind w:firstLine="0" w:firstLineChars="0"/>
              <w:jc w:val="center"/>
              <w:rPr>
                <w:rFonts w:ascii="Times New Roman" w:hAnsi="Times New Roman" w:eastAsia="宋体"/>
                <w:color w:val="auto"/>
                <w:kern w:val="2"/>
                <w:sz w:val="21"/>
                <w:szCs w:val="21"/>
                <w:lang w:val="zh-CN"/>
              </w:rPr>
            </w:pPr>
            <w:r>
              <w:rPr>
                <w:rFonts w:ascii="Times New Roman" w:hAnsi="Times New Roman" w:eastAsia="宋体"/>
                <w:color w:val="auto"/>
                <w:kern w:val="2"/>
                <w:sz w:val="21"/>
                <w:szCs w:val="21"/>
                <w:lang w:val="zh-CN"/>
              </w:rPr>
              <w:t>＜1</w:t>
            </w:r>
          </w:p>
        </w:tc>
      </w:tr>
      <w:tr w14:paraId="4717D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26" w:type="dxa"/>
            <w:gridSpan w:val="2"/>
            <w:tcBorders>
              <w:tl2br w:val="nil"/>
              <w:tr2bl w:val="nil"/>
            </w:tcBorders>
            <w:noWrap w:val="0"/>
            <w:vAlign w:val="center"/>
          </w:tcPr>
          <w:p w14:paraId="550E2C1B">
            <w:pPr>
              <w:autoSpaceDE w:val="0"/>
              <w:autoSpaceDN w:val="0"/>
              <w:adjustRightInd w:val="0"/>
              <w:spacing w:line="240" w:lineRule="exact"/>
              <w:ind w:firstLine="0" w:firstLineChars="0"/>
              <w:jc w:val="center"/>
              <w:rPr>
                <w:rFonts w:ascii="Times New Roman" w:hAnsi="Times New Roman" w:eastAsia="宋体"/>
                <w:color w:val="auto"/>
                <w:kern w:val="2"/>
                <w:sz w:val="21"/>
                <w:szCs w:val="21"/>
                <w:lang w:val="zh-CN"/>
              </w:rPr>
            </w:pPr>
            <w:r>
              <w:rPr>
                <w:rFonts w:hint="eastAsia" w:ascii="Times New Roman" w:hAnsi="Times New Roman" w:eastAsia="宋体"/>
                <w:color w:val="auto"/>
                <w:kern w:val="2"/>
                <w:sz w:val="21"/>
                <w:szCs w:val="21"/>
                <w:lang w:val="zh-CN"/>
              </w:rPr>
              <w:t>结论</w:t>
            </w:r>
          </w:p>
        </w:tc>
        <w:tc>
          <w:tcPr>
            <w:tcW w:w="7510" w:type="dxa"/>
            <w:gridSpan w:val="6"/>
            <w:tcBorders>
              <w:tl2br w:val="nil"/>
              <w:tr2bl w:val="nil"/>
            </w:tcBorders>
            <w:noWrap w:val="0"/>
            <w:vAlign w:val="center"/>
          </w:tcPr>
          <w:p w14:paraId="2388D43D">
            <w:pPr>
              <w:autoSpaceDE w:val="0"/>
              <w:autoSpaceDN w:val="0"/>
              <w:adjustRightInd w:val="0"/>
              <w:spacing w:line="24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2"/>
                <w:sz w:val="21"/>
                <w:szCs w:val="21"/>
              </w:rPr>
              <w:t>不构成重大危险源</w:t>
            </w:r>
          </w:p>
        </w:tc>
      </w:tr>
      <w:tr w14:paraId="652505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945" w:type="dxa"/>
            <w:tcBorders>
              <w:tl2br w:val="nil"/>
              <w:tr2bl w:val="nil"/>
            </w:tcBorders>
            <w:noWrap w:val="0"/>
            <w:vAlign w:val="center"/>
          </w:tcPr>
          <w:p w14:paraId="733CA6BD">
            <w:pPr>
              <w:autoSpaceDE w:val="0"/>
              <w:autoSpaceDN w:val="0"/>
              <w:adjustRightInd w:val="0"/>
              <w:spacing w:line="240" w:lineRule="exact"/>
              <w:ind w:firstLine="0" w:firstLineChars="0"/>
              <w:jc w:val="center"/>
              <w:rPr>
                <w:rFonts w:ascii="Times New Roman" w:hAnsi="Times New Roman" w:eastAsia="宋体"/>
                <w:color w:val="auto"/>
                <w:kern w:val="2"/>
                <w:sz w:val="21"/>
                <w:szCs w:val="21"/>
              </w:rPr>
            </w:pPr>
            <w:r>
              <w:rPr>
                <w:rFonts w:hint="eastAsia" w:ascii="宋体" w:hAnsi="宋体" w:eastAsia="宋体" w:cs="Times New Roman"/>
                <w:color w:val="auto"/>
                <w:kern w:val="0"/>
                <w:sz w:val="21"/>
                <w:szCs w:val="21"/>
              </w:rPr>
              <w:t>汽车队</w:t>
            </w:r>
            <w:r>
              <w:rPr>
                <w:rFonts w:hint="eastAsia" w:ascii="宋体" w:hAnsi="宋体" w:cs="Times New Roman"/>
                <w:color w:val="auto"/>
                <w:kern w:val="0"/>
                <w:sz w:val="21"/>
                <w:szCs w:val="21"/>
                <w:lang w:val="en-US" w:eastAsia="zh-CN"/>
              </w:rPr>
              <w:t>撬装</w:t>
            </w:r>
            <w:r>
              <w:rPr>
                <w:rFonts w:hint="eastAsia" w:ascii="宋体" w:hAnsi="宋体" w:eastAsia="宋体" w:cs="Times New Roman"/>
                <w:color w:val="auto"/>
                <w:kern w:val="0"/>
                <w:sz w:val="21"/>
                <w:szCs w:val="21"/>
              </w:rPr>
              <w:t>加油站</w:t>
            </w:r>
          </w:p>
        </w:tc>
        <w:tc>
          <w:tcPr>
            <w:tcW w:w="881" w:type="dxa"/>
            <w:tcBorders>
              <w:tl2br w:val="nil"/>
              <w:tr2bl w:val="nil"/>
            </w:tcBorders>
            <w:noWrap w:val="0"/>
            <w:vAlign w:val="center"/>
          </w:tcPr>
          <w:p w14:paraId="62B8B13E">
            <w:pPr>
              <w:autoSpaceDE w:val="0"/>
              <w:autoSpaceDN w:val="0"/>
              <w:adjustRightInd w:val="0"/>
              <w:spacing w:line="240" w:lineRule="exact"/>
              <w:ind w:firstLine="0" w:firstLineChars="0"/>
              <w:jc w:val="center"/>
              <w:rPr>
                <w:rFonts w:ascii="Times New Roman" w:hAnsi="Times New Roman" w:eastAsia="宋体"/>
                <w:color w:val="auto"/>
                <w:kern w:val="2"/>
                <w:sz w:val="21"/>
                <w:szCs w:val="21"/>
              </w:rPr>
            </w:pPr>
            <w:r>
              <w:rPr>
                <w:color w:val="auto"/>
                <w:spacing w:val="8"/>
                <w:sz w:val="20"/>
                <w:szCs w:val="20"/>
              </w:rPr>
              <w:t>橇装加油装置</w:t>
            </w:r>
          </w:p>
        </w:tc>
        <w:tc>
          <w:tcPr>
            <w:tcW w:w="990" w:type="dxa"/>
            <w:tcBorders>
              <w:tl2br w:val="nil"/>
              <w:tr2bl w:val="nil"/>
            </w:tcBorders>
            <w:noWrap w:val="0"/>
            <w:vAlign w:val="center"/>
          </w:tcPr>
          <w:p w14:paraId="7D8F84BB">
            <w:pPr>
              <w:autoSpaceDE w:val="0"/>
              <w:autoSpaceDN w:val="0"/>
              <w:adjustRightInd w:val="0"/>
              <w:spacing w:line="240" w:lineRule="exact"/>
              <w:ind w:firstLine="0" w:firstLineChars="0"/>
              <w:jc w:val="center"/>
              <w:rPr>
                <w:rFonts w:ascii="Times New Roman" w:hAnsi="Times New Roman" w:eastAsia="宋体"/>
                <w:color w:val="auto"/>
                <w:kern w:val="2"/>
                <w:sz w:val="21"/>
                <w:szCs w:val="21"/>
              </w:rPr>
            </w:pPr>
            <w:r>
              <w:rPr>
                <w:rFonts w:ascii="Times New Roman" w:hAnsi="Times New Roman" w:eastAsia="宋体"/>
                <w:color w:val="auto"/>
                <w:kern w:val="2"/>
                <w:sz w:val="21"/>
                <w:szCs w:val="21"/>
              </w:rPr>
              <w:t>柴油</w:t>
            </w:r>
          </w:p>
        </w:tc>
        <w:tc>
          <w:tcPr>
            <w:tcW w:w="1906" w:type="dxa"/>
            <w:tcBorders>
              <w:tl2br w:val="nil"/>
              <w:tr2bl w:val="nil"/>
            </w:tcBorders>
            <w:noWrap w:val="0"/>
            <w:vAlign w:val="center"/>
          </w:tcPr>
          <w:p w14:paraId="4F65EFF8">
            <w:pPr>
              <w:autoSpaceDE w:val="0"/>
              <w:autoSpaceDN w:val="0"/>
              <w:adjustRightInd w:val="0"/>
              <w:spacing w:line="260" w:lineRule="exact"/>
              <w:ind w:firstLine="0" w:firstLineChars="0"/>
              <w:jc w:val="center"/>
              <w:rPr>
                <w:rFonts w:ascii="Times New Roman" w:hAnsi="Times New Roman" w:eastAsia="宋体"/>
                <w:color w:val="auto"/>
                <w:spacing w:val="-10"/>
                <w:kern w:val="0"/>
                <w:sz w:val="21"/>
                <w:szCs w:val="21"/>
              </w:rPr>
            </w:pPr>
            <w:r>
              <w:rPr>
                <w:rFonts w:ascii="Times New Roman" w:hAnsi="Times New Roman" w:eastAsia="宋体"/>
                <w:color w:val="auto"/>
                <w:kern w:val="2"/>
                <w:sz w:val="21"/>
                <w:szCs w:val="21"/>
              </w:rPr>
              <w:t>表2</w:t>
            </w:r>
            <w:r>
              <w:rPr>
                <w:rFonts w:hint="eastAsia" w:ascii="Times New Roman" w:hAnsi="Times New Roman" w:eastAsia="宋体"/>
                <w:color w:val="auto"/>
                <w:kern w:val="2"/>
                <w:sz w:val="21"/>
                <w:szCs w:val="21"/>
              </w:rPr>
              <w:t>（</w:t>
            </w:r>
            <w:r>
              <w:rPr>
                <w:rFonts w:ascii="Times New Roman" w:hAnsi="Times New Roman" w:eastAsia="宋体"/>
                <w:color w:val="auto"/>
                <w:kern w:val="2"/>
                <w:sz w:val="21"/>
                <w:szCs w:val="21"/>
              </w:rPr>
              <w:t>易燃液体W5.4</w:t>
            </w:r>
            <w:r>
              <w:rPr>
                <w:rFonts w:hint="eastAsia" w:ascii="Times New Roman" w:hAnsi="Times New Roman" w:eastAsia="宋体"/>
                <w:color w:val="auto"/>
                <w:kern w:val="2"/>
                <w:sz w:val="21"/>
                <w:szCs w:val="21"/>
              </w:rPr>
              <w:t>）</w:t>
            </w:r>
          </w:p>
        </w:tc>
        <w:tc>
          <w:tcPr>
            <w:tcW w:w="1278" w:type="dxa"/>
            <w:tcBorders>
              <w:tl2br w:val="nil"/>
              <w:tr2bl w:val="nil"/>
            </w:tcBorders>
            <w:noWrap w:val="0"/>
            <w:vAlign w:val="center"/>
          </w:tcPr>
          <w:p w14:paraId="3B099D30">
            <w:pPr>
              <w:autoSpaceDE w:val="0"/>
              <w:autoSpaceDN w:val="0"/>
              <w:adjustRightInd w:val="0"/>
              <w:spacing w:line="260" w:lineRule="exact"/>
              <w:ind w:firstLine="0" w:firstLineChars="0"/>
              <w:jc w:val="center"/>
              <w:rPr>
                <w:rFonts w:ascii="Times New Roman" w:hAnsi="Times New Roman" w:eastAsia="宋体"/>
                <w:color w:val="auto"/>
                <w:kern w:val="2"/>
                <w:sz w:val="21"/>
                <w:szCs w:val="21"/>
              </w:rPr>
            </w:pPr>
            <w:r>
              <w:rPr>
                <w:rFonts w:ascii="Times New Roman" w:hAnsi="Times New Roman" w:eastAsia="宋体"/>
                <w:color w:val="auto"/>
                <w:kern w:val="2"/>
                <w:sz w:val="21"/>
                <w:szCs w:val="21"/>
              </w:rPr>
              <w:t>5000</w:t>
            </w:r>
          </w:p>
        </w:tc>
        <w:tc>
          <w:tcPr>
            <w:tcW w:w="1280" w:type="dxa"/>
            <w:tcBorders>
              <w:tl2br w:val="nil"/>
              <w:tr2bl w:val="nil"/>
            </w:tcBorders>
            <w:noWrap w:val="0"/>
            <w:vAlign w:val="center"/>
          </w:tcPr>
          <w:p w14:paraId="1911686C">
            <w:pPr>
              <w:autoSpaceDE w:val="0"/>
              <w:autoSpaceDN w:val="0"/>
              <w:adjustRightInd w:val="0"/>
              <w:spacing w:line="240" w:lineRule="exact"/>
              <w:ind w:firstLine="0" w:firstLineChars="0"/>
              <w:jc w:val="center"/>
              <w:rPr>
                <w:rFonts w:hint="default" w:ascii="Times New Roman" w:hAnsi="Times New Roman" w:eastAsia="宋体"/>
                <w:color w:val="auto"/>
                <w:kern w:val="2"/>
                <w:sz w:val="21"/>
                <w:szCs w:val="21"/>
                <w:lang w:val="en-US" w:eastAsia="zh-CN"/>
              </w:rPr>
            </w:pPr>
            <w:r>
              <w:rPr>
                <w:rFonts w:hint="eastAsia"/>
                <w:color w:val="auto"/>
                <w:kern w:val="2"/>
                <w:sz w:val="21"/>
                <w:szCs w:val="21"/>
                <w:lang w:val="en-US" w:eastAsia="zh-CN"/>
              </w:rPr>
              <w:t>42.5</w:t>
            </w:r>
          </w:p>
        </w:tc>
        <w:tc>
          <w:tcPr>
            <w:tcW w:w="1238" w:type="dxa"/>
            <w:tcBorders>
              <w:tl2br w:val="nil"/>
              <w:tr2bl w:val="nil"/>
            </w:tcBorders>
            <w:noWrap w:val="0"/>
            <w:vAlign w:val="center"/>
          </w:tcPr>
          <w:p w14:paraId="0783975A">
            <w:pPr>
              <w:autoSpaceDE w:val="0"/>
              <w:autoSpaceDN w:val="0"/>
              <w:adjustRightInd w:val="0"/>
              <w:spacing w:line="240" w:lineRule="exact"/>
              <w:ind w:firstLine="0" w:firstLineChars="0"/>
              <w:jc w:val="center"/>
              <w:rPr>
                <w:rFonts w:hint="default"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rPr>
              <w:t>0</w:t>
            </w:r>
            <w:r>
              <w:rPr>
                <w:rFonts w:ascii="Times New Roman" w:hAnsi="Times New Roman" w:eastAsia="宋体"/>
                <w:color w:val="auto"/>
                <w:kern w:val="0"/>
                <w:sz w:val="21"/>
                <w:szCs w:val="21"/>
              </w:rPr>
              <w:t>.00</w:t>
            </w:r>
            <w:r>
              <w:rPr>
                <w:rFonts w:hint="eastAsia"/>
                <w:color w:val="auto"/>
                <w:kern w:val="0"/>
                <w:sz w:val="21"/>
                <w:szCs w:val="21"/>
                <w:lang w:val="en-US" w:eastAsia="zh-CN"/>
              </w:rPr>
              <w:t>85</w:t>
            </w:r>
          </w:p>
        </w:tc>
        <w:tc>
          <w:tcPr>
            <w:tcW w:w="818" w:type="dxa"/>
            <w:tcBorders>
              <w:tl2br w:val="nil"/>
              <w:tr2bl w:val="nil"/>
            </w:tcBorders>
            <w:noWrap w:val="0"/>
            <w:vAlign w:val="center"/>
          </w:tcPr>
          <w:p w14:paraId="5914AA23">
            <w:pPr>
              <w:autoSpaceDE w:val="0"/>
              <w:autoSpaceDN w:val="0"/>
              <w:adjustRightInd w:val="0"/>
              <w:spacing w:line="240" w:lineRule="exact"/>
              <w:ind w:firstLine="0" w:firstLineChars="0"/>
              <w:jc w:val="center"/>
              <w:rPr>
                <w:rFonts w:ascii="Times New Roman" w:hAnsi="Times New Roman" w:eastAsia="宋体"/>
                <w:color w:val="auto"/>
                <w:kern w:val="2"/>
                <w:sz w:val="21"/>
                <w:szCs w:val="21"/>
                <w:lang w:val="zh-CN"/>
              </w:rPr>
            </w:pPr>
            <w:r>
              <w:rPr>
                <w:rFonts w:ascii="Times New Roman" w:hAnsi="Times New Roman" w:eastAsia="宋体"/>
                <w:color w:val="auto"/>
                <w:kern w:val="2"/>
                <w:sz w:val="21"/>
                <w:szCs w:val="21"/>
                <w:lang w:val="zh-CN"/>
              </w:rPr>
              <w:t>＜1</w:t>
            </w:r>
          </w:p>
        </w:tc>
      </w:tr>
      <w:tr w14:paraId="21FAC5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826" w:type="dxa"/>
            <w:gridSpan w:val="2"/>
            <w:tcBorders>
              <w:tl2br w:val="nil"/>
              <w:tr2bl w:val="nil"/>
            </w:tcBorders>
            <w:noWrap w:val="0"/>
            <w:vAlign w:val="center"/>
          </w:tcPr>
          <w:p w14:paraId="0644F1EB">
            <w:pPr>
              <w:autoSpaceDE w:val="0"/>
              <w:autoSpaceDN w:val="0"/>
              <w:adjustRightInd w:val="0"/>
              <w:spacing w:line="240" w:lineRule="exact"/>
              <w:ind w:firstLine="0" w:firstLineChars="0"/>
              <w:jc w:val="center"/>
              <w:rPr>
                <w:rFonts w:ascii="Times New Roman" w:hAnsi="Times New Roman" w:eastAsia="宋体"/>
                <w:color w:val="auto"/>
                <w:kern w:val="2"/>
                <w:sz w:val="21"/>
                <w:szCs w:val="21"/>
                <w:lang w:val="zh-CN"/>
              </w:rPr>
            </w:pPr>
            <w:r>
              <w:rPr>
                <w:rFonts w:hint="eastAsia" w:ascii="Times New Roman" w:hAnsi="Times New Roman" w:eastAsia="宋体"/>
                <w:color w:val="auto"/>
                <w:kern w:val="2"/>
                <w:sz w:val="21"/>
                <w:szCs w:val="21"/>
                <w:lang w:val="zh-CN"/>
              </w:rPr>
              <w:t>结论</w:t>
            </w:r>
          </w:p>
        </w:tc>
        <w:tc>
          <w:tcPr>
            <w:tcW w:w="7510" w:type="dxa"/>
            <w:gridSpan w:val="6"/>
            <w:tcBorders>
              <w:tl2br w:val="nil"/>
              <w:tr2bl w:val="nil"/>
            </w:tcBorders>
            <w:noWrap w:val="0"/>
            <w:vAlign w:val="center"/>
          </w:tcPr>
          <w:p w14:paraId="20B3110E">
            <w:pPr>
              <w:autoSpaceDE w:val="0"/>
              <w:autoSpaceDN w:val="0"/>
              <w:adjustRightInd w:val="0"/>
              <w:spacing w:line="240" w:lineRule="exact"/>
              <w:ind w:firstLine="0" w:firstLineChars="0"/>
              <w:jc w:val="center"/>
              <w:rPr>
                <w:rFonts w:ascii="Times New Roman" w:hAnsi="Times New Roman" w:eastAsia="宋体"/>
                <w:color w:val="auto"/>
                <w:kern w:val="0"/>
                <w:sz w:val="21"/>
                <w:szCs w:val="21"/>
              </w:rPr>
            </w:pPr>
            <w:r>
              <w:rPr>
                <w:rFonts w:ascii="Times New Roman" w:hAnsi="Times New Roman" w:eastAsia="宋体"/>
                <w:color w:val="auto"/>
                <w:kern w:val="2"/>
                <w:sz w:val="21"/>
                <w:szCs w:val="21"/>
              </w:rPr>
              <w:t>不构成重大危险源</w:t>
            </w:r>
          </w:p>
        </w:tc>
      </w:tr>
    </w:tbl>
    <w:p w14:paraId="23338BDD">
      <w:pPr>
        <w:bidi w:val="0"/>
        <w:rPr>
          <w:rFonts w:hint="default"/>
          <w:color w:val="auto"/>
          <w:lang w:val="en-US" w:eastAsia="zh-CN"/>
        </w:rPr>
      </w:pPr>
      <w:r>
        <w:rPr>
          <w:rFonts w:hint="default"/>
          <w:color w:val="auto"/>
          <w:lang w:val="en-US" w:eastAsia="zh-CN"/>
        </w:rPr>
        <w:t>从上述重大危险源辨识过程得知：</w:t>
      </w:r>
      <w:r>
        <w:rPr>
          <w:rFonts w:hint="eastAsia"/>
          <w:color w:val="auto"/>
          <w:lang w:val="en-US" w:eastAsia="zh-CN"/>
        </w:rPr>
        <w:t>本项目</w:t>
      </w:r>
      <w:r>
        <w:rPr>
          <w:rFonts w:hint="default"/>
          <w:color w:val="auto"/>
          <w:lang w:val="en-US" w:eastAsia="zh-CN"/>
        </w:rPr>
        <w:t>生产单元和储存单元均不构成危险化学品重大危险源。</w:t>
      </w:r>
    </w:p>
    <w:p w14:paraId="44E29131">
      <w:pPr>
        <w:pStyle w:val="3"/>
        <w:bidi w:val="0"/>
        <w:rPr>
          <w:rFonts w:hint="default"/>
          <w:color w:val="auto"/>
          <w:lang w:val="en-US" w:eastAsia="zh-CN"/>
        </w:rPr>
      </w:pPr>
      <w:bookmarkStart w:id="233" w:name="_Toc17506"/>
      <w:bookmarkStart w:id="234" w:name="_Toc15806"/>
      <w:bookmarkStart w:id="235" w:name="_Toc29042"/>
      <w:bookmarkStart w:id="236" w:name="_Toc31252"/>
      <w:r>
        <w:rPr>
          <w:rFonts w:hint="default"/>
          <w:color w:val="auto"/>
          <w:lang w:val="en-US" w:eastAsia="zh-CN"/>
        </w:rPr>
        <w:t>2.3</w:t>
      </w:r>
      <w:r>
        <w:rPr>
          <w:rFonts w:hint="eastAsia"/>
          <w:color w:val="auto"/>
          <w:lang w:val="en-US" w:eastAsia="zh-CN"/>
        </w:rPr>
        <w:t xml:space="preserve"> </w:t>
      </w:r>
      <w:r>
        <w:rPr>
          <w:rFonts w:hint="default"/>
          <w:color w:val="auto"/>
          <w:lang w:val="en-US" w:eastAsia="zh-CN"/>
        </w:rPr>
        <w:t>主要危险、有害因素辨识</w:t>
      </w:r>
      <w:bookmarkEnd w:id="233"/>
      <w:bookmarkEnd w:id="234"/>
      <w:bookmarkEnd w:id="235"/>
      <w:bookmarkEnd w:id="236"/>
    </w:p>
    <w:p w14:paraId="7FAC41D5">
      <w:pPr>
        <w:rPr>
          <w:rFonts w:hint="default"/>
          <w:color w:val="auto"/>
          <w:lang w:val="en-US" w:eastAsia="zh-CN"/>
        </w:rPr>
      </w:pPr>
      <w:r>
        <w:rPr>
          <w:rFonts w:hint="default"/>
          <w:color w:val="auto"/>
          <w:lang w:val="en-US" w:eastAsia="zh-CN"/>
        </w:rPr>
        <w:t>由于能量的积聚和有害物质的存在是危险、有害因素产生的根源，系统具有的能量越大，存在的有害物质的数量越多，系统的潜在危险性和危害性也越大。能量和有害物质的失控是危险，有害因素产生的条件，失控主要体现在设备故障，人为失误，管理缺陷，环境因素四个方面。</w:t>
      </w:r>
    </w:p>
    <w:p w14:paraId="5CEC197F">
      <w:pPr>
        <w:rPr>
          <w:rFonts w:hint="default"/>
          <w:color w:val="auto"/>
          <w:lang w:val="en-US" w:eastAsia="zh-CN"/>
        </w:rPr>
      </w:pPr>
      <w:r>
        <w:rPr>
          <w:rFonts w:hint="default"/>
          <w:color w:val="auto"/>
          <w:lang w:val="en-US" w:eastAsia="zh-CN"/>
        </w:rPr>
        <w:t>通过对该企业提供的有关资料的分析，结合现场调研和类比企业装置现场调查、了解的资料分析，按照《企业职工伤亡事故分类》</w:t>
      </w:r>
      <w:r>
        <w:rPr>
          <w:rFonts w:hint="eastAsia"/>
          <w:color w:val="auto"/>
          <w:lang w:val="en-US" w:eastAsia="zh-CN"/>
        </w:rPr>
        <w:t>（</w:t>
      </w:r>
      <w:r>
        <w:rPr>
          <w:rFonts w:hint="default"/>
          <w:color w:val="auto"/>
          <w:lang w:val="en-US" w:eastAsia="zh-CN"/>
        </w:rPr>
        <w:t>GB6441-1986</w:t>
      </w:r>
      <w:r>
        <w:rPr>
          <w:rFonts w:hint="eastAsia"/>
          <w:color w:val="auto"/>
          <w:lang w:val="en-US" w:eastAsia="zh-CN"/>
        </w:rPr>
        <w:t>）</w:t>
      </w:r>
      <w:r>
        <w:rPr>
          <w:rFonts w:hint="default"/>
          <w:color w:val="auto"/>
          <w:lang w:val="en-US" w:eastAsia="zh-CN"/>
        </w:rPr>
        <w:t>的规定，对</w:t>
      </w:r>
      <w:r>
        <w:rPr>
          <w:rFonts w:hint="eastAsia"/>
          <w:color w:val="auto"/>
          <w:lang w:val="en-US" w:eastAsia="zh-CN"/>
        </w:rPr>
        <w:t>本项目</w:t>
      </w:r>
      <w:r>
        <w:rPr>
          <w:rFonts w:hint="default"/>
          <w:color w:val="auto"/>
          <w:lang w:val="en-US" w:eastAsia="zh-CN"/>
        </w:rPr>
        <w:t>存在危险因素归纳汇总。各单元危险性具体分析见预先危险性分析。</w:t>
      </w:r>
    </w:p>
    <w:p w14:paraId="6B033629">
      <w:pPr>
        <w:pStyle w:val="4"/>
        <w:bidi w:val="0"/>
        <w:rPr>
          <w:rFonts w:hint="default"/>
          <w:color w:val="auto"/>
          <w:lang w:val="en-US" w:eastAsia="zh-CN"/>
        </w:rPr>
      </w:pPr>
      <w:bookmarkStart w:id="237" w:name="_Toc1271"/>
      <w:bookmarkStart w:id="238" w:name="_Toc12739"/>
      <w:bookmarkStart w:id="239" w:name="_Toc19246"/>
      <w:bookmarkStart w:id="240" w:name="_Toc7739"/>
      <w:r>
        <w:rPr>
          <w:rFonts w:hint="default"/>
          <w:color w:val="auto"/>
          <w:lang w:val="en-US" w:eastAsia="zh-CN"/>
        </w:rPr>
        <w:t>2.3.1</w:t>
      </w:r>
      <w:r>
        <w:rPr>
          <w:rFonts w:hint="eastAsia"/>
          <w:color w:val="auto"/>
          <w:lang w:val="en-US" w:eastAsia="zh-CN"/>
        </w:rPr>
        <w:t xml:space="preserve"> </w:t>
      </w:r>
      <w:r>
        <w:rPr>
          <w:rFonts w:hint="default"/>
          <w:color w:val="auto"/>
          <w:lang w:val="en-US" w:eastAsia="zh-CN"/>
        </w:rPr>
        <w:t>主要危险因素辨识</w:t>
      </w:r>
      <w:bookmarkEnd w:id="237"/>
      <w:bookmarkEnd w:id="238"/>
      <w:bookmarkEnd w:id="239"/>
      <w:bookmarkEnd w:id="240"/>
    </w:p>
    <w:p w14:paraId="7013B4A3">
      <w:pPr>
        <w:rPr>
          <w:rFonts w:hint="default"/>
          <w:b/>
          <w:bCs/>
          <w:color w:val="auto"/>
          <w:lang w:val="en-US" w:eastAsia="zh-CN"/>
        </w:rPr>
      </w:pPr>
      <w:r>
        <w:rPr>
          <w:rFonts w:hint="eastAsia"/>
          <w:b/>
          <w:bCs/>
          <w:color w:val="auto"/>
          <w:lang w:val="en-US" w:eastAsia="zh-CN"/>
        </w:rPr>
        <w:t>一、</w:t>
      </w:r>
      <w:r>
        <w:rPr>
          <w:rFonts w:hint="default"/>
          <w:b/>
          <w:bCs/>
          <w:color w:val="auto"/>
          <w:lang w:val="en-US" w:eastAsia="zh-CN"/>
        </w:rPr>
        <w:t>火灾</w:t>
      </w:r>
    </w:p>
    <w:p w14:paraId="26C82E9C">
      <w:pPr>
        <w:rPr>
          <w:rFonts w:hint="default"/>
          <w:color w:val="auto"/>
          <w:lang w:val="en-US" w:eastAsia="zh-CN"/>
        </w:rPr>
      </w:pPr>
      <w:r>
        <w:rPr>
          <w:rFonts w:hint="default"/>
          <w:color w:val="auto"/>
          <w:lang w:val="en-US" w:eastAsia="zh-CN"/>
        </w:rPr>
        <w:t>柴油为易燃物质，可能发生火灾事故。其发生火灾可能性有：</w:t>
      </w:r>
    </w:p>
    <w:p w14:paraId="7ECB1244">
      <w:pPr>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泄漏：</w:t>
      </w:r>
    </w:p>
    <w:p w14:paraId="7FDA231F">
      <w:pPr>
        <w:rPr>
          <w:rFonts w:hint="default"/>
          <w:color w:val="auto"/>
          <w:lang w:val="en-US" w:eastAsia="zh-CN"/>
        </w:rPr>
      </w:pPr>
      <w:r>
        <w:rPr>
          <w:rFonts w:hint="default"/>
          <w:color w:val="auto"/>
          <w:lang w:val="en-US" w:eastAsia="zh-CN"/>
        </w:rPr>
        <w:t>（1）储罐因长期使用，罐体腐蚀而产生穿孔、破裂，从而大量泄漏；</w:t>
      </w:r>
    </w:p>
    <w:p w14:paraId="167A0701">
      <w:pPr>
        <w:rPr>
          <w:rFonts w:hint="default"/>
          <w:color w:val="auto"/>
          <w:lang w:val="en-US" w:eastAsia="zh-CN"/>
        </w:rPr>
      </w:pPr>
      <w:r>
        <w:rPr>
          <w:rFonts w:hint="default"/>
          <w:color w:val="auto"/>
          <w:lang w:val="en-US" w:eastAsia="zh-CN"/>
        </w:rPr>
        <w:t>（2）管道因长期使用，管壁腐蚀而产生穿孔、破裂；</w:t>
      </w:r>
    </w:p>
    <w:p w14:paraId="386A3BC1">
      <w:pPr>
        <w:rPr>
          <w:rFonts w:hint="default"/>
          <w:color w:val="auto"/>
          <w:lang w:val="en-US" w:eastAsia="zh-CN"/>
        </w:rPr>
      </w:pPr>
      <w:r>
        <w:rPr>
          <w:rFonts w:hint="default"/>
          <w:color w:val="auto"/>
          <w:lang w:val="en-US" w:eastAsia="zh-CN"/>
        </w:rPr>
        <w:t>（</w:t>
      </w:r>
      <w:r>
        <w:rPr>
          <w:rFonts w:hint="eastAsia"/>
          <w:color w:val="auto"/>
          <w:lang w:val="en-US" w:eastAsia="zh-CN"/>
        </w:rPr>
        <w:t>3</w:t>
      </w:r>
      <w:r>
        <w:rPr>
          <w:rFonts w:hint="default"/>
          <w:color w:val="auto"/>
          <w:lang w:val="en-US" w:eastAsia="zh-CN"/>
        </w:rPr>
        <w:t>）管道、法兰连接处垫子长期使用老化发生泄漏；</w:t>
      </w:r>
    </w:p>
    <w:p w14:paraId="7745665A">
      <w:pPr>
        <w:rPr>
          <w:rFonts w:hint="default"/>
          <w:color w:val="auto"/>
          <w:lang w:val="en-US" w:eastAsia="zh-CN"/>
        </w:rPr>
      </w:pPr>
      <w:r>
        <w:rPr>
          <w:rFonts w:hint="default"/>
          <w:color w:val="auto"/>
          <w:lang w:val="en-US" w:eastAsia="zh-CN"/>
        </w:rPr>
        <w:t>（</w:t>
      </w:r>
      <w:r>
        <w:rPr>
          <w:rFonts w:hint="eastAsia"/>
          <w:color w:val="auto"/>
          <w:lang w:val="en-US" w:eastAsia="zh-CN"/>
        </w:rPr>
        <w:t>4</w:t>
      </w:r>
      <w:r>
        <w:rPr>
          <w:rFonts w:hint="default"/>
          <w:color w:val="auto"/>
          <w:lang w:val="en-US" w:eastAsia="zh-CN"/>
        </w:rPr>
        <w:t>）加油机管道连接不牢而发生泄漏；</w:t>
      </w:r>
    </w:p>
    <w:p w14:paraId="7E18D764">
      <w:pPr>
        <w:rPr>
          <w:rFonts w:hint="default"/>
          <w:color w:val="auto"/>
          <w:lang w:val="en-US" w:eastAsia="zh-CN"/>
        </w:rPr>
      </w:pPr>
      <w:r>
        <w:rPr>
          <w:rFonts w:hint="default"/>
          <w:color w:val="auto"/>
          <w:lang w:val="en-US" w:eastAsia="zh-CN"/>
        </w:rPr>
        <w:t>（</w:t>
      </w:r>
      <w:r>
        <w:rPr>
          <w:rFonts w:hint="eastAsia"/>
          <w:color w:val="auto"/>
          <w:lang w:val="en-US" w:eastAsia="zh-CN"/>
        </w:rPr>
        <w:t>5</w:t>
      </w:r>
      <w:r>
        <w:rPr>
          <w:rFonts w:hint="default"/>
          <w:color w:val="auto"/>
          <w:lang w:val="en-US" w:eastAsia="zh-CN"/>
        </w:rPr>
        <w:t>）储罐受外界热辐射的影响，罐体温度过高，从而从呼吸管中呼出大量油气；</w:t>
      </w:r>
    </w:p>
    <w:p w14:paraId="5379C4EE">
      <w:pPr>
        <w:rPr>
          <w:rFonts w:hint="default"/>
          <w:color w:val="auto"/>
          <w:lang w:val="en-US" w:eastAsia="zh-CN"/>
        </w:rPr>
      </w:pPr>
      <w:r>
        <w:rPr>
          <w:rFonts w:hint="default"/>
          <w:color w:val="auto"/>
          <w:lang w:val="en-US" w:eastAsia="zh-CN"/>
        </w:rPr>
        <w:t>（</w:t>
      </w:r>
      <w:r>
        <w:rPr>
          <w:rFonts w:hint="eastAsia"/>
          <w:color w:val="auto"/>
          <w:lang w:val="en-US" w:eastAsia="zh-CN"/>
        </w:rPr>
        <w:t>6</w:t>
      </w:r>
      <w:r>
        <w:rPr>
          <w:rFonts w:hint="default"/>
          <w:color w:val="auto"/>
          <w:lang w:val="en-US" w:eastAsia="zh-CN"/>
        </w:rPr>
        <w:t>）卸油、加油过程中的油气挥发；</w:t>
      </w:r>
    </w:p>
    <w:p w14:paraId="045FC05F">
      <w:pPr>
        <w:rPr>
          <w:rFonts w:hint="default"/>
          <w:color w:val="auto"/>
          <w:lang w:val="en-US" w:eastAsia="zh-CN"/>
        </w:rPr>
      </w:pPr>
      <w:r>
        <w:rPr>
          <w:rFonts w:hint="default"/>
          <w:color w:val="auto"/>
          <w:lang w:val="en-US" w:eastAsia="zh-CN"/>
        </w:rPr>
        <w:t>（</w:t>
      </w:r>
      <w:r>
        <w:rPr>
          <w:rFonts w:hint="eastAsia"/>
          <w:color w:val="auto"/>
          <w:lang w:val="en-US" w:eastAsia="zh-CN"/>
        </w:rPr>
        <w:t>7</w:t>
      </w:r>
      <w:r>
        <w:rPr>
          <w:rFonts w:hint="default"/>
          <w:color w:val="auto"/>
          <w:lang w:val="en-US" w:eastAsia="zh-CN"/>
        </w:rPr>
        <w:t>）车辆碰撞事故、加油车辆带枪启动、卸油车辆滑行等导致油品泄漏。</w:t>
      </w:r>
    </w:p>
    <w:p w14:paraId="6A3CCED8">
      <w:pPr>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点火源</w:t>
      </w:r>
    </w:p>
    <w:p w14:paraId="0631E736">
      <w:pPr>
        <w:rPr>
          <w:rFonts w:hint="default"/>
          <w:color w:val="auto"/>
          <w:lang w:val="en-US" w:eastAsia="zh-CN"/>
        </w:rPr>
      </w:pPr>
      <w:r>
        <w:rPr>
          <w:rFonts w:hint="default"/>
          <w:color w:val="auto"/>
          <w:lang w:val="en-US" w:eastAsia="zh-CN"/>
        </w:rPr>
        <w:t>（1）设备、管道、加油枪发生故障，出现磨擦、撞击等而产生火花。</w:t>
      </w:r>
    </w:p>
    <w:p w14:paraId="67D45219">
      <w:pPr>
        <w:rPr>
          <w:rFonts w:hint="default"/>
          <w:color w:val="auto"/>
          <w:lang w:val="en-US" w:eastAsia="zh-CN"/>
        </w:rPr>
      </w:pPr>
      <w:r>
        <w:rPr>
          <w:rFonts w:hint="default"/>
          <w:color w:val="auto"/>
          <w:lang w:val="en-US" w:eastAsia="zh-CN"/>
        </w:rPr>
        <w:t>（2）电气绝缘失效，接触不良，过载、超压、短路引起电火花。</w:t>
      </w:r>
    </w:p>
    <w:p w14:paraId="612B334F">
      <w:pPr>
        <w:rPr>
          <w:rFonts w:hint="default"/>
          <w:color w:val="auto"/>
          <w:lang w:val="en-US" w:eastAsia="zh-CN"/>
        </w:rPr>
      </w:pPr>
      <w:r>
        <w:rPr>
          <w:rFonts w:hint="default"/>
          <w:color w:val="auto"/>
          <w:lang w:val="en-US" w:eastAsia="zh-CN"/>
        </w:rPr>
        <w:t>（</w:t>
      </w:r>
      <w:r>
        <w:rPr>
          <w:rFonts w:hint="eastAsia"/>
          <w:color w:val="auto"/>
          <w:lang w:val="en-US" w:eastAsia="zh-CN"/>
        </w:rPr>
        <w:t>3</w:t>
      </w:r>
      <w:r>
        <w:rPr>
          <w:rFonts w:hint="default"/>
          <w:color w:val="auto"/>
          <w:lang w:val="en-US" w:eastAsia="zh-CN"/>
        </w:rPr>
        <w:t>）静电，包括液体流动产生的静电和人体静电；导除静电不良，发生静电放电。</w:t>
      </w:r>
    </w:p>
    <w:p w14:paraId="12C6E630">
      <w:pPr>
        <w:rPr>
          <w:rFonts w:hint="default"/>
          <w:color w:val="auto"/>
          <w:lang w:val="en-US" w:eastAsia="zh-CN"/>
        </w:rPr>
      </w:pPr>
      <w:r>
        <w:rPr>
          <w:rFonts w:hint="default"/>
          <w:color w:val="auto"/>
          <w:lang w:val="en-US" w:eastAsia="zh-CN"/>
        </w:rPr>
        <w:t>（</w:t>
      </w:r>
      <w:r>
        <w:rPr>
          <w:rFonts w:hint="eastAsia"/>
          <w:color w:val="auto"/>
          <w:lang w:val="en-US" w:eastAsia="zh-CN"/>
        </w:rPr>
        <w:t>4</w:t>
      </w:r>
      <w:r>
        <w:rPr>
          <w:rFonts w:hint="default"/>
          <w:color w:val="auto"/>
          <w:lang w:val="en-US" w:eastAsia="zh-CN"/>
        </w:rPr>
        <w:t>）防雷系统失效，出现雷电火花。</w:t>
      </w:r>
    </w:p>
    <w:p w14:paraId="15B92506">
      <w:pPr>
        <w:rPr>
          <w:rFonts w:hint="default"/>
          <w:color w:val="auto"/>
          <w:lang w:val="en-US" w:eastAsia="zh-CN"/>
        </w:rPr>
      </w:pPr>
      <w:r>
        <w:rPr>
          <w:rFonts w:hint="default"/>
          <w:color w:val="auto"/>
          <w:lang w:val="en-US" w:eastAsia="zh-CN"/>
        </w:rPr>
        <w:t>（</w:t>
      </w:r>
      <w:r>
        <w:rPr>
          <w:rFonts w:hint="eastAsia"/>
          <w:color w:val="auto"/>
          <w:lang w:val="en-US" w:eastAsia="zh-CN"/>
        </w:rPr>
        <w:t>5</w:t>
      </w:r>
      <w:r>
        <w:rPr>
          <w:rFonts w:hint="default"/>
          <w:color w:val="auto"/>
          <w:lang w:val="en-US" w:eastAsia="zh-CN"/>
        </w:rPr>
        <w:t>）电缆、导线、其他电器设备接触不良发热升温；电缆、导线和其他电器设备过载、过流发热升温。</w:t>
      </w:r>
    </w:p>
    <w:p w14:paraId="462C9A00">
      <w:pPr>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人的不安全行为</w:t>
      </w:r>
    </w:p>
    <w:p w14:paraId="0B047702">
      <w:pPr>
        <w:rPr>
          <w:rFonts w:hint="default"/>
          <w:color w:val="auto"/>
          <w:lang w:val="en-US" w:eastAsia="zh-CN"/>
        </w:rPr>
      </w:pPr>
      <w:r>
        <w:rPr>
          <w:rFonts w:hint="default"/>
          <w:color w:val="auto"/>
          <w:lang w:val="en-US" w:eastAsia="zh-CN"/>
        </w:rPr>
        <w:t>（1）操作人员的违章作业，检修人员的违章行为。如违章用火动火，检修用的电焊、气焊、砂轮打磨、敲击、焚烧、清除杂物；外来人员违章带入火源，如吸烟、点打火机；手机、无线电话、对讲机等流散杂电能源发生火花等。</w:t>
      </w:r>
    </w:p>
    <w:p w14:paraId="632EB2BA">
      <w:pPr>
        <w:rPr>
          <w:rFonts w:hint="default"/>
          <w:b/>
          <w:bCs/>
          <w:color w:val="auto"/>
          <w:lang w:val="en-US" w:eastAsia="zh-CN"/>
        </w:rPr>
      </w:pPr>
      <w:r>
        <w:rPr>
          <w:rFonts w:hint="eastAsia"/>
          <w:b/>
          <w:bCs/>
          <w:color w:val="auto"/>
          <w:lang w:val="en-US" w:eastAsia="zh-CN"/>
        </w:rPr>
        <w:t>二、</w:t>
      </w:r>
      <w:r>
        <w:rPr>
          <w:rFonts w:hint="default"/>
          <w:b/>
          <w:bCs/>
          <w:color w:val="auto"/>
          <w:lang w:val="en-US" w:eastAsia="zh-CN"/>
        </w:rPr>
        <w:t>触电</w:t>
      </w:r>
    </w:p>
    <w:p w14:paraId="79C3EC31">
      <w:pPr>
        <w:rPr>
          <w:rFonts w:hint="default"/>
          <w:color w:val="auto"/>
          <w:lang w:val="en-US" w:eastAsia="zh-CN"/>
        </w:rPr>
      </w:pPr>
      <w:r>
        <w:rPr>
          <w:rFonts w:hint="default"/>
          <w:color w:val="auto"/>
          <w:lang w:val="en-US" w:eastAsia="zh-CN"/>
        </w:rPr>
        <w:t>主要包括触电和电弧灼伤。</w:t>
      </w:r>
    </w:p>
    <w:p w14:paraId="06669E4D">
      <w:pPr>
        <w:rPr>
          <w:rFonts w:hint="default"/>
          <w:color w:val="auto"/>
          <w:lang w:val="en-US" w:eastAsia="zh-CN"/>
        </w:rPr>
      </w:pPr>
      <w:r>
        <w:rPr>
          <w:rFonts w:hint="eastAsia"/>
          <w:color w:val="auto"/>
          <w:lang w:val="en-US" w:eastAsia="zh-CN"/>
        </w:rPr>
        <w:t>本项目</w:t>
      </w:r>
      <w:r>
        <w:rPr>
          <w:rFonts w:hint="default"/>
          <w:color w:val="auto"/>
          <w:lang w:val="en-US" w:eastAsia="zh-CN"/>
        </w:rPr>
        <w:t>中有较多用电设备，人体接触高、低压电源会造成触电伤害，雷击也可能产生类似的后果。如果设备开关本体缺陷、设备保护接地失效或操作失误，个人思想麻痹，防护缺陷，操作高压开关不使用绝缘工具，或非专业人员违章操作等，易发生人员触电事故。而电气布线及用电设备容易产生绝缘性能降低，甚至外壳带电，特别在多雨、潮湿、高温季节可能造成人身触电事故。</w:t>
      </w:r>
    </w:p>
    <w:p w14:paraId="7C8A86D1">
      <w:pPr>
        <w:rPr>
          <w:rFonts w:hint="default"/>
          <w:color w:val="auto"/>
          <w:lang w:val="en-US" w:eastAsia="zh-CN"/>
        </w:rPr>
      </w:pPr>
      <w:r>
        <w:rPr>
          <w:rFonts w:hint="default"/>
          <w:color w:val="auto"/>
          <w:lang w:val="en-US" w:eastAsia="zh-CN"/>
        </w:rPr>
        <w:t>电弧灼伤主要表现在违章操作如带负荷送电或停电，绝缘损坏或人为造成短路，引发电弧可能造成电灼伤事故。电焊作业亦会引起电弧灼伤事故。</w:t>
      </w:r>
    </w:p>
    <w:p w14:paraId="78FFDFF5">
      <w:pPr>
        <w:rPr>
          <w:rFonts w:hint="default"/>
          <w:b/>
          <w:bCs/>
          <w:color w:val="auto"/>
          <w:lang w:val="en-US" w:eastAsia="zh-CN"/>
        </w:rPr>
      </w:pPr>
      <w:r>
        <w:rPr>
          <w:rFonts w:hint="eastAsia"/>
          <w:b/>
          <w:bCs/>
          <w:color w:val="auto"/>
          <w:lang w:val="en-US" w:eastAsia="zh-CN"/>
        </w:rPr>
        <w:t>三、</w:t>
      </w:r>
      <w:r>
        <w:rPr>
          <w:rFonts w:hint="default"/>
          <w:b/>
          <w:bCs/>
          <w:color w:val="auto"/>
          <w:lang w:val="en-US" w:eastAsia="zh-CN"/>
        </w:rPr>
        <w:t>车辆伤害</w:t>
      </w:r>
    </w:p>
    <w:p w14:paraId="2AB7EAD9">
      <w:pPr>
        <w:rPr>
          <w:rFonts w:hint="default"/>
          <w:color w:val="auto"/>
          <w:lang w:val="en-US" w:eastAsia="zh-CN"/>
        </w:rPr>
      </w:pPr>
      <w:r>
        <w:rPr>
          <w:rFonts w:hint="default"/>
          <w:color w:val="auto"/>
          <w:lang w:val="en-US" w:eastAsia="zh-CN"/>
        </w:rPr>
        <w:t>车辆伤害指企业机动车辆在行驶中引起的人体坠落和物体倒塌、飞落、挤压伤亡事故。</w:t>
      </w:r>
    </w:p>
    <w:p w14:paraId="5422C1B3">
      <w:pPr>
        <w:rPr>
          <w:rFonts w:hint="default"/>
          <w:color w:val="auto"/>
          <w:lang w:val="en-US" w:eastAsia="zh-CN"/>
        </w:rPr>
      </w:pPr>
      <w:r>
        <w:rPr>
          <w:rFonts w:hint="default"/>
          <w:color w:val="auto"/>
          <w:lang w:val="en-US" w:eastAsia="zh-CN"/>
        </w:rPr>
        <w:t>站内加油、卸油汽车来往频繁，有可能因道路缺陷、安全标志不明或缺失、车辆故障、车辆违章行驶、驾驶员思想麻痹、加油员引导失当等原因，引发车辆伤害事故。</w:t>
      </w:r>
    </w:p>
    <w:p w14:paraId="46413B65">
      <w:pPr>
        <w:rPr>
          <w:rFonts w:hint="eastAsia"/>
          <w:b/>
          <w:bCs/>
          <w:color w:val="auto"/>
          <w:lang w:val="en-US" w:eastAsia="zh-CN"/>
        </w:rPr>
      </w:pPr>
      <w:r>
        <w:rPr>
          <w:rFonts w:hint="eastAsia"/>
          <w:b/>
          <w:bCs/>
          <w:color w:val="auto"/>
          <w:lang w:val="en-US" w:eastAsia="zh-CN"/>
        </w:rPr>
        <w:t>四、机械伤害</w:t>
      </w:r>
    </w:p>
    <w:p w14:paraId="57C77562">
      <w:pPr>
        <w:bidi w:val="0"/>
        <w:rPr>
          <w:rFonts w:hint="default"/>
          <w:color w:val="auto"/>
          <w:lang w:val="en-US" w:eastAsia="zh-CN"/>
        </w:rPr>
      </w:pPr>
      <w:r>
        <w:rPr>
          <w:rFonts w:hint="default"/>
          <w:color w:val="auto"/>
          <w:lang w:val="en-US" w:eastAsia="zh-CN"/>
        </w:rPr>
        <w:t>机械伤害是指机械做出强大的功能作用于人体的伤害。在生产过程中，如加油机使用泵的传动轴等设备的传动部件、转动轴等部位，这些设备在生产过程中频繁使用，作业人员在检修、巡查或操作过程中均造成意外伤害。</w:t>
      </w:r>
    </w:p>
    <w:p w14:paraId="6D668D0A">
      <w:pPr>
        <w:bidi w:val="0"/>
        <w:rPr>
          <w:rFonts w:hint="default"/>
          <w:color w:val="auto"/>
          <w:lang w:val="en-US" w:eastAsia="zh-CN"/>
        </w:rPr>
      </w:pPr>
      <w:r>
        <w:rPr>
          <w:rFonts w:hint="default"/>
          <w:color w:val="auto"/>
          <w:lang w:val="en-US" w:eastAsia="zh-CN"/>
        </w:rPr>
        <w:t>造成机械伤害事故，主要是由于设备制造质量不符合设计要求或设计上本身就存在缺陷，设备的安全防护装置没有或损坏，人为的违章指挥，违章操作及对机械设备的故障不及时维修，设备在非正常状态下工作等造成的。常见的因素有：</w:t>
      </w:r>
    </w:p>
    <w:p w14:paraId="7E2A9AC5">
      <w:pPr>
        <w:bidi w:val="0"/>
        <w:rPr>
          <w:rFonts w:hint="default"/>
          <w:color w:val="auto"/>
          <w:lang w:val="en-US" w:eastAsia="zh-CN"/>
        </w:rPr>
      </w:pPr>
      <w:r>
        <w:rPr>
          <w:rFonts w:hint="default"/>
          <w:color w:val="auto"/>
          <w:lang w:val="en-US" w:eastAsia="zh-CN"/>
        </w:rPr>
        <w:t>1</w:t>
      </w:r>
      <w:r>
        <w:rPr>
          <w:rFonts w:hint="eastAsia"/>
          <w:color w:val="auto"/>
          <w:lang w:val="en-US" w:eastAsia="zh-CN"/>
        </w:rPr>
        <w:t xml:space="preserve">. </w:t>
      </w:r>
      <w:r>
        <w:rPr>
          <w:rFonts w:hint="default"/>
          <w:color w:val="auto"/>
          <w:lang w:val="en-US" w:eastAsia="zh-CN"/>
        </w:rPr>
        <w:t>违章操作，导致事故发生；</w:t>
      </w:r>
    </w:p>
    <w:p w14:paraId="6A867F08">
      <w:pPr>
        <w:bidi w:val="0"/>
        <w:rPr>
          <w:rFonts w:hint="default"/>
          <w:color w:val="auto"/>
          <w:lang w:val="en-US" w:eastAsia="zh-CN"/>
        </w:rPr>
      </w:pPr>
      <w:r>
        <w:rPr>
          <w:rFonts w:hint="default"/>
          <w:color w:val="auto"/>
          <w:lang w:val="en-US" w:eastAsia="zh-CN"/>
        </w:rPr>
        <w:t>2</w:t>
      </w:r>
      <w:r>
        <w:rPr>
          <w:rFonts w:hint="eastAsia"/>
          <w:color w:val="auto"/>
          <w:lang w:val="en-US" w:eastAsia="zh-CN"/>
        </w:rPr>
        <w:t xml:space="preserve">. </w:t>
      </w:r>
      <w:r>
        <w:rPr>
          <w:rFonts w:hint="default"/>
          <w:color w:val="auto"/>
          <w:lang w:val="en-US" w:eastAsia="zh-CN"/>
        </w:rPr>
        <w:t>机械设备安全防护装置缺乏或损坏、被拆除等，导致事故发生；</w:t>
      </w:r>
    </w:p>
    <w:p w14:paraId="6DB339C5">
      <w:pPr>
        <w:bidi w:val="0"/>
        <w:rPr>
          <w:rFonts w:hint="default"/>
          <w:color w:val="auto"/>
          <w:lang w:val="en-US" w:eastAsia="zh-CN"/>
        </w:rPr>
      </w:pPr>
      <w:r>
        <w:rPr>
          <w:rFonts w:hint="default"/>
          <w:color w:val="auto"/>
          <w:lang w:val="en-US" w:eastAsia="zh-CN"/>
        </w:rPr>
        <w:t>3</w:t>
      </w:r>
      <w:r>
        <w:rPr>
          <w:rFonts w:hint="eastAsia"/>
          <w:color w:val="auto"/>
          <w:lang w:val="en-US" w:eastAsia="zh-CN"/>
        </w:rPr>
        <w:t xml:space="preserve">. </w:t>
      </w:r>
      <w:r>
        <w:rPr>
          <w:rFonts w:hint="default"/>
          <w:color w:val="auto"/>
          <w:lang w:val="en-US" w:eastAsia="zh-CN"/>
        </w:rPr>
        <w:t>操作人员疏忽大意，身体进入机械危险部位，导致事故发生；</w:t>
      </w:r>
    </w:p>
    <w:p w14:paraId="2129B38B">
      <w:pPr>
        <w:bidi w:val="0"/>
        <w:rPr>
          <w:rFonts w:hint="default"/>
          <w:color w:val="auto"/>
          <w:lang w:val="en-US" w:eastAsia="zh-CN"/>
        </w:rPr>
      </w:pPr>
      <w:r>
        <w:rPr>
          <w:rFonts w:hint="default"/>
          <w:color w:val="auto"/>
          <w:lang w:val="en-US" w:eastAsia="zh-CN"/>
        </w:rPr>
        <w:t>4</w:t>
      </w:r>
      <w:r>
        <w:rPr>
          <w:rFonts w:hint="eastAsia"/>
          <w:color w:val="auto"/>
          <w:lang w:val="en-US" w:eastAsia="zh-CN"/>
        </w:rPr>
        <w:t xml:space="preserve">. </w:t>
      </w:r>
      <w:r>
        <w:rPr>
          <w:rFonts w:hint="default"/>
          <w:color w:val="auto"/>
          <w:lang w:val="en-US" w:eastAsia="zh-CN"/>
        </w:rPr>
        <w:t>在检修和正常工作时，机器突然被别人随意启动，导致事故发生；</w:t>
      </w:r>
    </w:p>
    <w:p w14:paraId="18493AD7">
      <w:pPr>
        <w:bidi w:val="0"/>
        <w:rPr>
          <w:rFonts w:hint="default"/>
          <w:color w:val="auto"/>
          <w:lang w:val="en-US" w:eastAsia="zh-CN"/>
        </w:rPr>
      </w:pPr>
      <w:r>
        <w:rPr>
          <w:rFonts w:hint="default"/>
          <w:color w:val="auto"/>
          <w:lang w:val="en-US" w:eastAsia="zh-CN"/>
        </w:rPr>
        <w:t>5</w:t>
      </w:r>
      <w:r>
        <w:rPr>
          <w:rFonts w:hint="eastAsia"/>
          <w:color w:val="auto"/>
          <w:lang w:val="en-US" w:eastAsia="zh-CN"/>
        </w:rPr>
        <w:t xml:space="preserve">. </w:t>
      </w:r>
      <w:r>
        <w:rPr>
          <w:rFonts w:hint="default"/>
          <w:color w:val="auto"/>
          <w:lang w:val="en-US" w:eastAsia="zh-CN"/>
        </w:rPr>
        <w:t>在不安全的机械上停留、休息，设备突然运转时，导致事故发生；</w:t>
      </w:r>
    </w:p>
    <w:p w14:paraId="0C7D2809">
      <w:pPr>
        <w:bidi w:val="0"/>
        <w:rPr>
          <w:rFonts w:hint="default"/>
          <w:color w:val="auto"/>
          <w:lang w:val="en-US" w:eastAsia="zh-CN"/>
        </w:rPr>
      </w:pPr>
      <w:r>
        <w:rPr>
          <w:rFonts w:hint="default"/>
          <w:color w:val="auto"/>
          <w:lang w:val="en-US" w:eastAsia="zh-CN"/>
        </w:rPr>
        <w:t>6</w:t>
      </w:r>
      <w:r>
        <w:rPr>
          <w:rFonts w:hint="eastAsia"/>
          <w:color w:val="auto"/>
          <w:lang w:val="en-US" w:eastAsia="zh-CN"/>
        </w:rPr>
        <w:t xml:space="preserve">. </w:t>
      </w:r>
      <w:r>
        <w:rPr>
          <w:rFonts w:hint="default"/>
          <w:color w:val="auto"/>
          <w:lang w:val="en-US" w:eastAsia="zh-CN"/>
        </w:rPr>
        <w:t>机械设备有故障不及时排除，设备带有故障运行，导致事故发生；</w:t>
      </w:r>
    </w:p>
    <w:p w14:paraId="6FBF1D26">
      <w:pPr>
        <w:bidi w:val="0"/>
        <w:rPr>
          <w:rFonts w:hint="default"/>
          <w:color w:val="auto"/>
          <w:lang w:val="en-US" w:eastAsia="zh-CN"/>
        </w:rPr>
      </w:pPr>
      <w:r>
        <w:rPr>
          <w:rFonts w:hint="default"/>
          <w:color w:val="auto"/>
          <w:lang w:val="en-US" w:eastAsia="zh-CN"/>
        </w:rPr>
        <w:t>7</w:t>
      </w:r>
      <w:r>
        <w:rPr>
          <w:rFonts w:hint="eastAsia"/>
          <w:color w:val="auto"/>
          <w:lang w:val="en-US" w:eastAsia="zh-CN"/>
        </w:rPr>
        <w:t xml:space="preserve">. </w:t>
      </w:r>
      <w:r>
        <w:rPr>
          <w:rFonts w:hint="default"/>
          <w:color w:val="auto"/>
          <w:lang w:val="en-US" w:eastAsia="zh-CN"/>
        </w:rPr>
        <w:t>机械设备制造质量不合格或设计上本身就存在缺陷，设备运行中导致事故发生；</w:t>
      </w:r>
    </w:p>
    <w:p w14:paraId="5DD8A281">
      <w:pPr>
        <w:bidi w:val="0"/>
        <w:rPr>
          <w:rFonts w:hint="default"/>
          <w:color w:val="auto"/>
          <w:lang w:val="en-US" w:eastAsia="zh-CN"/>
        </w:rPr>
      </w:pPr>
      <w:r>
        <w:rPr>
          <w:rFonts w:hint="default"/>
          <w:color w:val="auto"/>
          <w:lang w:val="en-US" w:eastAsia="zh-CN"/>
        </w:rPr>
        <w:t>8</w:t>
      </w:r>
      <w:r>
        <w:rPr>
          <w:rFonts w:hint="eastAsia"/>
          <w:color w:val="auto"/>
          <w:lang w:val="en-US" w:eastAsia="zh-CN"/>
        </w:rPr>
        <w:t xml:space="preserve">. </w:t>
      </w:r>
      <w:r>
        <w:rPr>
          <w:rFonts w:hint="default"/>
          <w:color w:val="auto"/>
          <w:lang w:val="en-US" w:eastAsia="zh-CN"/>
        </w:rPr>
        <w:t>设备控制系统失灵，造成设备误动作，导致事故发生。</w:t>
      </w:r>
    </w:p>
    <w:p w14:paraId="7052EB4B">
      <w:pPr>
        <w:rPr>
          <w:rFonts w:hint="default"/>
          <w:b/>
          <w:bCs/>
          <w:color w:val="auto"/>
          <w:lang w:val="en-US" w:eastAsia="zh-CN"/>
        </w:rPr>
      </w:pPr>
      <w:r>
        <w:rPr>
          <w:rFonts w:hint="eastAsia"/>
          <w:b/>
          <w:bCs/>
          <w:color w:val="auto"/>
          <w:lang w:val="en-US" w:eastAsia="zh-CN"/>
        </w:rPr>
        <w:t>五、</w:t>
      </w:r>
      <w:r>
        <w:rPr>
          <w:rFonts w:hint="default"/>
          <w:b/>
          <w:bCs/>
          <w:color w:val="auto"/>
          <w:lang w:val="en-US" w:eastAsia="zh-CN"/>
        </w:rPr>
        <w:t>物体打击</w:t>
      </w:r>
    </w:p>
    <w:p w14:paraId="7EBB9634">
      <w:pPr>
        <w:rPr>
          <w:rFonts w:hint="default"/>
          <w:color w:val="auto"/>
          <w:lang w:val="en-US" w:eastAsia="zh-CN"/>
        </w:rPr>
      </w:pPr>
      <w:r>
        <w:rPr>
          <w:rFonts w:hint="default"/>
          <w:color w:val="auto"/>
          <w:lang w:val="en-US" w:eastAsia="zh-CN"/>
        </w:rPr>
        <w:t>物体打击指物体在外力或重力作用下，打击人体会造成人身伤害事故。</w:t>
      </w:r>
    </w:p>
    <w:p w14:paraId="03DDAA0A">
      <w:pPr>
        <w:rPr>
          <w:rFonts w:hint="default"/>
          <w:color w:val="auto"/>
          <w:lang w:val="en-US" w:eastAsia="zh-CN"/>
        </w:rPr>
      </w:pPr>
      <w:r>
        <w:rPr>
          <w:rFonts w:hint="eastAsia"/>
          <w:color w:val="auto"/>
          <w:lang w:val="en-US" w:eastAsia="zh-CN"/>
        </w:rPr>
        <w:t>本项目</w:t>
      </w:r>
      <w:r>
        <w:rPr>
          <w:rFonts w:hint="default"/>
          <w:color w:val="auto"/>
          <w:lang w:val="en-US" w:eastAsia="zh-CN"/>
        </w:rPr>
        <w:t>罩棚高处的灯具等物体固定不牢，因腐蚀或风造成断裂、脱落，检修时使用工具飞出击打到人体上；作业工具和材料使用放置不当，造成高处落物等，易发生物体打击事故。</w:t>
      </w:r>
    </w:p>
    <w:p w14:paraId="3FCFB85E">
      <w:pPr>
        <w:rPr>
          <w:rFonts w:hint="default"/>
          <w:b/>
          <w:bCs/>
          <w:color w:val="auto"/>
          <w:lang w:val="en-US" w:eastAsia="zh-CN"/>
        </w:rPr>
      </w:pPr>
      <w:r>
        <w:rPr>
          <w:rFonts w:hint="eastAsia"/>
          <w:b/>
          <w:bCs/>
          <w:color w:val="auto"/>
          <w:lang w:val="en-US" w:eastAsia="zh-CN"/>
        </w:rPr>
        <w:t>六、</w:t>
      </w:r>
      <w:r>
        <w:rPr>
          <w:rFonts w:hint="default"/>
          <w:b/>
          <w:bCs/>
          <w:color w:val="auto"/>
          <w:lang w:val="en-US" w:eastAsia="zh-CN"/>
        </w:rPr>
        <w:t>中毒和窒息</w:t>
      </w:r>
    </w:p>
    <w:p w14:paraId="217621FE">
      <w:pPr>
        <w:rPr>
          <w:rFonts w:hint="default"/>
          <w:color w:val="auto"/>
          <w:lang w:val="en-US" w:eastAsia="zh-CN"/>
        </w:rPr>
      </w:pPr>
      <w:r>
        <w:rPr>
          <w:rFonts w:hint="default"/>
          <w:color w:val="auto"/>
          <w:lang w:val="en-US" w:eastAsia="zh-CN"/>
        </w:rPr>
        <w:t>柴油在储存情况过程中造成气体泄漏，形成局部高浓度环境，应急处理人员未带防护面具进入现场，可能造成应急人员中毒。</w:t>
      </w:r>
    </w:p>
    <w:p w14:paraId="4267E0A8">
      <w:pPr>
        <w:rPr>
          <w:rFonts w:hint="default"/>
          <w:color w:val="auto"/>
          <w:lang w:val="en-US" w:eastAsia="zh-CN"/>
        </w:rPr>
      </w:pPr>
      <w:r>
        <w:rPr>
          <w:rFonts w:hint="default"/>
          <w:color w:val="auto"/>
          <w:lang w:val="en-US" w:eastAsia="zh-CN"/>
        </w:rPr>
        <w:t>人员进入储罐内进行清洗和维护作业，如果未进行有效的置换或通风，不按照操作规程作业，可能造成人员中毒和窒息。</w:t>
      </w:r>
    </w:p>
    <w:p w14:paraId="094C02EC">
      <w:pPr>
        <w:pStyle w:val="4"/>
        <w:bidi w:val="0"/>
        <w:rPr>
          <w:rFonts w:hint="default"/>
          <w:color w:val="auto"/>
          <w:lang w:val="en-US" w:eastAsia="zh-CN"/>
        </w:rPr>
      </w:pPr>
      <w:bookmarkStart w:id="241" w:name="_Toc21811"/>
      <w:bookmarkStart w:id="242" w:name="_Toc22174"/>
      <w:bookmarkStart w:id="243" w:name="_Toc28356"/>
      <w:bookmarkStart w:id="244" w:name="_Toc18651"/>
      <w:r>
        <w:rPr>
          <w:rFonts w:hint="default"/>
          <w:color w:val="auto"/>
          <w:lang w:val="en-US" w:eastAsia="zh-CN"/>
        </w:rPr>
        <w:t>2.3.2</w:t>
      </w:r>
      <w:r>
        <w:rPr>
          <w:rFonts w:hint="eastAsia"/>
          <w:color w:val="auto"/>
          <w:lang w:val="en-US" w:eastAsia="zh-CN"/>
        </w:rPr>
        <w:t xml:space="preserve"> </w:t>
      </w:r>
      <w:r>
        <w:rPr>
          <w:rFonts w:hint="default"/>
          <w:color w:val="auto"/>
          <w:lang w:val="en-US" w:eastAsia="zh-CN"/>
        </w:rPr>
        <w:t>主要有害因素辨识</w:t>
      </w:r>
      <w:bookmarkEnd w:id="241"/>
      <w:bookmarkEnd w:id="242"/>
      <w:bookmarkEnd w:id="243"/>
      <w:bookmarkEnd w:id="244"/>
    </w:p>
    <w:p w14:paraId="44CFC901">
      <w:pPr>
        <w:rPr>
          <w:rFonts w:hint="default"/>
          <w:b/>
          <w:bCs/>
          <w:color w:val="auto"/>
          <w:lang w:val="en-US" w:eastAsia="zh-CN"/>
        </w:rPr>
      </w:pPr>
      <w:r>
        <w:rPr>
          <w:rFonts w:hint="eastAsia"/>
          <w:b/>
          <w:bCs/>
          <w:color w:val="auto"/>
          <w:lang w:val="en-US" w:eastAsia="zh-CN"/>
        </w:rPr>
        <w:t>一、</w:t>
      </w:r>
      <w:r>
        <w:rPr>
          <w:rFonts w:hint="default"/>
          <w:b/>
          <w:bCs/>
          <w:color w:val="auto"/>
          <w:lang w:val="en-US" w:eastAsia="zh-CN"/>
        </w:rPr>
        <w:t>有害物质</w:t>
      </w:r>
    </w:p>
    <w:p w14:paraId="5FE28232">
      <w:pPr>
        <w:rPr>
          <w:rFonts w:hint="default"/>
          <w:color w:val="auto"/>
          <w:lang w:val="en-US" w:eastAsia="zh-CN"/>
        </w:rPr>
      </w:pPr>
      <w:r>
        <w:rPr>
          <w:rFonts w:hint="eastAsia"/>
          <w:color w:val="auto"/>
          <w:lang w:val="en-US" w:eastAsia="zh-CN"/>
        </w:rPr>
        <w:t>运行</w:t>
      </w:r>
      <w:r>
        <w:rPr>
          <w:rFonts w:hint="default"/>
          <w:color w:val="auto"/>
          <w:lang w:val="en-US" w:eastAsia="zh-CN"/>
        </w:rPr>
        <w:t>、储存的柴油危险化学品物质即使在正常的生产过程中也会有微量的泄漏，长期低浓度接触这些物质可能对人体造成不良影响，可能导致神经衰弱综合征、皮肤过敏、损害。</w:t>
      </w:r>
    </w:p>
    <w:p w14:paraId="120DFA7D">
      <w:pPr>
        <w:rPr>
          <w:rFonts w:hint="default"/>
          <w:b/>
          <w:bCs/>
          <w:color w:val="auto"/>
          <w:lang w:val="en-US" w:eastAsia="zh-CN"/>
        </w:rPr>
      </w:pPr>
      <w:r>
        <w:rPr>
          <w:rFonts w:hint="eastAsia"/>
          <w:b/>
          <w:bCs/>
          <w:color w:val="auto"/>
          <w:lang w:val="en-US" w:eastAsia="zh-CN"/>
        </w:rPr>
        <w:t>二、</w:t>
      </w:r>
      <w:r>
        <w:rPr>
          <w:rFonts w:hint="default"/>
          <w:b/>
          <w:bCs/>
          <w:color w:val="auto"/>
          <w:lang w:val="en-US" w:eastAsia="zh-CN"/>
        </w:rPr>
        <w:t>噪声</w:t>
      </w:r>
    </w:p>
    <w:p w14:paraId="1E9EF23C">
      <w:pPr>
        <w:rPr>
          <w:rFonts w:hint="default"/>
          <w:color w:val="auto"/>
          <w:lang w:val="en-US" w:eastAsia="zh-CN"/>
        </w:rPr>
      </w:pPr>
      <w:r>
        <w:rPr>
          <w:rFonts w:hint="default"/>
          <w:color w:val="auto"/>
          <w:lang w:val="en-US" w:eastAsia="zh-CN"/>
        </w:rPr>
        <w:t>加油站</w:t>
      </w:r>
      <w:r>
        <w:rPr>
          <w:rFonts w:hint="eastAsia"/>
          <w:color w:val="auto"/>
          <w:lang w:val="en-US" w:eastAsia="zh-CN"/>
        </w:rPr>
        <w:t>运行</w:t>
      </w:r>
      <w:r>
        <w:rPr>
          <w:rFonts w:hint="default"/>
          <w:color w:val="auto"/>
          <w:lang w:val="en-US" w:eastAsia="zh-CN"/>
        </w:rPr>
        <w:t>中的噪声一般来自于大型车辆的启动、运行的噪声。</w:t>
      </w:r>
    </w:p>
    <w:p w14:paraId="6C469A67">
      <w:pPr>
        <w:rPr>
          <w:rFonts w:hint="default"/>
          <w:color w:val="auto"/>
          <w:lang w:val="en-US" w:eastAsia="zh-CN"/>
        </w:rPr>
      </w:pPr>
      <w:r>
        <w:rPr>
          <w:rFonts w:hint="default"/>
          <w:color w:val="auto"/>
          <w:lang w:val="en-US" w:eastAsia="zh-CN"/>
        </w:rPr>
        <w:t>此外机械运转部件发生故障也会产生较大的机械噪声。</w:t>
      </w:r>
    </w:p>
    <w:p w14:paraId="758DCBF8">
      <w:pPr>
        <w:pStyle w:val="3"/>
        <w:bidi w:val="0"/>
        <w:rPr>
          <w:rFonts w:hint="default"/>
          <w:color w:val="auto"/>
          <w:lang w:val="en-US" w:eastAsia="zh-CN"/>
        </w:rPr>
      </w:pPr>
      <w:bookmarkStart w:id="245" w:name="_Toc25799"/>
      <w:bookmarkStart w:id="246" w:name="_Toc22920"/>
      <w:bookmarkStart w:id="247" w:name="_Toc12574"/>
      <w:bookmarkStart w:id="248" w:name="_Toc13980"/>
      <w:r>
        <w:rPr>
          <w:rFonts w:hint="default"/>
          <w:color w:val="auto"/>
          <w:lang w:val="en-US" w:eastAsia="zh-CN"/>
        </w:rPr>
        <w:t>2.4</w:t>
      </w:r>
      <w:r>
        <w:rPr>
          <w:rFonts w:hint="eastAsia"/>
          <w:color w:val="auto"/>
          <w:lang w:val="en-US" w:eastAsia="zh-CN"/>
        </w:rPr>
        <w:t xml:space="preserve"> </w:t>
      </w:r>
      <w:r>
        <w:rPr>
          <w:rFonts w:hint="default"/>
          <w:color w:val="auto"/>
          <w:lang w:val="en-US" w:eastAsia="zh-CN"/>
        </w:rPr>
        <w:t>环境、自然危害因素分析</w:t>
      </w:r>
      <w:bookmarkEnd w:id="245"/>
      <w:bookmarkEnd w:id="246"/>
      <w:bookmarkEnd w:id="247"/>
      <w:bookmarkEnd w:id="248"/>
    </w:p>
    <w:p w14:paraId="7CFD2001">
      <w:pPr>
        <w:rPr>
          <w:rFonts w:hint="default"/>
          <w:color w:val="auto"/>
          <w:lang w:val="en-US" w:eastAsia="zh-CN"/>
        </w:rPr>
      </w:pPr>
      <w:r>
        <w:rPr>
          <w:rFonts w:hint="eastAsia"/>
          <w:color w:val="auto"/>
          <w:lang w:val="en-US" w:eastAsia="zh-CN"/>
        </w:rPr>
        <w:t>本项目</w:t>
      </w:r>
      <w:r>
        <w:rPr>
          <w:rFonts w:hint="default"/>
          <w:color w:val="auto"/>
          <w:lang w:val="en-US" w:eastAsia="zh-CN"/>
        </w:rPr>
        <w:t>在</w:t>
      </w:r>
      <w:r>
        <w:rPr>
          <w:rFonts w:hint="eastAsia"/>
          <w:color w:val="auto"/>
          <w:lang w:val="en-US" w:eastAsia="zh-CN"/>
        </w:rPr>
        <w:t>运行</w:t>
      </w:r>
      <w:r>
        <w:rPr>
          <w:rFonts w:hint="default"/>
          <w:color w:val="auto"/>
          <w:lang w:val="en-US" w:eastAsia="zh-CN"/>
        </w:rPr>
        <w:t>、检维修作业中可能存在因环境不良、地面物质堆积、操作空间过于狭窄，或操作人员注意力不集中、工具不称手、防护措施不当等原因造成的滑跌、绊倒、碰撞等，造成人员伤害。</w:t>
      </w:r>
    </w:p>
    <w:p w14:paraId="58C3BE50">
      <w:pPr>
        <w:rPr>
          <w:rFonts w:hint="default"/>
          <w:color w:val="auto"/>
          <w:lang w:val="en-US" w:eastAsia="zh-CN"/>
        </w:rPr>
      </w:pPr>
      <w:r>
        <w:rPr>
          <w:rFonts w:hint="default"/>
          <w:color w:val="auto"/>
          <w:lang w:val="en-US" w:eastAsia="zh-CN"/>
        </w:rPr>
        <w:t>地震是一种能产生巨大破坏作用的自然现象，对建筑物破坏作用明显，威胁设备、人员的安全。</w:t>
      </w:r>
    </w:p>
    <w:p w14:paraId="6F91D173">
      <w:pPr>
        <w:rPr>
          <w:rFonts w:hint="eastAsia"/>
          <w:color w:val="auto"/>
          <w:lang w:val="en-US" w:eastAsia="zh-CN"/>
        </w:rPr>
      </w:pPr>
      <w:r>
        <w:rPr>
          <w:rFonts w:hint="eastAsia"/>
          <w:color w:val="auto"/>
          <w:lang w:val="en-US" w:eastAsia="zh-CN"/>
        </w:rPr>
        <w:t>滑坡是在重力作用下，高处的物质有向低处运动的趋势，但并非所有的山坡都会产生滑坡。发生滑坡的主要条件是层面倾角、层面上摩擦系数和滑动面的形态达到相应的条件。产生山体滑坡有地质原因和人为原因，地质方面主要与岩土类型、地质构造、地形地貌条件及水文地质条件等有关；违反自然规律、破坏斜坡稳定条件的人类活动都会诱发滑坡。</w:t>
      </w:r>
    </w:p>
    <w:p w14:paraId="574D066F">
      <w:pPr>
        <w:rPr>
          <w:rFonts w:hint="default"/>
          <w:color w:val="auto"/>
          <w:lang w:val="en-US" w:eastAsia="zh-CN"/>
        </w:rPr>
      </w:pPr>
      <w:r>
        <w:rPr>
          <w:rFonts w:hint="default"/>
          <w:color w:val="auto"/>
          <w:lang w:val="en-US" w:eastAsia="zh-CN"/>
        </w:rPr>
        <w:t>由于江西省气候具有明显的亚热带季风气候区特点，系中亚热带向北亚热带过渡区气候温和，四季分明，大雨集中在每年六、七月间，突然的大规模降水可能导致排水不畅，暴雨及洪水可能威胁加油站的安全。</w:t>
      </w:r>
    </w:p>
    <w:p w14:paraId="3A46479B">
      <w:pPr>
        <w:rPr>
          <w:rFonts w:hint="default"/>
          <w:color w:val="auto"/>
          <w:lang w:val="en-US" w:eastAsia="zh-CN"/>
        </w:rPr>
      </w:pPr>
      <w:r>
        <w:rPr>
          <w:rFonts w:hint="default"/>
          <w:color w:val="auto"/>
          <w:lang w:val="en-US" w:eastAsia="zh-CN"/>
        </w:rPr>
        <w:t>此外，寒冷的冬季可能由于冰冻的出现，大面积的冰冻会导致加油站的用水水管破裂，同时导致加油站地面打滑，引发车辆伤人事故。</w:t>
      </w:r>
    </w:p>
    <w:p w14:paraId="2CC00D6D">
      <w:pPr>
        <w:rPr>
          <w:rFonts w:hint="default"/>
          <w:color w:val="auto"/>
          <w:lang w:val="en-US" w:eastAsia="zh-CN"/>
        </w:rPr>
      </w:pPr>
      <w:r>
        <w:rPr>
          <w:rFonts w:hint="default"/>
          <w:color w:val="auto"/>
          <w:lang w:val="en-US" w:eastAsia="zh-CN"/>
        </w:rPr>
        <w:t>由于年平均温度为</w:t>
      </w:r>
      <w:r>
        <w:rPr>
          <w:rFonts w:hint="eastAsia" w:ascii="Times New Roman" w:eastAsia="宋体"/>
          <w:color w:val="auto"/>
          <w:lang w:val="en-US" w:eastAsia="zh-CN"/>
        </w:rPr>
        <w:t>22℃～24℃</w:t>
      </w:r>
      <w:r>
        <w:rPr>
          <w:rFonts w:hint="default"/>
          <w:color w:val="auto"/>
          <w:lang w:val="en-US" w:eastAsia="zh-CN"/>
        </w:rPr>
        <w:t>，年极端最低气温</w:t>
      </w:r>
      <w:r>
        <w:rPr>
          <w:rFonts w:hint="eastAsia" w:ascii="宋体" w:hAnsi="宋体" w:eastAsia="宋体" w:cs="宋体"/>
          <w:color w:val="auto"/>
          <w:lang w:val="en-US" w:eastAsia="zh-CN"/>
        </w:rPr>
        <w:t>-</w:t>
      </w:r>
      <w:r>
        <w:rPr>
          <w:rFonts w:hint="default"/>
          <w:color w:val="auto"/>
          <w:lang w:val="en-US" w:eastAsia="zh-CN"/>
        </w:rPr>
        <w:t>9.2℃，</w:t>
      </w:r>
      <w:r>
        <w:rPr>
          <w:rFonts w:hint="eastAsia" w:ascii="Times New Roman" w:eastAsia="宋体"/>
          <w:color w:val="auto"/>
          <w:lang w:val="en-US" w:eastAsia="zh-CN"/>
        </w:rPr>
        <w:t>年极端最高气温39.6℃</w:t>
      </w:r>
      <w:r>
        <w:rPr>
          <w:rFonts w:hint="default"/>
          <w:color w:val="auto"/>
          <w:lang w:val="en-US" w:eastAsia="zh-CN"/>
        </w:rPr>
        <w:t>，夏季出现短暂高温天气时注意作业员工的防暑降温，同时注意储油设施和加油设备在高温气候时的安全。</w:t>
      </w:r>
    </w:p>
    <w:p w14:paraId="3DEA8B3F">
      <w:pPr>
        <w:rPr>
          <w:rFonts w:hint="default"/>
          <w:color w:val="auto"/>
          <w:lang w:val="en-US" w:eastAsia="zh-CN"/>
        </w:rPr>
      </w:pPr>
      <w:r>
        <w:rPr>
          <w:rFonts w:hint="default"/>
          <w:color w:val="auto"/>
          <w:lang w:val="en-US" w:eastAsia="zh-CN"/>
        </w:rPr>
        <w:br w:type="page"/>
      </w:r>
    </w:p>
    <w:p w14:paraId="484E6C68">
      <w:pPr>
        <w:pStyle w:val="2"/>
        <w:bidi w:val="0"/>
        <w:rPr>
          <w:rFonts w:hint="default"/>
          <w:color w:val="auto"/>
          <w:lang w:val="en-US" w:eastAsia="zh-CN"/>
        </w:rPr>
      </w:pPr>
      <w:bookmarkStart w:id="249" w:name="_Toc4266"/>
      <w:bookmarkStart w:id="250" w:name="_Toc19299"/>
      <w:bookmarkStart w:id="251" w:name="_Toc14610"/>
      <w:bookmarkStart w:id="252" w:name="_Toc19807"/>
      <w:r>
        <w:rPr>
          <w:rFonts w:hint="default"/>
          <w:color w:val="auto"/>
          <w:lang w:val="en-US" w:eastAsia="zh-CN"/>
        </w:rPr>
        <w:t xml:space="preserve">附件三 </w:t>
      </w:r>
      <w:bookmarkEnd w:id="249"/>
      <w:bookmarkEnd w:id="250"/>
      <w:bookmarkEnd w:id="251"/>
      <w:r>
        <w:rPr>
          <w:rFonts w:hint="default"/>
          <w:color w:val="auto"/>
          <w:lang w:val="en-US" w:eastAsia="zh-CN"/>
        </w:rPr>
        <w:t>定性定量评价</w:t>
      </w:r>
      <w:bookmarkEnd w:id="252"/>
    </w:p>
    <w:p w14:paraId="35B58491">
      <w:pPr>
        <w:pStyle w:val="3"/>
        <w:bidi w:val="0"/>
        <w:rPr>
          <w:rFonts w:hint="default"/>
          <w:color w:val="auto"/>
          <w:lang w:val="en-US" w:eastAsia="zh-CN"/>
        </w:rPr>
      </w:pPr>
      <w:bookmarkStart w:id="253" w:name="_Toc8025"/>
      <w:bookmarkStart w:id="254" w:name="_Toc20882"/>
      <w:bookmarkStart w:id="255" w:name="_Toc8460"/>
      <w:bookmarkStart w:id="256" w:name="_Toc4385"/>
      <w:r>
        <w:rPr>
          <w:rFonts w:hint="default"/>
          <w:color w:val="auto"/>
          <w:lang w:val="en-US" w:eastAsia="zh-CN"/>
        </w:rPr>
        <w:t>3.1</w:t>
      </w:r>
      <w:r>
        <w:rPr>
          <w:rFonts w:hint="eastAsia"/>
          <w:color w:val="auto"/>
          <w:lang w:val="en-US" w:eastAsia="zh-CN"/>
        </w:rPr>
        <w:t xml:space="preserve"> </w:t>
      </w:r>
      <w:r>
        <w:rPr>
          <w:rFonts w:hint="default"/>
          <w:color w:val="auto"/>
          <w:lang w:val="en-US" w:eastAsia="zh-CN"/>
        </w:rPr>
        <w:t>安全检查表法评价</w:t>
      </w:r>
      <w:bookmarkEnd w:id="253"/>
      <w:bookmarkEnd w:id="254"/>
      <w:bookmarkEnd w:id="255"/>
      <w:bookmarkEnd w:id="256"/>
    </w:p>
    <w:p w14:paraId="663205D2">
      <w:pPr>
        <w:rPr>
          <w:rFonts w:hint="default"/>
          <w:color w:val="auto"/>
          <w:lang w:val="en-US" w:eastAsia="zh-CN"/>
        </w:rPr>
      </w:pPr>
      <w:r>
        <w:rPr>
          <w:rFonts w:hint="eastAsia"/>
          <w:color w:val="auto"/>
          <w:lang w:val="en-US" w:eastAsia="zh-CN"/>
        </w:rPr>
        <w:t>本项目</w:t>
      </w:r>
      <w:r>
        <w:rPr>
          <w:rFonts w:hint="default"/>
          <w:color w:val="auto"/>
          <w:lang w:val="en-US" w:eastAsia="zh-CN"/>
        </w:rPr>
        <w:t>采矿场</w:t>
      </w:r>
      <w:r>
        <w:rPr>
          <w:rFonts w:hint="eastAsia"/>
          <w:color w:val="auto"/>
          <w:lang w:val="en-US" w:eastAsia="zh-CN"/>
        </w:rPr>
        <w:t>撬装</w:t>
      </w:r>
      <w:r>
        <w:rPr>
          <w:rFonts w:hint="default"/>
          <w:color w:val="auto"/>
          <w:lang w:val="en-US" w:eastAsia="zh-CN"/>
        </w:rPr>
        <w:t>加油站整体为东南朝西北方向，西北侧为矿山工人村，东侧为矿山运输道路，其余与山体相邻，东侧矿山运输道路旁存在架空电力线路</w:t>
      </w:r>
      <w:r>
        <w:rPr>
          <w:rFonts w:hint="eastAsia"/>
          <w:color w:val="auto"/>
          <w:lang w:val="en-US" w:eastAsia="zh-CN"/>
        </w:rPr>
        <w:t>；</w:t>
      </w:r>
      <w:r>
        <w:rPr>
          <w:rFonts w:hint="default"/>
          <w:color w:val="auto"/>
          <w:lang w:val="en-US" w:eastAsia="zh-CN"/>
        </w:rPr>
        <w:t>汽车队</w:t>
      </w:r>
      <w:r>
        <w:rPr>
          <w:rFonts w:hint="eastAsia"/>
          <w:color w:val="auto"/>
          <w:lang w:val="en-US" w:eastAsia="zh-CN"/>
        </w:rPr>
        <w:t>撬装</w:t>
      </w:r>
      <w:r>
        <w:rPr>
          <w:rFonts w:hint="default"/>
          <w:color w:val="auto"/>
          <w:lang w:val="en-US" w:eastAsia="zh-CN"/>
        </w:rPr>
        <w:t>加油站整体为西南朝东北方向，东北侧为产品堆存库，东侧为矿山运输道路，其余与山区相邻。</w:t>
      </w:r>
      <w:r>
        <w:rPr>
          <w:rFonts w:hint="eastAsia"/>
          <w:color w:val="auto"/>
          <w:lang w:val="en-US" w:eastAsia="zh-CN"/>
        </w:rPr>
        <w:t>本项目</w:t>
      </w:r>
      <w:r>
        <w:rPr>
          <w:rFonts w:hint="default"/>
          <w:color w:val="auto"/>
          <w:lang w:val="en-US" w:eastAsia="zh-CN"/>
        </w:rPr>
        <w:t>周围50m内无重要公共建筑物。</w:t>
      </w:r>
    </w:p>
    <w:p w14:paraId="0FCA360F">
      <w:pPr>
        <w:numPr>
          <w:ilvl w:val="0"/>
          <w:numId w:val="5"/>
        </w:numPr>
        <w:rPr>
          <w:rFonts w:hint="default"/>
          <w:b/>
          <w:bCs/>
          <w:color w:val="auto"/>
          <w:lang w:val="en-US" w:eastAsia="zh-CN"/>
        </w:rPr>
      </w:pPr>
      <w:r>
        <w:rPr>
          <w:rFonts w:hint="default"/>
          <w:b/>
          <w:bCs/>
          <w:color w:val="auto"/>
          <w:lang w:val="en-US" w:eastAsia="zh-CN"/>
        </w:rPr>
        <w:t>与周边环境的安全间距符合性</w:t>
      </w:r>
    </w:p>
    <w:p w14:paraId="3CAAE795">
      <w:pPr>
        <w:bidi w:val="0"/>
        <w:rPr>
          <w:rFonts w:hint="default"/>
          <w:color w:val="auto"/>
          <w:lang w:val="en-US" w:eastAsia="zh-CN"/>
        </w:rPr>
      </w:pPr>
      <w:r>
        <w:rPr>
          <w:rFonts w:hint="default"/>
          <w:color w:val="auto"/>
          <w:lang w:val="en-US" w:eastAsia="zh-CN"/>
        </w:rPr>
        <w:t>根据《橇装式汽车加油站技术标准》</w:t>
      </w:r>
      <w:r>
        <w:rPr>
          <w:rFonts w:hint="eastAsia"/>
          <w:color w:val="auto"/>
          <w:lang w:val="en-US" w:eastAsia="zh-CN"/>
        </w:rPr>
        <w:t>（</w:t>
      </w:r>
      <w:r>
        <w:rPr>
          <w:rFonts w:hint="default"/>
          <w:color w:val="auto"/>
          <w:lang w:val="en-US" w:eastAsia="zh-CN"/>
        </w:rPr>
        <w:t>SH/T3134-2023</w:t>
      </w:r>
      <w:r>
        <w:rPr>
          <w:rFonts w:hint="eastAsia"/>
          <w:color w:val="auto"/>
          <w:lang w:val="en-US" w:eastAsia="zh-CN"/>
        </w:rPr>
        <w:t>）</w:t>
      </w:r>
      <w:r>
        <w:rPr>
          <w:rFonts w:hint="default"/>
          <w:color w:val="auto"/>
          <w:lang w:val="en-US" w:eastAsia="zh-CN"/>
        </w:rPr>
        <w:t>第</w:t>
      </w:r>
      <w:r>
        <w:rPr>
          <w:rFonts w:hint="eastAsia"/>
          <w:color w:val="auto"/>
          <w:lang w:val="en-US" w:eastAsia="zh-CN"/>
        </w:rPr>
        <w:t>5.1.4</w:t>
      </w:r>
      <w:r>
        <w:rPr>
          <w:rFonts w:hint="default"/>
          <w:color w:val="auto"/>
          <w:lang w:val="en-US" w:eastAsia="zh-CN"/>
        </w:rPr>
        <w:t>条编制橇装式加油装置与站外建（构）筑物的安全间距检查表，分别见附表3.1-1。</w:t>
      </w:r>
    </w:p>
    <w:p w14:paraId="7ACF00AF">
      <w:pPr>
        <w:bidi w:val="0"/>
        <w:ind w:left="0" w:leftChars="0" w:firstLine="0" w:firstLineChars="0"/>
        <w:jc w:val="center"/>
        <w:rPr>
          <w:rFonts w:hint="eastAsia"/>
          <w:color w:val="auto"/>
          <w:lang w:val="en-US" w:eastAsia="zh-CN"/>
        </w:rPr>
      </w:pPr>
      <w:r>
        <w:rPr>
          <w:rFonts w:hint="default"/>
          <w:color w:val="auto"/>
          <w:lang w:val="en-US" w:eastAsia="zh-CN"/>
        </w:rPr>
        <w:t>附表3.1-1</w:t>
      </w:r>
      <w:r>
        <w:rPr>
          <w:rFonts w:hint="eastAsia"/>
          <w:color w:val="auto"/>
          <w:lang w:val="en-US" w:eastAsia="zh-CN"/>
        </w:rPr>
        <w:t xml:space="preserve"> 橇装式加油装置与站外建</w:t>
      </w:r>
      <w:r>
        <w:rPr>
          <w:rFonts w:hint="default"/>
          <w:color w:val="auto"/>
          <w:lang w:val="en-US" w:eastAsia="zh-CN"/>
        </w:rPr>
        <w:t>（构）</w:t>
      </w:r>
      <w:r>
        <w:rPr>
          <w:rFonts w:hint="eastAsia"/>
          <w:color w:val="auto"/>
          <w:lang w:val="en-US" w:eastAsia="zh-CN"/>
        </w:rPr>
        <w:t>筑物的安全间距（m）</w:t>
      </w:r>
    </w:p>
    <w:tbl>
      <w:tblPr>
        <w:tblStyle w:val="25"/>
        <w:tblW w:w="907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32"/>
        <w:gridCol w:w="2669"/>
        <w:gridCol w:w="2071"/>
        <w:gridCol w:w="1499"/>
        <w:gridCol w:w="1104"/>
      </w:tblGrid>
      <w:tr w14:paraId="7B0222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9075" w:type="dxa"/>
            <w:gridSpan w:val="5"/>
            <w:tcBorders>
              <w:bottom w:val="nil"/>
            </w:tcBorders>
            <w:vAlign w:val="center"/>
          </w:tcPr>
          <w:p w14:paraId="2B14FC18">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ascii="Times New Roman" w:hAnsi="Times New Roman" w:eastAsia="宋体" w:cs="Times New Roman"/>
                <w:b/>
                <w:bCs/>
                <w:snapToGrid w:val="0"/>
                <w:color w:val="auto"/>
                <w:spacing w:val="2"/>
                <w:kern w:val="0"/>
                <w:sz w:val="21"/>
                <w:szCs w:val="21"/>
                <w:lang w:val="en-US" w:eastAsia="zh-CN" w:bidi="ar-SA"/>
              </w:rPr>
              <w:t>一、采矿场撬装加油站</w:t>
            </w:r>
          </w:p>
        </w:tc>
      </w:tr>
      <w:tr w14:paraId="383CA8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401" w:type="dxa"/>
            <w:gridSpan w:val="2"/>
            <w:vMerge w:val="restart"/>
            <w:tcBorders>
              <w:bottom w:val="nil"/>
            </w:tcBorders>
            <w:vAlign w:val="center"/>
          </w:tcPr>
          <w:p w14:paraId="6BDE6D36">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3"/>
                <w:kern w:val="0"/>
                <w:sz w:val="21"/>
                <w:szCs w:val="21"/>
                <w:lang w:val="en-US" w:eastAsia="en-US" w:bidi="ar-SA"/>
              </w:rPr>
              <w:t>站外建</w:t>
            </w:r>
            <w:r>
              <w:rPr>
                <w:rFonts w:hint="eastAsia" w:ascii="Times New Roman" w:hAnsi="Times New Roman" w:eastAsia="宋体" w:cs="Times New Roman"/>
                <w:snapToGrid w:val="0"/>
                <w:color w:val="auto"/>
                <w:spacing w:val="3"/>
                <w:kern w:val="0"/>
                <w:sz w:val="21"/>
                <w:szCs w:val="21"/>
                <w:lang w:val="en-US" w:eastAsia="zh-CN" w:bidi="ar-SA"/>
              </w:rPr>
              <w:t>（</w:t>
            </w:r>
            <w:r>
              <w:rPr>
                <w:rFonts w:hint="default" w:ascii="Times New Roman" w:hAnsi="Times New Roman" w:eastAsia="宋体" w:cs="Times New Roman"/>
                <w:snapToGrid w:val="0"/>
                <w:color w:val="auto"/>
                <w:spacing w:val="3"/>
                <w:kern w:val="0"/>
                <w:sz w:val="21"/>
                <w:szCs w:val="21"/>
                <w:lang w:val="en-US" w:eastAsia="en-US" w:bidi="ar-SA"/>
              </w:rPr>
              <w:t>构</w:t>
            </w:r>
            <w:r>
              <w:rPr>
                <w:rFonts w:hint="eastAsia" w:ascii="Times New Roman" w:hAnsi="Times New Roman" w:eastAsia="宋体" w:cs="Times New Roman"/>
                <w:snapToGrid w:val="0"/>
                <w:color w:val="auto"/>
                <w:spacing w:val="3"/>
                <w:kern w:val="0"/>
                <w:sz w:val="21"/>
                <w:szCs w:val="21"/>
                <w:lang w:val="en-US" w:eastAsia="zh-CN" w:bidi="ar-SA"/>
              </w:rPr>
              <w:t>）</w:t>
            </w:r>
            <w:r>
              <w:rPr>
                <w:rFonts w:hint="default" w:ascii="Times New Roman" w:hAnsi="Times New Roman" w:eastAsia="宋体" w:cs="Times New Roman"/>
                <w:snapToGrid w:val="0"/>
                <w:color w:val="auto"/>
                <w:spacing w:val="3"/>
                <w:kern w:val="0"/>
                <w:sz w:val="21"/>
                <w:szCs w:val="21"/>
                <w:lang w:val="en-US" w:eastAsia="en-US" w:bidi="ar-SA"/>
              </w:rPr>
              <w:t>筑物</w:t>
            </w:r>
          </w:p>
        </w:tc>
        <w:tc>
          <w:tcPr>
            <w:tcW w:w="2071" w:type="dxa"/>
            <w:vAlign w:val="center"/>
          </w:tcPr>
          <w:p w14:paraId="5CAD3006">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橇装加油装置</w:t>
            </w:r>
          </w:p>
        </w:tc>
        <w:tc>
          <w:tcPr>
            <w:tcW w:w="1499" w:type="dxa"/>
            <w:vMerge w:val="restart"/>
            <w:tcBorders>
              <w:bottom w:val="nil"/>
            </w:tcBorders>
            <w:vAlign w:val="center"/>
          </w:tcPr>
          <w:p w14:paraId="3CDF0F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6B860AF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检查情况</w:t>
            </w:r>
          </w:p>
        </w:tc>
        <w:tc>
          <w:tcPr>
            <w:tcW w:w="1104" w:type="dxa"/>
            <w:vMerge w:val="restart"/>
            <w:tcBorders>
              <w:bottom w:val="nil"/>
            </w:tcBorders>
            <w:vAlign w:val="center"/>
          </w:tcPr>
          <w:p w14:paraId="1175F1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022739E2">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2"/>
                <w:kern w:val="0"/>
                <w:sz w:val="21"/>
                <w:szCs w:val="21"/>
                <w:lang w:val="en-US" w:eastAsia="en-US" w:bidi="ar-SA"/>
              </w:rPr>
              <w:t>结论</w:t>
            </w:r>
          </w:p>
        </w:tc>
      </w:tr>
      <w:tr w14:paraId="746582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vMerge w:val="continue"/>
            <w:tcBorders>
              <w:top w:val="nil"/>
            </w:tcBorders>
            <w:vAlign w:val="center"/>
          </w:tcPr>
          <w:p w14:paraId="614E0B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071" w:type="dxa"/>
            <w:vAlign w:val="center"/>
          </w:tcPr>
          <w:p w14:paraId="436A1F9A">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val="en-US" w:eastAsia="en-US" w:bidi="ar-SA"/>
              </w:rPr>
            </w:pPr>
            <w:r>
              <w:rPr>
                <w:rFonts w:hint="default" w:ascii="Times New Roman" w:hAnsi="Times New Roman" w:eastAsia="Times New Roman" w:cs="Times New Roman"/>
                <w:snapToGrid w:val="0"/>
                <w:color w:val="auto"/>
                <w:spacing w:val="5"/>
                <w:kern w:val="0"/>
                <w:position w:val="1"/>
                <w:sz w:val="21"/>
                <w:szCs w:val="21"/>
                <w:lang w:val="en-US" w:eastAsia="en-US" w:bidi="ar-SA"/>
              </w:rPr>
              <w:t>V</w:t>
            </w:r>
            <w:r>
              <w:rPr>
                <w:rFonts w:hint="default" w:ascii="Times New Roman" w:hAnsi="Times New Roman" w:eastAsia="宋体" w:cs="Times New Roman"/>
                <w:snapToGrid w:val="0"/>
                <w:color w:val="auto"/>
                <w:spacing w:val="5"/>
                <w:kern w:val="0"/>
                <w:position w:val="1"/>
                <w:sz w:val="21"/>
                <w:szCs w:val="21"/>
                <w:lang w:val="en-US" w:eastAsia="en-US" w:bidi="ar-SA"/>
              </w:rPr>
              <w:t>＞</w:t>
            </w:r>
            <w:r>
              <w:rPr>
                <w:rFonts w:hint="default" w:ascii="Times New Roman" w:hAnsi="Times New Roman" w:eastAsia="Times New Roman" w:cs="Times New Roman"/>
                <w:snapToGrid w:val="0"/>
                <w:color w:val="auto"/>
                <w:spacing w:val="5"/>
                <w:kern w:val="0"/>
                <w:position w:val="1"/>
                <w:sz w:val="21"/>
                <w:szCs w:val="21"/>
                <w:lang w:val="en-US" w:eastAsia="en-US" w:bidi="ar-SA"/>
              </w:rPr>
              <w:t>20m³</w:t>
            </w:r>
          </w:p>
          <w:p w14:paraId="6A1F6F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p>
        </w:tc>
        <w:tc>
          <w:tcPr>
            <w:tcW w:w="1499" w:type="dxa"/>
            <w:vMerge w:val="continue"/>
            <w:tcBorders>
              <w:top w:val="nil"/>
            </w:tcBorders>
            <w:vAlign w:val="center"/>
          </w:tcPr>
          <w:p w14:paraId="09AEEFC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104" w:type="dxa"/>
            <w:vMerge w:val="continue"/>
            <w:tcBorders>
              <w:top w:val="nil"/>
            </w:tcBorders>
            <w:vAlign w:val="center"/>
          </w:tcPr>
          <w:p w14:paraId="35C0C1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r>
      <w:tr w14:paraId="150303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4401" w:type="dxa"/>
            <w:gridSpan w:val="2"/>
            <w:vAlign w:val="center"/>
          </w:tcPr>
          <w:p w14:paraId="57B18670">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重要公共建筑物</w:t>
            </w:r>
          </w:p>
        </w:tc>
        <w:tc>
          <w:tcPr>
            <w:tcW w:w="2071" w:type="dxa"/>
            <w:vAlign w:val="center"/>
          </w:tcPr>
          <w:p w14:paraId="2A65D5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50</w:t>
            </w:r>
          </w:p>
        </w:tc>
        <w:tc>
          <w:tcPr>
            <w:tcW w:w="1499" w:type="dxa"/>
            <w:vAlign w:val="center"/>
          </w:tcPr>
          <w:p w14:paraId="54D731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19872B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6D390D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vAlign w:val="center"/>
          </w:tcPr>
          <w:p w14:paraId="6464F96A">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明火地点或散发火花地点</w:t>
            </w:r>
          </w:p>
        </w:tc>
        <w:tc>
          <w:tcPr>
            <w:tcW w:w="2071" w:type="dxa"/>
            <w:vAlign w:val="center"/>
          </w:tcPr>
          <w:p w14:paraId="49A4B8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25</w:t>
            </w:r>
          </w:p>
        </w:tc>
        <w:tc>
          <w:tcPr>
            <w:tcW w:w="1499" w:type="dxa"/>
            <w:vAlign w:val="center"/>
          </w:tcPr>
          <w:p w14:paraId="391770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4C0A28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5E3B4A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732" w:type="dxa"/>
            <w:vMerge w:val="restart"/>
            <w:tcBorders>
              <w:bottom w:val="nil"/>
            </w:tcBorders>
            <w:vAlign w:val="center"/>
          </w:tcPr>
          <w:p w14:paraId="228128E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2BEBBC6F">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民用建筑物</w:t>
            </w:r>
            <w:r>
              <w:rPr>
                <w:rFonts w:hint="default" w:ascii="Times New Roman" w:hAnsi="Times New Roman" w:eastAsia="宋体" w:cs="Times New Roman"/>
                <w:snapToGrid w:val="0"/>
                <w:color w:val="auto"/>
                <w:spacing w:val="7"/>
                <w:kern w:val="0"/>
                <w:sz w:val="21"/>
                <w:szCs w:val="21"/>
                <w:lang w:val="en-US" w:eastAsia="en-US" w:bidi="ar-SA"/>
              </w:rPr>
              <w:t>保护类别</w:t>
            </w:r>
          </w:p>
        </w:tc>
        <w:tc>
          <w:tcPr>
            <w:tcW w:w="2669" w:type="dxa"/>
            <w:vAlign w:val="center"/>
          </w:tcPr>
          <w:p w14:paraId="2F9385B3">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一类保护物</w:t>
            </w:r>
          </w:p>
        </w:tc>
        <w:tc>
          <w:tcPr>
            <w:tcW w:w="2071" w:type="dxa"/>
            <w:vAlign w:val="center"/>
          </w:tcPr>
          <w:p w14:paraId="3C04CA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20</w:t>
            </w:r>
          </w:p>
          <w:p w14:paraId="554295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p>
        </w:tc>
        <w:tc>
          <w:tcPr>
            <w:tcW w:w="1499" w:type="dxa"/>
            <w:vAlign w:val="center"/>
          </w:tcPr>
          <w:p w14:paraId="72ECE6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216931D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1D8861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732" w:type="dxa"/>
            <w:vMerge w:val="continue"/>
            <w:tcBorders>
              <w:top w:val="nil"/>
              <w:bottom w:val="nil"/>
            </w:tcBorders>
            <w:vAlign w:val="center"/>
          </w:tcPr>
          <w:p w14:paraId="140A08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669" w:type="dxa"/>
            <w:vAlign w:val="center"/>
          </w:tcPr>
          <w:p w14:paraId="2639CA9D">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二类保护物</w:t>
            </w:r>
          </w:p>
        </w:tc>
        <w:tc>
          <w:tcPr>
            <w:tcW w:w="2071" w:type="dxa"/>
            <w:vAlign w:val="center"/>
          </w:tcPr>
          <w:p w14:paraId="72A1ED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16</w:t>
            </w:r>
          </w:p>
        </w:tc>
        <w:tc>
          <w:tcPr>
            <w:tcW w:w="1499" w:type="dxa"/>
            <w:vAlign w:val="center"/>
          </w:tcPr>
          <w:p w14:paraId="45514C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698080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1A9A8C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732" w:type="dxa"/>
            <w:vMerge w:val="continue"/>
            <w:tcBorders>
              <w:top w:val="nil"/>
            </w:tcBorders>
            <w:vAlign w:val="center"/>
          </w:tcPr>
          <w:p w14:paraId="259F71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669" w:type="dxa"/>
            <w:vAlign w:val="center"/>
          </w:tcPr>
          <w:p w14:paraId="703788FC">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三类保护物</w:t>
            </w:r>
          </w:p>
        </w:tc>
        <w:tc>
          <w:tcPr>
            <w:tcW w:w="2071" w:type="dxa"/>
            <w:vAlign w:val="center"/>
          </w:tcPr>
          <w:p w14:paraId="219146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12</w:t>
            </w:r>
          </w:p>
        </w:tc>
        <w:tc>
          <w:tcPr>
            <w:tcW w:w="1499" w:type="dxa"/>
            <w:vAlign w:val="center"/>
          </w:tcPr>
          <w:p w14:paraId="785E7E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69235AE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5DFF61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401" w:type="dxa"/>
            <w:gridSpan w:val="2"/>
            <w:vAlign w:val="center"/>
          </w:tcPr>
          <w:p w14:paraId="675FC126">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甲、乙类物品生产厂房、库房和甲、乙类液体</w:t>
            </w:r>
            <w:r>
              <w:rPr>
                <w:rFonts w:hint="default" w:ascii="Times New Roman" w:hAnsi="Times New Roman" w:eastAsia="宋体" w:cs="Times New Roman"/>
                <w:snapToGrid w:val="0"/>
                <w:color w:val="auto"/>
                <w:spacing w:val="3"/>
                <w:kern w:val="0"/>
                <w:sz w:val="21"/>
                <w:szCs w:val="21"/>
                <w:lang w:val="en-US" w:eastAsia="en-US" w:bidi="ar-SA"/>
              </w:rPr>
              <w:t>油罐</w:t>
            </w:r>
          </w:p>
        </w:tc>
        <w:tc>
          <w:tcPr>
            <w:tcW w:w="2071" w:type="dxa"/>
            <w:vAlign w:val="center"/>
          </w:tcPr>
          <w:p w14:paraId="794044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22</w:t>
            </w:r>
          </w:p>
        </w:tc>
        <w:tc>
          <w:tcPr>
            <w:tcW w:w="1499" w:type="dxa"/>
            <w:vAlign w:val="center"/>
          </w:tcPr>
          <w:p w14:paraId="5732DC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1A7669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2821ECE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2845F8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361AFF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4401" w:type="dxa"/>
            <w:gridSpan w:val="2"/>
            <w:vAlign w:val="center"/>
          </w:tcPr>
          <w:p w14:paraId="79CF39F7">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其他类物品生产厂房、库房和丙类液体油罐以</w:t>
            </w:r>
            <w:r>
              <w:rPr>
                <w:rFonts w:hint="default" w:ascii="Times New Roman" w:hAnsi="Times New Roman" w:eastAsia="宋体" w:cs="Times New Roman"/>
                <w:snapToGrid w:val="0"/>
                <w:color w:val="auto"/>
                <w:spacing w:val="6"/>
                <w:kern w:val="0"/>
                <w:sz w:val="21"/>
                <w:szCs w:val="21"/>
                <w:lang w:val="en-US" w:eastAsia="en-US" w:bidi="ar-SA"/>
              </w:rPr>
              <w:t>及容积不大于</w:t>
            </w:r>
            <w:r>
              <w:rPr>
                <w:rFonts w:hint="default" w:ascii="Times New Roman" w:hAnsi="Times New Roman" w:eastAsia="Times New Roman" w:cs="Times New Roman"/>
                <w:snapToGrid w:val="0"/>
                <w:color w:val="auto"/>
                <w:spacing w:val="6"/>
                <w:kern w:val="0"/>
                <w:sz w:val="21"/>
                <w:szCs w:val="21"/>
                <w:lang w:val="en-US" w:eastAsia="en-US" w:bidi="ar-SA"/>
              </w:rPr>
              <w:t>50m</w:t>
            </w:r>
            <w:r>
              <w:rPr>
                <w:rFonts w:hint="eastAsia" w:ascii="Times New Roman" w:hAnsi="Times New Roman" w:eastAsia="宋体" w:cs="Times New Roman"/>
                <w:snapToGrid w:val="0"/>
                <w:color w:val="auto"/>
                <w:spacing w:val="6"/>
                <w:kern w:val="0"/>
                <w:sz w:val="21"/>
                <w:szCs w:val="21"/>
                <w:vertAlign w:val="superscript"/>
                <w:lang w:val="en-US" w:eastAsia="zh-CN" w:bidi="ar-SA"/>
              </w:rPr>
              <w:t>3</w:t>
            </w:r>
            <w:r>
              <w:rPr>
                <w:rFonts w:hint="default" w:ascii="Times New Roman" w:hAnsi="Times New Roman" w:eastAsia="宋体" w:cs="Times New Roman"/>
                <w:snapToGrid w:val="0"/>
                <w:color w:val="auto"/>
                <w:spacing w:val="6"/>
                <w:kern w:val="0"/>
                <w:sz w:val="21"/>
                <w:szCs w:val="21"/>
                <w:lang w:val="en-US" w:eastAsia="en-US" w:bidi="ar-SA"/>
              </w:rPr>
              <w:t>的埋地甲、乙类液体油罐</w:t>
            </w:r>
          </w:p>
        </w:tc>
        <w:tc>
          <w:tcPr>
            <w:tcW w:w="2071" w:type="dxa"/>
            <w:vAlign w:val="center"/>
          </w:tcPr>
          <w:p w14:paraId="2BB999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16</w:t>
            </w:r>
          </w:p>
        </w:tc>
        <w:tc>
          <w:tcPr>
            <w:tcW w:w="1499" w:type="dxa"/>
            <w:vAlign w:val="center"/>
          </w:tcPr>
          <w:p w14:paraId="5B6325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eastAsia="zh-CN"/>
              </w:rPr>
            </w:pPr>
            <w:r>
              <w:rPr>
                <w:rFonts w:hint="eastAsia" w:ascii="Times New Roman" w:hAnsi="Times New Roman" w:eastAsia="宋体" w:cs="Times New Roman"/>
                <w:snapToGrid w:val="0"/>
                <w:color w:val="auto"/>
                <w:kern w:val="0"/>
                <w:sz w:val="21"/>
                <w:szCs w:val="21"/>
                <w:lang w:val="en-US" w:eastAsia="zh-CN"/>
              </w:rPr>
              <w:t>-</w:t>
            </w:r>
          </w:p>
        </w:tc>
        <w:tc>
          <w:tcPr>
            <w:tcW w:w="1104" w:type="dxa"/>
            <w:vAlign w:val="center"/>
          </w:tcPr>
          <w:p w14:paraId="7F8E1AD0">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4"/>
                <w:kern w:val="0"/>
                <w:sz w:val="21"/>
                <w:szCs w:val="21"/>
                <w:lang w:val="en-US" w:eastAsia="zh-CN" w:bidi="ar-SA"/>
              </w:rPr>
              <w:t>-</w:t>
            </w:r>
          </w:p>
        </w:tc>
      </w:tr>
      <w:tr w14:paraId="294DF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vAlign w:val="center"/>
          </w:tcPr>
          <w:p w14:paraId="66904F14">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室外变配电站</w:t>
            </w:r>
          </w:p>
        </w:tc>
        <w:tc>
          <w:tcPr>
            <w:tcW w:w="2071" w:type="dxa"/>
            <w:vAlign w:val="center"/>
          </w:tcPr>
          <w:p w14:paraId="509221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22</w:t>
            </w:r>
          </w:p>
        </w:tc>
        <w:tc>
          <w:tcPr>
            <w:tcW w:w="1499" w:type="dxa"/>
            <w:vAlign w:val="center"/>
          </w:tcPr>
          <w:p w14:paraId="349D4B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508DB49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142D60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vAlign w:val="center"/>
          </w:tcPr>
          <w:p w14:paraId="2D4995E4">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spacing w:val="5"/>
                <w:kern w:val="0"/>
                <w:sz w:val="21"/>
                <w:szCs w:val="21"/>
                <w:lang w:val="en-US" w:eastAsia="zh-CN" w:bidi="ar-SA"/>
              </w:rPr>
              <w:t>地上</w:t>
            </w:r>
            <w:r>
              <w:rPr>
                <w:rFonts w:hint="default" w:ascii="Times New Roman" w:hAnsi="Times New Roman" w:eastAsia="宋体" w:cs="Times New Roman"/>
                <w:snapToGrid w:val="0"/>
                <w:color w:val="auto"/>
                <w:spacing w:val="5"/>
                <w:kern w:val="0"/>
                <w:sz w:val="21"/>
                <w:szCs w:val="21"/>
                <w:lang w:val="en-US" w:eastAsia="en-US" w:bidi="ar-SA"/>
              </w:rPr>
              <w:t>铁路</w:t>
            </w:r>
          </w:p>
        </w:tc>
        <w:tc>
          <w:tcPr>
            <w:tcW w:w="2071" w:type="dxa"/>
            <w:vAlign w:val="center"/>
          </w:tcPr>
          <w:p w14:paraId="3A4B40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22</w:t>
            </w:r>
          </w:p>
        </w:tc>
        <w:tc>
          <w:tcPr>
            <w:tcW w:w="1499" w:type="dxa"/>
            <w:vAlign w:val="center"/>
          </w:tcPr>
          <w:p w14:paraId="34A2FD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565FA1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65A91A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401" w:type="dxa"/>
            <w:gridSpan w:val="2"/>
            <w:tcBorders>
              <w:bottom w:val="single" w:color="auto" w:sz="4" w:space="0"/>
            </w:tcBorders>
            <w:vAlign w:val="center"/>
          </w:tcPr>
          <w:p w14:paraId="6BF071F2">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en-US" w:bidi="ar-SA"/>
              </w:rPr>
              <w:t>城市快速路、主干路和高速公路、一级公路、二级公路</w:t>
            </w:r>
          </w:p>
        </w:tc>
        <w:tc>
          <w:tcPr>
            <w:tcW w:w="2071" w:type="dxa"/>
            <w:vAlign w:val="center"/>
          </w:tcPr>
          <w:p w14:paraId="3FC221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8</w:t>
            </w:r>
          </w:p>
        </w:tc>
        <w:tc>
          <w:tcPr>
            <w:tcW w:w="1499" w:type="dxa"/>
            <w:vAlign w:val="center"/>
          </w:tcPr>
          <w:p w14:paraId="18C786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eastAsia="zh-CN"/>
              </w:rPr>
            </w:pPr>
            <w:r>
              <w:rPr>
                <w:rFonts w:hint="eastAsia" w:ascii="Times New Roman" w:hAnsi="Times New Roman" w:eastAsia="宋体" w:cs="Times New Roman"/>
                <w:snapToGrid w:val="0"/>
                <w:color w:val="auto"/>
                <w:spacing w:val="-2"/>
                <w:kern w:val="0"/>
                <w:sz w:val="21"/>
                <w:szCs w:val="21"/>
                <w:lang w:val="en-US" w:eastAsia="zh-CN"/>
              </w:rPr>
              <w:t>-</w:t>
            </w:r>
          </w:p>
        </w:tc>
        <w:tc>
          <w:tcPr>
            <w:tcW w:w="1104" w:type="dxa"/>
            <w:vAlign w:val="center"/>
          </w:tcPr>
          <w:p w14:paraId="301B7677">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4"/>
                <w:kern w:val="0"/>
                <w:sz w:val="21"/>
                <w:szCs w:val="21"/>
                <w:lang w:val="en-US" w:eastAsia="zh-CN" w:bidi="ar-SA"/>
              </w:rPr>
              <w:t>-</w:t>
            </w:r>
          </w:p>
        </w:tc>
      </w:tr>
      <w:tr w14:paraId="65AEB0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4401" w:type="dxa"/>
            <w:gridSpan w:val="2"/>
            <w:tcBorders>
              <w:top w:val="single" w:color="auto" w:sz="4" w:space="0"/>
            </w:tcBorders>
            <w:vAlign w:val="center"/>
          </w:tcPr>
          <w:p w14:paraId="6610B279">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城市次干路、支路和三级公路、四级公路</w:t>
            </w:r>
          </w:p>
        </w:tc>
        <w:tc>
          <w:tcPr>
            <w:tcW w:w="2071" w:type="dxa"/>
            <w:vAlign w:val="center"/>
          </w:tcPr>
          <w:p w14:paraId="71AFE9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1499" w:type="dxa"/>
            <w:vAlign w:val="center"/>
          </w:tcPr>
          <w:p w14:paraId="7425693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eastAsia="zh-CN"/>
              </w:rPr>
            </w:pPr>
            <w:r>
              <w:rPr>
                <w:rFonts w:hint="eastAsia" w:ascii="Times New Roman" w:hAnsi="Times New Roman" w:eastAsia="宋体" w:cs="Times New Roman"/>
                <w:snapToGrid w:val="0"/>
                <w:color w:val="auto"/>
                <w:kern w:val="0"/>
                <w:position w:val="-2"/>
                <w:sz w:val="21"/>
                <w:szCs w:val="21"/>
                <w:lang w:val="en-US" w:eastAsia="zh-CN"/>
              </w:rPr>
              <w:t>5</w:t>
            </w:r>
          </w:p>
        </w:tc>
        <w:tc>
          <w:tcPr>
            <w:tcW w:w="1104" w:type="dxa"/>
            <w:vAlign w:val="center"/>
          </w:tcPr>
          <w:p w14:paraId="04E50E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bCs/>
                <w:color w:val="auto"/>
                <w:kern w:val="0"/>
                <w:sz w:val="21"/>
                <w:szCs w:val="21"/>
              </w:rPr>
            </w:pPr>
            <w:r>
              <w:rPr>
                <w:rFonts w:hint="default" w:ascii="Times New Roman" w:hAnsi="Times New Roman" w:eastAsia="宋体" w:cs="Times New Roman"/>
                <w:bCs/>
                <w:color w:val="auto"/>
                <w:kern w:val="0"/>
                <w:sz w:val="21"/>
                <w:szCs w:val="21"/>
              </w:rPr>
              <w:t>提出对策</w:t>
            </w:r>
          </w:p>
          <w:p w14:paraId="1D4D578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eastAsia="zh-CN"/>
              </w:rPr>
            </w:pPr>
            <w:r>
              <w:rPr>
                <w:rFonts w:hint="default" w:ascii="Times New Roman" w:hAnsi="Times New Roman" w:eastAsia="宋体" w:cs="Times New Roman"/>
                <w:bCs/>
                <w:color w:val="auto"/>
                <w:kern w:val="0"/>
                <w:sz w:val="21"/>
                <w:szCs w:val="21"/>
              </w:rPr>
              <w:t>措施</w:t>
            </w:r>
          </w:p>
        </w:tc>
      </w:tr>
      <w:tr w14:paraId="40E0D5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tcBorders>
              <w:bottom w:val="single" w:color="auto" w:sz="4" w:space="0"/>
            </w:tcBorders>
            <w:vAlign w:val="center"/>
          </w:tcPr>
          <w:p w14:paraId="4A24726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架空通信线</w:t>
            </w:r>
          </w:p>
        </w:tc>
        <w:tc>
          <w:tcPr>
            <w:tcW w:w="2071" w:type="dxa"/>
            <w:vAlign w:val="center"/>
          </w:tcPr>
          <w:p w14:paraId="7C713C4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5</w:t>
            </w:r>
          </w:p>
        </w:tc>
        <w:tc>
          <w:tcPr>
            <w:tcW w:w="1499" w:type="dxa"/>
            <w:vAlign w:val="center"/>
          </w:tcPr>
          <w:p w14:paraId="770B29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eastAsia" w:ascii="Times New Roman" w:hAnsi="Times New Roman" w:eastAsia="宋体" w:cs="Times New Roman"/>
                <w:snapToGrid w:val="0"/>
                <w:color w:val="auto"/>
                <w:kern w:val="0"/>
                <w:position w:val="-2"/>
                <w:sz w:val="21"/>
                <w:szCs w:val="21"/>
                <w:lang w:val="en-US" w:eastAsia="zh-CN"/>
              </w:rPr>
              <w:t>16</w:t>
            </w:r>
          </w:p>
        </w:tc>
        <w:tc>
          <w:tcPr>
            <w:tcW w:w="1104" w:type="dxa"/>
            <w:vAlign w:val="center"/>
          </w:tcPr>
          <w:p w14:paraId="7B704F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eastAsia" w:cs="Times New Roman"/>
                <w:snapToGrid w:val="0"/>
                <w:color w:val="auto"/>
                <w:kern w:val="0"/>
                <w:position w:val="-2"/>
                <w:sz w:val="21"/>
                <w:szCs w:val="21"/>
                <w:lang w:val="en-US" w:eastAsia="zh-CN"/>
              </w:rPr>
              <w:t>合格</w:t>
            </w:r>
          </w:p>
        </w:tc>
      </w:tr>
      <w:tr w14:paraId="58A804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401" w:type="dxa"/>
            <w:gridSpan w:val="2"/>
            <w:vAlign w:val="center"/>
          </w:tcPr>
          <w:p w14:paraId="6440B8E8">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架空电力线路</w:t>
            </w:r>
          </w:p>
        </w:tc>
        <w:tc>
          <w:tcPr>
            <w:tcW w:w="2071" w:type="dxa"/>
            <w:vAlign w:val="center"/>
          </w:tcPr>
          <w:p w14:paraId="1CD70E40">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Times New Roman" w:cs="Times New Roman"/>
                <w:snapToGrid w:val="0"/>
                <w:color w:val="auto"/>
                <w:kern w:val="0"/>
                <w:sz w:val="21"/>
                <w:szCs w:val="21"/>
                <w:lang w:val="en-US" w:eastAsia="en-US" w:bidi="ar-SA"/>
              </w:rPr>
              <w:t>1</w:t>
            </w:r>
            <w:r>
              <w:rPr>
                <w:rFonts w:hint="default" w:ascii="Times New Roman" w:hAnsi="Times New Roman" w:eastAsia="宋体" w:cs="Times New Roman"/>
                <w:snapToGrid w:val="0"/>
                <w:color w:val="auto"/>
                <w:kern w:val="0"/>
                <w:sz w:val="21"/>
                <w:szCs w:val="21"/>
                <w:lang w:val="en-US" w:eastAsia="en-US" w:bidi="ar-SA"/>
              </w:rPr>
              <w:t>倍杆高</w:t>
            </w:r>
            <w:r>
              <w:rPr>
                <w:rFonts w:hint="eastAsia" w:ascii="Times New Roman" w:hAnsi="Times New Roman" w:eastAsia="宋体" w:cs="Times New Roman"/>
                <w:snapToGrid w:val="0"/>
                <w:color w:val="auto"/>
                <w:kern w:val="0"/>
                <w:sz w:val="21"/>
                <w:szCs w:val="21"/>
                <w:lang w:val="en-US" w:eastAsia="zh-CN" w:bidi="ar-SA"/>
              </w:rPr>
              <w:t>，且不小于6.5m</w:t>
            </w:r>
          </w:p>
        </w:tc>
        <w:tc>
          <w:tcPr>
            <w:tcW w:w="1499" w:type="dxa"/>
            <w:vAlign w:val="center"/>
          </w:tcPr>
          <w:p w14:paraId="176CE2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eastAsia" w:ascii="Times New Roman" w:hAnsi="Times New Roman" w:eastAsia="宋体" w:cs="Times New Roman"/>
                <w:snapToGrid w:val="0"/>
                <w:color w:val="auto"/>
                <w:kern w:val="0"/>
                <w:position w:val="-2"/>
                <w:sz w:val="21"/>
                <w:szCs w:val="21"/>
                <w:lang w:val="en-US" w:eastAsia="zh-CN"/>
              </w:rPr>
              <w:t>16</w:t>
            </w:r>
          </w:p>
        </w:tc>
        <w:tc>
          <w:tcPr>
            <w:tcW w:w="1104" w:type="dxa"/>
            <w:vAlign w:val="center"/>
          </w:tcPr>
          <w:p w14:paraId="14C7F6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eastAsia" w:cs="Times New Roman"/>
                <w:snapToGrid w:val="0"/>
                <w:color w:val="auto"/>
                <w:kern w:val="0"/>
                <w:position w:val="-2"/>
                <w:sz w:val="21"/>
                <w:szCs w:val="21"/>
                <w:lang w:val="en-US" w:eastAsia="zh-CN"/>
              </w:rPr>
              <w:t>合格</w:t>
            </w:r>
          </w:p>
        </w:tc>
      </w:tr>
      <w:tr w14:paraId="38A86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9075" w:type="dxa"/>
            <w:gridSpan w:val="5"/>
            <w:tcBorders>
              <w:bottom w:val="nil"/>
            </w:tcBorders>
            <w:vAlign w:val="center"/>
          </w:tcPr>
          <w:p w14:paraId="39D78D57">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spacing w:val="2"/>
                <w:kern w:val="0"/>
                <w:sz w:val="21"/>
                <w:szCs w:val="21"/>
                <w:lang w:val="en-US" w:eastAsia="zh-CN" w:bidi="ar-SA"/>
              </w:rPr>
            </w:pPr>
            <w:r>
              <w:rPr>
                <w:rFonts w:hint="eastAsia" w:cs="Times New Roman"/>
                <w:b/>
                <w:bCs/>
                <w:snapToGrid w:val="0"/>
                <w:color w:val="auto"/>
                <w:spacing w:val="2"/>
                <w:kern w:val="0"/>
                <w:sz w:val="21"/>
                <w:szCs w:val="21"/>
                <w:lang w:val="en-US" w:eastAsia="zh-CN" w:bidi="ar-SA"/>
              </w:rPr>
              <w:t>二</w:t>
            </w:r>
            <w:r>
              <w:rPr>
                <w:rFonts w:hint="eastAsia" w:ascii="Times New Roman" w:hAnsi="Times New Roman" w:eastAsia="宋体" w:cs="Times New Roman"/>
                <w:b/>
                <w:bCs/>
                <w:snapToGrid w:val="0"/>
                <w:color w:val="auto"/>
                <w:spacing w:val="2"/>
                <w:kern w:val="0"/>
                <w:sz w:val="21"/>
                <w:szCs w:val="21"/>
                <w:lang w:val="en-US" w:eastAsia="zh-CN" w:bidi="ar-SA"/>
              </w:rPr>
              <w:t>、</w:t>
            </w:r>
            <w:r>
              <w:rPr>
                <w:rFonts w:hint="eastAsia" w:cs="Times New Roman"/>
                <w:b/>
                <w:bCs/>
                <w:snapToGrid w:val="0"/>
                <w:color w:val="auto"/>
                <w:spacing w:val="2"/>
                <w:kern w:val="0"/>
                <w:sz w:val="21"/>
                <w:szCs w:val="21"/>
                <w:lang w:val="en-US" w:eastAsia="zh-CN" w:bidi="ar-SA"/>
              </w:rPr>
              <w:t>汽车队</w:t>
            </w:r>
            <w:r>
              <w:rPr>
                <w:rFonts w:hint="eastAsia" w:ascii="Times New Roman" w:hAnsi="Times New Roman" w:eastAsia="宋体" w:cs="Times New Roman"/>
                <w:b/>
                <w:bCs/>
                <w:snapToGrid w:val="0"/>
                <w:color w:val="auto"/>
                <w:spacing w:val="2"/>
                <w:kern w:val="0"/>
                <w:sz w:val="21"/>
                <w:szCs w:val="21"/>
                <w:lang w:val="en-US" w:eastAsia="zh-CN" w:bidi="ar-SA"/>
              </w:rPr>
              <w:t>撬装加油站</w:t>
            </w:r>
          </w:p>
        </w:tc>
      </w:tr>
      <w:tr w14:paraId="1862CC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401" w:type="dxa"/>
            <w:gridSpan w:val="2"/>
            <w:vMerge w:val="restart"/>
            <w:tcBorders>
              <w:bottom w:val="nil"/>
            </w:tcBorders>
            <w:vAlign w:val="center"/>
          </w:tcPr>
          <w:p w14:paraId="528E35A2">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3"/>
                <w:kern w:val="0"/>
                <w:sz w:val="21"/>
                <w:szCs w:val="21"/>
                <w:lang w:val="en-US" w:eastAsia="en-US" w:bidi="ar-SA"/>
              </w:rPr>
              <w:t>站外建</w:t>
            </w:r>
            <w:r>
              <w:rPr>
                <w:rFonts w:hint="eastAsia" w:ascii="Times New Roman" w:hAnsi="Times New Roman" w:eastAsia="宋体" w:cs="Times New Roman"/>
                <w:snapToGrid w:val="0"/>
                <w:color w:val="auto"/>
                <w:spacing w:val="3"/>
                <w:kern w:val="0"/>
                <w:sz w:val="21"/>
                <w:szCs w:val="21"/>
                <w:lang w:val="en-US" w:eastAsia="zh-CN" w:bidi="ar-SA"/>
              </w:rPr>
              <w:t>（</w:t>
            </w:r>
            <w:r>
              <w:rPr>
                <w:rFonts w:hint="default" w:ascii="Times New Roman" w:hAnsi="Times New Roman" w:eastAsia="宋体" w:cs="Times New Roman"/>
                <w:snapToGrid w:val="0"/>
                <w:color w:val="auto"/>
                <w:spacing w:val="3"/>
                <w:kern w:val="0"/>
                <w:sz w:val="21"/>
                <w:szCs w:val="21"/>
                <w:lang w:val="en-US" w:eastAsia="en-US" w:bidi="ar-SA"/>
              </w:rPr>
              <w:t>构</w:t>
            </w:r>
            <w:r>
              <w:rPr>
                <w:rFonts w:hint="eastAsia" w:ascii="Times New Roman" w:hAnsi="Times New Roman" w:eastAsia="宋体" w:cs="Times New Roman"/>
                <w:snapToGrid w:val="0"/>
                <w:color w:val="auto"/>
                <w:spacing w:val="3"/>
                <w:kern w:val="0"/>
                <w:sz w:val="21"/>
                <w:szCs w:val="21"/>
                <w:lang w:val="en-US" w:eastAsia="zh-CN" w:bidi="ar-SA"/>
              </w:rPr>
              <w:t>）</w:t>
            </w:r>
            <w:r>
              <w:rPr>
                <w:rFonts w:hint="default" w:ascii="Times New Roman" w:hAnsi="Times New Roman" w:eastAsia="宋体" w:cs="Times New Roman"/>
                <w:snapToGrid w:val="0"/>
                <w:color w:val="auto"/>
                <w:spacing w:val="3"/>
                <w:kern w:val="0"/>
                <w:sz w:val="21"/>
                <w:szCs w:val="21"/>
                <w:lang w:val="en-US" w:eastAsia="en-US" w:bidi="ar-SA"/>
              </w:rPr>
              <w:t>筑物</w:t>
            </w:r>
          </w:p>
        </w:tc>
        <w:tc>
          <w:tcPr>
            <w:tcW w:w="2071" w:type="dxa"/>
            <w:vAlign w:val="center"/>
          </w:tcPr>
          <w:p w14:paraId="61AE3029">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橇装加油装置</w:t>
            </w:r>
          </w:p>
        </w:tc>
        <w:tc>
          <w:tcPr>
            <w:tcW w:w="1499" w:type="dxa"/>
            <w:vMerge w:val="restart"/>
            <w:tcBorders>
              <w:bottom w:val="nil"/>
            </w:tcBorders>
            <w:vAlign w:val="center"/>
          </w:tcPr>
          <w:p w14:paraId="36ED3E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3A80C370">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检查情况</w:t>
            </w:r>
          </w:p>
        </w:tc>
        <w:tc>
          <w:tcPr>
            <w:tcW w:w="1104" w:type="dxa"/>
            <w:vMerge w:val="restart"/>
            <w:tcBorders>
              <w:bottom w:val="nil"/>
            </w:tcBorders>
            <w:vAlign w:val="center"/>
          </w:tcPr>
          <w:p w14:paraId="01B5D29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702F7137">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2"/>
                <w:kern w:val="0"/>
                <w:sz w:val="21"/>
                <w:szCs w:val="21"/>
                <w:lang w:val="en-US" w:eastAsia="en-US" w:bidi="ar-SA"/>
              </w:rPr>
              <w:t>结论</w:t>
            </w:r>
          </w:p>
        </w:tc>
      </w:tr>
      <w:tr w14:paraId="65B5D0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vMerge w:val="continue"/>
            <w:tcBorders>
              <w:top w:val="nil"/>
            </w:tcBorders>
            <w:vAlign w:val="center"/>
          </w:tcPr>
          <w:p w14:paraId="21F7194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071" w:type="dxa"/>
            <w:vAlign w:val="center"/>
          </w:tcPr>
          <w:p w14:paraId="1F23849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5"/>
                <w:kern w:val="0"/>
                <w:position w:val="1"/>
                <w:sz w:val="21"/>
                <w:szCs w:val="21"/>
                <w:lang w:val="en-US" w:eastAsia="en-US" w:bidi="ar-SA"/>
              </w:rPr>
              <w:t>V</w:t>
            </w:r>
            <w:r>
              <w:rPr>
                <w:rFonts w:hint="default" w:ascii="Times New Roman" w:hAnsi="Times New Roman" w:eastAsia="宋体" w:cs="Times New Roman"/>
                <w:snapToGrid w:val="0"/>
                <w:color w:val="auto"/>
                <w:spacing w:val="5"/>
                <w:kern w:val="0"/>
                <w:position w:val="1"/>
                <w:sz w:val="21"/>
                <w:szCs w:val="21"/>
                <w:lang w:val="en-US" w:eastAsia="en-US" w:bidi="ar-SA"/>
              </w:rPr>
              <w:t>＞</w:t>
            </w:r>
            <w:r>
              <w:rPr>
                <w:rFonts w:hint="default" w:ascii="Times New Roman" w:hAnsi="Times New Roman" w:eastAsia="Times New Roman" w:cs="Times New Roman"/>
                <w:snapToGrid w:val="0"/>
                <w:color w:val="auto"/>
                <w:spacing w:val="5"/>
                <w:kern w:val="0"/>
                <w:position w:val="1"/>
                <w:sz w:val="21"/>
                <w:szCs w:val="21"/>
                <w:lang w:val="en-US" w:eastAsia="en-US" w:bidi="ar-SA"/>
              </w:rPr>
              <w:t>20m³</w:t>
            </w:r>
          </w:p>
        </w:tc>
        <w:tc>
          <w:tcPr>
            <w:tcW w:w="1499" w:type="dxa"/>
            <w:vMerge w:val="continue"/>
            <w:tcBorders>
              <w:top w:val="nil"/>
            </w:tcBorders>
            <w:vAlign w:val="center"/>
          </w:tcPr>
          <w:p w14:paraId="0B3770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104" w:type="dxa"/>
            <w:vMerge w:val="continue"/>
            <w:tcBorders>
              <w:top w:val="nil"/>
            </w:tcBorders>
            <w:vAlign w:val="center"/>
          </w:tcPr>
          <w:p w14:paraId="5547D0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r>
      <w:tr w14:paraId="543471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4401" w:type="dxa"/>
            <w:gridSpan w:val="2"/>
            <w:vAlign w:val="center"/>
          </w:tcPr>
          <w:p w14:paraId="4476871C">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重要公共建筑物</w:t>
            </w:r>
          </w:p>
        </w:tc>
        <w:tc>
          <w:tcPr>
            <w:tcW w:w="2071" w:type="dxa"/>
            <w:vAlign w:val="center"/>
          </w:tcPr>
          <w:p w14:paraId="11FB76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50</w:t>
            </w:r>
          </w:p>
        </w:tc>
        <w:tc>
          <w:tcPr>
            <w:tcW w:w="1499" w:type="dxa"/>
            <w:vAlign w:val="center"/>
          </w:tcPr>
          <w:p w14:paraId="157B54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001A43F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02204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4401" w:type="dxa"/>
            <w:gridSpan w:val="2"/>
            <w:vAlign w:val="center"/>
          </w:tcPr>
          <w:p w14:paraId="248D0CB3">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明火地点或散发火花地点</w:t>
            </w:r>
          </w:p>
        </w:tc>
        <w:tc>
          <w:tcPr>
            <w:tcW w:w="2071" w:type="dxa"/>
            <w:vAlign w:val="center"/>
          </w:tcPr>
          <w:p w14:paraId="2646E8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25</w:t>
            </w:r>
          </w:p>
        </w:tc>
        <w:tc>
          <w:tcPr>
            <w:tcW w:w="1499" w:type="dxa"/>
            <w:vAlign w:val="center"/>
          </w:tcPr>
          <w:p w14:paraId="5BA10A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0FB0D8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3F7566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732" w:type="dxa"/>
            <w:vMerge w:val="restart"/>
            <w:tcBorders>
              <w:bottom w:val="nil"/>
            </w:tcBorders>
            <w:vAlign w:val="center"/>
          </w:tcPr>
          <w:p w14:paraId="4FEC16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5269E954">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4"/>
                <w:kern w:val="0"/>
                <w:sz w:val="21"/>
                <w:szCs w:val="21"/>
                <w:lang w:val="en-US" w:eastAsia="en-US" w:bidi="ar-SA"/>
              </w:rPr>
              <w:t>民用建筑物</w:t>
            </w:r>
            <w:r>
              <w:rPr>
                <w:rFonts w:hint="default" w:ascii="Times New Roman" w:hAnsi="Times New Roman" w:eastAsia="宋体" w:cs="Times New Roman"/>
                <w:snapToGrid w:val="0"/>
                <w:color w:val="auto"/>
                <w:spacing w:val="7"/>
                <w:kern w:val="0"/>
                <w:sz w:val="21"/>
                <w:szCs w:val="21"/>
                <w:lang w:val="en-US" w:eastAsia="en-US" w:bidi="ar-SA"/>
              </w:rPr>
              <w:t>保护类别</w:t>
            </w:r>
          </w:p>
        </w:tc>
        <w:tc>
          <w:tcPr>
            <w:tcW w:w="2669" w:type="dxa"/>
            <w:vAlign w:val="center"/>
          </w:tcPr>
          <w:p w14:paraId="6962AE2C">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一类保护物</w:t>
            </w:r>
          </w:p>
        </w:tc>
        <w:tc>
          <w:tcPr>
            <w:tcW w:w="2071" w:type="dxa"/>
            <w:vAlign w:val="center"/>
          </w:tcPr>
          <w:p w14:paraId="4674BCD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20</w:t>
            </w:r>
          </w:p>
        </w:tc>
        <w:tc>
          <w:tcPr>
            <w:tcW w:w="1499" w:type="dxa"/>
            <w:vAlign w:val="center"/>
          </w:tcPr>
          <w:p w14:paraId="4E20FA7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53B6B7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35D04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1732" w:type="dxa"/>
            <w:vMerge w:val="continue"/>
            <w:tcBorders>
              <w:top w:val="nil"/>
              <w:bottom w:val="nil"/>
            </w:tcBorders>
            <w:vAlign w:val="center"/>
          </w:tcPr>
          <w:p w14:paraId="0E366E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669" w:type="dxa"/>
            <w:vAlign w:val="center"/>
          </w:tcPr>
          <w:p w14:paraId="7B3D2D15">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二类保护物</w:t>
            </w:r>
          </w:p>
        </w:tc>
        <w:tc>
          <w:tcPr>
            <w:tcW w:w="2071" w:type="dxa"/>
            <w:vAlign w:val="center"/>
          </w:tcPr>
          <w:p w14:paraId="28722F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16</w:t>
            </w:r>
          </w:p>
        </w:tc>
        <w:tc>
          <w:tcPr>
            <w:tcW w:w="1499" w:type="dxa"/>
            <w:vAlign w:val="center"/>
          </w:tcPr>
          <w:p w14:paraId="662607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73CFF4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044F03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732" w:type="dxa"/>
            <w:vMerge w:val="continue"/>
            <w:tcBorders>
              <w:top w:val="nil"/>
            </w:tcBorders>
            <w:vAlign w:val="center"/>
          </w:tcPr>
          <w:p w14:paraId="0EC626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669" w:type="dxa"/>
            <w:vAlign w:val="center"/>
          </w:tcPr>
          <w:p w14:paraId="4CCDD71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三类保护物</w:t>
            </w:r>
          </w:p>
        </w:tc>
        <w:tc>
          <w:tcPr>
            <w:tcW w:w="2071" w:type="dxa"/>
            <w:vAlign w:val="center"/>
          </w:tcPr>
          <w:p w14:paraId="145AD2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12</w:t>
            </w:r>
          </w:p>
        </w:tc>
        <w:tc>
          <w:tcPr>
            <w:tcW w:w="1499" w:type="dxa"/>
            <w:vAlign w:val="center"/>
          </w:tcPr>
          <w:p w14:paraId="7651BC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51C00AF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441DE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401" w:type="dxa"/>
            <w:gridSpan w:val="2"/>
            <w:vAlign w:val="center"/>
          </w:tcPr>
          <w:p w14:paraId="49A5F41E">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甲、乙类物品生产厂房、库房和甲、乙类液体</w:t>
            </w:r>
            <w:r>
              <w:rPr>
                <w:rFonts w:hint="default" w:ascii="Times New Roman" w:hAnsi="Times New Roman" w:eastAsia="宋体" w:cs="Times New Roman"/>
                <w:snapToGrid w:val="0"/>
                <w:color w:val="auto"/>
                <w:spacing w:val="3"/>
                <w:kern w:val="0"/>
                <w:sz w:val="21"/>
                <w:szCs w:val="21"/>
                <w:lang w:val="en-US" w:eastAsia="en-US" w:bidi="ar-SA"/>
              </w:rPr>
              <w:t>油罐</w:t>
            </w:r>
          </w:p>
        </w:tc>
        <w:tc>
          <w:tcPr>
            <w:tcW w:w="2071" w:type="dxa"/>
            <w:vAlign w:val="center"/>
          </w:tcPr>
          <w:p w14:paraId="534A81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22</w:t>
            </w:r>
          </w:p>
        </w:tc>
        <w:tc>
          <w:tcPr>
            <w:tcW w:w="1499" w:type="dxa"/>
            <w:vAlign w:val="center"/>
          </w:tcPr>
          <w:p w14:paraId="4D81F3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11532A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7B8F056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7614AA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536FB8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9" w:hRule="atLeast"/>
        </w:trPr>
        <w:tc>
          <w:tcPr>
            <w:tcW w:w="4401" w:type="dxa"/>
            <w:gridSpan w:val="2"/>
            <w:vAlign w:val="center"/>
          </w:tcPr>
          <w:p w14:paraId="14E1F119">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其他类物品生产厂房、库房和丙类液体油罐以</w:t>
            </w:r>
            <w:r>
              <w:rPr>
                <w:rFonts w:hint="default" w:ascii="Times New Roman" w:hAnsi="Times New Roman" w:eastAsia="宋体" w:cs="Times New Roman"/>
                <w:snapToGrid w:val="0"/>
                <w:color w:val="auto"/>
                <w:spacing w:val="6"/>
                <w:kern w:val="0"/>
                <w:sz w:val="21"/>
                <w:szCs w:val="21"/>
                <w:lang w:val="en-US" w:eastAsia="en-US" w:bidi="ar-SA"/>
              </w:rPr>
              <w:t>及容积不大于</w:t>
            </w:r>
            <w:r>
              <w:rPr>
                <w:rFonts w:hint="default" w:ascii="Times New Roman" w:hAnsi="Times New Roman" w:eastAsia="Times New Roman" w:cs="Times New Roman"/>
                <w:snapToGrid w:val="0"/>
                <w:color w:val="auto"/>
                <w:spacing w:val="6"/>
                <w:kern w:val="0"/>
                <w:sz w:val="21"/>
                <w:szCs w:val="21"/>
                <w:lang w:val="en-US" w:eastAsia="en-US" w:bidi="ar-SA"/>
              </w:rPr>
              <w:t>50m</w:t>
            </w:r>
            <w:r>
              <w:rPr>
                <w:rFonts w:hint="eastAsia" w:ascii="Times New Roman" w:hAnsi="Times New Roman" w:eastAsia="宋体" w:cs="Times New Roman"/>
                <w:snapToGrid w:val="0"/>
                <w:color w:val="auto"/>
                <w:spacing w:val="6"/>
                <w:kern w:val="0"/>
                <w:sz w:val="21"/>
                <w:szCs w:val="21"/>
                <w:vertAlign w:val="superscript"/>
                <w:lang w:val="en-US" w:eastAsia="zh-CN" w:bidi="ar-SA"/>
              </w:rPr>
              <w:t>3</w:t>
            </w:r>
            <w:r>
              <w:rPr>
                <w:rFonts w:hint="default" w:ascii="Times New Roman" w:hAnsi="Times New Roman" w:eastAsia="宋体" w:cs="Times New Roman"/>
                <w:snapToGrid w:val="0"/>
                <w:color w:val="auto"/>
                <w:spacing w:val="6"/>
                <w:kern w:val="0"/>
                <w:sz w:val="21"/>
                <w:szCs w:val="21"/>
                <w:lang w:val="en-US" w:eastAsia="en-US" w:bidi="ar-SA"/>
              </w:rPr>
              <w:t>的埋地甲、乙类液体油罐</w:t>
            </w:r>
          </w:p>
        </w:tc>
        <w:tc>
          <w:tcPr>
            <w:tcW w:w="2071" w:type="dxa"/>
            <w:vAlign w:val="center"/>
          </w:tcPr>
          <w:p w14:paraId="46CD33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16</w:t>
            </w:r>
          </w:p>
        </w:tc>
        <w:tc>
          <w:tcPr>
            <w:tcW w:w="1499" w:type="dxa"/>
            <w:vAlign w:val="center"/>
          </w:tcPr>
          <w:p w14:paraId="5D4458E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eastAsia" w:cs="Times New Roman"/>
                <w:snapToGrid w:val="0"/>
                <w:color w:val="auto"/>
                <w:kern w:val="0"/>
                <w:sz w:val="21"/>
                <w:szCs w:val="21"/>
                <w:lang w:val="en-US" w:eastAsia="zh-CN"/>
              </w:rPr>
              <w:t>19.7</w:t>
            </w:r>
          </w:p>
        </w:tc>
        <w:tc>
          <w:tcPr>
            <w:tcW w:w="1104" w:type="dxa"/>
            <w:vAlign w:val="center"/>
          </w:tcPr>
          <w:p w14:paraId="59F22E6D">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cs="Times New Roman"/>
                <w:snapToGrid w:val="0"/>
                <w:color w:val="auto"/>
                <w:kern w:val="0"/>
                <w:position w:val="-2"/>
                <w:sz w:val="21"/>
                <w:szCs w:val="21"/>
                <w:lang w:val="en-US" w:eastAsia="zh-CN"/>
              </w:rPr>
              <w:t>合格</w:t>
            </w:r>
          </w:p>
        </w:tc>
      </w:tr>
      <w:tr w14:paraId="24AC01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4401" w:type="dxa"/>
            <w:gridSpan w:val="2"/>
            <w:vAlign w:val="center"/>
          </w:tcPr>
          <w:p w14:paraId="67EA6A34">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室外变配电站</w:t>
            </w:r>
          </w:p>
        </w:tc>
        <w:tc>
          <w:tcPr>
            <w:tcW w:w="2071" w:type="dxa"/>
            <w:vAlign w:val="center"/>
          </w:tcPr>
          <w:p w14:paraId="71574F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22</w:t>
            </w:r>
          </w:p>
        </w:tc>
        <w:tc>
          <w:tcPr>
            <w:tcW w:w="1499" w:type="dxa"/>
            <w:vAlign w:val="center"/>
          </w:tcPr>
          <w:p w14:paraId="17B41A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2E9CFF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4EE5A9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4401" w:type="dxa"/>
            <w:gridSpan w:val="2"/>
            <w:vAlign w:val="center"/>
          </w:tcPr>
          <w:p w14:paraId="1579E021">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eastAsia" w:ascii="Times New Roman" w:hAnsi="Times New Roman" w:eastAsia="宋体" w:cs="Times New Roman"/>
                <w:snapToGrid w:val="0"/>
                <w:color w:val="auto"/>
                <w:spacing w:val="5"/>
                <w:kern w:val="0"/>
                <w:sz w:val="21"/>
                <w:szCs w:val="21"/>
                <w:lang w:val="en-US" w:eastAsia="zh-CN" w:bidi="ar-SA"/>
              </w:rPr>
              <w:t>地上</w:t>
            </w:r>
            <w:r>
              <w:rPr>
                <w:rFonts w:hint="default" w:ascii="Times New Roman" w:hAnsi="Times New Roman" w:eastAsia="宋体" w:cs="Times New Roman"/>
                <w:snapToGrid w:val="0"/>
                <w:color w:val="auto"/>
                <w:spacing w:val="5"/>
                <w:kern w:val="0"/>
                <w:sz w:val="21"/>
                <w:szCs w:val="21"/>
                <w:lang w:val="en-US" w:eastAsia="en-US" w:bidi="ar-SA"/>
              </w:rPr>
              <w:t>铁路</w:t>
            </w:r>
          </w:p>
        </w:tc>
        <w:tc>
          <w:tcPr>
            <w:tcW w:w="2071" w:type="dxa"/>
            <w:vAlign w:val="center"/>
          </w:tcPr>
          <w:p w14:paraId="22A12A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2"/>
                <w:kern w:val="0"/>
                <w:sz w:val="21"/>
                <w:szCs w:val="21"/>
                <w:lang w:eastAsia="en-US"/>
              </w:rPr>
              <w:t>22</w:t>
            </w:r>
          </w:p>
        </w:tc>
        <w:tc>
          <w:tcPr>
            <w:tcW w:w="1499" w:type="dxa"/>
            <w:vAlign w:val="center"/>
          </w:tcPr>
          <w:p w14:paraId="70403CC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25E5D4C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092F9E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4401" w:type="dxa"/>
            <w:gridSpan w:val="2"/>
            <w:tcBorders>
              <w:bottom w:val="single" w:color="auto" w:sz="4" w:space="0"/>
            </w:tcBorders>
            <w:vAlign w:val="center"/>
          </w:tcPr>
          <w:p w14:paraId="13BED8E5">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en-US" w:bidi="ar-SA"/>
              </w:rPr>
              <w:t>城市快速路、主干路和高速公路、一级公路、二级公路</w:t>
            </w:r>
          </w:p>
        </w:tc>
        <w:tc>
          <w:tcPr>
            <w:tcW w:w="2071" w:type="dxa"/>
            <w:vAlign w:val="center"/>
          </w:tcPr>
          <w:p w14:paraId="7CEB00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8</w:t>
            </w:r>
          </w:p>
        </w:tc>
        <w:tc>
          <w:tcPr>
            <w:tcW w:w="1499" w:type="dxa"/>
            <w:vAlign w:val="center"/>
          </w:tcPr>
          <w:p w14:paraId="472F06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eastAsia="zh-CN"/>
              </w:rPr>
            </w:pPr>
            <w:r>
              <w:rPr>
                <w:rFonts w:hint="eastAsia" w:ascii="Times New Roman" w:hAnsi="Times New Roman" w:eastAsia="宋体" w:cs="Times New Roman"/>
                <w:snapToGrid w:val="0"/>
                <w:color w:val="auto"/>
                <w:spacing w:val="-2"/>
                <w:kern w:val="0"/>
                <w:sz w:val="21"/>
                <w:szCs w:val="21"/>
                <w:lang w:val="en-US" w:eastAsia="zh-CN"/>
              </w:rPr>
              <w:t>-</w:t>
            </w:r>
          </w:p>
        </w:tc>
        <w:tc>
          <w:tcPr>
            <w:tcW w:w="1104" w:type="dxa"/>
            <w:vAlign w:val="center"/>
          </w:tcPr>
          <w:p w14:paraId="6E9FDCEF">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4"/>
                <w:kern w:val="0"/>
                <w:sz w:val="21"/>
                <w:szCs w:val="21"/>
                <w:lang w:val="en-US" w:eastAsia="zh-CN" w:bidi="ar-SA"/>
              </w:rPr>
              <w:t>-</w:t>
            </w:r>
          </w:p>
        </w:tc>
      </w:tr>
      <w:tr w14:paraId="61B44C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trPr>
        <w:tc>
          <w:tcPr>
            <w:tcW w:w="4401" w:type="dxa"/>
            <w:gridSpan w:val="2"/>
            <w:tcBorders>
              <w:top w:val="single" w:color="auto" w:sz="4" w:space="0"/>
            </w:tcBorders>
            <w:vAlign w:val="center"/>
          </w:tcPr>
          <w:p w14:paraId="03A00CE0">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城市次干路、支路和三级公路、四级公路</w:t>
            </w:r>
          </w:p>
        </w:tc>
        <w:tc>
          <w:tcPr>
            <w:tcW w:w="2071" w:type="dxa"/>
            <w:vAlign w:val="center"/>
          </w:tcPr>
          <w:p w14:paraId="622175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1499" w:type="dxa"/>
            <w:vAlign w:val="center"/>
          </w:tcPr>
          <w:p w14:paraId="672E6F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eastAsia" w:cs="Times New Roman"/>
                <w:snapToGrid w:val="0"/>
                <w:color w:val="auto"/>
                <w:kern w:val="0"/>
                <w:position w:val="-2"/>
                <w:sz w:val="21"/>
                <w:szCs w:val="21"/>
                <w:lang w:val="en-US" w:eastAsia="zh-CN"/>
              </w:rPr>
              <w:t>6.01</w:t>
            </w:r>
          </w:p>
        </w:tc>
        <w:tc>
          <w:tcPr>
            <w:tcW w:w="1104" w:type="dxa"/>
            <w:vAlign w:val="center"/>
          </w:tcPr>
          <w:p w14:paraId="08FE5F7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eastAsia="zh-CN"/>
              </w:rPr>
            </w:pPr>
            <w:r>
              <w:rPr>
                <w:rFonts w:hint="eastAsia" w:cs="Times New Roman"/>
                <w:snapToGrid w:val="0"/>
                <w:color w:val="auto"/>
                <w:kern w:val="0"/>
                <w:position w:val="-2"/>
                <w:sz w:val="21"/>
                <w:szCs w:val="21"/>
                <w:lang w:val="en-US" w:eastAsia="zh-CN"/>
              </w:rPr>
              <w:t>合格</w:t>
            </w:r>
          </w:p>
        </w:tc>
      </w:tr>
      <w:tr w14:paraId="33444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4401" w:type="dxa"/>
            <w:gridSpan w:val="2"/>
            <w:tcBorders>
              <w:bottom w:val="single" w:color="auto" w:sz="4" w:space="0"/>
            </w:tcBorders>
            <w:vAlign w:val="center"/>
          </w:tcPr>
          <w:p w14:paraId="75984502">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架空通信线</w:t>
            </w:r>
          </w:p>
        </w:tc>
        <w:tc>
          <w:tcPr>
            <w:tcW w:w="2071" w:type="dxa"/>
            <w:vAlign w:val="center"/>
          </w:tcPr>
          <w:p w14:paraId="46D42ABD">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Times New Roman" w:hAnsi="Times New Roman" w:eastAsia="宋体" w:cs="Times New Roman"/>
                <w:snapToGrid w:val="0"/>
                <w:color w:val="auto"/>
                <w:kern w:val="0"/>
                <w:sz w:val="21"/>
                <w:szCs w:val="21"/>
                <w:lang w:val="en-US" w:eastAsia="zh-CN" w:bidi="ar-SA"/>
              </w:rPr>
            </w:pPr>
            <w:r>
              <w:rPr>
                <w:rFonts w:hint="eastAsia" w:ascii="Times New Roman" w:hAnsi="Times New Roman" w:eastAsia="宋体" w:cs="Times New Roman"/>
                <w:snapToGrid w:val="0"/>
                <w:color w:val="auto"/>
                <w:spacing w:val="6"/>
                <w:kern w:val="0"/>
                <w:sz w:val="21"/>
                <w:szCs w:val="21"/>
                <w:lang w:val="en-US" w:eastAsia="zh-CN" w:bidi="ar-SA"/>
              </w:rPr>
              <w:t>5</w:t>
            </w:r>
          </w:p>
        </w:tc>
        <w:tc>
          <w:tcPr>
            <w:tcW w:w="1499" w:type="dxa"/>
            <w:vAlign w:val="center"/>
          </w:tcPr>
          <w:p w14:paraId="0FB170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634B39C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r w14:paraId="66221B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4401" w:type="dxa"/>
            <w:gridSpan w:val="2"/>
            <w:vAlign w:val="center"/>
          </w:tcPr>
          <w:p w14:paraId="3295AA58">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架空电力线路</w:t>
            </w:r>
          </w:p>
        </w:tc>
        <w:tc>
          <w:tcPr>
            <w:tcW w:w="2071" w:type="dxa"/>
            <w:vAlign w:val="center"/>
          </w:tcPr>
          <w:p w14:paraId="04BD0D08">
            <w:pPr>
              <w:keepNext w:val="0"/>
              <w:keepLines w:val="0"/>
              <w:pageBreakBefore w:val="0"/>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Times New Roman" w:cs="Times New Roman"/>
                <w:snapToGrid w:val="0"/>
                <w:color w:val="auto"/>
                <w:kern w:val="0"/>
                <w:sz w:val="21"/>
                <w:szCs w:val="21"/>
                <w:lang w:val="en-US" w:eastAsia="en-US" w:bidi="ar-SA"/>
              </w:rPr>
              <w:t>1</w:t>
            </w:r>
            <w:r>
              <w:rPr>
                <w:rFonts w:hint="default" w:ascii="Times New Roman" w:hAnsi="Times New Roman" w:eastAsia="宋体" w:cs="Times New Roman"/>
                <w:snapToGrid w:val="0"/>
                <w:color w:val="auto"/>
                <w:kern w:val="0"/>
                <w:sz w:val="21"/>
                <w:szCs w:val="21"/>
                <w:lang w:val="en-US" w:eastAsia="en-US" w:bidi="ar-SA"/>
              </w:rPr>
              <w:t>倍杆高</w:t>
            </w:r>
            <w:r>
              <w:rPr>
                <w:rFonts w:hint="eastAsia" w:ascii="Times New Roman" w:hAnsi="Times New Roman" w:eastAsia="宋体" w:cs="Times New Roman"/>
                <w:snapToGrid w:val="0"/>
                <w:color w:val="auto"/>
                <w:kern w:val="0"/>
                <w:sz w:val="21"/>
                <w:szCs w:val="21"/>
                <w:lang w:val="en-US" w:eastAsia="zh-CN" w:bidi="ar-SA"/>
              </w:rPr>
              <w:t>，且不小于6.5m</w:t>
            </w:r>
          </w:p>
        </w:tc>
        <w:tc>
          <w:tcPr>
            <w:tcW w:w="1499" w:type="dxa"/>
            <w:vAlign w:val="center"/>
          </w:tcPr>
          <w:p w14:paraId="4AC9EA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rPr>
            </w:pPr>
            <w:r>
              <w:rPr>
                <w:rFonts w:hint="default" w:ascii="Times New Roman" w:hAnsi="Times New Roman" w:eastAsia="Times New Roman" w:cs="Times New Roman"/>
                <w:snapToGrid w:val="0"/>
                <w:color w:val="auto"/>
                <w:kern w:val="0"/>
                <w:position w:val="-2"/>
                <w:sz w:val="21"/>
                <w:szCs w:val="21"/>
                <w:lang w:eastAsia="en-US"/>
              </w:rPr>
              <w:t>-</w:t>
            </w:r>
          </w:p>
        </w:tc>
        <w:tc>
          <w:tcPr>
            <w:tcW w:w="1104" w:type="dxa"/>
            <w:vAlign w:val="center"/>
          </w:tcPr>
          <w:p w14:paraId="67306D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position w:val="-2"/>
                <w:sz w:val="21"/>
                <w:szCs w:val="21"/>
                <w:lang w:eastAsia="en-US"/>
              </w:rPr>
              <w:t>-</w:t>
            </w:r>
          </w:p>
        </w:tc>
      </w:tr>
    </w:tbl>
    <w:p w14:paraId="1ED25AAA">
      <w:pPr>
        <w:bidi w:val="0"/>
        <w:rPr>
          <w:rFonts w:hint="default"/>
          <w:b/>
          <w:bCs/>
          <w:color w:val="auto"/>
          <w:sz w:val="21"/>
          <w:szCs w:val="21"/>
          <w:lang w:val="en-US" w:eastAsia="zh-CN"/>
        </w:rPr>
      </w:pPr>
      <w:r>
        <w:rPr>
          <w:rFonts w:hint="default"/>
          <w:b/>
          <w:bCs/>
          <w:color w:val="auto"/>
          <w:sz w:val="21"/>
          <w:szCs w:val="21"/>
          <w:lang w:val="en-US" w:eastAsia="zh-CN"/>
        </w:rPr>
        <w:t>注明：上面表格数据取自《采用橇装加油装置的汽车加油装置技术规范》（SH/T3134-20</w:t>
      </w:r>
      <w:r>
        <w:rPr>
          <w:rFonts w:hint="eastAsia"/>
          <w:b/>
          <w:bCs/>
          <w:color w:val="auto"/>
          <w:sz w:val="21"/>
          <w:szCs w:val="21"/>
          <w:lang w:val="en-US" w:eastAsia="zh-CN"/>
        </w:rPr>
        <w:t>23</w:t>
      </w:r>
      <w:r>
        <w:rPr>
          <w:rFonts w:hint="default"/>
          <w:b/>
          <w:bCs/>
          <w:color w:val="auto"/>
          <w:sz w:val="21"/>
          <w:szCs w:val="21"/>
          <w:lang w:val="en-US" w:eastAsia="zh-CN"/>
        </w:rPr>
        <w:t>），“-”表示内无此项。</w:t>
      </w:r>
    </w:p>
    <w:p w14:paraId="3C8218C0">
      <w:pPr>
        <w:bidi w:val="0"/>
        <w:rPr>
          <w:rFonts w:hint="default"/>
          <w:b/>
          <w:bCs/>
          <w:color w:val="auto"/>
          <w:lang w:val="en-US" w:eastAsia="zh-CN"/>
        </w:rPr>
      </w:pPr>
      <w:r>
        <w:rPr>
          <w:rFonts w:hint="eastAsia"/>
          <w:b/>
          <w:bCs/>
          <w:color w:val="auto"/>
          <w:lang w:val="en-US" w:eastAsia="zh-CN"/>
        </w:rPr>
        <w:t>二、选址和规模</w:t>
      </w:r>
      <w:r>
        <w:rPr>
          <w:rFonts w:hint="default"/>
          <w:b/>
          <w:bCs/>
          <w:color w:val="auto"/>
          <w:lang w:val="en-US" w:eastAsia="zh-CN"/>
        </w:rPr>
        <w:t>符合性</w:t>
      </w:r>
    </w:p>
    <w:p w14:paraId="034DFAD8">
      <w:pPr>
        <w:bidi w:val="0"/>
        <w:ind w:left="0" w:leftChars="0" w:firstLine="0" w:firstLineChars="0"/>
        <w:jc w:val="center"/>
        <w:rPr>
          <w:rFonts w:hint="default"/>
          <w:color w:val="auto"/>
          <w:lang w:val="en-US" w:eastAsia="zh-CN"/>
        </w:rPr>
      </w:pPr>
      <w:r>
        <w:rPr>
          <w:rFonts w:hint="default"/>
          <w:color w:val="auto"/>
          <w:lang w:val="en-US" w:eastAsia="zh-CN"/>
        </w:rPr>
        <w:t>附表3.1-</w:t>
      </w:r>
      <w:r>
        <w:rPr>
          <w:rFonts w:hint="eastAsia"/>
          <w:color w:val="auto"/>
          <w:lang w:val="en-US" w:eastAsia="zh-CN"/>
        </w:rPr>
        <w:t>2</w:t>
      </w:r>
      <w:r>
        <w:rPr>
          <w:rFonts w:hint="default"/>
          <w:color w:val="auto"/>
          <w:lang w:val="en-US" w:eastAsia="zh-CN"/>
        </w:rPr>
        <w:t xml:space="preserve"> 选址和规模符合性安全检查表</w:t>
      </w:r>
    </w:p>
    <w:tbl>
      <w:tblPr>
        <w:tblStyle w:val="14"/>
        <w:tblW w:w="93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608"/>
        <w:gridCol w:w="3643"/>
        <w:gridCol w:w="2415"/>
        <w:gridCol w:w="2056"/>
        <w:gridCol w:w="626"/>
      </w:tblGrid>
      <w:tr w14:paraId="15694F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608" w:type="dxa"/>
            <w:tcBorders>
              <w:top w:val="single" w:color="auto" w:sz="12" w:space="0"/>
              <w:left w:val="single" w:color="auto" w:sz="12" w:space="0"/>
              <w:bottom w:val="single" w:color="auto" w:sz="4" w:space="0"/>
              <w:right w:val="single" w:color="auto" w:sz="4" w:space="0"/>
            </w:tcBorders>
            <w:noWrap w:val="0"/>
            <w:vAlign w:val="center"/>
          </w:tcPr>
          <w:p w14:paraId="1906F907">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序号</w:t>
            </w:r>
          </w:p>
        </w:tc>
        <w:tc>
          <w:tcPr>
            <w:tcW w:w="3643" w:type="dxa"/>
            <w:tcBorders>
              <w:top w:val="single" w:color="auto" w:sz="12" w:space="0"/>
              <w:left w:val="single" w:color="auto" w:sz="4" w:space="0"/>
              <w:bottom w:val="single" w:color="auto" w:sz="4" w:space="0"/>
              <w:right w:val="single" w:color="auto" w:sz="4" w:space="0"/>
            </w:tcBorders>
            <w:noWrap w:val="0"/>
            <w:vAlign w:val="center"/>
          </w:tcPr>
          <w:p w14:paraId="0D65E918">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检查内容</w:t>
            </w:r>
          </w:p>
        </w:tc>
        <w:tc>
          <w:tcPr>
            <w:tcW w:w="2415" w:type="dxa"/>
            <w:tcBorders>
              <w:top w:val="single" w:color="auto" w:sz="12" w:space="0"/>
              <w:left w:val="single" w:color="auto" w:sz="4" w:space="0"/>
              <w:bottom w:val="single" w:color="auto" w:sz="4" w:space="0"/>
              <w:right w:val="single" w:color="auto" w:sz="4" w:space="0"/>
            </w:tcBorders>
            <w:noWrap w:val="0"/>
            <w:vAlign w:val="center"/>
          </w:tcPr>
          <w:p w14:paraId="0889AFC3">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检查依据</w:t>
            </w:r>
          </w:p>
        </w:tc>
        <w:tc>
          <w:tcPr>
            <w:tcW w:w="2056" w:type="dxa"/>
            <w:tcBorders>
              <w:top w:val="single" w:color="auto" w:sz="12" w:space="0"/>
              <w:left w:val="single" w:color="auto" w:sz="4" w:space="0"/>
              <w:bottom w:val="single" w:color="auto" w:sz="4" w:space="0"/>
              <w:right w:val="single" w:color="auto" w:sz="4" w:space="0"/>
            </w:tcBorders>
            <w:noWrap w:val="0"/>
            <w:vAlign w:val="center"/>
          </w:tcPr>
          <w:p w14:paraId="6AFD23C5">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检查情况</w:t>
            </w:r>
          </w:p>
        </w:tc>
        <w:tc>
          <w:tcPr>
            <w:tcW w:w="626" w:type="dxa"/>
            <w:tcBorders>
              <w:top w:val="single" w:color="auto" w:sz="12" w:space="0"/>
              <w:left w:val="single" w:color="auto" w:sz="4" w:space="0"/>
              <w:bottom w:val="single" w:color="auto" w:sz="4" w:space="0"/>
              <w:right w:val="single" w:color="auto" w:sz="12" w:space="0"/>
            </w:tcBorders>
            <w:noWrap w:val="0"/>
            <w:vAlign w:val="center"/>
          </w:tcPr>
          <w:p w14:paraId="07BC4C27">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检查结果</w:t>
            </w:r>
          </w:p>
        </w:tc>
      </w:tr>
      <w:tr w14:paraId="2ED98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608" w:type="dxa"/>
            <w:tcBorders>
              <w:top w:val="single" w:color="auto" w:sz="4" w:space="0"/>
              <w:left w:val="single" w:color="auto" w:sz="12" w:space="0"/>
              <w:bottom w:val="single" w:color="auto" w:sz="4" w:space="0"/>
              <w:right w:val="single" w:color="auto" w:sz="4" w:space="0"/>
            </w:tcBorders>
            <w:noWrap w:val="0"/>
            <w:vAlign w:val="center"/>
          </w:tcPr>
          <w:p w14:paraId="59103733">
            <w:pPr>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1</w:t>
            </w:r>
          </w:p>
        </w:tc>
        <w:tc>
          <w:tcPr>
            <w:tcW w:w="3643" w:type="dxa"/>
            <w:tcBorders>
              <w:top w:val="single" w:color="auto" w:sz="4" w:space="0"/>
              <w:left w:val="single" w:color="auto" w:sz="4" w:space="0"/>
              <w:bottom w:val="single" w:color="auto" w:sz="4" w:space="0"/>
              <w:right w:val="single" w:color="auto" w:sz="4" w:space="0"/>
            </w:tcBorders>
            <w:noWrap w:val="0"/>
            <w:vAlign w:val="center"/>
          </w:tcPr>
          <w:p w14:paraId="0C6237EC">
            <w:pPr>
              <w:spacing w:line="240" w:lineRule="auto"/>
              <w:ind w:firstLine="0" w:firstLineChars="0"/>
              <w:jc w:val="left"/>
              <w:rPr>
                <w:rFonts w:hint="default" w:ascii="Times New Roman" w:hAnsi="Times New Roman" w:cs="Times New Roman"/>
                <w:color w:val="auto"/>
                <w:kern w:val="0"/>
                <w:sz w:val="21"/>
                <w:szCs w:val="21"/>
                <w:lang w:eastAsia="zh-CN"/>
              </w:rPr>
            </w:pPr>
            <w:r>
              <w:rPr>
                <w:rFonts w:hint="default" w:ascii="Times New Roman" w:hAnsi="Times New Roman" w:eastAsia="宋体" w:cs="Times New Roman"/>
                <w:color w:val="auto"/>
                <w:kern w:val="0"/>
                <w:sz w:val="21"/>
                <w:szCs w:val="21"/>
              </w:rPr>
              <w:t>橇装式汽车加油站油罐的总容积应符合下列规定</w:t>
            </w:r>
            <w:r>
              <w:rPr>
                <w:rFonts w:hint="default" w:ascii="Times New Roman" w:hAnsi="Times New Roman" w:cs="Times New Roman"/>
                <w:color w:val="auto"/>
                <w:kern w:val="0"/>
                <w:sz w:val="21"/>
                <w:szCs w:val="21"/>
                <w:lang w:eastAsia="zh-CN"/>
              </w:rPr>
              <w:t>：</w:t>
            </w:r>
          </w:p>
          <w:p w14:paraId="27E2F20F">
            <w:pPr>
              <w:numPr>
                <w:ilvl w:val="0"/>
                <w:numId w:val="6"/>
              </w:numPr>
              <w:spacing w:line="240" w:lineRule="auto"/>
              <w:ind w:firstLine="0" w:firstLineChars="0"/>
              <w:jc w:val="left"/>
              <w:rPr>
                <w:rFonts w:hint="eastAsia" w:ascii="Times New Roman" w:hAnsi="Times New Roman" w:cs="Times New Roman"/>
                <w:color w:val="auto"/>
                <w:kern w:val="0"/>
                <w:sz w:val="21"/>
                <w:szCs w:val="21"/>
                <w:vertAlign w:val="baseline"/>
                <w:lang w:val="en-US" w:eastAsia="zh-CN"/>
              </w:rPr>
            </w:pPr>
            <w:r>
              <w:rPr>
                <w:rFonts w:hint="default" w:ascii="Times New Roman" w:hAnsi="Times New Roman" w:cs="Times New Roman"/>
                <w:color w:val="auto"/>
                <w:kern w:val="0"/>
                <w:sz w:val="21"/>
                <w:szCs w:val="21"/>
                <w:lang w:val="en-US" w:eastAsia="zh-CN"/>
              </w:rPr>
              <w:t>设在城市中心区内时，油罐的总容积不应大于10m</w:t>
            </w:r>
            <w:r>
              <w:rPr>
                <w:rFonts w:hint="default" w:ascii="Times New Roman" w:hAnsi="Times New Roman" w:cs="Times New Roman"/>
                <w:color w:val="auto"/>
                <w:kern w:val="0"/>
                <w:sz w:val="21"/>
                <w:szCs w:val="21"/>
                <w:vertAlign w:val="superscript"/>
                <w:lang w:val="en-US" w:eastAsia="zh-CN"/>
              </w:rPr>
              <w:t>3</w:t>
            </w:r>
            <w:r>
              <w:rPr>
                <w:rFonts w:hint="eastAsia" w:ascii="Times New Roman" w:hAnsi="Times New Roman" w:cs="Times New Roman"/>
                <w:color w:val="auto"/>
                <w:kern w:val="0"/>
                <w:sz w:val="21"/>
                <w:szCs w:val="21"/>
                <w:vertAlign w:val="baseline"/>
                <w:lang w:val="en-US" w:eastAsia="zh-CN"/>
              </w:rPr>
              <w:t>；</w:t>
            </w:r>
          </w:p>
          <w:p w14:paraId="12F842C7">
            <w:pPr>
              <w:numPr>
                <w:ilvl w:val="0"/>
                <w:numId w:val="6"/>
              </w:numPr>
              <w:spacing w:line="240" w:lineRule="auto"/>
              <w:ind w:firstLine="0" w:firstLineChars="0"/>
              <w:jc w:val="left"/>
              <w:rPr>
                <w:rFonts w:hint="default" w:ascii="Times New Roman" w:hAnsi="Times New Roman" w:cs="Times New Roman"/>
                <w:color w:val="auto"/>
                <w:kern w:val="0"/>
                <w:sz w:val="21"/>
                <w:szCs w:val="21"/>
                <w:vertAlign w:val="baseline"/>
                <w:lang w:val="en-US" w:eastAsia="zh-CN"/>
              </w:rPr>
            </w:pPr>
            <w:r>
              <w:rPr>
                <w:rFonts w:hint="default" w:ascii="Times New Roman" w:hAnsi="Times New Roman" w:cs="Times New Roman"/>
                <w:color w:val="auto"/>
                <w:kern w:val="0"/>
                <w:sz w:val="21"/>
                <w:szCs w:val="21"/>
                <w:vertAlign w:val="baseline"/>
                <w:lang w:val="en-US" w:eastAsia="zh-CN"/>
              </w:rPr>
              <w:t>设在城市建成区内时，油罐的总容积不应大于20m</w:t>
            </w:r>
            <w:r>
              <w:rPr>
                <w:rFonts w:hint="default" w:ascii="Times New Roman" w:hAnsi="Times New Roman" w:cs="Times New Roman"/>
                <w:color w:val="auto"/>
                <w:kern w:val="0"/>
                <w:sz w:val="21"/>
                <w:szCs w:val="21"/>
                <w:vertAlign w:val="superscript"/>
                <w:lang w:val="en-US" w:eastAsia="zh-CN"/>
              </w:rPr>
              <w:t>3</w:t>
            </w:r>
            <w:r>
              <w:rPr>
                <w:rFonts w:hint="eastAsia" w:ascii="Times New Roman" w:hAnsi="Times New Roman" w:cs="Times New Roman"/>
                <w:color w:val="auto"/>
                <w:kern w:val="0"/>
                <w:sz w:val="21"/>
                <w:szCs w:val="21"/>
                <w:vertAlign w:val="baseline"/>
                <w:lang w:val="en-US" w:eastAsia="zh-CN"/>
              </w:rPr>
              <w:t>；</w:t>
            </w:r>
          </w:p>
          <w:p w14:paraId="79D1D805">
            <w:pPr>
              <w:numPr>
                <w:ilvl w:val="0"/>
                <w:numId w:val="6"/>
              </w:numPr>
              <w:spacing w:line="240" w:lineRule="auto"/>
              <w:ind w:firstLine="0" w:firstLineChars="0"/>
              <w:jc w:val="left"/>
              <w:rPr>
                <w:rFonts w:hint="default" w:ascii="Times New Roman" w:hAnsi="Times New Roman" w:cs="Times New Roman"/>
                <w:color w:val="auto"/>
                <w:kern w:val="0"/>
                <w:sz w:val="21"/>
                <w:szCs w:val="21"/>
                <w:vertAlign w:val="baseline"/>
                <w:lang w:val="en-US" w:eastAsia="zh-CN"/>
              </w:rPr>
            </w:pPr>
            <w:r>
              <w:rPr>
                <w:rFonts w:hint="default" w:ascii="Times New Roman" w:hAnsi="Times New Roman" w:cs="Times New Roman"/>
                <w:color w:val="auto"/>
                <w:kern w:val="0"/>
                <w:sz w:val="21"/>
                <w:szCs w:val="21"/>
                <w:vertAlign w:val="baseline"/>
                <w:lang w:val="en-US" w:eastAsia="zh-CN"/>
              </w:rPr>
              <w:t>设在其他区域时，油罐的总容积不应大于40m</w:t>
            </w:r>
            <w:r>
              <w:rPr>
                <w:rFonts w:hint="default" w:ascii="Times New Roman" w:hAnsi="Times New Roman" w:cs="Times New Roman"/>
                <w:color w:val="auto"/>
                <w:kern w:val="0"/>
                <w:sz w:val="21"/>
                <w:szCs w:val="21"/>
                <w:vertAlign w:val="superscript"/>
                <w:lang w:val="en-US" w:eastAsia="zh-CN"/>
              </w:rPr>
              <w:t>3</w:t>
            </w:r>
            <w:r>
              <w:rPr>
                <w:rFonts w:hint="eastAsia" w:ascii="Times New Roman" w:hAnsi="Times New Roman" w:cs="Times New Roman"/>
                <w:color w:val="auto"/>
                <w:kern w:val="0"/>
                <w:sz w:val="21"/>
                <w:szCs w:val="21"/>
                <w:vertAlign w:val="baseline"/>
                <w:lang w:val="en-US" w:eastAsia="zh-CN"/>
              </w:rPr>
              <w:t>；</w:t>
            </w:r>
          </w:p>
          <w:p w14:paraId="1341BC2B">
            <w:pPr>
              <w:numPr>
                <w:ilvl w:val="0"/>
                <w:numId w:val="6"/>
              </w:numPr>
              <w:spacing w:line="240" w:lineRule="auto"/>
              <w:ind w:firstLine="0" w:firstLineChars="0"/>
              <w:jc w:val="left"/>
              <w:rPr>
                <w:rFonts w:hint="default" w:ascii="Times New Roman" w:hAnsi="Times New Roman" w:cs="Times New Roman"/>
                <w:color w:val="auto"/>
                <w:kern w:val="0"/>
                <w:sz w:val="21"/>
                <w:szCs w:val="21"/>
                <w:vertAlign w:val="baseline"/>
                <w:lang w:val="en-US" w:eastAsia="zh-CN"/>
              </w:rPr>
            </w:pPr>
            <w:r>
              <w:rPr>
                <w:rFonts w:hint="default" w:ascii="Times New Roman" w:hAnsi="Times New Roman" w:cs="Times New Roman"/>
                <w:color w:val="auto"/>
                <w:kern w:val="0"/>
                <w:sz w:val="21"/>
                <w:szCs w:val="21"/>
                <w:vertAlign w:val="baseline"/>
                <w:lang w:val="en-US" w:eastAsia="zh-CN"/>
              </w:rPr>
              <w:t>柴油罐容积可折半计入油罐总容积。</w:t>
            </w:r>
          </w:p>
        </w:tc>
        <w:tc>
          <w:tcPr>
            <w:tcW w:w="2415" w:type="dxa"/>
            <w:tcBorders>
              <w:top w:val="single" w:color="auto" w:sz="4" w:space="0"/>
              <w:left w:val="single" w:color="auto" w:sz="4" w:space="0"/>
              <w:bottom w:val="single" w:color="auto" w:sz="4" w:space="0"/>
              <w:right w:val="single" w:color="auto" w:sz="4" w:space="0"/>
            </w:tcBorders>
            <w:noWrap w:val="0"/>
            <w:vAlign w:val="center"/>
          </w:tcPr>
          <w:p w14:paraId="06453A56">
            <w:pPr>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《采用橇装加油装置的汽车加油装置技术规范》（SH/T3134-2023）</w:t>
            </w:r>
            <w:r>
              <w:rPr>
                <w:rFonts w:hint="eastAsia" w:ascii="Times New Roman" w:hAnsi="Times New Roman" w:cs="Times New Roman"/>
                <w:color w:val="auto"/>
                <w:kern w:val="0"/>
                <w:sz w:val="21"/>
                <w:szCs w:val="21"/>
                <w:lang w:val="en-US" w:eastAsia="zh-CN"/>
              </w:rPr>
              <w:t>5</w:t>
            </w:r>
            <w:r>
              <w:rPr>
                <w:rFonts w:hint="default" w:ascii="Times New Roman" w:hAnsi="Times New Roman" w:cs="Times New Roman"/>
                <w:color w:val="auto"/>
                <w:kern w:val="0"/>
                <w:sz w:val="21"/>
                <w:szCs w:val="21"/>
                <w:lang w:val="en-US" w:eastAsia="zh-CN"/>
              </w:rPr>
              <w:t>.1.1</w:t>
            </w:r>
          </w:p>
        </w:tc>
        <w:tc>
          <w:tcPr>
            <w:tcW w:w="2056" w:type="dxa"/>
            <w:tcBorders>
              <w:top w:val="single" w:color="auto" w:sz="4" w:space="0"/>
              <w:left w:val="single" w:color="auto" w:sz="4" w:space="0"/>
              <w:bottom w:val="single" w:color="auto" w:sz="4" w:space="0"/>
              <w:right w:val="single" w:color="auto" w:sz="4" w:space="0"/>
            </w:tcBorders>
            <w:noWrap w:val="0"/>
            <w:vAlign w:val="center"/>
          </w:tcPr>
          <w:p w14:paraId="761393F2">
            <w:pPr>
              <w:spacing w:line="240" w:lineRule="auto"/>
              <w:ind w:firstLine="0" w:firstLineChars="0"/>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rPr>
              <w:t>采矿场撬装加油站和汽车队撬装加油站均为50m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，折算总容</w:t>
            </w:r>
            <w:r>
              <w:rPr>
                <w:rFonts w:hint="default" w:ascii="Times New Roman" w:hAnsi="Times New Roman" w:cs="Times New Roman"/>
                <w:color w:val="auto"/>
                <w:kern w:val="0"/>
                <w:sz w:val="21"/>
                <w:szCs w:val="21"/>
                <w:vertAlign w:val="baseline"/>
                <w:lang w:val="en-US" w:eastAsia="zh-CN"/>
              </w:rPr>
              <w:t>积</w:t>
            </w:r>
            <w:r>
              <w:rPr>
                <w:rFonts w:hint="default" w:ascii="Times New Roman" w:hAnsi="Times New Roman" w:eastAsia="宋体" w:cs="Times New Roman"/>
                <w:color w:val="auto"/>
                <w:kern w:val="0"/>
                <w:sz w:val="21"/>
                <w:szCs w:val="21"/>
              </w:rPr>
              <w:t>均为25m</w:t>
            </w:r>
            <w:r>
              <w:rPr>
                <w:rFonts w:hint="default" w:ascii="Times New Roman" w:hAnsi="Times New Roman" w:eastAsia="宋体" w:cs="Times New Roman"/>
                <w:color w:val="auto"/>
                <w:kern w:val="0"/>
                <w:sz w:val="21"/>
                <w:szCs w:val="21"/>
                <w:vertAlign w:val="superscript"/>
              </w:rPr>
              <w:t>3</w:t>
            </w:r>
            <w:r>
              <w:rPr>
                <w:rFonts w:hint="eastAsia" w:ascii="Times New Roman" w:hAnsi="Times New Roman" w:cs="Times New Roman"/>
                <w:color w:val="auto"/>
                <w:kern w:val="0"/>
                <w:sz w:val="21"/>
                <w:szCs w:val="21"/>
                <w:vertAlign w:val="baseline"/>
                <w:lang w:eastAsia="zh-CN"/>
              </w:rPr>
              <w:t>。</w:t>
            </w:r>
          </w:p>
        </w:tc>
        <w:tc>
          <w:tcPr>
            <w:tcW w:w="626" w:type="dxa"/>
            <w:tcBorders>
              <w:top w:val="single" w:color="auto" w:sz="4" w:space="0"/>
              <w:left w:val="single" w:color="auto" w:sz="4" w:space="0"/>
              <w:bottom w:val="single" w:color="auto" w:sz="4" w:space="0"/>
              <w:right w:val="single" w:color="auto" w:sz="12" w:space="0"/>
            </w:tcBorders>
            <w:noWrap w:val="0"/>
            <w:vAlign w:val="center"/>
          </w:tcPr>
          <w:p w14:paraId="7192AF30">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Cs/>
                <w:color w:val="auto"/>
                <w:kern w:val="0"/>
                <w:sz w:val="21"/>
                <w:szCs w:val="21"/>
              </w:rPr>
              <w:t>合格</w:t>
            </w:r>
          </w:p>
        </w:tc>
      </w:tr>
      <w:tr w14:paraId="5357B3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608" w:type="dxa"/>
            <w:tcBorders>
              <w:top w:val="single" w:color="auto" w:sz="4" w:space="0"/>
              <w:left w:val="single" w:color="auto" w:sz="12" w:space="0"/>
              <w:bottom w:val="single" w:color="auto" w:sz="4" w:space="0"/>
              <w:right w:val="single" w:color="auto" w:sz="4" w:space="0"/>
            </w:tcBorders>
            <w:noWrap w:val="0"/>
            <w:vAlign w:val="center"/>
          </w:tcPr>
          <w:p w14:paraId="1C02A9F7">
            <w:pPr>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2</w:t>
            </w:r>
          </w:p>
        </w:tc>
        <w:tc>
          <w:tcPr>
            <w:tcW w:w="3643" w:type="dxa"/>
            <w:tcBorders>
              <w:top w:val="single" w:color="auto" w:sz="4" w:space="0"/>
              <w:left w:val="single" w:color="auto" w:sz="4" w:space="0"/>
              <w:bottom w:val="single" w:color="auto" w:sz="4" w:space="0"/>
              <w:right w:val="single" w:color="auto" w:sz="4" w:space="0"/>
            </w:tcBorders>
            <w:noWrap w:val="0"/>
            <w:vAlign w:val="center"/>
          </w:tcPr>
          <w:p w14:paraId="32EF9C97">
            <w:pPr>
              <w:spacing w:line="240" w:lineRule="auto"/>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当汽油罐单罐容积大于10</w:t>
            </w:r>
            <w:r>
              <w:rPr>
                <w:rFonts w:hint="default" w:ascii="Times New Roman" w:hAnsi="Times New Roman" w:cs="Times New Roman"/>
                <w:color w:val="auto"/>
                <w:kern w:val="0"/>
                <w:sz w:val="21"/>
                <w:szCs w:val="21"/>
                <w:vertAlign w:val="baseline"/>
                <w:lang w:val="en-US" w:eastAsia="zh-CN"/>
              </w:rPr>
              <w:t>m</w:t>
            </w:r>
            <w:r>
              <w:rPr>
                <w:rFonts w:hint="default" w:ascii="Times New Roman" w:hAnsi="Times New Roman" w:cs="Times New Roman"/>
                <w:color w:val="auto"/>
                <w:kern w:val="0"/>
                <w:sz w:val="21"/>
                <w:szCs w:val="21"/>
                <w:vertAlign w:val="superscript"/>
                <w:lang w:val="en-US" w:eastAsia="zh-CN"/>
              </w:rPr>
              <w:t>3</w:t>
            </w:r>
            <w:r>
              <w:rPr>
                <w:rFonts w:hint="default" w:ascii="Times New Roman" w:hAnsi="Times New Roman" w:eastAsia="宋体" w:cs="Times New Roman"/>
                <w:color w:val="auto"/>
                <w:kern w:val="0"/>
                <w:sz w:val="21"/>
                <w:szCs w:val="21"/>
              </w:rPr>
              <w:t>时，罐内应设隔舱，隔舱的容积不应大于10</w:t>
            </w:r>
            <w:r>
              <w:rPr>
                <w:rFonts w:hint="default" w:ascii="Times New Roman" w:hAnsi="Times New Roman" w:cs="Times New Roman"/>
                <w:color w:val="auto"/>
                <w:kern w:val="0"/>
                <w:sz w:val="21"/>
                <w:szCs w:val="21"/>
                <w:vertAlign w:val="baseline"/>
                <w:lang w:val="en-US" w:eastAsia="zh-CN"/>
              </w:rPr>
              <w:t>m</w:t>
            </w:r>
            <w:r>
              <w:rPr>
                <w:rFonts w:hint="default" w:ascii="Times New Roman" w:hAnsi="Times New Roman" w:cs="Times New Roman"/>
                <w:color w:val="auto"/>
                <w:kern w:val="0"/>
                <w:sz w:val="21"/>
                <w:szCs w:val="21"/>
                <w:vertAlign w:val="superscript"/>
                <w:lang w:val="en-US" w:eastAsia="zh-CN"/>
              </w:rPr>
              <w:t>3</w:t>
            </w:r>
            <w:r>
              <w:rPr>
                <w:rFonts w:hint="default" w:ascii="Times New Roman" w:hAnsi="Times New Roman" w:eastAsia="宋体" w:cs="Times New Roman"/>
                <w:color w:val="auto"/>
                <w:kern w:val="0"/>
                <w:sz w:val="21"/>
                <w:szCs w:val="21"/>
              </w:rPr>
              <w:t>。当柴油罐单罐容积大于20</w:t>
            </w:r>
            <w:r>
              <w:rPr>
                <w:rFonts w:hint="default" w:ascii="Times New Roman" w:hAnsi="Times New Roman" w:cs="Times New Roman"/>
                <w:color w:val="auto"/>
                <w:kern w:val="0"/>
                <w:sz w:val="21"/>
                <w:szCs w:val="21"/>
                <w:vertAlign w:val="baseline"/>
                <w:lang w:val="en-US" w:eastAsia="zh-CN"/>
              </w:rPr>
              <w:t>m</w:t>
            </w:r>
            <w:r>
              <w:rPr>
                <w:rFonts w:hint="default" w:ascii="Times New Roman" w:hAnsi="Times New Roman" w:cs="Times New Roman"/>
                <w:color w:val="auto"/>
                <w:kern w:val="0"/>
                <w:sz w:val="21"/>
                <w:szCs w:val="21"/>
                <w:vertAlign w:val="superscript"/>
                <w:lang w:val="en-US" w:eastAsia="zh-CN"/>
              </w:rPr>
              <w:t>3</w:t>
            </w:r>
            <w:r>
              <w:rPr>
                <w:rFonts w:hint="default" w:ascii="Times New Roman" w:hAnsi="Times New Roman" w:eastAsia="宋体" w:cs="Times New Roman"/>
                <w:color w:val="auto"/>
                <w:kern w:val="0"/>
                <w:sz w:val="21"/>
                <w:szCs w:val="21"/>
              </w:rPr>
              <w:t>时，罐内应设隔舱，隔舱的容积不应大于20</w:t>
            </w:r>
            <w:r>
              <w:rPr>
                <w:rFonts w:hint="default" w:ascii="Times New Roman" w:hAnsi="Times New Roman" w:cs="Times New Roman"/>
                <w:color w:val="auto"/>
                <w:kern w:val="0"/>
                <w:sz w:val="21"/>
                <w:szCs w:val="21"/>
                <w:vertAlign w:val="baseline"/>
                <w:lang w:val="en-US" w:eastAsia="zh-CN"/>
              </w:rPr>
              <w:t>m</w:t>
            </w:r>
            <w:r>
              <w:rPr>
                <w:rFonts w:hint="default" w:ascii="Times New Roman" w:hAnsi="Times New Roman" w:cs="Times New Roman"/>
                <w:color w:val="auto"/>
                <w:kern w:val="0"/>
                <w:sz w:val="21"/>
                <w:szCs w:val="21"/>
                <w:vertAlign w:val="superscript"/>
                <w:lang w:val="en-US" w:eastAsia="zh-CN"/>
              </w:rPr>
              <w:t>3</w:t>
            </w:r>
            <w:r>
              <w:rPr>
                <w:rFonts w:hint="default" w:ascii="Times New Roman" w:hAnsi="Times New Roman" w:eastAsia="宋体" w:cs="Times New Roman"/>
                <w:color w:val="auto"/>
                <w:kern w:val="0"/>
                <w:sz w:val="21"/>
                <w:szCs w:val="21"/>
              </w:rPr>
              <w:t>。</w:t>
            </w:r>
          </w:p>
        </w:tc>
        <w:tc>
          <w:tcPr>
            <w:tcW w:w="2415" w:type="dxa"/>
            <w:tcBorders>
              <w:top w:val="single" w:color="auto" w:sz="4" w:space="0"/>
              <w:left w:val="single" w:color="auto" w:sz="4" w:space="0"/>
              <w:bottom w:val="single" w:color="auto" w:sz="4" w:space="0"/>
              <w:right w:val="single" w:color="auto" w:sz="4" w:space="0"/>
            </w:tcBorders>
            <w:noWrap w:val="0"/>
            <w:vAlign w:val="center"/>
          </w:tcPr>
          <w:p w14:paraId="56B83FBA">
            <w:pPr>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《采用橇装加油装置的汽车加油装置技术规范》（SH/T3134-2023）</w:t>
            </w:r>
            <w:r>
              <w:rPr>
                <w:rFonts w:hint="eastAsia" w:ascii="Times New Roman" w:hAnsi="Times New Roman" w:cs="Times New Roman"/>
                <w:color w:val="auto"/>
                <w:kern w:val="0"/>
                <w:sz w:val="21"/>
                <w:szCs w:val="21"/>
                <w:lang w:val="en-US" w:eastAsia="zh-CN"/>
              </w:rPr>
              <w:t>5</w:t>
            </w:r>
            <w:r>
              <w:rPr>
                <w:rFonts w:hint="default" w:ascii="Times New Roman" w:hAnsi="Times New Roman" w:cs="Times New Roman"/>
                <w:color w:val="auto"/>
                <w:kern w:val="0"/>
                <w:sz w:val="21"/>
                <w:szCs w:val="21"/>
                <w:lang w:val="en-US" w:eastAsia="zh-CN"/>
              </w:rPr>
              <w:t>.1.2</w:t>
            </w:r>
          </w:p>
        </w:tc>
        <w:tc>
          <w:tcPr>
            <w:tcW w:w="2056" w:type="dxa"/>
            <w:tcBorders>
              <w:top w:val="single" w:color="auto" w:sz="4" w:space="0"/>
              <w:left w:val="single" w:color="auto" w:sz="4" w:space="0"/>
              <w:bottom w:val="single" w:color="auto" w:sz="4" w:space="0"/>
              <w:right w:val="single" w:color="auto" w:sz="4" w:space="0"/>
            </w:tcBorders>
            <w:noWrap w:val="0"/>
            <w:vAlign w:val="center"/>
          </w:tcPr>
          <w:p w14:paraId="2EFF7524">
            <w:pPr>
              <w:spacing w:line="240" w:lineRule="auto"/>
              <w:ind w:firstLine="0" w:firstLineChars="0"/>
              <w:jc w:val="both"/>
              <w:rPr>
                <w:rFonts w:hint="default" w:ascii="Times New Roman" w:hAnsi="Times New Roman" w:eastAsia="宋体" w:cs="Times New Roman"/>
                <w:color w:val="auto"/>
                <w:kern w:val="0"/>
                <w:sz w:val="21"/>
                <w:szCs w:val="21"/>
                <w:lang w:val="en-US"/>
              </w:rPr>
            </w:pPr>
            <w:r>
              <w:rPr>
                <w:rFonts w:hint="eastAsia" w:cs="Times New Roman"/>
                <w:color w:val="auto"/>
                <w:kern w:val="0"/>
                <w:sz w:val="21"/>
                <w:szCs w:val="21"/>
                <w:lang w:val="en-US" w:eastAsia="zh-CN"/>
              </w:rPr>
              <w:t>柴油</w:t>
            </w:r>
            <w:r>
              <w:rPr>
                <w:rFonts w:hint="default" w:ascii="Times New Roman" w:hAnsi="Times New Roman" w:eastAsia="宋体" w:cs="Times New Roman"/>
                <w:color w:val="auto"/>
                <w:kern w:val="0"/>
                <w:sz w:val="21"/>
                <w:szCs w:val="21"/>
              </w:rPr>
              <w:t>容</w:t>
            </w:r>
            <w:r>
              <w:rPr>
                <w:rFonts w:hint="default" w:ascii="Times New Roman" w:hAnsi="Times New Roman" w:cs="Times New Roman"/>
                <w:color w:val="auto"/>
                <w:kern w:val="0"/>
                <w:sz w:val="21"/>
                <w:szCs w:val="21"/>
                <w:vertAlign w:val="baseline"/>
                <w:lang w:val="en-US" w:eastAsia="zh-CN"/>
              </w:rPr>
              <w:t>积</w:t>
            </w:r>
            <w:r>
              <w:rPr>
                <w:rFonts w:hint="default" w:ascii="Times New Roman" w:hAnsi="Times New Roman" w:eastAsia="宋体" w:cs="Times New Roman"/>
                <w:color w:val="auto"/>
                <w:kern w:val="0"/>
                <w:sz w:val="21"/>
                <w:szCs w:val="21"/>
              </w:rPr>
              <w:t>均为</w:t>
            </w:r>
            <w:r>
              <w:rPr>
                <w:rFonts w:hint="eastAsia" w:cs="Times New Roman"/>
                <w:color w:val="auto"/>
                <w:kern w:val="0"/>
                <w:sz w:val="21"/>
                <w:szCs w:val="21"/>
                <w:lang w:val="en-US" w:eastAsia="zh-CN"/>
              </w:rPr>
              <w:t>50</w:t>
            </w:r>
            <w:r>
              <w:rPr>
                <w:rFonts w:hint="default" w:ascii="Times New Roman" w:hAnsi="Times New Roman" w:eastAsia="宋体" w:cs="Times New Roman"/>
                <w:color w:val="auto"/>
                <w:kern w:val="0"/>
                <w:sz w:val="21"/>
                <w:szCs w:val="21"/>
              </w:rPr>
              <w:t>m</w:t>
            </w:r>
            <w:r>
              <w:rPr>
                <w:rFonts w:hint="default" w:ascii="Times New Roman" w:hAnsi="Times New Roman" w:eastAsia="宋体" w:cs="Times New Roman"/>
                <w:color w:val="auto"/>
                <w:kern w:val="0"/>
                <w:sz w:val="21"/>
                <w:szCs w:val="21"/>
                <w:vertAlign w:val="superscript"/>
              </w:rPr>
              <w:t>3</w:t>
            </w:r>
            <w:r>
              <w:rPr>
                <w:rFonts w:hint="eastAsia" w:cs="Times New Roman"/>
                <w:color w:val="auto"/>
                <w:kern w:val="0"/>
                <w:sz w:val="21"/>
                <w:szCs w:val="21"/>
                <w:vertAlign w:val="baseline"/>
                <w:lang w:eastAsia="zh-CN"/>
              </w:rPr>
              <w:t>，</w:t>
            </w:r>
            <w:r>
              <w:rPr>
                <w:rFonts w:hint="eastAsia" w:cs="Times New Roman"/>
                <w:color w:val="auto"/>
                <w:kern w:val="0"/>
                <w:sz w:val="21"/>
                <w:szCs w:val="21"/>
                <w:vertAlign w:val="baseline"/>
                <w:lang w:val="en-US" w:eastAsia="zh-CN"/>
              </w:rPr>
              <w:t>设备选型材料未涉及。</w:t>
            </w:r>
          </w:p>
        </w:tc>
        <w:tc>
          <w:tcPr>
            <w:tcW w:w="626" w:type="dxa"/>
            <w:tcBorders>
              <w:top w:val="single" w:color="auto" w:sz="4" w:space="0"/>
              <w:left w:val="single" w:color="auto" w:sz="4" w:space="0"/>
              <w:bottom w:val="single" w:color="auto" w:sz="4" w:space="0"/>
              <w:right w:val="single" w:color="auto" w:sz="12" w:space="0"/>
            </w:tcBorders>
            <w:noWrap w:val="0"/>
            <w:vAlign w:val="center"/>
          </w:tcPr>
          <w:p w14:paraId="072166FB">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Cs/>
                <w:color w:val="auto"/>
                <w:kern w:val="0"/>
                <w:sz w:val="21"/>
                <w:szCs w:val="21"/>
              </w:rPr>
              <w:t>提出对策措施</w:t>
            </w:r>
          </w:p>
        </w:tc>
      </w:tr>
      <w:tr w14:paraId="39DC35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608" w:type="dxa"/>
            <w:tcBorders>
              <w:top w:val="single" w:color="auto" w:sz="4" w:space="0"/>
              <w:left w:val="single" w:color="auto" w:sz="12" w:space="0"/>
              <w:bottom w:val="single" w:color="auto" w:sz="4" w:space="0"/>
              <w:right w:val="single" w:color="auto" w:sz="4" w:space="0"/>
            </w:tcBorders>
            <w:noWrap w:val="0"/>
            <w:vAlign w:val="center"/>
          </w:tcPr>
          <w:p w14:paraId="11997C1A">
            <w:pPr>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3</w:t>
            </w:r>
          </w:p>
        </w:tc>
        <w:tc>
          <w:tcPr>
            <w:tcW w:w="3643" w:type="dxa"/>
            <w:tcBorders>
              <w:top w:val="single" w:color="auto" w:sz="4" w:space="0"/>
              <w:left w:val="single" w:color="auto" w:sz="4" w:space="0"/>
              <w:bottom w:val="single" w:color="auto" w:sz="4" w:space="0"/>
              <w:right w:val="single" w:color="auto" w:sz="4" w:space="0"/>
            </w:tcBorders>
            <w:noWrap w:val="0"/>
            <w:vAlign w:val="center"/>
          </w:tcPr>
          <w:p w14:paraId="57AD9AB9">
            <w:pPr>
              <w:spacing w:line="240" w:lineRule="auto"/>
              <w:ind w:firstLine="0" w:firstLineChars="0"/>
              <w:jc w:val="left"/>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橇装式汽车加油站应独立建设</w:t>
            </w:r>
          </w:p>
        </w:tc>
        <w:tc>
          <w:tcPr>
            <w:tcW w:w="2415" w:type="dxa"/>
            <w:tcBorders>
              <w:top w:val="single" w:color="auto" w:sz="4" w:space="0"/>
              <w:left w:val="single" w:color="auto" w:sz="4" w:space="0"/>
              <w:bottom w:val="single" w:color="auto" w:sz="4" w:space="0"/>
              <w:right w:val="single" w:color="auto" w:sz="4" w:space="0"/>
            </w:tcBorders>
            <w:noWrap w:val="0"/>
            <w:vAlign w:val="center"/>
          </w:tcPr>
          <w:p w14:paraId="74DF1700">
            <w:pPr>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《采用橇装加油装置的汽车加油装置技术规范》（SH/T3134-2023）</w:t>
            </w:r>
            <w:r>
              <w:rPr>
                <w:rFonts w:hint="eastAsia" w:ascii="Times New Roman" w:hAnsi="Times New Roman" w:cs="Times New Roman"/>
                <w:color w:val="auto"/>
                <w:kern w:val="0"/>
                <w:sz w:val="21"/>
                <w:szCs w:val="21"/>
                <w:lang w:val="en-US" w:eastAsia="zh-CN"/>
              </w:rPr>
              <w:t>5</w:t>
            </w:r>
            <w:r>
              <w:rPr>
                <w:rFonts w:hint="default" w:ascii="Times New Roman" w:hAnsi="Times New Roman" w:cs="Times New Roman"/>
                <w:color w:val="auto"/>
                <w:kern w:val="0"/>
                <w:sz w:val="21"/>
                <w:szCs w:val="21"/>
                <w:lang w:val="en-US" w:eastAsia="zh-CN"/>
              </w:rPr>
              <w:t>.1.</w:t>
            </w:r>
            <w:r>
              <w:rPr>
                <w:rFonts w:hint="eastAsia" w:cs="Times New Roman"/>
                <w:color w:val="auto"/>
                <w:kern w:val="0"/>
                <w:sz w:val="21"/>
                <w:szCs w:val="21"/>
                <w:lang w:val="en-US" w:eastAsia="zh-CN"/>
              </w:rPr>
              <w:t>3</w:t>
            </w:r>
          </w:p>
        </w:tc>
        <w:tc>
          <w:tcPr>
            <w:tcW w:w="2056" w:type="dxa"/>
            <w:tcBorders>
              <w:top w:val="single" w:color="auto" w:sz="4" w:space="0"/>
              <w:left w:val="single" w:color="auto" w:sz="4" w:space="0"/>
              <w:bottom w:val="single" w:color="auto" w:sz="4" w:space="0"/>
              <w:right w:val="single" w:color="auto" w:sz="4" w:space="0"/>
            </w:tcBorders>
            <w:noWrap w:val="0"/>
            <w:vAlign w:val="center"/>
          </w:tcPr>
          <w:p w14:paraId="054CE4FF">
            <w:pPr>
              <w:spacing w:line="240" w:lineRule="auto"/>
              <w:ind w:firstLine="0" w:firstLineChars="0"/>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采矿场撬装加油站和汽车队撬装加油站</w:t>
            </w:r>
            <w:r>
              <w:rPr>
                <w:rFonts w:hint="eastAsia" w:cs="Times New Roman"/>
                <w:color w:val="auto"/>
                <w:kern w:val="0"/>
                <w:sz w:val="21"/>
                <w:szCs w:val="21"/>
                <w:lang w:val="en-US" w:eastAsia="zh-CN"/>
              </w:rPr>
              <w:t>均独立建设。</w:t>
            </w:r>
          </w:p>
        </w:tc>
        <w:tc>
          <w:tcPr>
            <w:tcW w:w="626" w:type="dxa"/>
            <w:tcBorders>
              <w:top w:val="single" w:color="auto" w:sz="4" w:space="0"/>
              <w:left w:val="single" w:color="auto" w:sz="4" w:space="0"/>
              <w:bottom w:val="single" w:color="auto" w:sz="4" w:space="0"/>
              <w:right w:val="single" w:color="auto" w:sz="12" w:space="0"/>
            </w:tcBorders>
            <w:noWrap w:val="0"/>
            <w:vAlign w:val="center"/>
          </w:tcPr>
          <w:p w14:paraId="7491A435">
            <w:pPr>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Cs/>
                <w:color w:val="auto"/>
                <w:kern w:val="0"/>
                <w:sz w:val="21"/>
                <w:szCs w:val="21"/>
              </w:rPr>
              <w:t>合格</w:t>
            </w:r>
          </w:p>
        </w:tc>
      </w:tr>
    </w:tbl>
    <w:p w14:paraId="26BF66DC">
      <w:pPr>
        <w:bidi w:val="0"/>
        <w:rPr>
          <w:rFonts w:hint="default"/>
          <w:b/>
          <w:bCs/>
          <w:color w:val="auto"/>
          <w:lang w:val="en-US" w:eastAsia="zh-CN"/>
        </w:rPr>
      </w:pPr>
      <w:r>
        <w:rPr>
          <w:rFonts w:hint="eastAsia"/>
          <w:b/>
          <w:bCs/>
          <w:color w:val="auto"/>
          <w:lang w:val="en-US" w:eastAsia="zh-CN"/>
        </w:rPr>
        <w:t>三、</w:t>
      </w:r>
      <w:r>
        <w:rPr>
          <w:rFonts w:hint="default"/>
          <w:b/>
          <w:bCs/>
          <w:color w:val="auto"/>
          <w:lang w:val="en-US" w:eastAsia="zh-CN"/>
        </w:rPr>
        <w:t>评价小结：</w:t>
      </w:r>
    </w:p>
    <w:p w14:paraId="47176A9C">
      <w:pPr>
        <w:bidi w:val="0"/>
        <w:rPr>
          <w:rFonts w:hint="eastAsia"/>
          <w:color w:val="auto"/>
          <w:lang w:val="en-US" w:eastAsia="zh-CN"/>
        </w:rPr>
      </w:pPr>
      <w:r>
        <w:rPr>
          <w:rFonts w:hint="eastAsia"/>
          <w:color w:val="auto"/>
          <w:lang w:val="en-US" w:eastAsia="zh-CN"/>
        </w:rPr>
        <w:t>采矿场撬装加油站橇装式加油装置与站外建（构）筑物的安全间距不足，本报告将在安全对策措施中提出相关要求；汽车队撬装加油站橇装式加油装置与站外建（构）筑物的安全间距符合要求。</w:t>
      </w:r>
    </w:p>
    <w:p w14:paraId="70FD0F7D">
      <w:pPr>
        <w:bidi w:val="0"/>
        <w:rPr>
          <w:rFonts w:hint="default"/>
          <w:color w:val="auto"/>
          <w:lang w:val="en-US" w:eastAsia="zh-CN"/>
        </w:rPr>
      </w:pPr>
      <w:r>
        <w:rPr>
          <w:rFonts w:hint="default"/>
          <w:color w:val="auto"/>
          <w:lang w:val="en-US" w:eastAsia="zh-CN"/>
        </w:rPr>
        <w:t>选址和规模符合性安全检查表共检查3项内容，其中2项内容符合要求，1项内容企业提供的相关材料未涉及，本报告将在安全对策措施中提出相关要求。</w:t>
      </w:r>
    </w:p>
    <w:p w14:paraId="29CE5B3B">
      <w:pPr>
        <w:pStyle w:val="3"/>
        <w:bidi w:val="0"/>
        <w:rPr>
          <w:rFonts w:hint="default"/>
          <w:color w:val="auto"/>
          <w:lang w:val="en-US" w:eastAsia="zh-CN"/>
        </w:rPr>
      </w:pPr>
      <w:bookmarkStart w:id="257" w:name="_Toc29914"/>
      <w:bookmarkStart w:id="258" w:name="_Toc29946"/>
      <w:bookmarkStart w:id="259" w:name="_Toc76"/>
      <w:bookmarkStart w:id="260" w:name="_Toc23534"/>
      <w:r>
        <w:rPr>
          <w:rFonts w:hint="default"/>
          <w:color w:val="auto"/>
          <w:lang w:val="en-US" w:eastAsia="zh-CN"/>
        </w:rPr>
        <w:t>3.2</w:t>
      </w:r>
      <w:r>
        <w:rPr>
          <w:rFonts w:hint="eastAsia"/>
          <w:color w:val="auto"/>
          <w:lang w:val="en-US" w:eastAsia="zh-CN"/>
        </w:rPr>
        <w:t xml:space="preserve"> </w:t>
      </w:r>
      <w:r>
        <w:rPr>
          <w:rFonts w:hint="default"/>
          <w:color w:val="auto"/>
          <w:lang w:val="en-US" w:eastAsia="zh-CN"/>
        </w:rPr>
        <w:t>预先危险性分析评价（PHA）</w:t>
      </w:r>
      <w:bookmarkEnd w:id="257"/>
      <w:bookmarkEnd w:id="258"/>
      <w:bookmarkEnd w:id="259"/>
      <w:bookmarkEnd w:id="260"/>
    </w:p>
    <w:p w14:paraId="3D97BE37">
      <w:pPr>
        <w:bidi w:val="0"/>
        <w:rPr>
          <w:rFonts w:hint="default"/>
          <w:color w:val="auto"/>
          <w:lang w:val="en-US" w:eastAsia="zh-CN"/>
        </w:rPr>
      </w:pPr>
      <w:r>
        <w:rPr>
          <w:rFonts w:hint="default"/>
          <w:color w:val="auto"/>
          <w:lang w:val="en-US" w:eastAsia="zh-CN"/>
        </w:rPr>
        <w:t>加油站主要生产过程预先危险性分析评价表见附表3.2-1。</w:t>
      </w:r>
    </w:p>
    <w:p w14:paraId="5B4C8D3E">
      <w:pPr>
        <w:bidi w:val="0"/>
        <w:ind w:left="0" w:leftChars="0" w:firstLine="0" w:firstLineChars="0"/>
        <w:jc w:val="center"/>
        <w:rPr>
          <w:rFonts w:hint="eastAsia"/>
          <w:color w:val="auto"/>
          <w:lang w:val="en-US" w:eastAsia="zh-CN"/>
        </w:rPr>
      </w:pPr>
      <w:r>
        <w:rPr>
          <w:rFonts w:hint="default"/>
          <w:color w:val="auto"/>
          <w:lang w:val="en-US" w:eastAsia="zh-CN"/>
        </w:rPr>
        <w:t>附表3.2-1</w:t>
      </w:r>
      <w:r>
        <w:rPr>
          <w:rFonts w:hint="eastAsia"/>
          <w:color w:val="auto"/>
          <w:lang w:val="en-US" w:eastAsia="zh-CN"/>
        </w:rPr>
        <w:t xml:space="preserve"> 主要生产过程预先危险性分析表</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94"/>
        <w:gridCol w:w="7906"/>
      </w:tblGrid>
      <w:tr w14:paraId="2A51E3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9000" w:type="dxa"/>
            <w:gridSpan w:val="2"/>
            <w:tcBorders>
              <w:tl2br w:val="nil"/>
              <w:tr2bl w:val="nil"/>
            </w:tcBorders>
            <w:noWrap w:val="0"/>
            <w:vAlign w:val="center"/>
          </w:tcPr>
          <w:p w14:paraId="3B9859A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一</w:t>
            </w:r>
          </w:p>
        </w:tc>
      </w:tr>
      <w:tr w14:paraId="58A605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5C3A9674">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潜在事故</w:t>
            </w:r>
          </w:p>
        </w:tc>
        <w:tc>
          <w:tcPr>
            <w:tcW w:w="7906" w:type="dxa"/>
            <w:tcBorders>
              <w:tl2br w:val="nil"/>
              <w:tr2bl w:val="nil"/>
            </w:tcBorders>
            <w:noWrap w:val="0"/>
            <w:vAlign w:val="center"/>
          </w:tcPr>
          <w:p w14:paraId="207B51D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火灾</w:t>
            </w:r>
          </w:p>
        </w:tc>
      </w:tr>
      <w:tr w14:paraId="619045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5A016F1">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作业场所</w:t>
            </w:r>
          </w:p>
        </w:tc>
        <w:tc>
          <w:tcPr>
            <w:tcW w:w="7906" w:type="dxa"/>
            <w:tcBorders>
              <w:tl2br w:val="nil"/>
              <w:tr2bl w:val="nil"/>
            </w:tcBorders>
            <w:noWrap w:val="0"/>
            <w:vAlign w:val="center"/>
          </w:tcPr>
          <w:p w14:paraId="42973E7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color w:val="auto"/>
                <w:spacing w:val="9"/>
                <w:sz w:val="20"/>
                <w:szCs w:val="20"/>
              </w:rPr>
              <w:t>油罐卸油、储油；加油区加油</w:t>
            </w:r>
          </w:p>
        </w:tc>
      </w:tr>
      <w:tr w14:paraId="2192B7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26A3EE1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危险因素</w:t>
            </w:r>
          </w:p>
        </w:tc>
        <w:tc>
          <w:tcPr>
            <w:tcW w:w="7906" w:type="dxa"/>
            <w:tcBorders>
              <w:tl2br w:val="nil"/>
              <w:tr2bl w:val="nil"/>
            </w:tcBorders>
            <w:noWrap w:val="0"/>
            <w:vAlign w:val="center"/>
          </w:tcPr>
          <w:p w14:paraId="2964640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color w:val="auto"/>
                <w:spacing w:val="8"/>
                <w:sz w:val="20"/>
                <w:szCs w:val="20"/>
              </w:rPr>
              <w:t>易燃、易爆物质、容器、管道、设备损坏等</w:t>
            </w:r>
          </w:p>
        </w:tc>
      </w:tr>
      <w:tr w14:paraId="28B14F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94" w:type="dxa"/>
            <w:tcBorders>
              <w:tl2br w:val="nil"/>
              <w:tr2bl w:val="nil"/>
            </w:tcBorders>
            <w:noWrap w:val="0"/>
            <w:vAlign w:val="center"/>
          </w:tcPr>
          <w:p w14:paraId="1756E24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触发事件</w:t>
            </w:r>
          </w:p>
        </w:tc>
        <w:tc>
          <w:tcPr>
            <w:tcW w:w="7906" w:type="dxa"/>
            <w:tcBorders>
              <w:tl2br w:val="nil"/>
              <w:tr2bl w:val="nil"/>
            </w:tcBorders>
            <w:noWrap w:val="0"/>
            <w:vAlign w:val="center"/>
          </w:tcPr>
          <w:p w14:paraId="7869E2C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1、在储油、</w:t>
            </w:r>
            <w:r>
              <w:rPr>
                <w:rFonts w:hint="eastAsia" w:cs="Times New Roman"/>
                <w:color w:val="auto"/>
                <w:kern w:val="2"/>
                <w:sz w:val="21"/>
                <w:szCs w:val="21"/>
                <w:lang w:val="en-US" w:eastAsia="zh-CN"/>
              </w:rPr>
              <w:t>运行</w:t>
            </w:r>
            <w:r>
              <w:rPr>
                <w:rFonts w:ascii="Times New Roman" w:hAnsi="Times New Roman" w:eastAsia="宋体" w:cs="Times New Roman"/>
                <w:color w:val="auto"/>
                <w:kern w:val="2"/>
                <w:sz w:val="21"/>
                <w:szCs w:val="21"/>
              </w:rPr>
              <w:t>过程中存在</w:t>
            </w:r>
            <w:r>
              <w:rPr>
                <w:rFonts w:hint="eastAsia" w:ascii="Times New Roman" w:hAnsi="Times New Roman" w:eastAsia="宋体" w:cs="Times New Roman"/>
                <w:color w:val="auto"/>
                <w:kern w:val="2"/>
                <w:sz w:val="21"/>
                <w:szCs w:val="21"/>
              </w:rPr>
              <w:t>易燃物质</w:t>
            </w:r>
            <w:r>
              <w:rPr>
                <w:rFonts w:ascii="Times New Roman" w:hAnsi="Times New Roman" w:eastAsia="宋体" w:cs="Times New Roman"/>
                <w:color w:val="auto"/>
                <w:kern w:val="2"/>
                <w:sz w:val="21"/>
                <w:szCs w:val="21"/>
              </w:rPr>
              <w:t>的</w:t>
            </w:r>
            <w:r>
              <w:rPr>
                <w:rFonts w:hint="eastAsia" w:ascii="Times New Roman" w:hAnsi="Times New Roman" w:eastAsia="宋体" w:cs="Times New Roman"/>
                <w:color w:val="auto"/>
                <w:kern w:val="2"/>
                <w:sz w:val="21"/>
                <w:szCs w:val="21"/>
              </w:rPr>
              <w:t>输送</w:t>
            </w:r>
            <w:r>
              <w:rPr>
                <w:rFonts w:ascii="Times New Roman" w:hAnsi="Times New Roman" w:eastAsia="宋体" w:cs="Times New Roman"/>
                <w:color w:val="auto"/>
                <w:kern w:val="2"/>
                <w:sz w:val="21"/>
                <w:szCs w:val="21"/>
              </w:rPr>
              <w:t>，在一定条件，遇点火源</w:t>
            </w:r>
            <w:r>
              <w:rPr>
                <w:rFonts w:hint="eastAsia" w:ascii="Times New Roman" w:hAnsi="Times New Roman" w:eastAsia="宋体" w:cs="Times New Roman"/>
                <w:color w:val="auto"/>
                <w:kern w:val="2"/>
                <w:sz w:val="21"/>
                <w:szCs w:val="21"/>
              </w:rPr>
              <w:t>（</w:t>
            </w:r>
            <w:r>
              <w:rPr>
                <w:rFonts w:ascii="Times New Roman" w:hAnsi="Times New Roman" w:eastAsia="宋体" w:cs="Times New Roman"/>
                <w:color w:val="auto"/>
                <w:kern w:val="2"/>
                <w:sz w:val="21"/>
                <w:szCs w:val="21"/>
              </w:rPr>
              <w:t>如电气火花、雷击、静电、违章动火、用火、机械火花、极端高温等</w:t>
            </w:r>
            <w:r>
              <w:rPr>
                <w:rFonts w:hint="eastAsia" w:ascii="Times New Roman" w:hAnsi="Times New Roman" w:eastAsia="宋体" w:cs="Times New Roman"/>
                <w:color w:val="auto"/>
                <w:kern w:val="2"/>
                <w:sz w:val="21"/>
                <w:szCs w:val="21"/>
              </w:rPr>
              <w:t>）</w:t>
            </w:r>
            <w:r>
              <w:rPr>
                <w:rFonts w:ascii="Times New Roman" w:hAnsi="Times New Roman" w:eastAsia="宋体" w:cs="Times New Roman"/>
                <w:color w:val="auto"/>
                <w:kern w:val="2"/>
                <w:sz w:val="21"/>
                <w:szCs w:val="21"/>
              </w:rPr>
              <w:t>可引发火灾事故。</w:t>
            </w:r>
          </w:p>
          <w:p w14:paraId="071431E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2、项目使用的输送易燃液体的管道装置要求密封，如管道材料选用不当，或管道受摩擦磨损强度下降，或安全附件不全或不可靠，操作控制不好造成管道、阀门的劳失效，发生火灾爆炸。</w:t>
            </w:r>
          </w:p>
          <w:p w14:paraId="6D9B680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3、项目使用的输送易燃液体的管道装置中由于静电接地不良导致静电火花，引发火灾。</w:t>
            </w:r>
          </w:p>
          <w:p w14:paraId="276CF11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4、储罐物质储存不当，储罐破损油品泄漏，无紧急切断系统或紧急切断系统故障，储油溢出或罐底无油空吸，引发事故。</w:t>
            </w:r>
          </w:p>
          <w:p w14:paraId="5C75EE3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5、项目</w:t>
            </w:r>
            <w:r>
              <w:rPr>
                <w:rFonts w:hint="eastAsia" w:cs="Times New Roman"/>
                <w:color w:val="auto"/>
                <w:kern w:val="2"/>
                <w:sz w:val="21"/>
                <w:szCs w:val="21"/>
                <w:lang w:val="en-US" w:eastAsia="zh-CN"/>
              </w:rPr>
              <w:t>运行</w:t>
            </w:r>
            <w:r>
              <w:rPr>
                <w:rFonts w:ascii="Times New Roman" w:hAnsi="Times New Roman" w:eastAsia="宋体" w:cs="Times New Roman"/>
                <w:color w:val="auto"/>
                <w:kern w:val="2"/>
                <w:sz w:val="21"/>
                <w:szCs w:val="21"/>
              </w:rPr>
              <w:t>和辅助装置中使用电气设备、设施，包括变压器、配电间、电气设备，同时使用电缆、电线，这些可能因负荷过载、绝缘老化，异物侵入等引起电气火灾。</w:t>
            </w:r>
          </w:p>
          <w:p w14:paraId="44C4DF3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6、突然的停电导致易然液体的喷出或溢出，或者管道中可能发生空气的倒灌，使燃爆物质混合，遇到火花导致火灾爆炸。</w:t>
            </w:r>
          </w:p>
          <w:p w14:paraId="4CDE6DA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bookmarkStart w:id="261" w:name="_Toc23235"/>
            <w:r>
              <w:rPr>
                <w:rFonts w:ascii="Times New Roman" w:hAnsi="Times New Roman" w:eastAsia="宋体" w:cs="Times New Roman"/>
                <w:color w:val="auto"/>
                <w:kern w:val="2"/>
                <w:sz w:val="21"/>
                <w:szCs w:val="21"/>
              </w:rPr>
              <w:t>7、撞击或人为损坏造成储罐孔口接头处破坏、法兰、管道泄漏，发生意外事故。</w:t>
            </w:r>
            <w:bookmarkEnd w:id="261"/>
          </w:p>
          <w:p w14:paraId="67B4D3A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8、由自然灾害（如雷击、台风、地震）造成设备爆裂，引发火灾。</w:t>
            </w:r>
          </w:p>
          <w:p w14:paraId="6601AC0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9、容器、设备制造质量缺陷、维护管理不周；未按有关规定及操作规程操作；</w:t>
            </w:r>
          </w:p>
          <w:p w14:paraId="0CE76C5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未按有关规定及操作规程进行现场检修动火、用火，引发火灾。</w:t>
            </w:r>
          </w:p>
        </w:tc>
      </w:tr>
      <w:tr w14:paraId="341632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094" w:type="dxa"/>
            <w:tcBorders>
              <w:tl2br w:val="nil"/>
              <w:tr2bl w:val="nil"/>
            </w:tcBorders>
            <w:noWrap w:val="0"/>
            <w:vAlign w:val="center"/>
          </w:tcPr>
          <w:p w14:paraId="236ECB0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发生条件</w:t>
            </w:r>
          </w:p>
        </w:tc>
        <w:tc>
          <w:tcPr>
            <w:tcW w:w="7906" w:type="dxa"/>
            <w:tcBorders>
              <w:tl2br w:val="nil"/>
              <w:tr2bl w:val="nil"/>
            </w:tcBorders>
            <w:noWrap w:val="0"/>
            <w:vAlign w:val="center"/>
          </w:tcPr>
          <w:p w14:paraId="72224F6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1、易燃爆物聚集，达到爆炸临界极限；</w:t>
            </w:r>
          </w:p>
          <w:p w14:paraId="747F4C5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2、存在点火源和燃烧物质</w:t>
            </w:r>
          </w:p>
        </w:tc>
      </w:tr>
      <w:tr w14:paraId="3BE724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094" w:type="dxa"/>
            <w:tcBorders>
              <w:tl2br w:val="nil"/>
              <w:tr2bl w:val="nil"/>
            </w:tcBorders>
            <w:noWrap w:val="0"/>
            <w:vAlign w:val="center"/>
          </w:tcPr>
          <w:p w14:paraId="0CD74A5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原因事件</w:t>
            </w:r>
          </w:p>
        </w:tc>
        <w:tc>
          <w:tcPr>
            <w:tcW w:w="7906" w:type="dxa"/>
            <w:tcBorders>
              <w:tl2br w:val="nil"/>
              <w:tr2bl w:val="nil"/>
            </w:tcBorders>
            <w:noWrap w:val="0"/>
            <w:vAlign w:val="center"/>
          </w:tcPr>
          <w:p w14:paraId="287BCF5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1</w:t>
            </w:r>
            <w:r>
              <w:rPr>
                <w:rFonts w:ascii="Times New Roman" w:hAnsi="Times New Roman" w:eastAsia="宋体" w:cs="Times New Roman"/>
                <w:color w:val="auto"/>
                <w:kern w:val="2"/>
                <w:sz w:val="21"/>
                <w:szCs w:val="21"/>
              </w:rPr>
              <w:t>.明火</w:t>
            </w:r>
          </w:p>
          <w:p w14:paraId="7AF11C0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①</w:t>
            </w:r>
            <w:r>
              <w:rPr>
                <w:rFonts w:ascii="Times New Roman" w:hAnsi="Times New Roman" w:eastAsia="宋体" w:cs="Times New Roman"/>
                <w:color w:val="auto"/>
                <w:kern w:val="2"/>
                <w:sz w:val="21"/>
                <w:szCs w:val="21"/>
              </w:rPr>
              <w:t>火星飞溅；</w:t>
            </w:r>
            <w:r>
              <w:rPr>
                <w:rFonts w:hint="eastAsia" w:ascii="宋体" w:hAnsi="宋体" w:eastAsia="宋体" w:cs="宋体"/>
                <w:color w:val="auto"/>
                <w:kern w:val="2"/>
                <w:sz w:val="21"/>
                <w:szCs w:val="21"/>
              </w:rPr>
              <w:t>②</w:t>
            </w:r>
            <w:r>
              <w:rPr>
                <w:rFonts w:ascii="Times New Roman" w:hAnsi="Times New Roman" w:eastAsia="宋体" w:cs="Times New Roman"/>
                <w:color w:val="auto"/>
                <w:kern w:val="2"/>
                <w:sz w:val="21"/>
                <w:szCs w:val="21"/>
              </w:rPr>
              <w:t>违章动火、用火；</w:t>
            </w:r>
            <w:r>
              <w:rPr>
                <w:rFonts w:hint="eastAsia" w:ascii="宋体" w:hAnsi="宋体" w:eastAsia="宋体" w:cs="宋体"/>
                <w:color w:val="auto"/>
                <w:kern w:val="2"/>
                <w:sz w:val="21"/>
                <w:szCs w:val="21"/>
              </w:rPr>
              <w:t>③</w:t>
            </w:r>
            <w:r>
              <w:rPr>
                <w:rFonts w:ascii="Times New Roman" w:hAnsi="Times New Roman" w:eastAsia="宋体" w:cs="Times New Roman"/>
                <w:color w:val="auto"/>
                <w:kern w:val="2"/>
                <w:sz w:val="21"/>
                <w:szCs w:val="21"/>
              </w:rPr>
              <w:t>外来人员带入火种；</w:t>
            </w:r>
          </w:p>
          <w:p w14:paraId="6C24AC5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④</w:t>
            </w:r>
            <w:r>
              <w:rPr>
                <w:rFonts w:ascii="Times New Roman" w:hAnsi="Times New Roman" w:eastAsia="宋体" w:cs="Times New Roman"/>
                <w:color w:val="auto"/>
                <w:kern w:val="2"/>
                <w:sz w:val="21"/>
                <w:szCs w:val="21"/>
              </w:rPr>
              <w:t>物质过热引发；</w:t>
            </w:r>
            <w:r>
              <w:rPr>
                <w:rFonts w:hint="eastAsia" w:ascii="宋体" w:hAnsi="宋体" w:eastAsia="宋体" w:cs="宋体"/>
                <w:color w:val="auto"/>
                <w:kern w:val="2"/>
                <w:sz w:val="21"/>
                <w:szCs w:val="21"/>
              </w:rPr>
              <w:t>⑤</w:t>
            </w:r>
            <w:r>
              <w:rPr>
                <w:rFonts w:ascii="Times New Roman" w:hAnsi="Times New Roman" w:eastAsia="宋体" w:cs="Times New Roman"/>
                <w:color w:val="auto"/>
                <w:kern w:val="2"/>
                <w:sz w:val="21"/>
                <w:szCs w:val="21"/>
              </w:rPr>
              <w:t>点火吸烟；</w:t>
            </w:r>
            <w:r>
              <w:rPr>
                <w:rFonts w:hint="eastAsia" w:ascii="宋体" w:hAnsi="宋体" w:eastAsia="宋体" w:cs="宋体"/>
                <w:color w:val="auto"/>
                <w:kern w:val="2"/>
                <w:sz w:val="21"/>
                <w:szCs w:val="21"/>
              </w:rPr>
              <w:t>⑥</w:t>
            </w:r>
            <w:r>
              <w:rPr>
                <w:rFonts w:ascii="Times New Roman" w:hAnsi="Times New Roman" w:eastAsia="宋体" w:cs="Times New Roman"/>
                <w:color w:val="auto"/>
                <w:kern w:val="2"/>
                <w:sz w:val="21"/>
                <w:szCs w:val="21"/>
              </w:rPr>
              <w:t>他处火灾蔓延；</w:t>
            </w:r>
            <w:r>
              <w:rPr>
                <w:rFonts w:hint="eastAsia" w:ascii="宋体" w:hAnsi="宋体" w:eastAsia="宋体" w:cs="宋体"/>
                <w:color w:val="auto"/>
                <w:kern w:val="2"/>
                <w:sz w:val="21"/>
                <w:szCs w:val="21"/>
              </w:rPr>
              <w:t>⑦</w:t>
            </w:r>
            <w:r>
              <w:rPr>
                <w:rFonts w:ascii="Times New Roman" w:hAnsi="Times New Roman" w:eastAsia="宋体" w:cs="Times New Roman"/>
                <w:color w:val="auto"/>
                <w:kern w:val="2"/>
                <w:sz w:val="21"/>
                <w:szCs w:val="21"/>
              </w:rPr>
              <w:t>其它火源。</w:t>
            </w:r>
          </w:p>
          <w:p w14:paraId="17D37F4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2</w:t>
            </w:r>
            <w:r>
              <w:rPr>
                <w:rFonts w:ascii="Times New Roman" w:hAnsi="Times New Roman" w:eastAsia="宋体" w:cs="Times New Roman"/>
                <w:color w:val="auto"/>
                <w:kern w:val="2"/>
                <w:sz w:val="21"/>
                <w:szCs w:val="21"/>
              </w:rPr>
              <w:t>.火花</w:t>
            </w:r>
          </w:p>
          <w:p w14:paraId="6F026F5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①</w:t>
            </w:r>
            <w:r>
              <w:rPr>
                <w:rFonts w:ascii="Times New Roman" w:hAnsi="Times New Roman" w:eastAsia="宋体" w:cs="Times New Roman"/>
                <w:color w:val="auto"/>
                <w:kern w:val="2"/>
                <w:sz w:val="21"/>
                <w:szCs w:val="21"/>
              </w:rPr>
              <w:t>金属撞击（带钉皮鞋、工具碰撞等）；</w:t>
            </w:r>
            <w:r>
              <w:rPr>
                <w:rFonts w:hint="eastAsia" w:ascii="宋体" w:hAnsi="宋体" w:eastAsia="宋体" w:cs="宋体"/>
                <w:color w:val="auto"/>
                <w:kern w:val="2"/>
                <w:sz w:val="21"/>
                <w:szCs w:val="21"/>
              </w:rPr>
              <w:t>②</w:t>
            </w:r>
            <w:r>
              <w:rPr>
                <w:rFonts w:ascii="Times New Roman" w:hAnsi="Times New Roman" w:eastAsia="宋体" w:cs="Times New Roman"/>
                <w:color w:val="auto"/>
                <w:kern w:val="2"/>
                <w:sz w:val="21"/>
                <w:szCs w:val="21"/>
              </w:rPr>
              <w:t>电气火花；</w:t>
            </w:r>
          </w:p>
          <w:p w14:paraId="02D28A5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③</w:t>
            </w:r>
            <w:r>
              <w:rPr>
                <w:rFonts w:ascii="Times New Roman" w:hAnsi="Times New Roman" w:eastAsia="宋体" w:cs="Times New Roman"/>
                <w:color w:val="auto"/>
                <w:kern w:val="2"/>
                <w:sz w:val="21"/>
                <w:szCs w:val="21"/>
              </w:rPr>
              <w:t>线路老化，引燃绝缘层；</w:t>
            </w:r>
            <w:r>
              <w:rPr>
                <w:rFonts w:hint="eastAsia" w:ascii="宋体" w:hAnsi="宋体" w:eastAsia="宋体" w:cs="宋体"/>
                <w:color w:val="auto"/>
                <w:kern w:val="2"/>
                <w:sz w:val="21"/>
                <w:szCs w:val="21"/>
              </w:rPr>
              <w:t>④</w:t>
            </w:r>
            <w:r>
              <w:rPr>
                <w:rFonts w:ascii="Times New Roman" w:hAnsi="Times New Roman" w:eastAsia="宋体" w:cs="Times New Roman"/>
                <w:color w:val="auto"/>
                <w:kern w:val="2"/>
                <w:sz w:val="21"/>
                <w:szCs w:val="21"/>
              </w:rPr>
              <w:t>短路电弧；</w:t>
            </w:r>
            <w:r>
              <w:rPr>
                <w:rFonts w:hint="eastAsia" w:ascii="宋体" w:hAnsi="宋体" w:eastAsia="宋体" w:cs="宋体"/>
                <w:color w:val="auto"/>
                <w:kern w:val="2"/>
                <w:sz w:val="21"/>
                <w:szCs w:val="21"/>
              </w:rPr>
              <w:t>⑤</w:t>
            </w:r>
            <w:r>
              <w:rPr>
                <w:rFonts w:ascii="Times New Roman" w:hAnsi="Times New Roman" w:eastAsia="宋体" w:cs="Times New Roman"/>
                <w:color w:val="auto"/>
                <w:kern w:val="2"/>
                <w:sz w:val="21"/>
                <w:szCs w:val="21"/>
              </w:rPr>
              <w:t>静电；</w:t>
            </w:r>
            <w:r>
              <w:rPr>
                <w:rFonts w:hint="eastAsia" w:ascii="宋体" w:hAnsi="宋体" w:eastAsia="宋体" w:cs="宋体"/>
                <w:color w:val="auto"/>
                <w:kern w:val="2"/>
                <w:sz w:val="21"/>
                <w:szCs w:val="21"/>
              </w:rPr>
              <w:t>⑥</w:t>
            </w:r>
            <w:r>
              <w:rPr>
                <w:rFonts w:ascii="Times New Roman" w:hAnsi="Times New Roman" w:eastAsia="宋体" w:cs="Times New Roman"/>
                <w:color w:val="auto"/>
                <w:kern w:val="2"/>
                <w:sz w:val="21"/>
                <w:szCs w:val="21"/>
              </w:rPr>
              <w:t>雷击；</w:t>
            </w:r>
          </w:p>
          <w:p w14:paraId="2178D1D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⑦</w:t>
            </w:r>
            <w:r>
              <w:rPr>
                <w:rFonts w:ascii="Times New Roman" w:hAnsi="Times New Roman" w:eastAsia="宋体" w:cs="Times New Roman"/>
                <w:color w:val="auto"/>
                <w:kern w:val="2"/>
                <w:sz w:val="21"/>
                <w:szCs w:val="21"/>
              </w:rPr>
              <w:t>机动车辆排烟；</w:t>
            </w:r>
            <w:r>
              <w:rPr>
                <w:rFonts w:hint="eastAsia" w:ascii="宋体" w:hAnsi="宋体" w:eastAsia="宋体" w:cs="宋体"/>
                <w:color w:val="auto"/>
                <w:kern w:val="2"/>
                <w:sz w:val="21"/>
                <w:szCs w:val="21"/>
              </w:rPr>
              <w:t>⑧</w:t>
            </w:r>
            <w:r>
              <w:rPr>
                <w:rFonts w:ascii="Times New Roman" w:hAnsi="Times New Roman" w:eastAsia="宋体" w:cs="Times New Roman"/>
                <w:color w:val="auto"/>
                <w:kern w:val="2"/>
                <w:sz w:val="21"/>
                <w:szCs w:val="21"/>
              </w:rPr>
              <w:t>打磨产生火花等。</w:t>
            </w:r>
          </w:p>
          <w:p w14:paraId="5890195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3.其他意外情况</w:t>
            </w:r>
          </w:p>
        </w:tc>
      </w:tr>
      <w:tr w14:paraId="7D1E42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1D08CA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事故后果</w:t>
            </w:r>
          </w:p>
        </w:tc>
        <w:tc>
          <w:tcPr>
            <w:tcW w:w="7906" w:type="dxa"/>
            <w:tcBorders>
              <w:tl2br w:val="nil"/>
              <w:tr2bl w:val="nil"/>
            </w:tcBorders>
            <w:noWrap w:val="0"/>
            <w:vAlign w:val="center"/>
          </w:tcPr>
          <w:p w14:paraId="58936C5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人员伤亡、设备损坏，造成严重经济损失。</w:t>
            </w:r>
          </w:p>
        </w:tc>
      </w:tr>
      <w:tr w14:paraId="53746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46C9D3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危险等级</w:t>
            </w:r>
          </w:p>
        </w:tc>
        <w:tc>
          <w:tcPr>
            <w:tcW w:w="7906" w:type="dxa"/>
            <w:tcBorders>
              <w:tl2br w:val="nil"/>
              <w:tr2bl w:val="nil"/>
            </w:tcBorders>
            <w:noWrap w:val="0"/>
            <w:vAlign w:val="center"/>
          </w:tcPr>
          <w:p w14:paraId="1C69B41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Ⅱ</w:t>
            </w:r>
          </w:p>
        </w:tc>
      </w:tr>
      <w:tr w14:paraId="550367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60" w:hRule="atLeast"/>
          <w:jc w:val="center"/>
        </w:trPr>
        <w:tc>
          <w:tcPr>
            <w:tcW w:w="1094" w:type="dxa"/>
            <w:tcBorders>
              <w:tl2br w:val="nil"/>
              <w:tr2bl w:val="nil"/>
            </w:tcBorders>
            <w:noWrap w:val="0"/>
            <w:vAlign w:val="center"/>
          </w:tcPr>
          <w:p w14:paraId="4C32AFE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防范措施</w:t>
            </w:r>
          </w:p>
        </w:tc>
        <w:tc>
          <w:tcPr>
            <w:tcW w:w="7906" w:type="dxa"/>
            <w:tcBorders>
              <w:tl2br w:val="nil"/>
              <w:tr2bl w:val="nil"/>
            </w:tcBorders>
            <w:noWrap w:val="0"/>
            <w:vAlign w:val="center"/>
          </w:tcPr>
          <w:p w14:paraId="56EFC74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1、控制与消除火源</w:t>
            </w:r>
          </w:p>
          <w:p w14:paraId="3632EB0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①</w:t>
            </w:r>
            <w:r>
              <w:rPr>
                <w:rFonts w:ascii="Times New Roman" w:hAnsi="Times New Roman" w:eastAsia="宋体" w:cs="Times New Roman"/>
                <w:color w:val="auto"/>
                <w:kern w:val="2"/>
                <w:sz w:val="21"/>
                <w:szCs w:val="21"/>
              </w:rPr>
              <w:t>加强管理，严格执行动火证制度，加强防范措施；</w:t>
            </w:r>
          </w:p>
          <w:p w14:paraId="740CAB1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②</w:t>
            </w:r>
            <w:r>
              <w:rPr>
                <w:rFonts w:ascii="Times New Roman" w:hAnsi="Times New Roman" w:eastAsia="宋体" w:cs="Times New Roman"/>
                <w:color w:val="auto"/>
                <w:kern w:val="2"/>
                <w:sz w:val="21"/>
                <w:szCs w:val="21"/>
              </w:rPr>
              <w:t>按标准装置避雷设施，并定期检查；</w:t>
            </w:r>
          </w:p>
          <w:p w14:paraId="48CFA35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eastAsia" w:ascii="Times New Roman" w:hAnsi="Times New Roman" w:eastAsia="宋体" w:cs="Times New Roman"/>
                <w:color w:val="auto"/>
                <w:kern w:val="2"/>
                <w:sz w:val="21"/>
                <w:szCs w:val="21"/>
                <w:lang w:eastAsia="zh-CN"/>
              </w:rPr>
            </w:pPr>
            <w:r>
              <w:rPr>
                <w:rFonts w:hint="eastAsia" w:ascii="宋体" w:hAnsi="宋体" w:eastAsia="宋体" w:cs="宋体"/>
                <w:color w:val="auto"/>
                <w:kern w:val="2"/>
                <w:sz w:val="21"/>
                <w:szCs w:val="21"/>
              </w:rPr>
              <w:t>③</w:t>
            </w:r>
            <w:r>
              <w:rPr>
                <w:rFonts w:ascii="Times New Roman" w:hAnsi="Times New Roman" w:eastAsia="宋体" w:cs="Times New Roman"/>
                <w:color w:val="auto"/>
                <w:kern w:val="2"/>
                <w:sz w:val="21"/>
                <w:szCs w:val="21"/>
              </w:rPr>
              <w:t>严格执行防静电措施</w:t>
            </w:r>
            <w:r>
              <w:rPr>
                <w:rFonts w:hint="eastAsia" w:cs="Times New Roman"/>
                <w:color w:val="auto"/>
                <w:kern w:val="2"/>
                <w:sz w:val="21"/>
                <w:szCs w:val="21"/>
                <w:lang w:eastAsia="zh-CN"/>
              </w:rPr>
              <w:t>；</w:t>
            </w:r>
          </w:p>
          <w:p w14:paraId="3A42AB1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④</w:t>
            </w:r>
            <w:r>
              <w:rPr>
                <w:rFonts w:ascii="Times New Roman" w:hAnsi="Times New Roman" w:eastAsia="宋体" w:cs="Times New Roman"/>
                <w:color w:val="auto"/>
                <w:kern w:val="2"/>
                <w:sz w:val="21"/>
                <w:szCs w:val="21"/>
              </w:rPr>
              <w:t>通过通风可以有效防止易燃气体积聚，净风天气注意保持间隔作业。</w:t>
            </w:r>
          </w:p>
          <w:p w14:paraId="367609A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 严格控制设备及其安装质量</w:t>
            </w:r>
          </w:p>
          <w:p w14:paraId="3F0CDEB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①</w:t>
            </w:r>
            <w:r>
              <w:rPr>
                <w:rFonts w:ascii="Times New Roman" w:hAnsi="Times New Roman" w:eastAsia="宋体" w:cs="Times New Roman"/>
                <w:color w:val="auto"/>
                <w:kern w:val="2"/>
                <w:sz w:val="21"/>
                <w:szCs w:val="21"/>
              </w:rPr>
              <w:t>严格要求并控制储油罐设备、管道、泵、阀的材质和制作、安装质量；设备、管线制造和安装单位必须由有资质的单位承担；</w:t>
            </w:r>
          </w:p>
          <w:p w14:paraId="7ECDA60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②</w:t>
            </w:r>
            <w:r>
              <w:rPr>
                <w:rFonts w:ascii="Times New Roman" w:hAnsi="Times New Roman" w:eastAsia="宋体" w:cs="Times New Roman"/>
                <w:color w:val="auto"/>
                <w:kern w:val="2"/>
                <w:sz w:val="21"/>
                <w:szCs w:val="21"/>
              </w:rPr>
              <w:t>工程监理部门切实管理；</w:t>
            </w:r>
          </w:p>
          <w:p w14:paraId="5F122D9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③</w:t>
            </w:r>
            <w:r>
              <w:rPr>
                <w:rFonts w:ascii="Times New Roman" w:hAnsi="Times New Roman" w:eastAsia="宋体" w:cs="Times New Roman"/>
                <w:color w:val="auto"/>
                <w:kern w:val="2"/>
                <w:sz w:val="21"/>
                <w:szCs w:val="21"/>
              </w:rPr>
              <w:t>加油机、管道及其仪表要定期检验、检测；</w:t>
            </w:r>
          </w:p>
          <w:p w14:paraId="57C34D1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④</w:t>
            </w:r>
            <w:r>
              <w:rPr>
                <w:rFonts w:ascii="Times New Roman" w:hAnsi="Times New Roman" w:eastAsia="宋体" w:cs="Times New Roman"/>
                <w:color w:val="auto"/>
                <w:kern w:val="2"/>
                <w:sz w:val="21"/>
                <w:szCs w:val="21"/>
              </w:rPr>
              <w:t>对设备、管线、泵、阀、报警器监测仪表定期检、保、修；</w:t>
            </w:r>
          </w:p>
          <w:p w14:paraId="4AD10A0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⑤</w:t>
            </w:r>
            <w:r>
              <w:rPr>
                <w:rFonts w:ascii="Times New Roman" w:hAnsi="Times New Roman" w:eastAsia="宋体" w:cs="Times New Roman"/>
                <w:color w:val="auto"/>
                <w:kern w:val="2"/>
                <w:sz w:val="21"/>
                <w:szCs w:val="21"/>
              </w:rPr>
              <w:t>设备及电气按规范和标准安装，静电接地系统严格检验使其在安全工作范围，设备和电气设施定期检修，保证完好状态。</w:t>
            </w:r>
          </w:p>
          <w:p w14:paraId="38E4E14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 加强管理、严格</w:t>
            </w:r>
            <w:r>
              <w:rPr>
                <w:rFonts w:hint="eastAsia" w:cs="Times New Roman"/>
                <w:color w:val="auto"/>
                <w:kern w:val="2"/>
                <w:sz w:val="21"/>
                <w:szCs w:val="21"/>
                <w:lang w:val="en-US" w:eastAsia="zh-CN"/>
              </w:rPr>
              <w:t>运行</w:t>
            </w:r>
          </w:p>
          <w:p w14:paraId="210B9C0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①</w:t>
            </w:r>
            <w:r>
              <w:rPr>
                <w:rFonts w:ascii="Times New Roman" w:hAnsi="Times New Roman" w:eastAsia="宋体" w:cs="Times New Roman"/>
                <w:color w:val="auto"/>
                <w:kern w:val="2"/>
                <w:sz w:val="21"/>
                <w:szCs w:val="21"/>
              </w:rPr>
              <w:t>定时、经常检查储罐、管道、加油机、管道之间的法兰接头、阀门以及其他管道部件的气密性和完好程度，发现问题立即修复，检修时注意做好静电防护；</w:t>
            </w:r>
          </w:p>
          <w:p w14:paraId="7908A40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②</w:t>
            </w:r>
            <w:r>
              <w:rPr>
                <w:rFonts w:ascii="Times New Roman" w:hAnsi="Times New Roman" w:eastAsia="宋体" w:cs="Times New Roman"/>
                <w:color w:val="auto"/>
                <w:kern w:val="2"/>
                <w:sz w:val="21"/>
                <w:szCs w:val="21"/>
              </w:rPr>
              <w:t>作业场所设置醒目的安全警示标志（如禁止烟火、禁打手机、熄火加油、5km/h等）；</w:t>
            </w:r>
          </w:p>
          <w:p w14:paraId="2F59ACF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eastAsia" w:ascii="Times New Roman" w:hAnsi="Times New Roman" w:eastAsia="宋体" w:cs="Times New Roman"/>
                <w:color w:val="auto"/>
                <w:kern w:val="2"/>
                <w:sz w:val="21"/>
                <w:szCs w:val="21"/>
                <w:lang w:val="en-US" w:eastAsia="zh-CN"/>
              </w:rPr>
            </w:pPr>
            <w:r>
              <w:rPr>
                <w:rFonts w:hint="eastAsia" w:ascii="宋体" w:hAnsi="宋体" w:eastAsia="宋体" w:cs="宋体"/>
                <w:color w:val="auto"/>
                <w:kern w:val="2"/>
                <w:sz w:val="21"/>
                <w:szCs w:val="21"/>
              </w:rPr>
              <w:t>③</w:t>
            </w:r>
            <w:r>
              <w:rPr>
                <w:rFonts w:ascii="Times New Roman" w:hAnsi="Times New Roman" w:eastAsia="宋体" w:cs="Times New Roman"/>
                <w:color w:val="auto"/>
                <w:kern w:val="2"/>
                <w:sz w:val="21"/>
                <w:szCs w:val="21"/>
              </w:rPr>
              <w:t>注意监控并及时制止外来人员违章行为，如吸烟、点打火机</w:t>
            </w:r>
            <w:r>
              <w:rPr>
                <w:rFonts w:hint="eastAsia" w:cs="Times New Roman"/>
                <w:color w:val="auto"/>
                <w:kern w:val="2"/>
                <w:sz w:val="21"/>
                <w:szCs w:val="21"/>
                <w:lang w:val="en-US" w:eastAsia="zh-CN"/>
              </w:rPr>
              <w:t>。</w:t>
            </w:r>
          </w:p>
          <w:p w14:paraId="2C76B19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④</w:t>
            </w:r>
            <w:r>
              <w:rPr>
                <w:rFonts w:ascii="Times New Roman" w:hAnsi="Times New Roman" w:eastAsia="宋体" w:cs="Times New Roman"/>
                <w:color w:val="auto"/>
                <w:kern w:val="2"/>
                <w:sz w:val="21"/>
                <w:szCs w:val="21"/>
              </w:rPr>
              <w:t>检修时严守作业规程，做好隔离、清洗置换、通风，动火等作业必须在严格监护下进行；</w:t>
            </w:r>
          </w:p>
          <w:p w14:paraId="089A9A0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⑤</w:t>
            </w:r>
            <w:r>
              <w:rPr>
                <w:rFonts w:ascii="Times New Roman" w:hAnsi="Times New Roman" w:eastAsia="宋体" w:cs="Times New Roman"/>
                <w:color w:val="auto"/>
                <w:kern w:val="2"/>
                <w:sz w:val="21"/>
                <w:szCs w:val="21"/>
              </w:rPr>
              <w:t>加强员工培训、教育、考核工作，经常性检查有否违章、违纪现象；</w:t>
            </w:r>
          </w:p>
          <w:p w14:paraId="3753F2C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宋体" w:hAnsi="宋体" w:eastAsia="宋体" w:cs="宋体"/>
                <w:color w:val="auto"/>
                <w:kern w:val="2"/>
                <w:sz w:val="21"/>
                <w:szCs w:val="21"/>
              </w:rPr>
              <w:t>⑥</w:t>
            </w:r>
            <w:r>
              <w:rPr>
                <w:rFonts w:ascii="Times New Roman" w:hAnsi="Times New Roman" w:eastAsia="宋体" w:cs="Times New Roman"/>
                <w:color w:val="auto"/>
                <w:kern w:val="2"/>
                <w:sz w:val="21"/>
                <w:szCs w:val="21"/>
              </w:rPr>
              <w:t xml:space="preserve">安全设施（包括消防设施、报警装置、油罐阻火器、防雷接地等）保持齐全完好； </w:t>
            </w:r>
          </w:p>
        </w:tc>
      </w:tr>
      <w:tr w14:paraId="740071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9000" w:type="dxa"/>
            <w:gridSpan w:val="2"/>
            <w:tcBorders>
              <w:tl2br w:val="nil"/>
              <w:tr2bl w:val="nil"/>
            </w:tcBorders>
            <w:noWrap w:val="0"/>
            <w:vAlign w:val="center"/>
          </w:tcPr>
          <w:p w14:paraId="257A7B26">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二</w:t>
            </w:r>
          </w:p>
        </w:tc>
      </w:tr>
      <w:tr w14:paraId="7FE665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2861C6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潜在事故</w:t>
            </w:r>
          </w:p>
        </w:tc>
        <w:tc>
          <w:tcPr>
            <w:tcW w:w="7906" w:type="dxa"/>
            <w:tcBorders>
              <w:tl2br w:val="nil"/>
              <w:tr2bl w:val="nil"/>
            </w:tcBorders>
            <w:noWrap w:val="0"/>
            <w:vAlign w:val="center"/>
          </w:tcPr>
          <w:p w14:paraId="46B1EF8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触电</w:t>
            </w:r>
          </w:p>
        </w:tc>
      </w:tr>
      <w:tr w14:paraId="3FAC98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30A9224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作业场所</w:t>
            </w:r>
          </w:p>
        </w:tc>
        <w:tc>
          <w:tcPr>
            <w:tcW w:w="7906" w:type="dxa"/>
            <w:tcBorders>
              <w:tl2br w:val="nil"/>
              <w:tr2bl w:val="nil"/>
            </w:tcBorders>
            <w:noWrap w:val="0"/>
            <w:vAlign w:val="center"/>
          </w:tcPr>
          <w:p w14:paraId="6E0ABB5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Times New Roman" w:hAnsi="Times New Roman" w:eastAsia="宋体" w:cs="Times New Roman"/>
                <w:color w:val="auto"/>
                <w:kern w:val="2"/>
                <w:sz w:val="21"/>
                <w:szCs w:val="21"/>
                <w:lang w:val="en-US" w:eastAsia="zh-CN"/>
              </w:rPr>
            </w:pPr>
            <w:r>
              <w:rPr>
                <w:rFonts w:hint="eastAsia"/>
                <w:color w:val="auto"/>
                <w:spacing w:val="9"/>
                <w:sz w:val="20"/>
                <w:szCs w:val="20"/>
                <w:lang w:val="en-US" w:eastAsia="zh-CN"/>
              </w:rPr>
              <w:t>带</w:t>
            </w:r>
            <w:r>
              <w:rPr>
                <w:rFonts w:hint="eastAsia" w:ascii="Times New Roman" w:hAnsi="Times New Roman" w:eastAsia="宋体" w:cs="Times New Roman"/>
                <w:color w:val="auto"/>
                <w:kern w:val="2"/>
                <w:sz w:val="21"/>
                <w:szCs w:val="21"/>
              </w:rPr>
              <w:t>电</w:t>
            </w:r>
            <w:r>
              <w:rPr>
                <w:rFonts w:hint="eastAsia" w:cs="Times New Roman"/>
                <w:color w:val="auto"/>
                <w:kern w:val="2"/>
                <w:sz w:val="21"/>
                <w:szCs w:val="21"/>
                <w:lang w:val="en-US" w:eastAsia="zh-CN"/>
              </w:rPr>
              <w:t>设备附近</w:t>
            </w:r>
          </w:p>
        </w:tc>
      </w:tr>
      <w:tr w14:paraId="7390DF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79C7C42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危险因素</w:t>
            </w:r>
          </w:p>
        </w:tc>
        <w:tc>
          <w:tcPr>
            <w:tcW w:w="7906" w:type="dxa"/>
            <w:tcBorders>
              <w:tl2br w:val="nil"/>
              <w:tr2bl w:val="nil"/>
            </w:tcBorders>
            <w:noWrap w:val="0"/>
            <w:vAlign w:val="center"/>
          </w:tcPr>
          <w:p w14:paraId="50F1FFC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漏电、绝缘损坏、安全距离不够、雷击</w:t>
            </w:r>
          </w:p>
        </w:tc>
      </w:tr>
      <w:tr w14:paraId="7B2E45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4" w:type="dxa"/>
            <w:tcBorders>
              <w:tl2br w:val="nil"/>
              <w:tr2bl w:val="nil"/>
            </w:tcBorders>
            <w:noWrap w:val="0"/>
            <w:vAlign w:val="center"/>
          </w:tcPr>
          <w:p w14:paraId="3C04C1D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触发事件</w:t>
            </w:r>
          </w:p>
        </w:tc>
        <w:tc>
          <w:tcPr>
            <w:tcW w:w="7906" w:type="dxa"/>
            <w:tcBorders>
              <w:tl2br w:val="nil"/>
              <w:tr2bl w:val="nil"/>
            </w:tcBorders>
            <w:noWrap w:val="0"/>
            <w:vAlign w:val="center"/>
          </w:tcPr>
          <w:p w14:paraId="605BA91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1、电气设备、临时电源漏电；</w:t>
            </w:r>
          </w:p>
          <w:p w14:paraId="6C354F5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2、安全距离不够（室内线路、变配电设备、用电设备及检修的安全距离）；</w:t>
            </w:r>
          </w:p>
          <w:p w14:paraId="196987A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3、绝缘损坏、老化；</w:t>
            </w:r>
          </w:p>
          <w:p w14:paraId="5297720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4、保护接地、接零不当；</w:t>
            </w:r>
          </w:p>
          <w:p w14:paraId="11C8EBF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5、手持电动工具类别选择不当，疏于管理；</w:t>
            </w:r>
          </w:p>
          <w:p w14:paraId="2F34664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6、防护用品和工具缺少或质量缺陷、使用不当；</w:t>
            </w:r>
          </w:p>
          <w:p w14:paraId="438F8CB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7、雷击。</w:t>
            </w:r>
          </w:p>
        </w:tc>
      </w:tr>
      <w:tr w14:paraId="6A51BE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094" w:type="dxa"/>
            <w:tcBorders>
              <w:tl2br w:val="nil"/>
              <w:tr2bl w:val="nil"/>
            </w:tcBorders>
            <w:noWrap w:val="0"/>
            <w:vAlign w:val="center"/>
          </w:tcPr>
          <w:p w14:paraId="61BE086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发生条件</w:t>
            </w:r>
          </w:p>
        </w:tc>
        <w:tc>
          <w:tcPr>
            <w:tcW w:w="7906" w:type="dxa"/>
            <w:tcBorders>
              <w:tl2br w:val="nil"/>
              <w:tr2bl w:val="nil"/>
            </w:tcBorders>
            <w:noWrap w:val="0"/>
            <w:vAlign w:val="center"/>
          </w:tcPr>
          <w:p w14:paraId="2077F27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1、人体接触带电体；</w:t>
            </w:r>
          </w:p>
          <w:p w14:paraId="52B1E70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2、安全距离不够，引起电击穿；</w:t>
            </w:r>
          </w:p>
          <w:p w14:paraId="2C3A21B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3、通过人体的电流时间超过50mA/s；</w:t>
            </w:r>
          </w:p>
          <w:p w14:paraId="7A17047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4、设备外壳带电</w:t>
            </w:r>
          </w:p>
        </w:tc>
      </w:tr>
      <w:tr w14:paraId="07F4D9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1094" w:type="dxa"/>
            <w:tcBorders>
              <w:tl2br w:val="nil"/>
              <w:tr2bl w:val="nil"/>
            </w:tcBorders>
            <w:noWrap w:val="0"/>
            <w:vAlign w:val="center"/>
          </w:tcPr>
          <w:p w14:paraId="1496291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原因事件</w:t>
            </w:r>
          </w:p>
        </w:tc>
        <w:tc>
          <w:tcPr>
            <w:tcW w:w="7906" w:type="dxa"/>
            <w:tcBorders>
              <w:tl2br w:val="nil"/>
              <w:tr2bl w:val="nil"/>
            </w:tcBorders>
            <w:noWrap w:val="0"/>
            <w:vAlign w:val="center"/>
          </w:tcPr>
          <w:p w14:paraId="68792E0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1、手及人体其它部位、随身金属物品触及带电体，或因空气潮湿，安全距离不够，造成电击穿；</w:t>
            </w:r>
          </w:p>
          <w:p w14:paraId="2F1B465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2、电气设备漏电、绝缘损坏，如油泵电机保护措施失效，外壳漏电、接线端子裸露等；</w:t>
            </w:r>
          </w:p>
          <w:p w14:paraId="76040FE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3、电气设备金属外壳接地不良；</w:t>
            </w:r>
          </w:p>
          <w:p w14:paraId="584DBF5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4、电工违章作业或非电工违章操作；</w:t>
            </w:r>
          </w:p>
          <w:p w14:paraId="3BCCC21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6、雷电（直接雷、感应雷、雷电侵入波）。</w:t>
            </w:r>
          </w:p>
        </w:tc>
      </w:tr>
      <w:tr w14:paraId="5104AE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6B99832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事故后果</w:t>
            </w:r>
          </w:p>
        </w:tc>
        <w:tc>
          <w:tcPr>
            <w:tcW w:w="7906" w:type="dxa"/>
            <w:tcBorders>
              <w:tl2br w:val="nil"/>
              <w:tr2bl w:val="nil"/>
            </w:tcBorders>
            <w:noWrap w:val="0"/>
            <w:vAlign w:val="center"/>
          </w:tcPr>
          <w:p w14:paraId="6312936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人员伤亡、引发二次事故</w:t>
            </w:r>
          </w:p>
        </w:tc>
      </w:tr>
      <w:tr w14:paraId="16155F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34EC225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危险等级</w:t>
            </w:r>
          </w:p>
        </w:tc>
        <w:tc>
          <w:tcPr>
            <w:tcW w:w="7906" w:type="dxa"/>
            <w:tcBorders>
              <w:tl2br w:val="nil"/>
              <w:tr2bl w:val="nil"/>
            </w:tcBorders>
            <w:noWrap w:val="0"/>
            <w:vAlign w:val="center"/>
          </w:tcPr>
          <w:p w14:paraId="1324A65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Ⅱ</w:t>
            </w:r>
          </w:p>
        </w:tc>
      </w:tr>
      <w:tr w14:paraId="4F18CD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7" w:hRule="atLeast"/>
          <w:jc w:val="center"/>
        </w:trPr>
        <w:tc>
          <w:tcPr>
            <w:tcW w:w="1094" w:type="dxa"/>
            <w:tcBorders>
              <w:tl2br w:val="nil"/>
              <w:tr2bl w:val="nil"/>
            </w:tcBorders>
            <w:noWrap w:val="0"/>
            <w:vAlign w:val="center"/>
          </w:tcPr>
          <w:p w14:paraId="61AF23F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防范措施</w:t>
            </w:r>
          </w:p>
        </w:tc>
        <w:tc>
          <w:tcPr>
            <w:tcW w:w="7906" w:type="dxa"/>
            <w:tcBorders>
              <w:tl2br w:val="nil"/>
              <w:tr2bl w:val="nil"/>
            </w:tcBorders>
            <w:noWrap w:val="0"/>
            <w:vAlign w:val="center"/>
          </w:tcPr>
          <w:p w14:paraId="7237ACB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1、电气绝缘等级要与使用电压、环境、运行条件相符，并定期检查、检测、维护、维修，保持完好状态；</w:t>
            </w:r>
          </w:p>
          <w:p w14:paraId="1756176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2、采用遮拦、护罩等防护措施，防止人体接触带电体；</w:t>
            </w:r>
          </w:p>
          <w:p w14:paraId="057459E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3、室内线路、加油机用电线路按照规范地埋，达到规范安全要求；</w:t>
            </w:r>
          </w:p>
          <w:p w14:paraId="73EE91F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4、严格按标准要求对电气设备做好保护接地、重复接地或保护接零；</w:t>
            </w:r>
          </w:p>
          <w:p w14:paraId="20B828A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5、施工、维修电焊作业时注意电焊机绝缘完好、接线不裸露，电焊机定期检测保证漏电在允许范围，电焊作业者穿戴防护用品，注意夏季防触电，有监护和应急措施；</w:t>
            </w:r>
          </w:p>
          <w:p w14:paraId="4653B1A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6、建立、健全并严格执行电气安全规章制度和电气操作规程；按制度对强电线路加强管理、巡查、检修。</w:t>
            </w:r>
          </w:p>
          <w:p w14:paraId="4860F9E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7、坚持对员工的电气安全操作和急救方法的培训、教育；</w:t>
            </w:r>
          </w:p>
          <w:p w14:paraId="4328764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8、对防雷措施进行定期检查、检测，保持完好、可靠状态；</w:t>
            </w:r>
          </w:p>
        </w:tc>
      </w:tr>
      <w:tr w14:paraId="03BA18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9000" w:type="dxa"/>
            <w:gridSpan w:val="2"/>
            <w:tcBorders>
              <w:tl2br w:val="nil"/>
              <w:tr2bl w:val="nil"/>
            </w:tcBorders>
            <w:noWrap w:val="0"/>
            <w:vAlign w:val="center"/>
          </w:tcPr>
          <w:p w14:paraId="398C0F6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三</w:t>
            </w:r>
          </w:p>
        </w:tc>
      </w:tr>
      <w:tr w14:paraId="6FAA8F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24A8C21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潜在事故</w:t>
            </w:r>
          </w:p>
        </w:tc>
        <w:tc>
          <w:tcPr>
            <w:tcW w:w="7906" w:type="dxa"/>
            <w:tcBorders>
              <w:tl2br w:val="nil"/>
              <w:tr2bl w:val="nil"/>
            </w:tcBorders>
            <w:noWrap w:val="0"/>
            <w:vAlign w:val="center"/>
          </w:tcPr>
          <w:p w14:paraId="59F2EF1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车辆伤害</w:t>
            </w:r>
          </w:p>
        </w:tc>
      </w:tr>
      <w:tr w14:paraId="6B3666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B14CD5F">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作业场所</w:t>
            </w:r>
          </w:p>
        </w:tc>
        <w:tc>
          <w:tcPr>
            <w:tcW w:w="7906" w:type="dxa"/>
            <w:tcBorders>
              <w:tl2br w:val="nil"/>
              <w:tr2bl w:val="nil"/>
            </w:tcBorders>
            <w:noWrap w:val="0"/>
            <w:vAlign w:val="center"/>
          </w:tcPr>
          <w:p w14:paraId="50AA97E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加油站内道路</w:t>
            </w:r>
          </w:p>
        </w:tc>
      </w:tr>
      <w:tr w14:paraId="1340F9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36D795C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危险因素</w:t>
            </w:r>
          </w:p>
        </w:tc>
        <w:tc>
          <w:tcPr>
            <w:tcW w:w="7906" w:type="dxa"/>
            <w:tcBorders>
              <w:tl2br w:val="nil"/>
              <w:tr2bl w:val="nil"/>
            </w:tcBorders>
            <w:noWrap w:val="0"/>
            <w:vAlign w:val="center"/>
          </w:tcPr>
          <w:p w14:paraId="0457915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车辆撞人，车辆撞设备、管线</w:t>
            </w:r>
          </w:p>
        </w:tc>
      </w:tr>
      <w:tr w14:paraId="427089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74" w:hRule="atLeast"/>
          <w:jc w:val="center"/>
        </w:trPr>
        <w:tc>
          <w:tcPr>
            <w:tcW w:w="1094" w:type="dxa"/>
            <w:tcBorders>
              <w:tl2br w:val="nil"/>
              <w:tr2bl w:val="nil"/>
            </w:tcBorders>
            <w:noWrap w:val="0"/>
            <w:vAlign w:val="center"/>
          </w:tcPr>
          <w:p w14:paraId="21513F4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触发事件</w:t>
            </w:r>
          </w:p>
        </w:tc>
        <w:tc>
          <w:tcPr>
            <w:tcW w:w="7906" w:type="dxa"/>
            <w:tcBorders>
              <w:tl2br w:val="nil"/>
              <w:tr2bl w:val="nil"/>
            </w:tcBorders>
            <w:noWrap w:val="0"/>
            <w:vAlign w:val="center"/>
          </w:tcPr>
          <w:p w14:paraId="7EF1943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1、车辆带故障行驶（如刹车不灵、鸣笛喇叭失效、刮雨器失效等）；</w:t>
            </w:r>
          </w:p>
          <w:p w14:paraId="77FBBC8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2、车速过快；</w:t>
            </w:r>
          </w:p>
          <w:p w14:paraId="52F081D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3、道旁管线、管架桥无防撞设施和标志；</w:t>
            </w:r>
          </w:p>
          <w:p w14:paraId="7771A1D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4、路面不好（如路面有陷坑、障碍物、冰雪等）；</w:t>
            </w:r>
          </w:p>
          <w:p w14:paraId="5273915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5、超载驾驶；</w:t>
            </w:r>
          </w:p>
        </w:tc>
      </w:tr>
      <w:tr w14:paraId="4301A6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3D99953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发生条件</w:t>
            </w:r>
          </w:p>
        </w:tc>
        <w:tc>
          <w:tcPr>
            <w:tcW w:w="7906" w:type="dxa"/>
            <w:tcBorders>
              <w:tl2br w:val="nil"/>
              <w:tr2bl w:val="nil"/>
            </w:tcBorders>
            <w:noWrap w:val="0"/>
            <w:vAlign w:val="center"/>
          </w:tcPr>
          <w:p w14:paraId="5A316FB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车辆撞击人体、设备、管线等</w:t>
            </w:r>
          </w:p>
        </w:tc>
      </w:tr>
      <w:tr w14:paraId="046232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094" w:type="dxa"/>
            <w:tcBorders>
              <w:tl2br w:val="nil"/>
              <w:tr2bl w:val="nil"/>
            </w:tcBorders>
            <w:noWrap w:val="0"/>
            <w:vAlign w:val="center"/>
          </w:tcPr>
          <w:p w14:paraId="1C3DB53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原因事件</w:t>
            </w:r>
          </w:p>
        </w:tc>
        <w:tc>
          <w:tcPr>
            <w:tcW w:w="7906" w:type="dxa"/>
            <w:tcBorders>
              <w:tl2br w:val="nil"/>
              <w:tr2bl w:val="nil"/>
            </w:tcBorders>
            <w:noWrap w:val="0"/>
            <w:vAlign w:val="center"/>
          </w:tcPr>
          <w:p w14:paraId="402DEA3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1、进入油站的驾驶员工作精力不集中、行驶违章、酒后驾车、疲劳驾驶；</w:t>
            </w:r>
          </w:p>
          <w:p w14:paraId="090EE57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2、驾驶员情绪不好或情绪激动时驾车；</w:t>
            </w:r>
          </w:p>
          <w:p w14:paraId="40DF1D5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3、加油站作业人员引导车辆不力。</w:t>
            </w:r>
          </w:p>
        </w:tc>
      </w:tr>
      <w:tr w14:paraId="72E687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3D96DA8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事故后果</w:t>
            </w:r>
          </w:p>
        </w:tc>
        <w:tc>
          <w:tcPr>
            <w:tcW w:w="7906" w:type="dxa"/>
            <w:tcBorders>
              <w:tl2br w:val="nil"/>
              <w:tr2bl w:val="nil"/>
            </w:tcBorders>
            <w:noWrap w:val="0"/>
            <w:vAlign w:val="center"/>
          </w:tcPr>
          <w:p w14:paraId="05EADFF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人员伤害，撞坏管线等造成二次事故</w:t>
            </w:r>
          </w:p>
        </w:tc>
      </w:tr>
      <w:tr w14:paraId="67507E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4372983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危险等级</w:t>
            </w:r>
          </w:p>
        </w:tc>
        <w:tc>
          <w:tcPr>
            <w:tcW w:w="7906" w:type="dxa"/>
            <w:tcBorders>
              <w:tl2br w:val="nil"/>
              <w:tr2bl w:val="nil"/>
            </w:tcBorders>
            <w:noWrap w:val="0"/>
            <w:vAlign w:val="center"/>
          </w:tcPr>
          <w:p w14:paraId="13DAF1C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Ⅱ</w:t>
            </w:r>
          </w:p>
        </w:tc>
      </w:tr>
      <w:tr w14:paraId="7C36B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81" w:hRule="atLeast"/>
          <w:jc w:val="center"/>
        </w:trPr>
        <w:tc>
          <w:tcPr>
            <w:tcW w:w="1094" w:type="dxa"/>
            <w:tcBorders>
              <w:tl2br w:val="nil"/>
              <w:tr2bl w:val="nil"/>
            </w:tcBorders>
            <w:noWrap w:val="0"/>
            <w:vAlign w:val="center"/>
          </w:tcPr>
          <w:p w14:paraId="434165E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防范措施</w:t>
            </w:r>
          </w:p>
        </w:tc>
        <w:tc>
          <w:tcPr>
            <w:tcW w:w="7906" w:type="dxa"/>
            <w:tcBorders>
              <w:tl2br w:val="nil"/>
              <w:tr2bl w:val="nil"/>
            </w:tcBorders>
            <w:noWrap w:val="0"/>
            <w:vAlign w:val="center"/>
          </w:tcPr>
          <w:p w14:paraId="3FA1C7F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1、增设交通标志（特别是限速行驶标志）；</w:t>
            </w:r>
          </w:p>
          <w:p w14:paraId="1002FA47">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2、保持进出加油站的道路畅通，保持路面状态良好；</w:t>
            </w:r>
          </w:p>
          <w:p w14:paraId="38ADB8D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3、加强对进站加油车辆的引导，发现驾驶员违章立即提醒纠正；</w:t>
            </w:r>
          </w:p>
          <w:p w14:paraId="0664366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4、闲杂人员和闲杂车辆不允许进入加油站场内。</w:t>
            </w:r>
          </w:p>
        </w:tc>
      </w:tr>
      <w:tr w14:paraId="494620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9000" w:type="dxa"/>
            <w:gridSpan w:val="2"/>
            <w:tcBorders>
              <w:tl2br w:val="nil"/>
              <w:tr2bl w:val="nil"/>
            </w:tcBorders>
            <w:noWrap w:val="0"/>
            <w:vAlign w:val="center"/>
          </w:tcPr>
          <w:p w14:paraId="0A0C2A2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default" w:cs="Times New Roman"/>
                <w:color w:val="auto"/>
                <w:kern w:val="2"/>
                <w:sz w:val="21"/>
                <w:szCs w:val="21"/>
                <w:lang w:val="en-US" w:eastAsia="zh-CN"/>
              </w:rPr>
            </w:pPr>
            <w:r>
              <w:rPr>
                <w:rFonts w:hint="eastAsia" w:cs="Times New Roman"/>
                <w:color w:val="auto"/>
                <w:kern w:val="2"/>
                <w:sz w:val="21"/>
                <w:szCs w:val="21"/>
                <w:lang w:val="en-US" w:eastAsia="zh-CN"/>
              </w:rPr>
              <w:t>四</w:t>
            </w:r>
          </w:p>
        </w:tc>
      </w:tr>
      <w:tr w14:paraId="1F6126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5597D0EB">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潜在事故</w:t>
            </w:r>
          </w:p>
        </w:tc>
        <w:tc>
          <w:tcPr>
            <w:tcW w:w="7906" w:type="dxa"/>
            <w:tcBorders>
              <w:tl2br w:val="nil"/>
              <w:tr2bl w:val="nil"/>
            </w:tcBorders>
            <w:noWrap w:val="0"/>
            <w:vAlign w:val="center"/>
          </w:tcPr>
          <w:p w14:paraId="7A3700E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eastAsia" w:ascii="Times New Roman" w:hAnsi="Times New Roman" w:eastAsia="宋体" w:cs="Times New Roman"/>
                <w:color w:val="auto"/>
                <w:kern w:val="2"/>
                <w:sz w:val="21"/>
                <w:szCs w:val="21"/>
              </w:rPr>
            </w:pPr>
            <w:r>
              <w:rPr>
                <w:rFonts w:hint="eastAsia" w:cs="Times New Roman"/>
                <w:color w:val="auto"/>
                <w:kern w:val="2"/>
                <w:sz w:val="21"/>
                <w:szCs w:val="21"/>
                <w:lang w:val="en-US" w:eastAsia="zh-CN"/>
              </w:rPr>
              <w:t>机械</w:t>
            </w:r>
            <w:r>
              <w:rPr>
                <w:rFonts w:ascii="Times New Roman" w:hAnsi="Times New Roman" w:eastAsia="宋体" w:cs="Times New Roman"/>
                <w:color w:val="auto"/>
                <w:kern w:val="2"/>
                <w:sz w:val="21"/>
                <w:szCs w:val="21"/>
              </w:rPr>
              <w:t>伤害</w:t>
            </w:r>
          </w:p>
        </w:tc>
      </w:tr>
      <w:tr w14:paraId="6FAE2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4DD5CF1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作业场所</w:t>
            </w:r>
          </w:p>
        </w:tc>
        <w:tc>
          <w:tcPr>
            <w:tcW w:w="7906" w:type="dxa"/>
            <w:tcBorders>
              <w:tl2br w:val="nil"/>
              <w:tr2bl w:val="nil"/>
            </w:tcBorders>
            <w:noWrap w:val="0"/>
            <w:vAlign w:val="center"/>
          </w:tcPr>
          <w:p w14:paraId="05B02CC0">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设备的传动、转动部位</w:t>
            </w:r>
          </w:p>
        </w:tc>
      </w:tr>
      <w:tr w14:paraId="2240F1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2" w:hRule="exact"/>
          <w:jc w:val="center"/>
        </w:trPr>
        <w:tc>
          <w:tcPr>
            <w:tcW w:w="1094" w:type="dxa"/>
            <w:tcBorders>
              <w:tl2br w:val="nil"/>
              <w:tr2bl w:val="nil"/>
            </w:tcBorders>
            <w:noWrap w:val="0"/>
            <w:vAlign w:val="center"/>
          </w:tcPr>
          <w:p w14:paraId="1F871B2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危险因素</w:t>
            </w:r>
          </w:p>
        </w:tc>
        <w:tc>
          <w:tcPr>
            <w:tcW w:w="7906" w:type="dxa"/>
            <w:tcBorders>
              <w:tl2br w:val="nil"/>
              <w:tr2bl w:val="nil"/>
            </w:tcBorders>
            <w:noWrap w:val="0"/>
            <w:vAlign w:val="center"/>
          </w:tcPr>
          <w:p w14:paraId="4D686261">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绞、碾、碰、戳、卷缠，伤及人体</w:t>
            </w:r>
          </w:p>
        </w:tc>
      </w:tr>
      <w:tr w14:paraId="1D2D14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3" w:hRule="exact"/>
          <w:jc w:val="center"/>
        </w:trPr>
        <w:tc>
          <w:tcPr>
            <w:tcW w:w="1094" w:type="dxa"/>
            <w:tcBorders>
              <w:tl2br w:val="nil"/>
              <w:tr2bl w:val="nil"/>
            </w:tcBorders>
            <w:noWrap w:val="0"/>
            <w:vAlign w:val="center"/>
          </w:tcPr>
          <w:p w14:paraId="0ABB8A0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触发事件</w:t>
            </w:r>
          </w:p>
        </w:tc>
        <w:tc>
          <w:tcPr>
            <w:tcW w:w="7906" w:type="dxa"/>
            <w:tcBorders>
              <w:tl2br w:val="nil"/>
              <w:tr2bl w:val="nil"/>
            </w:tcBorders>
            <w:noWrap w:val="0"/>
            <w:vAlign w:val="center"/>
          </w:tcPr>
          <w:p w14:paraId="22AB283E">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1、检查、维修设备时，不注意而被碰、割、戳；</w:t>
            </w:r>
          </w:p>
          <w:p w14:paraId="3092EDFF">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2、衣物或擦洗设备时棉纱或手套等被绞入转动设备；</w:t>
            </w:r>
          </w:p>
          <w:p w14:paraId="2E3B0423">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3、旋转部件、管线、加油枪滑动，导致物体撞击伤人；</w:t>
            </w:r>
          </w:p>
          <w:p w14:paraId="428243DB">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4、设备检修时未断电和设立警示标志，误起动造成机械伤害；</w:t>
            </w:r>
          </w:p>
          <w:p w14:paraId="5A2C41DD">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5、突出的机械设备设施部分、工具设备边缘毛刺或锋利处碰伤。</w:t>
            </w:r>
          </w:p>
        </w:tc>
      </w:tr>
      <w:tr w14:paraId="3FC5FD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F36DA3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发生条件</w:t>
            </w:r>
          </w:p>
        </w:tc>
        <w:tc>
          <w:tcPr>
            <w:tcW w:w="7906" w:type="dxa"/>
            <w:tcBorders>
              <w:tl2br w:val="nil"/>
              <w:tr2bl w:val="nil"/>
            </w:tcBorders>
            <w:noWrap w:val="0"/>
            <w:vAlign w:val="center"/>
          </w:tcPr>
          <w:p w14:paraId="767EA66D">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人体碰到转动、移动等运动物体，碰上尖锐物体</w:t>
            </w:r>
          </w:p>
        </w:tc>
      </w:tr>
      <w:tr w14:paraId="5C52A6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2" w:hRule="exact"/>
          <w:jc w:val="center"/>
        </w:trPr>
        <w:tc>
          <w:tcPr>
            <w:tcW w:w="1094" w:type="dxa"/>
            <w:tcBorders>
              <w:tl2br w:val="nil"/>
              <w:tr2bl w:val="nil"/>
            </w:tcBorders>
            <w:noWrap w:val="0"/>
            <w:vAlign w:val="center"/>
          </w:tcPr>
          <w:p w14:paraId="2A7FD81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原因事件</w:t>
            </w:r>
          </w:p>
        </w:tc>
        <w:tc>
          <w:tcPr>
            <w:tcW w:w="7906" w:type="dxa"/>
            <w:tcBorders>
              <w:tl2br w:val="nil"/>
              <w:tr2bl w:val="nil"/>
            </w:tcBorders>
            <w:noWrap w:val="0"/>
            <w:vAlign w:val="center"/>
          </w:tcPr>
          <w:p w14:paraId="6E622DEB">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1、设备机械安全防护装置缺失或有缺陷；</w:t>
            </w:r>
          </w:p>
          <w:p w14:paraId="40CCBF5C">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2、机械设备的保险、信号装置有缺陷；</w:t>
            </w:r>
          </w:p>
          <w:p w14:paraId="6AED5C3D">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3、员工工作时注意力不集中；</w:t>
            </w:r>
          </w:p>
          <w:p w14:paraId="4DC569EE">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3、劳动防护用品未正确穿戴；</w:t>
            </w:r>
          </w:p>
          <w:p w14:paraId="36EB1B0E">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4、违章作业</w:t>
            </w:r>
          </w:p>
        </w:tc>
      </w:tr>
      <w:tr w14:paraId="010F0B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21CBC36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事故后果</w:t>
            </w:r>
          </w:p>
        </w:tc>
        <w:tc>
          <w:tcPr>
            <w:tcW w:w="7906" w:type="dxa"/>
            <w:tcBorders>
              <w:tl2br w:val="nil"/>
              <w:tr2bl w:val="nil"/>
            </w:tcBorders>
            <w:noWrap w:val="0"/>
            <w:vAlign w:val="center"/>
          </w:tcPr>
          <w:p w14:paraId="56C433E7">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color w:val="auto"/>
                <w:spacing w:val="6"/>
                <w:sz w:val="20"/>
                <w:szCs w:val="20"/>
              </w:rPr>
              <w:t>人体伤害</w:t>
            </w:r>
          </w:p>
        </w:tc>
      </w:tr>
      <w:tr w14:paraId="5519A2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2A704E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危险等级</w:t>
            </w:r>
          </w:p>
        </w:tc>
        <w:tc>
          <w:tcPr>
            <w:tcW w:w="7906" w:type="dxa"/>
            <w:tcBorders>
              <w:tl2br w:val="nil"/>
              <w:tr2bl w:val="nil"/>
            </w:tcBorders>
            <w:noWrap w:val="0"/>
            <w:vAlign w:val="center"/>
          </w:tcPr>
          <w:p w14:paraId="5D81B45D">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Ⅱ</w:t>
            </w:r>
          </w:p>
        </w:tc>
      </w:tr>
      <w:tr w14:paraId="57E86C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4" w:hRule="exact"/>
          <w:jc w:val="center"/>
        </w:trPr>
        <w:tc>
          <w:tcPr>
            <w:tcW w:w="1094" w:type="dxa"/>
            <w:tcBorders>
              <w:tl2br w:val="nil"/>
              <w:tr2bl w:val="nil"/>
            </w:tcBorders>
            <w:noWrap w:val="0"/>
            <w:vAlign w:val="center"/>
          </w:tcPr>
          <w:p w14:paraId="27A3C86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防范措施</w:t>
            </w:r>
          </w:p>
        </w:tc>
        <w:tc>
          <w:tcPr>
            <w:tcW w:w="7906" w:type="dxa"/>
            <w:tcBorders>
              <w:tl2br w:val="nil"/>
              <w:tr2bl w:val="nil"/>
            </w:tcBorders>
            <w:noWrap w:val="0"/>
            <w:vAlign w:val="center"/>
          </w:tcPr>
          <w:p w14:paraId="108F2C67">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1、加油机设备设置的防护罩不允许随意打开；</w:t>
            </w:r>
          </w:p>
          <w:p w14:paraId="577A18AC">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2、工作时注意力要集中，要注意观察；</w:t>
            </w:r>
          </w:p>
          <w:p w14:paraId="2E6D5BBB">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3、正确穿戴好劳动防护用品；</w:t>
            </w:r>
          </w:p>
          <w:p w14:paraId="7A10C269">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4、作业过程中严格遵守操作规程；</w:t>
            </w:r>
          </w:p>
          <w:p w14:paraId="2B4638A9">
            <w:pPr>
              <w:keepNext w:val="0"/>
              <w:keepLines w:val="0"/>
              <w:pageBreakBefore w:val="0"/>
              <w:widowControl w:val="0"/>
              <w:kinsoku/>
              <w:wordWrap/>
              <w:overflowPunct/>
              <w:topLinePunct w:val="0"/>
              <w:autoSpaceDE/>
              <w:autoSpaceDN/>
              <w:bidi w:val="0"/>
              <w:adjustRightInd/>
              <w:snapToGrid/>
              <w:spacing w:line="240" w:lineRule="exact"/>
              <w:ind w:firstLine="0" w:firstLineChars="0"/>
              <w:jc w:val="both"/>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5、机器设备要定期检查、检修，保证其完好状态。</w:t>
            </w:r>
          </w:p>
        </w:tc>
      </w:tr>
      <w:tr w14:paraId="2DA65A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9000" w:type="dxa"/>
            <w:gridSpan w:val="2"/>
            <w:tcBorders>
              <w:tl2br w:val="nil"/>
              <w:tr2bl w:val="nil"/>
            </w:tcBorders>
            <w:noWrap w:val="0"/>
            <w:vAlign w:val="center"/>
          </w:tcPr>
          <w:p w14:paraId="2E11A5B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五</w:t>
            </w:r>
          </w:p>
        </w:tc>
      </w:tr>
      <w:tr w14:paraId="137997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0213A58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潜在事故</w:t>
            </w:r>
          </w:p>
        </w:tc>
        <w:tc>
          <w:tcPr>
            <w:tcW w:w="7906" w:type="dxa"/>
            <w:tcBorders>
              <w:tl2br w:val="nil"/>
              <w:tr2bl w:val="nil"/>
            </w:tcBorders>
            <w:noWrap w:val="0"/>
            <w:vAlign w:val="center"/>
          </w:tcPr>
          <w:p w14:paraId="3CD1962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物体打击</w:t>
            </w:r>
          </w:p>
        </w:tc>
      </w:tr>
      <w:tr w14:paraId="13A01C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655CAD3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作业场所</w:t>
            </w:r>
          </w:p>
        </w:tc>
        <w:tc>
          <w:tcPr>
            <w:tcW w:w="7906" w:type="dxa"/>
            <w:tcBorders>
              <w:tl2br w:val="nil"/>
              <w:tr2bl w:val="nil"/>
            </w:tcBorders>
            <w:noWrap w:val="0"/>
            <w:vAlign w:val="center"/>
          </w:tcPr>
          <w:p w14:paraId="4019AB6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eastAsia" w:ascii="Times New Roman" w:hAnsi="Times New Roman" w:eastAsia="宋体" w:cs="Times New Roman"/>
                <w:color w:val="auto"/>
                <w:kern w:val="2"/>
                <w:sz w:val="21"/>
                <w:szCs w:val="21"/>
              </w:rPr>
            </w:pPr>
            <w:r>
              <w:rPr>
                <w:color w:val="auto"/>
                <w:spacing w:val="9"/>
                <w:sz w:val="20"/>
                <w:szCs w:val="20"/>
              </w:rPr>
              <w:t>加油区域、公用工程设备场所</w:t>
            </w:r>
          </w:p>
        </w:tc>
      </w:tr>
      <w:tr w14:paraId="2EF3F2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6109A0D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危险因素</w:t>
            </w:r>
          </w:p>
        </w:tc>
        <w:tc>
          <w:tcPr>
            <w:tcW w:w="7906" w:type="dxa"/>
            <w:tcBorders>
              <w:tl2br w:val="nil"/>
              <w:tr2bl w:val="nil"/>
            </w:tcBorders>
            <w:noWrap w:val="0"/>
            <w:vAlign w:val="center"/>
          </w:tcPr>
          <w:p w14:paraId="32FA405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color w:val="auto"/>
                <w:spacing w:val="8"/>
                <w:sz w:val="20"/>
                <w:szCs w:val="20"/>
              </w:rPr>
              <w:t>物体坠落或飞出</w:t>
            </w:r>
          </w:p>
        </w:tc>
      </w:tr>
      <w:tr w14:paraId="4711D8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3EF9368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触发事件</w:t>
            </w:r>
          </w:p>
        </w:tc>
        <w:tc>
          <w:tcPr>
            <w:tcW w:w="7906" w:type="dxa"/>
            <w:tcBorders>
              <w:tl2br w:val="nil"/>
              <w:tr2bl w:val="nil"/>
            </w:tcBorders>
            <w:noWrap w:val="0"/>
            <w:vAlign w:val="center"/>
          </w:tcPr>
          <w:p w14:paraId="794981C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物体坠落或飞出击中人体</w:t>
            </w:r>
          </w:p>
        </w:tc>
      </w:tr>
      <w:tr w14:paraId="7199A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76450AF4">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发生条件</w:t>
            </w:r>
          </w:p>
        </w:tc>
        <w:tc>
          <w:tcPr>
            <w:tcW w:w="7906" w:type="dxa"/>
            <w:tcBorders>
              <w:tl2br w:val="nil"/>
              <w:tr2bl w:val="nil"/>
            </w:tcBorders>
            <w:noWrap w:val="0"/>
            <w:vAlign w:val="center"/>
          </w:tcPr>
          <w:p w14:paraId="5CF06D3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eastAsia"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高处物体未固定、固定不牢或被碰撞</w:t>
            </w:r>
          </w:p>
        </w:tc>
      </w:tr>
      <w:tr w14:paraId="2C110E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43" w:hRule="exact"/>
          <w:jc w:val="center"/>
        </w:trPr>
        <w:tc>
          <w:tcPr>
            <w:tcW w:w="1094" w:type="dxa"/>
            <w:tcBorders>
              <w:tl2br w:val="nil"/>
              <w:tr2bl w:val="nil"/>
            </w:tcBorders>
            <w:noWrap w:val="0"/>
            <w:vAlign w:val="center"/>
          </w:tcPr>
          <w:p w14:paraId="51E4CE05">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原因事件</w:t>
            </w:r>
          </w:p>
        </w:tc>
        <w:tc>
          <w:tcPr>
            <w:tcW w:w="7906" w:type="dxa"/>
            <w:tcBorders>
              <w:tl2br w:val="nil"/>
              <w:tr2bl w:val="nil"/>
            </w:tcBorders>
            <w:noWrap w:val="0"/>
            <w:vAlign w:val="center"/>
          </w:tcPr>
          <w:p w14:paraId="2C7C798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1、高处有未被固定的物体被碰撞或风吹等坠落；</w:t>
            </w:r>
          </w:p>
          <w:p w14:paraId="7CEFC83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2、工具、器具等上下抛掷；</w:t>
            </w:r>
          </w:p>
          <w:p w14:paraId="417BD40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3、起重吊装作业，因捆扎不牢或有浮物，或吊具强度不够或斜吊斜拉致使物体倾斜；</w:t>
            </w:r>
          </w:p>
          <w:p w14:paraId="78F9AE31">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4、设施倒塌；</w:t>
            </w:r>
          </w:p>
          <w:p w14:paraId="5BE1C61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5、发生爆炸事故，碎片抛掷、飞散；</w:t>
            </w:r>
          </w:p>
          <w:p w14:paraId="535EC7A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6、施工、检修时检修工具未握牢脱手或作业场所空间不足，碰撞到其它物体造成工具飞出等。</w:t>
            </w:r>
          </w:p>
        </w:tc>
      </w:tr>
      <w:tr w14:paraId="1794D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4F4B077D">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事故后果</w:t>
            </w:r>
          </w:p>
        </w:tc>
        <w:tc>
          <w:tcPr>
            <w:tcW w:w="7906" w:type="dxa"/>
            <w:tcBorders>
              <w:tl2br w:val="nil"/>
              <w:tr2bl w:val="nil"/>
            </w:tcBorders>
            <w:noWrap w:val="0"/>
            <w:vAlign w:val="center"/>
          </w:tcPr>
          <w:p w14:paraId="21034542">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人员伤亡</w:t>
            </w:r>
          </w:p>
        </w:tc>
      </w:tr>
      <w:tr w14:paraId="5DC76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1094" w:type="dxa"/>
            <w:tcBorders>
              <w:tl2br w:val="nil"/>
              <w:tr2bl w:val="nil"/>
            </w:tcBorders>
            <w:noWrap w:val="0"/>
            <w:vAlign w:val="center"/>
          </w:tcPr>
          <w:p w14:paraId="165DF72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危险等级</w:t>
            </w:r>
          </w:p>
        </w:tc>
        <w:tc>
          <w:tcPr>
            <w:tcW w:w="7906" w:type="dxa"/>
            <w:tcBorders>
              <w:tl2br w:val="nil"/>
              <w:tr2bl w:val="nil"/>
            </w:tcBorders>
            <w:noWrap w:val="0"/>
            <w:vAlign w:val="center"/>
          </w:tcPr>
          <w:p w14:paraId="30FD780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Ⅱ</w:t>
            </w:r>
          </w:p>
        </w:tc>
      </w:tr>
      <w:tr w14:paraId="2E23E0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13" w:hRule="exact"/>
          <w:jc w:val="center"/>
        </w:trPr>
        <w:tc>
          <w:tcPr>
            <w:tcW w:w="1094" w:type="dxa"/>
            <w:tcBorders>
              <w:tl2br w:val="nil"/>
              <w:tr2bl w:val="nil"/>
            </w:tcBorders>
            <w:noWrap w:val="0"/>
            <w:vAlign w:val="center"/>
          </w:tcPr>
          <w:p w14:paraId="4AF62E8F">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防范措施</w:t>
            </w:r>
          </w:p>
        </w:tc>
        <w:tc>
          <w:tcPr>
            <w:tcW w:w="7906" w:type="dxa"/>
            <w:tcBorders>
              <w:tl2br w:val="nil"/>
              <w:tr2bl w:val="nil"/>
            </w:tcBorders>
            <w:noWrap w:val="0"/>
            <w:vAlign w:val="center"/>
          </w:tcPr>
          <w:p w14:paraId="55E237E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w:t>
            </w:r>
            <w:r>
              <w:rPr>
                <w:rFonts w:hint="eastAsia" w:ascii="Times New Roman" w:hAnsi="Times New Roman" w:eastAsia="宋体" w:cs="Times New Roman"/>
                <w:color w:val="auto"/>
                <w:kern w:val="2"/>
                <w:sz w:val="21"/>
                <w:szCs w:val="21"/>
              </w:rPr>
              <w:t>、避免起重、高处作业区和其它有坠落危险区域行进和停留；</w:t>
            </w:r>
          </w:p>
          <w:p w14:paraId="301F5D4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w:t>
            </w:r>
            <w:r>
              <w:rPr>
                <w:rFonts w:hint="eastAsia" w:ascii="Times New Roman" w:hAnsi="Times New Roman" w:eastAsia="宋体" w:cs="Times New Roman"/>
                <w:color w:val="auto"/>
                <w:kern w:val="2"/>
                <w:sz w:val="21"/>
                <w:szCs w:val="21"/>
              </w:rPr>
              <w:t>、高处需要的物件必须合理摆放并固定牢靠；</w:t>
            </w:r>
          </w:p>
          <w:p w14:paraId="479BDD4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w:t>
            </w:r>
            <w:r>
              <w:rPr>
                <w:rFonts w:hint="eastAsia" w:ascii="Times New Roman" w:hAnsi="Times New Roman" w:eastAsia="宋体" w:cs="Times New Roman"/>
                <w:color w:val="auto"/>
                <w:kern w:val="2"/>
                <w:sz w:val="21"/>
                <w:szCs w:val="21"/>
              </w:rPr>
              <w:t>、及时清除、加固可能倒塌的设施；</w:t>
            </w:r>
          </w:p>
          <w:p w14:paraId="4D2463C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w:t>
            </w:r>
            <w:r>
              <w:rPr>
                <w:rFonts w:hint="eastAsia" w:ascii="Times New Roman" w:hAnsi="Times New Roman" w:eastAsia="宋体" w:cs="Times New Roman"/>
                <w:color w:val="auto"/>
                <w:kern w:val="2"/>
                <w:sz w:val="21"/>
                <w:szCs w:val="21"/>
              </w:rPr>
              <w:t>、保证检修作业场所、吊装场所有足够的空间；</w:t>
            </w:r>
          </w:p>
          <w:p w14:paraId="21F0F56E">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5</w:t>
            </w:r>
            <w:r>
              <w:rPr>
                <w:rFonts w:hint="eastAsia" w:ascii="Times New Roman" w:hAnsi="Times New Roman" w:eastAsia="宋体" w:cs="Times New Roman"/>
                <w:color w:val="auto"/>
                <w:kern w:val="2"/>
                <w:sz w:val="21"/>
                <w:szCs w:val="21"/>
              </w:rPr>
              <w:t>、设立警示标志；</w:t>
            </w:r>
          </w:p>
          <w:p w14:paraId="5537044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w:t>
            </w:r>
            <w:r>
              <w:rPr>
                <w:rFonts w:hint="eastAsia" w:ascii="Times New Roman" w:hAnsi="Times New Roman" w:eastAsia="宋体" w:cs="Times New Roman"/>
                <w:color w:val="auto"/>
                <w:kern w:val="2"/>
                <w:sz w:val="21"/>
                <w:szCs w:val="21"/>
              </w:rPr>
              <w:t>、加强对员工的安全意识教育，杜绝“三违”；</w:t>
            </w:r>
          </w:p>
          <w:p w14:paraId="0694757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7</w:t>
            </w:r>
            <w:r>
              <w:rPr>
                <w:rFonts w:hint="eastAsia" w:ascii="Times New Roman" w:hAnsi="Times New Roman" w:eastAsia="宋体" w:cs="Times New Roman"/>
                <w:color w:val="auto"/>
                <w:kern w:val="2"/>
                <w:sz w:val="21"/>
                <w:szCs w:val="21"/>
              </w:rPr>
              <w:t>、加强防止物体打击的检查和安全管理工作；</w:t>
            </w:r>
          </w:p>
          <w:p w14:paraId="79F73C1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8</w:t>
            </w:r>
            <w:r>
              <w:rPr>
                <w:rFonts w:hint="eastAsia" w:ascii="Times New Roman" w:hAnsi="Times New Roman" w:eastAsia="宋体" w:cs="Times New Roman"/>
                <w:color w:val="auto"/>
                <w:kern w:val="2"/>
                <w:sz w:val="21"/>
                <w:szCs w:val="21"/>
              </w:rPr>
              <w:t>、作业人员、进入现场的其他人员都应穿戴必要的防护用品，特别是安全帽；</w:t>
            </w:r>
          </w:p>
          <w:p w14:paraId="61D8A08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9</w:t>
            </w:r>
            <w:r>
              <w:rPr>
                <w:rFonts w:hint="eastAsia" w:ascii="Times New Roman" w:hAnsi="Times New Roman" w:eastAsia="宋体" w:cs="Times New Roman"/>
                <w:color w:val="auto"/>
                <w:kern w:val="2"/>
                <w:sz w:val="21"/>
                <w:szCs w:val="21"/>
              </w:rPr>
              <w:t>、交叉作业时应设立相应的警示标志。必要时采取相应的围护。</w:t>
            </w:r>
          </w:p>
        </w:tc>
      </w:tr>
      <w:tr w14:paraId="150F63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9000" w:type="dxa"/>
            <w:gridSpan w:val="2"/>
            <w:tcBorders>
              <w:tl2br w:val="nil"/>
              <w:tr2bl w:val="nil"/>
            </w:tcBorders>
            <w:noWrap w:val="0"/>
            <w:vAlign w:val="center"/>
          </w:tcPr>
          <w:p w14:paraId="1D8581A0">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Times New Roman" w:hAnsi="Times New Roman" w:eastAsia="宋体" w:cs="Times New Roman"/>
                <w:color w:val="auto"/>
                <w:kern w:val="2"/>
                <w:sz w:val="21"/>
                <w:szCs w:val="21"/>
                <w:lang w:eastAsia="zh-CN"/>
              </w:rPr>
            </w:pPr>
            <w:r>
              <w:rPr>
                <w:rFonts w:hint="eastAsia" w:cs="Times New Roman"/>
                <w:color w:val="auto"/>
                <w:kern w:val="2"/>
                <w:sz w:val="21"/>
                <w:szCs w:val="21"/>
                <w:lang w:val="en-US" w:eastAsia="zh-CN"/>
              </w:rPr>
              <w:t>六</w:t>
            </w:r>
          </w:p>
        </w:tc>
      </w:tr>
      <w:tr w14:paraId="1AA8DF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7" w:hRule="exact"/>
          <w:jc w:val="center"/>
        </w:trPr>
        <w:tc>
          <w:tcPr>
            <w:tcW w:w="1094" w:type="dxa"/>
            <w:tcBorders>
              <w:tl2br w:val="nil"/>
              <w:tr2bl w:val="nil"/>
            </w:tcBorders>
            <w:noWrap w:val="0"/>
            <w:vAlign w:val="center"/>
          </w:tcPr>
          <w:p w14:paraId="320DA30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潜在事故</w:t>
            </w:r>
          </w:p>
        </w:tc>
        <w:tc>
          <w:tcPr>
            <w:tcW w:w="7906" w:type="dxa"/>
            <w:tcBorders>
              <w:tl2br w:val="nil"/>
              <w:tr2bl w:val="nil"/>
            </w:tcBorders>
            <w:noWrap w:val="0"/>
            <w:vAlign w:val="center"/>
          </w:tcPr>
          <w:p w14:paraId="48352E9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中毒</w:t>
            </w:r>
            <w:r>
              <w:rPr>
                <w:rFonts w:hint="eastAsia" w:ascii="Times New Roman" w:hAnsi="Times New Roman" w:eastAsia="宋体" w:cs="Times New Roman"/>
                <w:color w:val="auto"/>
                <w:kern w:val="2"/>
                <w:sz w:val="21"/>
                <w:szCs w:val="21"/>
              </w:rPr>
              <w:t>和</w:t>
            </w:r>
            <w:r>
              <w:rPr>
                <w:rFonts w:ascii="Times New Roman" w:hAnsi="Times New Roman" w:eastAsia="宋体" w:cs="Times New Roman"/>
                <w:color w:val="auto"/>
                <w:kern w:val="2"/>
                <w:sz w:val="21"/>
                <w:szCs w:val="21"/>
              </w:rPr>
              <w:t>窒息</w:t>
            </w:r>
          </w:p>
        </w:tc>
      </w:tr>
      <w:tr w14:paraId="435FE2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1" w:hRule="exact"/>
          <w:jc w:val="center"/>
        </w:trPr>
        <w:tc>
          <w:tcPr>
            <w:tcW w:w="1094" w:type="dxa"/>
            <w:tcBorders>
              <w:tl2br w:val="nil"/>
              <w:tr2bl w:val="nil"/>
            </w:tcBorders>
            <w:noWrap w:val="0"/>
            <w:vAlign w:val="center"/>
          </w:tcPr>
          <w:p w14:paraId="5489EB3E">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作业场所</w:t>
            </w:r>
          </w:p>
        </w:tc>
        <w:tc>
          <w:tcPr>
            <w:tcW w:w="7906" w:type="dxa"/>
            <w:tcBorders>
              <w:tl2br w:val="nil"/>
              <w:tr2bl w:val="nil"/>
            </w:tcBorders>
            <w:noWrap w:val="0"/>
            <w:vAlign w:val="center"/>
          </w:tcPr>
          <w:p w14:paraId="43CE2E1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hint="default" w:ascii="Times New Roman" w:hAnsi="Times New Roman" w:eastAsia="宋体" w:cs="Times New Roman"/>
                <w:color w:val="auto"/>
                <w:kern w:val="2"/>
                <w:sz w:val="21"/>
                <w:szCs w:val="21"/>
                <w:lang w:val="en-US" w:eastAsia="zh-CN"/>
              </w:rPr>
            </w:pPr>
            <w:r>
              <w:rPr>
                <w:rFonts w:hint="eastAsia" w:cs="Times New Roman"/>
                <w:color w:val="auto"/>
                <w:kern w:val="2"/>
                <w:sz w:val="21"/>
                <w:szCs w:val="21"/>
                <w:lang w:val="en-US" w:eastAsia="zh-CN"/>
              </w:rPr>
              <w:t>撬装装置内部</w:t>
            </w:r>
          </w:p>
        </w:tc>
      </w:tr>
      <w:tr w14:paraId="6DD8CE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exact"/>
          <w:jc w:val="center"/>
        </w:trPr>
        <w:tc>
          <w:tcPr>
            <w:tcW w:w="1094" w:type="dxa"/>
            <w:tcBorders>
              <w:tl2br w:val="nil"/>
              <w:tr2bl w:val="nil"/>
            </w:tcBorders>
            <w:noWrap w:val="0"/>
            <w:vAlign w:val="center"/>
          </w:tcPr>
          <w:p w14:paraId="141F7E5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危险因素</w:t>
            </w:r>
          </w:p>
        </w:tc>
        <w:tc>
          <w:tcPr>
            <w:tcW w:w="7906" w:type="dxa"/>
            <w:tcBorders>
              <w:tl2br w:val="nil"/>
              <w:tr2bl w:val="nil"/>
            </w:tcBorders>
            <w:noWrap w:val="0"/>
            <w:vAlign w:val="center"/>
          </w:tcPr>
          <w:p w14:paraId="2DE6D21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油品物料泄漏；储罐设备内作业、抢修作业时接触窒息性场所。</w:t>
            </w:r>
          </w:p>
        </w:tc>
      </w:tr>
      <w:tr w14:paraId="66F49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094" w:type="dxa"/>
            <w:tcBorders>
              <w:tl2br w:val="nil"/>
              <w:tr2bl w:val="nil"/>
            </w:tcBorders>
            <w:noWrap w:val="0"/>
            <w:vAlign w:val="center"/>
          </w:tcPr>
          <w:p w14:paraId="1EA3B04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触发事件</w:t>
            </w:r>
          </w:p>
        </w:tc>
        <w:tc>
          <w:tcPr>
            <w:tcW w:w="7906" w:type="dxa"/>
            <w:tcBorders>
              <w:tl2br w:val="nil"/>
              <w:tr2bl w:val="nil"/>
            </w:tcBorders>
            <w:noWrap w:val="0"/>
            <w:vAlign w:val="center"/>
          </w:tcPr>
          <w:p w14:paraId="2D8B4F7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1、柴油物质的气体泄漏空间且有积聚；</w:t>
            </w:r>
          </w:p>
          <w:p w14:paraId="3341ACFC">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2、设备内作业时柴油有害物料未彻底清洗干净，通风不良，与有害物质连通的管道未进行有效的隔绝等；</w:t>
            </w:r>
          </w:p>
          <w:p w14:paraId="3A2D817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3、在容器内作业时缺氧。</w:t>
            </w:r>
          </w:p>
        </w:tc>
      </w:tr>
      <w:tr w14:paraId="55470B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094" w:type="dxa"/>
            <w:tcBorders>
              <w:tl2br w:val="nil"/>
              <w:tr2bl w:val="nil"/>
            </w:tcBorders>
            <w:noWrap w:val="0"/>
            <w:vAlign w:val="center"/>
          </w:tcPr>
          <w:p w14:paraId="6B439B4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发生条件</w:t>
            </w:r>
          </w:p>
        </w:tc>
        <w:tc>
          <w:tcPr>
            <w:tcW w:w="7906" w:type="dxa"/>
            <w:tcBorders>
              <w:tl2br w:val="nil"/>
              <w:tr2bl w:val="nil"/>
            </w:tcBorders>
            <w:noWrap w:val="0"/>
            <w:vAlign w:val="center"/>
          </w:tcPr>
          <w:p w14:paraId="23C1DDAD">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1、油品物料超过容许浓度；</w:t>
            </w:r>
          </w:p>
          <w:p w14:paraId="42253E6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2、有害物质摄入体内；</w:t>
            </w:r>
          </w:p>
          <w:p w14:paraId="540F00A6">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3、缺氧。</w:t>
            </w:r>
          </w:p>
        </w:tc>
      </w:tr>
      <w:tr w14:paraId="7FEB8B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1094" w:type="dxa"/>
            <w:tcBorders>
              <w:tl2br w:val="nil"/>
              <w:tr2bl w:val="nil"/>
            </w:tcBorders>
            <w:noWrap w:val="0"/>
            <w:vAlign w:val="center"/>
          </w:tcPr>
          <w:p w14:paraId="0119A41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原因事件</w:t>
            </w:r>
          </w:p>
        </w:tc>
        <w:tc>
          <w:tcPr>
            <w:tcW w:w="7906" w:type="dxa"/>
            <w:tcBorders>
              <w:tl2br w:val="nil"/>
              <w:tr2bl w:val="nil"/>
            </w:tcBorders>
            <w:noWrap w:val="0"/>
            <w:vAlign w:val="center"/>
          </w:tcPr>
          <w:p w14:paraId="541EABF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1、油品物质局部浓度超标；</w:t>
            </w:r>
          </w:p>
          <w:p w14:paraId="37C9C3B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2、通风不良；</w:t>
            </w:r>
          </w:p>
          <w:p w14:paraId="3BE01AF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3、缺乏泄漏物料的危险、有害特性及其应急预防方法的知识；</w:t>
            </w:r>
          </w:p>
          <w:p w14:paraId="1DA7DFA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4、作业人员不清楚泄漏物料的种类，应急不当；</w:t>
            </w:r>
          </w:p>
          <w:p w14:paraId="739961CB">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6、未戴防护用品；</w:t>
            </w:r>
          </w:p>
          <w:p w14:paraId="440BE8C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7、在作业场所进食、饮水等引起误服；</w:t>
            </w:r>
          </w:p>
          <w:p w14:paraId="2E8AE24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8、救护不当；</w:t>
            </w:r>
          </w:p>
          <w:p w14:paraId="5A0C83A8">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9、在缺氧、窒息场所作业时无人监护。</w:t>
            </w:r>
          </w:p>
        </w:tc>
      </w:tr>
      <w:tr w14:paraId="01752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0" w:hRule="exact"/>
          <w:jc w:val="center"/>
        </w:trPr>
        <w:tc>
          <w:tcPr>
            <w:tcW w:w="1094" w:type="dxa"/>
            <w:tcBorders>
              <w:tl2br w:val="nil"/>
              <w:tr2bl w:val="nil"/>
            </w:tcBorders>
            <w:noWrap w:val="0"/>
            <w:vAlign w:val="center"/>
          </w:tcPr>
          <w:p w14:paraId="319E616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事故后果</w:t>
            </w:r>
          </w:p>
        </w:tc>
        <w:tc>
          <w:tcPr>
            <w:tcW w:w="7906" w:type="dxa"/>
            <w:tcBorders>
              <w:tl2br w:val="nil"/>
              <w:tr2bl w:val="nil"/>
            </w:tcBorders>
            <w:noWrap w:val="0"/>
            <w:vAlign w:val="center"/>
          </w:tcPr>
          <w:p w14:paraId="46D59DA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人员伤亡</w:t>
            </w:r>
          </w:p>
        </w:tc>
      </w:tr>
      <w:tr w14:paraId="13E1DB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8" w:hRule="exact"/>
          <w:jc w:val="center"/>
        </w:trPr>
        <w:tc>
          <w:tcPr>
            <w:tcW w:w="1094" w:type="dxa"/>
            <w:tcBorders>
              <w:tl2br w:val="nil"/>
              <w:tr2bl w:val="nil"/>
            </w:tcBorders>
            <w:noWrap w:val="0"/>
            <w:vAlign w:val="center"/>
          </w:tcPr>
          <w:p w14:paraId="36719F09">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危险等级</w:t>
            </w:r>
          </w:p>
        </w:tc>
        <w:tc>
          <w:tcPr>
            <w:tcW w:w="7906" w:type="dxa"/>
            <w:tcBorders>
              <w:tl2br w:val="nil"/>
              <w:tr2bl w:val="nil"/>
            </w:tcBorders>
            <w:noWrap w:val="0"/>
            <w:vAlign w:val="center"/>
          </w:tcPr>
          <w:p w14:paraId="18415A39">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hint="eastAsia" w:ascii="Times New Roman" w:hAnsi="Times New Roman" w:eastAsia="宋体" w:cs="Times New Roman"/>
                <w:color w:val="auto"/>
                <w:kern w:val="2"/>
                <w:sz w:val="21"/>
                <w:szCs w:val="21"/>
              </w:rPr>
              <w:t>Ⅱ</w:t>
            </w:r>
          </w:p>
        </w:tc>
      </w:tr>
      <w:tr w14:paraId="4824A3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1094" w:type="dxa"/>
            <w:tcBorders>
              <w:tl2br w:val="nil"/>
              <w:tr2bl w:val="nil"/>
            </w:tcBorders>
            <w:noWrap w:val="0"/>
            <w:vAlign w:val="center"/>
          </w:tcPr>
          <w:p w14:paraId="46E96CD2">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防范措施</w:t>
            </w:r>
          </w:p>
        </w:tc>
        <w:tc>
          <w:tcPr>
            <w:tcW w:w="7906" w:type="dxa"/>
            <w:tcBorders>
              <w:tl2br w:val="nil"/>
              <w:tr2bl w:val="nil"/>
            </w:tcBorders>
            <w:noWrap w:val="0"/>
            <w:vAlign w:val="center"/>
          </w:tcPr>
          <w:p w14:paraId="42AC03A4">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1、加强检查、检测油品物质有否跑、冒、滴、漏；</w:t>
            </w:r>
          </w:p>
          <w:p w14:paraId="0760491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2、教育、培训职工掌握有关油品的特性，预防中毒、窒息的方法及其急救法；</w:t>
            </w:r>
          </w:p>
          <w:p w14:paraId="2ACE9E90">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3、制定安全技术规程及作业安全规程；</w:t>
            </w:r>
          </w:p>
          <w:p w14:paraId="2A7841E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4、定期检修、维护保养，保持设备完好；检修油罐时，应与其他设备或管道隔断，彻底清洗干净，并检测含氧量到（18～22%），合格后方可作业；作业时，穿戴劳动防护用品，有人监护并有抢救后备措施；</w:t>
            </w:r>
          </w:p>
          <w:p w14:paraId="7EB0027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5、要求职工严格遵守各种规章制度、操作规程、作业规程；</w:t>
            </w:r>
          </w:p>
          <w:p w14:paraId="2AB2E80A">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6、配备相应的防护器材、急救药品；</w:t>
            </w:r>
          </w:p>
          <w:p w14:paraId="50189575">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Times New Roman" w:hAnsi="Times New Roman" w:eastAsia="宋体" w:cs="Times New Roman"/>
                <w:color w:val="auto"/>
                <w:kern w:val="2"/>
                <w:sz w:val="21"/>
                <w:szCs w:val="21"/>
              </w:rPr>
            </w:pPr>
            <w:r>
              <w:rPr>
                <w:rFonts w:ascii="Times New Roman" w:hAnsi="Times New Roman" w:eastAsia="宋体" w:cs="Times New Roman"/>
                <w:color w:val="auto"/>
                <w:kern w:val="2"/>
                <w:sz w:val="21"/>
                <w:szCs w:val="21"/>
              </w:rPr>
              <w:t>7、制定应急预案，抢救时勿忘正确使用防毒面具及其它防护用品。</w:t>
            </w:r>
          </w:p>
        </w:tc>
      </w:tr>
    </w:tbl>
    <w:p w14:paraId="2C94D5A8">
      <w:pPr>
        <w:bidi w:val="0"/>
        <w:rPr>
          <w:rFonts w:hint="default"/>
          <w:color w:val="auto"/>
          <w:lang w:val="en-US" w:eastAsia="zh-CN"/>
        </w:rPr>
      </w:pPr>
      <w:r>
        <w:rPr>
          <w:rFonts w:hint="default"/>
          <w:color w:val="auto"/>
          <w:lang w:val="en-US" w:eastAsia="zh-CN"/>
        </w:rPr>
        <w:t>评价小结：</w:t>
      </w:r>
    </w:p>
    <w:p w14:paraId="10733940">
      <w:pPr>
        <w:bidi w:val="0"/>
        <w:rPr>
          <w:rFonts w:hint="default"/>
          <w:color w:val="auto"/>
          <w:lang w:val="en-US" w:eastAsia="zh-CN"/>
        </w:rPr>
      </w:pPr>
      <w:r>
        <w:rPr>
          <w:rFonts w:hint="default"/>
          <w:color w:val="auto"/>
          <w:lang w:val="en-US" w:eastAsia="zh-CN"/>
        </w:rPr>
        <w:t>通过预先危险分析，</w:t>
      </w:r>
      <w:r>
        <w:rPr>
          <w:rFonts w:hint="eastAsia"/>
          <w:color w:val="auto"/>
          <w:lang w:val="en-US" w:eastAsia="zh-CN"/>
        </w:rPr>
        <w:t>本项目橇装装置主要危险为火灾、触电、车辆伤害、机械伤害、物体打击、中毒和窒息等危险等级均为Ⅱ级（临界的），处于事故的边缘状态，暂时还不会造成人员伤亡、系统损坏降低系统性能，但应予排除或采取控制措施。</w:t>
      </w:r>
    </w:p>
    <w:p w14:paraId="5871667E">
      <w:pPr>
        <w:pStyle w:val="3"/>
        <w:bidi w:val="0"/>
        <w:rPr>
          <w:rFonts w:hint="eastAsia"/>
          <w:color w:val="auto"/>
          <w:lang w:val="en-US" w:eastAsia="zh-CN"/>
        </w:rPr>
      </w:pPr>
      <w:bookmarkStart w:id="262" w:name="_Toc953"/>
      <w:bookmarkStart w:id="263" w:name="_Toc856"/>
      <w:bookmarkStart w:id="264" w:name="_Toc4617"/>
      <w:bookmarkStart w:id="265" w:name="_Toc3827"/>
      <w:r>
        <w:rPr>
          <w:rFonts w:hint="eastAsia"/>
          <w:color w:val="auto"/>
          <w:lang w:val="en-US" w:eastAsia="zh-CN"/>
        </w:rPr>
        <w:t>3.3 危险度评价</w:t>
      </w:r>
      <w:bookmarkEnd w:id="262"/>
      <w:bookmarkEnd w:id="263"/>
      <w:bookmarkEnd w:id="264"/>
      <w:bookmarkEnd w:id="265"/>
    </w:p>
    <w:p w14:paraId="6DA55E67">
      <w:pPr>
        <w:rPr>
          <w:rFonts w:hint="default"/>
          <w:color w:val="auto"/>
          <w:lang w:val="en-US" w:eastAsia="zh-CN"/>
        </w:rPr>
      </w:pPr>
      <w:r>
        <w:rPr>
          <w:rFonts w:hint="default"/>
          <w:color w:val="auto"/>
          <w:lang w:val="en-US" w:eastAsia="zh-CN"/>
        </w:rPr>
        <w:t>本评价单元分为橇装加油装置。</w:t>
      </w:r>
    </w:p>
    <w:p w14:paraId="0D79199D">
      <w:pPr>
        <w:rPr>
          <w:rFonts w:hint="default"/>
          <w:b/>
          <w:bCs/>
          <w:color w:val="auto"/>
          <w:lang w:val="en-US" w:eastAsia="zh-CN"/>
        </w:rPr>
      </w:pPr>
      <w:r>
        <w:rPr>
          <w:rFonts w:hint="eastAsia"/>
          <w:b/>
          <w:bCs/>
          <w:color w:val="auto"/>
          <w:lang w:val="en-US" w:eastAsia="zh-CN"/>
        </w:rPr>
        <w:t>一、采矿场撬装加油站</w:t>
      </w:r>
    </w:p>
    <w:p w14:paraId="30B9663F">
      <w:pPr>
        <w:rPr>
          <w:rFonts w:hint="default"/>
          <w:color w:val="auto"/>
          <w:lang w:val="en-US" w:eastAsia="zh-CN"/>
        </w:rPr>
      </w:pPr>
      <w:r>
        <w:rPr>
          <w:rFonts w:hint="default"/>
          <w:color w:val="auto"/>
          <w:lang w:val="en-US" w:eastAsia="zh-CN"/>
        </w:rPr>
        <w:t>橇装加油装置主要危险物质为柴油，属丙</w:t>
      </w:r>
      <w:r>
        <w:rPr>
          <w:rFonts w:hint="default"/>
          <w:color w:val="auto"/>
          <w:vertAlign w:val="subscript"/>
          <w:lang w:val="en-US" w:eastAsia="zh-CN"/>
        </w:rPr>
        <w:t>A</w:t>
      </w:r>
      <w:r>
        <w:rPr>
          <w:rFonts w:hint="default"/>
          <w:color w:val="auto"/>
          <w:lang w:val="en-US" w:eastAsia="zh-CN"/>
        </w:rPr>
        <w:t>类易燃液体，故物质取5分；</w:t>
      </w:r>
    </w:p>
    <w:p w14:paraId="7C258D25">
      <w:pPr>
        <w:rPr>
          <w:rFonts w:hint="default"/>
          <w:color w:val="auto"/>
          <w:lang w:val="en-US" w:eastAsia="zh-CN"/>
        </w:rPr>
      </w:pPr>
      <w:r>
        <w:rPr>
          <w:rFonts w:hint="default"/>
          <w:color w:val="auto"/>
          <w:lang w:val="en-US" w:eastAsia="zh-CN"/>
        </w:rPr>
        <w:t>橇装加油装置柴油最大储量为</w:t>
      </w:r>
      <w:r>
        <w:rPr>
          <w:rFonts w:hint="eastAsia"/>
          <w:color w:val="auto"/>
          <w:lang w:val="en-US" w:eastAsia="zh-CN"/>
        </w:rPr>
        <w:t>5</w:t>
      </w:r>
      <w:r>
        <w:rPr>
          <w:rFonts w:hint="default"/>
          <w:color w:val="auto"/>
          <w:lang w:val="en-US" w:eastAsia="zh-CN"/>
        </w:rPr>
        <w:t>0m</w:t>
      </w:r>
      <w:r>
        <w:rPr>
          <w:rFonts w:hint="default"/>
          <w:color w:val="auto"/>
          <w:vertAlign w:val="superscript"/>
          <w:lang w:val="en-US" w:eastAsia="zh-CN"/>
        </w:rPr>
        <w:t>3</w:t>
      </w:r>
      <w:r>
        <w:rPr>
          <w:rFonts w:hint="default"/>
          <w:color w:val="auto"/>
          <w:lang w:val="en-US" w:eastAsia="zh-CN"/>
        </w:rPr>
        <w:t>，故容量取2分；</w:t>
      </w:r>
    </w:p>
    <w:p w14:paraId="5A8B4F64">
      <w:pPr>
        <w:rPr>
          <w:rFonts w:hint="default"/>
          <w:color w:val="auto"/>
          <w:lang w:val="en-US" w:eastAsia="zh-CN"/>
        </w:rPr>
      </w:pPr>
      <w:r>
        <w:rPr>
          <w:rFonts w:hint="default"/>
          <w:color w:val="auto"/>
          <w:lang w:val="en-US" w:eastAsia="zh-CN"/>
        </w:rPr>
        <w:t>橇装加油装置柴油在常温、常压下储存，故温度、压力取0分；橇装加油装置加油过程中有一定危险的操作，故操作取2分。</w:t>
      </w:r>
    </w:p>
    <w:p w14:paraId="5830A87D">
      <w:pPr>
        <w:rPr>
          <w:rFonts w:hint="default"/>
          <w:color w:val="auto"/>
          <w:lang w:val="en-US" w:eastAsia="zh-CN"/>
        </w:rPr>
      </w:pPr>
      <w:r>
        <w:rPr>
          <w:rFonts w:hint="eastAsia"/>
          <w:color w:val="auto"/>
          <w:lang w:val="en-US" w:eastAsia="zh-CN"/>
        </w:rPr>
        <w:t>采矿场撬装加油站</w:t>
      </w:r>
      <w:r>
        <w:rPr>
          <w:rFonts w:hint="default"/>
          <w:color w:val="auto"/>
          <w:lang w:val="en-US" w:eastAsia="zh-CN"/>
        </w:rPr>
        <w:t>橇装加油装置危险度得分为9分，为</w:t>
      </w:r>
      <w:r>
        <w:rPr>
          <w:rFonts w:hint="eastAsia" w:ascii="宋体" w:hAnsi="宋体" w:eastAsia="宋体" w:cs="宋体"/>
          <w:color w:val="auto"/>
          <w:lang w:val="en-US" w:eastAsia="zh-CN"/>
        </w:rPr>
        <w:t>Ⅲ</w:t>
      </w:r>
      <w:r>
        <w:rPr>
          <w:rFonts w:hint="default"/>
          <w:color w:val="auto"/>
          <w:lang w:val="en-US" w:eastAsia="zh-CN"/>
        </w:rPr>
        <w:t>级，属低度危险。</w:t>
      </w:r>
    </w:p>
    <w:p w14:paraId="7405340B">
      <w:pPr>
        <w:rPr>
          <w:rFonts w:hint="default"/>
          <w:b/>
          <w:bCs/>
          <w:color w:val="auto"/>
          <w:lang w:val="en-US" w:eastAsia="zh-CN"/>
        </w:rPr>
      </w:pPr>
      <w:r>
        <w:rPr>
          <w:rFonts w:hint="eastAsia"/>
          <w:b/>
          <w:bCs/>
          <w:color w:val="auto"/>
          <w:lang w:val="en-US" w:eastAsia="zh-CN"/>
        </w:rPr>
        <w:t>二、汽车队撬装加油站</w:t>
      </w:r>
    </w:p>
    <w:p w14:paraId="09DD8BA4">
      <w:pPr>
        <w:rPr>
          <w:rFonts w:hint="default"/>
          <w:color w:val="auto"/>
          <w:lang w:val="en-US" w:eastAsia="zh-CN"/>
        </w:rPr>
      </w:pPr>
      <w:r>
        <w:rPr>
          <w:rFonts w:hint="default"/>
          <w:color w:val="auto"/>
          <w:lang w:val="en-US" w:eastAsia="zh-CN"/>
        </w:rPr>
        <w:t>橇装加油装置主要危险物质为柴油，属丙</w:t>
      </w:r>
      <w:r>
        <w:rPr>
          <w:rFonts w:hint="default"/>
          <w:color w:val="auto"/>
          <w:vertAlign w:val="subscript"/>
          <w:lang w:val="en-US" w:eastAsia="zh-CN"/>
        </w:rPr>
        <w:t>A</w:t>
      </w:r>
      <w:r>
        <w:rPr>
          <w:rFonts w:hint="default"/>
          <w:color w:val="auto"/>
          <w:lang w:val="en-US" w:eastAsia="zh-CN"/>
        </w:rPr>
        <w:t>类易燃液体，故物质取5分；</w:t>
      </w:r>
    </w:p>
    <w:p w14:paraId="6817F320">
      <w:pPr>
        <w:rPr>
          <w:rFonts w:hint="default"/>
          <w:color w:val="auto"/>
          <w:lang w:val="en-US" w:eastAsia="zh-CN"/>
        </w:rPr>
      </w:pPr>
      <w:r>
        <w:rPr>
          <w:rFonts w:hint="default"/>
          <w:color w:val="auto"/>
          <w:lang w:val="en-US" w:eastAsia="zh-CN"/>
        </w:rPr>
        <w:t>橇装加油装置柴油最大储量为</w:t>
      </w:r>
      <w:r>
        <w:rPr>
          <w:rFonts w:hint="eastAsia"/>
          <w:color w:val="auto"/>
          <w:lang w:val="en-US" w:eastAsia="zh-CN"/>
        </w:rPr>
        <w:t>5</w:t>
      </w:r>
      <w:r>
        <w:rPr>
          <w:rFonts w:hint="default"/>
          <w:color w:val="auto"/>
          <w:lang w:val="en-US" w:eastAsia="zh-CN"/>
        </w:rPr>
        <w:t>0m</w:t>
      </w:r>
      <w:r>
        <w:rPr>
          <w:rFonts w:hint="default"/>
          <w:color w:val="auto"/>
          <w:vertAlign w:val="superscript"/>
          <w:lang w:val="en-US" w:eastAsia="zh-CN"/>
        </w:rPr>
        <w:t>3</w:t>
      </w:r>
      <w:r>
        <w:rPr>
          <w:rFonts w:hint="default"/>
          <w:color w:val="auto"/>
          <w:lang w:val="en-US" w:eastAsia="zh-CN"/>
        </w:rPr>
        <w:t>，故容量取2分；</w:t>
      </w:r>
    </w:p>
    <w:p w14:paraId="1120DFA3">
      <w:pPr>
        <w:rPr>
          <w:rFonts w:hint="default"/>
          <w:color w:val="auto"/>
          <w:lang w:val="en-US" w:eastAsia="zh-CN"/>
        </w:rPr>
      </w:pPr>
      <w:r>
        <w:rPr>
          <w:rFonts w:hint="default"/>
          <w:color w:val="auto"/>
          <w:lang w:val="en-US" w:eastAsia="zh-CN"/>
        </w:rPr>
        <w:t>橇装加油装置柴油在常温、常压下储存，故温度、压力取0分；橇装加油装置加油过程中有一定危险的操作，故操作取2分。</w:t>
      </w:r>
    </w:p>
    <w:p w14:paraId="24B34B2B">
      <w:pPr>
        <w:rPr>
          <w:rFonts w:hint="default"/>
          <w:color w:val="auto"/>
          <w:lang w:val="en-US" w:eastAsia="zh-CN"/>
        </w:rPr>
      </w:pPr>
      <w:r>
        <w:rPr>
          <w:rFonts w:hint="default"/>
          <w:color w:val="auto"/>
          <w:lang w:val="en-US" w:eastAsia="zh-CN"/>
        </w:rPr>
        <w:t>汽车队撬装加油站橇装加油装置危险度得分为9分，为</w:t>
      </w:r>
      <w:r>
        <w:rPr>
          <w:rFonts w:hint="eastAsia" w:ascii="宋体" w:hAnsi="宋体" w:eastAsia="宋体" w:cs="宋体"/>
          <w:color w:val="auto"/>
          <w:lang w:val="en-US" w:eastAsia="zh-CN"/>
        </w:rPr>
        <w:t>Ⅲ</w:t>
      </w:r>
      <w:r>
        <w:rPr>
          <w:rFonts w:hint="default"/>
          <w:color w:val="auto"/>
          <w:lang w:val="en-US" w:eastAsia="zh-CN"/>
        </w:rPr>
        <w:t>级，属低度危险。</w:t>
      </w:r>
    </w:p>
    <w:p w14:paraId="3605A523">
      <w:pPr>
        <w:rPr>
          <w:rFonts w:hint="default"/>
          <w:b/>
          <w:bCs/>
          <w:color w:val="auto"/>
          <w:lang w:val="en-US" w:eastAsia="zh-CN"/>
        </w:rPr>
      </w:pPr>
      <w:r>
        <w:rPr>
          <w:rFonts w:hint="eastAsia"/>
          <w:b/>
          <w:bCs/>
          <w:color w:val="auto"/>
          <w:lang w:val="en-US" w:eastAsia="zh-CN"/>
        </w:rPr>
        <w:t>三、评价小结</w:t>
      </w:r>
    </w:p>
    <w:p w14:paraId="55EC44F2">
      <w:pPr>
        <w:rPr>
          <w:rFonts w:hint="default"/>
          <w:color w:val="auto"/>
          <w:lang w:val="en-US" w:eastAsia="zh-CN"/>
        </w:rPr>
      </w:pPr>
      <w:r>
        <w:rPr>
          <w:rFonts w:hint="default"/>
          <w:color w:val="auto"/>
          <w:lang w:val="en-US" w:eastAsia="zh-CN"/>
        </w:rPr>
        <w:t>综上所述，</w:t>
      </w:r>
      <w:r>
        <w:rPr>
          <w:rFonts w:hint="eastAsia"/>
          <w:color w:val="auto"/>
          <w:lang w:val="en-US" w:eastAsia="zh-CN"/>
        </w:rPr>
        <w:t>本项目</w:t>
      </w:r>
      <w:r>
        <w:rPr>
          <w:rFonts w:hint="default"/>
          <w:color w:val="auto"/>
          <w:lang w:val="en-US" w:eastAsia="zh-CN"/>
        </w:rPr>
        <w:t>橇装加油装置危险度得分</w:t>
      </w:r>
      <w:r>
        <w:rPr>
          <w:rFonts w:hint="eastAsia"/>
          <w:color w:val="auto"/>
          <w:lang w:val="en-US" w:eastAsia="zh-CN"/>
        </w:rPr>
        <w:t>均</w:t>
      </w:r>
      <w:r>
        <w:rPr>
          <w:rFonts w:hint="default"/>
          <w:color w:val="auto"/>
          <w:lang w:val="en-US" w:eastAsia="zh-CN"/>
        </w:rPr>
        <w:t>为9分，为</w:t>
      </w:r>
      <w:r>
        <w:rPr>
          <w:rFonts w:hint="eastAsia" w:ascii="宋体" w:hAnsi="宋体" w:eastAsia="宋体" w:cs="宋体"/>
          <w:color w:val="auto"/>
          <w:lang w:val="en-US" w:eastAsia="zh-CN"/>
        </w:rPr>
        <w:t>Ⅲ</w:t>
      </w:r>
      <w:r>
        <w:rPr>
          <w:rFonts w:hint="default"/>
          <w:color w:val="auto"/>
          <w:lang w:val="en-US" w:eastAsia="zh-CN"/>
        </w:rPr>
        <w:t>级，属低度危险。</w:t>
      </w:r>
    </w:p>
    <w:p w14:paraId="44B1C7BB">
      <w:pPr>
        <w:pStyle w:val="3"/>
        <w:bidi w:val="0"/>
        <w:rPr>
          <w:rFonts w:hint="eastAsia"/>
          <w:color w:val="auto"/>
        </w:rPr>
      </w:pPr>
      <w:bookmarkStart w:id="266" w:name="_Toc5921"/>
      <w:bookmarkStart w:id="267" w:name="_Toc4050"/>
      <w:bookmarkStart w:id="268" w:name="_Toc24451"/>
      <w:bookmarkStart w:id="269" w:name="_Toc7998"/>
      <w:r>
        <w:rPr>
          <w:rFonts w:hint="eastAsia"/>
          <w:color w:val="auto"/>
        </w:rPr>
        <w:t>3.</w:t>
      </w:r>
      <w:r>
        <w:rPr>
          <w:rFonts w:hint="eastAsia"/>
          <w:color w:val="auto"/>
          <w:lang w:val="en-US" w:eastAsia="zh-CN"/>
        </w:rPr>
        <w:t xml:space="preserve">4 </w:t>
      </w:r>
      <w:r>
        <w:rPr>
          <w:rFonts w:hint="eastAsia"/>
          <w:color w:val="auto"/>
        </w:rPr>
        <w:t>作业条件危险性评价</w:t>
      </w:r>
      <w:bookmarkEnd w:id="266"/>
      <w:bookmarkEnd w:id="267"/>
      <w:bookmarkEnd w:id="268"/>
      <w:bookmarkEnd w:id="269"/>
    </w:p>
    <w:p w14:paraId="314F10CF">
      <w:pPr>
        <w:pStyle w:val="4"/>
        <w:bidi w:val="0"/>
        <w:rPr>
          <w:rFonts w:hint="eastAsia"/>
          <w:color w:val="auto"/>
        </w:rPr>
      </w:pPr>
      <w:bookmarkStart w:id="270" w:name="_Toc21468"/>
      <w:bookmarkStart w:id="271" w:name="_Toc20454"/>
      <w:bookmarkStart w:id="272" w:name="_Toc24204"/>
      <w:bookmarkStart w:id="273" w:name="_Toc349"/>
      <w:r>
        <w:rPr>
          <w:rFonts w:hint="eastAsia"/>
          <w:color w:val="auto"/>
        </w:rPr>
        <w:t>3.</w:t>
      </w:r>
      <w:r>
        <w:rPr>
          <w:rFonts w:hint="eastAsia"/>
          <w:color w:val="auto"/>
          <w:lang w:val="en-US" w:eastAsia="zh-CN"/>
        </w:rPr>
        <w:t>4</w:t>
      </w:r>
      <w:r>
        <w:rPr>
          <w:rFonts w:hint="eastAsia"/>
          <w:color w:val="auto"/>
        </w:rPr>
        <w:t>.1</w:t>
      </w:r>
      <w:r>
        <w:rPr>
          <w:rFonts w:hint="eastAsia"/>
          <w:color w:val="auto"/>
          <w:lang w:val="en-US" w:eastAsia="zh-CN"/>
        </w:rPr>
        <w:t xml:space="preserve"> </w:t>
      </w:r>
      <w:r>
        <w:rPr>
          <w:rFonts w:hint="eastAsia"/>
          <w:color w:val="auto"/>
        </w:rPr>
        <w:t>评价单元</w:t>
      </w:r>
      <w:bookmarkEnd w:id="270"/>
      <w:bookmarkEnd w:id="271"/>
      <w:bookmarkEnd w:id="272"/>
      <w:bookmarkEnd w:id="273"/>
    </w:p>
    <w:p w14:paraId="71F765BE">
      <w:pPr>
        <w:bidi w:val="0"/>
        <w:rPr>
          <w:rFonts w:hint="eastAsia"/>
          <w:color w:val="auto"/>
        </w:rPr>
      </w:pPr>
      <w:r>
        <w:rPr>
          <w:rFonts w:hint="eastAsia"/>
          <w:color w:val="auto"/>
        </w:rPr>
        <w:t>根据</w:t>
      </w:r>
      <w:r>
        <w:rPr>
          <w:rFonts w:hint="eastAsia"/>
          <w:color w:val="auto"/>
          <w:lang w:eastAsia="zh-CN"/>
        </w:rPr>
        <w:t>本项目</w:t>
      </w:r>
      <w:r>
        <w:rPr>
          <w:rFonts w:hint="eastAsia"/>
          <w:color w:val="auto"/>
        </w:rPr>
        <w:t>运行过程的分析，确定评价的作业单元为：油罐接卸油品作业、加油区加油作业、加油装置内车辆道路引导作业等单元。</w:t>
      </w:r>
    </w:p>
    <w:p w14:paraId="334DAAD2">
      <w:pPr>
        <w:pStyle w:val="4"/>
        <w:bidi w:val="0"/>
        <w:rPr>
          <w:rFonts w:hint="default"/>
          <w:color w:val="auto"/>
          <w:lang w:val="en-US" w:eastAsia="zh-CN"/>
        </w:rPr>
      </w:pPr>
      <w:bookmarkStart w:id="274" w:name="_Toc25796"/>
      <w:bookmarkStart w:id="275" w:name="_Toc32341"/>
      <w:bookmarkStart w:id="276" w:name="_Toc22570"/>
      <w:bookmarkStart w:id="277" w:name="_Toc6141"/>
      <w:r>
        <w:rPr>
          <w:rFonts w:hint="eastAsia"/>
          <w:color w:val="auto"/>
          <w:lang w:val="en-US" w:eastAsia="zh-CN"/>
        </w:rPr>
        <w:t>3.4.2 作业条件危险性评价结果</w:t>
      </w:r>
      <w:bookmarkEnd w:id="274"/>
      <w:bookmarkEnd w:id="275"/>
      <w:bookmarkEnd w:id="276"/>
      <w:bookmarkEnd w:id="277"/>
    </w:p>
    <w:p w14:paraId="2CAC7429">
      <w:pPr>
        <w:bidi w:val="0"/>
        <w:rPr>
          <w:rFonts w:hint="eastAsia"/>
          <w:color w:val="auto"/>
        </w:rPr>
      </w:pPr>
      <w:r>
        <w:rPr>
          <w:rFonts w:hint="eastAsia"/>
          <w:color w:val="auto"/>
        </w:rPr>
        <w:t>以储罐区卸油作业单元为例说明LEC法的取值及计算过程。各单元计算结果及等级划分见附表3.</w:t>
      </w:r>
      <w:r>
        <w:rPr>
          <w:rFonts w:hint="eastAsia"/>
          <w:color w:val="auto"/>
          <w:lang w:val="en-US" w:eastAsia="zh-CN"/>
        </w:rPr>
        <w:t>4</w:t>
      </w:r>
      <w:r>
        <w:rPr>
          <w:rFonts w:hint="eastAsia"/>
          <w:color w:val="auto"/>
        </w:rPr>
        <w:t>-1。</w:t>
      </w:r>
    </w:p>
    <w:p w14:paraId="75B6F36E">
      <w:pPr>
        <w:bidi w:val="0"/>
        <w:rPr>
          <w:rFonts w:hint="eastAsia"/>
          <w:color w:val="auto"/>
        </w:rPr>
      </w:pPr>
      <w:r>
        <w:rPr>
          <w:rFonts w:hint="eastAsia"/>
          <w:color w:val="auto"/>
        </w:rPr>
        <w:t>1）事故发生的可能性L：在卸油作业操作过程中，由于物质为易燃液体，遇到火源可能发生火灾、爆炸事故，但在安全设施完备、严格按规程作业时一般不会发生事故，故属“可能性小，完全意外”，故其分值L＝1；</w:t>
      </w:r>
    </w:p>
    <w:p w14:paraId="1C720A42">
      <w:pPr>
        <w:bidi w:val="0"/>
        <w:rPr>
          <w:rFonts w:hint="eastAsia"/>
          <w:color w:val="auto"/>
        </w:rPr>
      </w:pPr>
      <w:r>
        <w:rPr>
          <w:rFonts w:hint="eastAsia"/>
          <w:color w:val="auto"/>
        </w:rPr>
        <w:t>2）暴露于危险环境的频繁程度E：卸油按每周一次，故取E＝3；</w:t>
      </w:r>
    </w:p>
    <w:p w14:paraId="71C5D0BB">
      <w:pPr>
        <w:bidi w:val="0"/>
        <w:rPr>
          <w:rFonts w:hint="eastAsia"/>
          <w:color w:val="auto"/>
        </w:rPr>
      </w:pPr>
      <w:r>
        <w:rPr>
          <w:rFonts w:hint="eastAsia"/>
          <w:color w:val="auto"/>
        </w:rPr>
        <w:t>3）发生事故产生的后果C：发生火灾、爆炸事故，可能造成人员死亡或重大的财产损失。故取C＝15；</w:t>
      </w:r>
    </w:p>
    <w:p w14:paraId="7B2A6E8E">
      <w:pPr>
        <w:bidi w:val="0"/>
        <w:rPr>
          <w:rFonts w:hint="eastAsia"/>
          <w:color w:val="auto"/>
        </w:rPr>
      </w:pPr>
      <w:r>
        <w:rPr>
          <w:rFonts w:hint="eastAsia"/>
          <w:color w:val="auto"/>
        </w:rPr>
        <w:t>D＝L×E×C＝1×3×15＝45。</w:t>
      </w:r>
    </w:p>
    <w:p w14:paraId="382F0B0B">
      <w:pPr>
        <w:bidi w:val="0"/>
        <w:ind w:left="0" w:leftChars="0" w:firstLine="0" w:firstLineChars="0"/>
        <w:jc w:val="center"/>
        <w:rPr>
          <w:rFonts w:hint="eastAsia"/>
          <w:color w:val="auto"/>
        </w:rPr>
      </w:pPr>
      <w:r>
        <w:rPr>
          <w:rFonts w:hint="eastAsia"/>
          <w:color w:val="auto"/>
        </w:rPr>
        <w:t>附表3.</w:t>
      </w:r>
      <w:r>
        <w:rPr>
          <w:rFonts w:hint="eastAsia"/>
          <w:color w:val="auto"/>
          <w:lang w:val="en-US" w:eastAsia="zh-CN"/>
        </w:rPr>
        <w:t>4</w:t>
      </w:r>
      <w:r>
        <w:rPr>
          <w:rFonts w:hint="eastAsia"/>
          <w:color w:val="auto"/>
        </w:rPr>
        <w:t>-1 各单元危险评价表</w:t>
      </w:r>
    </w:p>
    <w:tbl>
      <w:tblPr>
        <w:tblStyle w:val="25"/>
        <w:tblW w:w="904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4"/>
        <w:gridCol w:w="1252"/>
        <w:gridCol w:w="2207"/>
        <w:gridCol w:w="672"/>
        <w:gridCol w:w="672"/>
        <w:gridCol w:w="623"/>
        <w:gridCol w:w="585"/>
        <w:gridCol w:w="2449"/>
      </w:tblGrid>
      <w:tr w14:paraId="016A69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6" w:hRule="atLeast"/>
          <w:jc w:val="center"/>
        </w:trPr>
        <w:tc>
          <w:tcPr>
            <w:tcW w:w="584" w:type="dxa"/>
            <w:vMerge w:val="restart"/>
            <w:tcBorders>
              <w:bottom w:val="nil"/>
            </w:tcBorders>
            <w:textDirection w:val="tbRlV"/>
            <w:vAlign w:val="center"/>
          </w:tcPr>
          <w:p w14:paraId="259F4245">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7"/>
                <w:kern w:val="0"/>
                <w:sz w:val="21"/>
                <w:szCs w:val="21"/>
                <w:lang w:val="en-US" w:eastAsia="en-US" w:bidi="ar-SA"/>
              </w:rPr>
              <w:t>序</w:t>
            </w:r>
            <w:r>
              <w:rPr>
                <w:rFonts w:hint="default" w:ascii="Times New Roman" w:hAnsi="Times New Roman" w:eastAsia="宋体" w:cs="Times New Roman"/>
                <w:snapToGrid w:val="0"/>
                <w:color w:val="auto"/>
                <w:spacing w:val="-32"/>
                <w:kern w:val="0"/>
                <w:sz w:val="21"/>
                <w:szCs w:val="21"/>
                <w:lang w:val="en-US" w:eastAsia="en-US" w:bidi="ar-SA"/>
              </w:rPr>
              <w:t xml:space="preserve"> </w:t>
            </w:r>
            <w:r>
              <w:rPr>
                <w:rFonts w:hint="default" w:ascii="Times New Roman" w:hAnsi="Times New Roman" w:eastAsia="宋体" w:cs="Times New Roman"/>
                <w:b/>
                <w:bCs/>
                <w:snapToGrid w:val="0"/>
                <w:color w:val="auto"/>
                <w:spacing w:val="7"/>
                <w:kern w:val="0"/>
                <w:sz w:val="21"/>
                <w:szCs w:val="21"/>
                <w:lang w:val="en-US" w:eastAsia="en-US" w:bidi="ar-SA"/>
              </w:rPr>
              <w:t>号</w:t>
            </w:r>
          </w:p>
        </w:tc>
        <w:tc>
          <w:tcPr>
            <w:tcW w:w="1252" w:type="dxa"/>
            <w:vMerge w:val="restart"/>
            <w:tcBorders>
              <w:bottom w:val="nil"/>
            </w:tcBorders>
            <w:vAlign w:val="center"/>
          </w:tcPr>
          <w:p w14:paraId="54D6FD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50A8666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6"/>
                <w:kern w:val="0"/>
                <w:sz w:val="21"/>
                <w:szCs w:val="21"/>
                <w:lang w:val="en-US" w:eastAsia="en-US" w:bidi="ar-SA"/>
              </w:rPr>
              <w:t>评价单元</w:t>
            </w:r>
          </w:p>
        </w:tc>
        <w:tc>
          <w:tcPr>
            <w:tcW w:w="2207" w:type="dxa"/>
            <w:vMerge w:val="restart"/>
            <w:tcBorders>
              <w:bottom w:val="nil"/>
            </w:tcBorders>
            <w:vAlign w:val="center"/>
          </w:tcPr>
          <w:p w14:paraId="52AEF1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4AE91AA0">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7"/>
                <w:kern w:val="0"/>
                <w:sz w:val="21"/>
                <w:szCs w:val="21"/>
                <w:lang w:val="en-US" w:eastAsia="en-US" w:bidi="ar-SA"/>
              </w:rPr>
              <w:t>危险源及潜在危险</w:t>
            </w:r>
          </w:p>
        </w:tc>
        <w:tc>
          <w:tcPr>
            <w:tcW w:w="2552" w:type="dxa"/>
            <w:gridSpan w:val="4"/>
            <w:vAlign w:val="center"/>
          </w:tcPr>
          <w:p w14:paraId="7624947E">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val="en-US" w:eastAsia="en-US" w:bidi="ar-SA"/>
              </w:rPr>
            </w:pPr>
            <w:r>
              <w:rPr>
                <w:rFonts w:hint="default" w:ascii="Times New Roman" w:hAnsi="Times New Roman" w:eastAsia="Times New Roman" w:cs="Times New Roman"/>
                <w:b/>
                <w:bCs/>
                <w:snapToGrid w:val="0"/>
                <w:color w:val="auto"/>
                <w:spacing w:val="-3"/>
                <w:kern w:val="0"/>
                <w:position w:val="2"/>
                <w:sz w:val="21"/>
                <w:szCs w:val="21"/>
                <w:lang w:val="en-US" w:eastAsia="en-US" w:bidi="ar-SA"/>
              </w:rPr>
              <w:t>D</w:t>
            </w:r>
            <w:r>
              <w:rPr>
                <w:rFonts w:hint="default" w:ascii="Times New Roman" w:hAnsi="Times New Roman" w:eastAsia="宋体" w:cs="Times New Roman"/>
                <w:b/>
                <w:bCs/>
                <w:snapToGrid w:val="0"/>
                <w:color w:val="auto"/>
                <w:spacing w:val="-3"/>
                <w:kern w:val="0"/>
                <w:position w:val="2"/>
                <w:sz w:val="21"/>
                <w:szCs w:val="21"/>
                <w:lang w:val="en-US" w:eastAsia="en-US" w:bidi="ar-SA"/>
              </w:rPr>
              <w:t>＝</w:t>
            </w:r>
            <w:r>
              <w:rPr>
                <w:rFonts w:hint="default" w:ascii="Times New Roman" w:hAnsi="Times New Roman" w:eastAsia="Times New Roman" w:cs="Times New Roman"/>
                <w:b/>
                <w:bCs/>
                <w:snapToGrid w:val="0"/>
                <w:color w:val="auto"/>
                <w:spacing w:val="-3"/>
                <w:kern w:val="0"/>
                <w:position w:val="2"/>
                <w:sz w:val="21"/>
                <w:szCs w:val="21"/>
                <w:lang w:val="en-US" w:eastAsia="en-US" w:bidi="ar-SA"/>
              </w:rPr>
              <w:t>L×E×C</w:t>
            </w:r>
          </w:p>
        </w:tc>
        <w:tc>
          <w:tcPr>
            <w:tcW w:w="2449" w:type="dxa"/>
            <w:vMerge w:val="restart"/>
            <w:tcBorders>
              <w:bottom w:val="nil"/>
            </w:tcBorders>
            <w:vAlign w:val="center"/>
          </w:tcPr>
          <w:p w14:paraId="4A8464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079A7822">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b/>
                <w:bCs/>
                <w:snapToGrid w:val="0"/>
                <w:color w:val="auto"/>
                <w:spacing w:val="5"/>
                <w:kern w:val="0"/>
                <w:sz w:val="21"/>
                <w:szCs w:val="21"/>
                <w:lang w:val="en-US" w:eastAsia="en-US" w:bidi="ar-SA"/>
              </w:rPr>
              <w:t>危险等级</w:t>
            </w:r>
          </w:p>
        </w:tc>
      </w:tr>
      <w:tr w14:paraId="712378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1" w:hRule="atLeast"/>
          <w:jc w:val="center"/>
        </w:trPr>
        <w:tc>
          <w:tcPr>
            <w:tcW w:w="584" w:type="dxa"/>
            <w:vMerge w:val="continue"/>
            <w:tcBorders>
              <w:top w:val="nil"/>
            </w:tcBorders>
            <w:textDirection w:val="tbRlV"/>
            <w:vAlign w:val="center"/>
          </w:tcPr>
          <w:p w14:paraId="1A890B3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tcBorders>
            <w:vAlign w:val="center"/>
          </w:tcPr>
          <w:p w14:paraId="05EFE1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Merge w:val="continue"/>
            <w:tcBorders>
              <w:top w:val="nil"/>
            </w:tcBorders>
            <w:vAlign w:val="center"/>
          </w:tcPr>
          <w:p w14:paraId="62CE2E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672" w:type="dxa"/>
            <w:vAlign w:val="center"/>
          </w:tcPr>
          <w:p w14:paraId="307FCF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b/>
                <w:bCs/>
                <w:snapToGrid w:val="0"/>
                <w:color w:val="auto"/>
                <w:spacing w:val="1"/>
                <w:kern w:val="0"/>
                <w:sz w:val="21"/>
                <w:szCs w:val="21"/>
                <w:lang w:eastAsia="en-US"/>
              </w:rPr>
              <w:t>L</w:t>
            </w:r>
          </w:p>
        </w:tc>
        <w:tc>
          <w:tcPr>
            <w:tcW w:w="672" w:type="dxa"/>
            <w:vAlign w:val="center"/>
          </w:tcPr>
          <w:p w14:paraId="6494E0E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b/>
                <w:bCs/>
                <w:snapToGrid w:val="0"/>
                <w:color w:val="auto"/>
                <w:spacing w:val="1"/>
                <w:kern w:val="0"/>
                <w:sz w:val="21"/>
                <w:szCs w:val="21"/>
                <w:lang w:eastAsia="en-US"/>
              </w:rPr>
              <w:t>E</w:t>
            </w:r>
          </w:p>
        </w:tc>
        <w:tc>
          <w:tcPr>
            <w:tcW w:w="623" w:type="dxa"/>
            <w:vAlign w:val="center"/>
          </w:tcPr>
          <w:p w14:paraId="2971538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b/>
                <w:bCs/>
                <w:snapToGrid w:val="0"/>
                <w:color w:val="auto"/>
                <w:kern w:val="0"/>
                <w:sz w:val="21"/>
                <w:szCs w:val="21"/>
                <w:lang w:eastAsia="en-US"/>
              </w:rPr>
              <w:t>C</w:t>
            </w:r>
          </w:p>
        </w:tc>
        <w:tc>
          <w:tcPr>
            <w:tcW w:w="585" w:type="dxa"/>
            <w:vAlign w:val="center"/>
          </w:tcPr>
          <w:p w14:paraId="1E7462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b/>
                <w:bCs/>
                <w:snapToGrid w:val="0"/>
                <w:color w:val="auto"/>
                <w:spacing w:val="3"/>
                <w:kern w:val="0"/>
                <w:sz w:val="21"/>
                <w:szCs w:val="21"/>
                <w:lang w:eastAsia="en-US"/>
              </w:rPr>
              <w:t>D</w:t>
            </w:r>
          </w:p>
        </w:tc>
        <w:tc>
          <w:tcPr>
            <w:tcW w:w="2449" w:type="dxa"/>
            <w:vMerge w:val="continue"/>
            <w:tcBorders>
              <w:top w:val="nil"/>
            </w:tcBorders>
            <w:vAlign w:val="center"/>
          </w:tcPr>
          <w:p w14:paraId="51E694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r>
      <w:tr w14:paraId="280EE1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restart"/>
            <w:tcBorders>
              <w:bottom w:val="nil"/>
            </w:tcBorders>
            <w:vAlign w:val="center"/>
          </w:tcPr>
          <w:p w14:paraId="7DC1D1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1A67CB1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6C20DC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66FA2F7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1</w:t>
            </w:r>
          </w:p>
        </w:tc>
        <w:tc>
          <w:tcPr>
            <w:tcW w:w="1252" w:type="dxa"/>
            <w:vMerge w:val="restart"/>
            <w:tcBorders>
              <w:bottom w:val="nil"/>
            </w:tcBorders>
            <w:vAlign w:val="center"/>
          </w:tcPr>
          <w:p w14:paraId="6AAF978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油罐接卸油</w:t>
            </w:r>
            <w:r>
              <w:rPr>
                <w:rFonts w:hint="default" w:ascii="Times New Roman" w:hAnsi="Times New Roman" w:eastAsia="宋体" w:cs="Times New Roman"/>
                <w:snapToGrid w:val="0"/>
                <w:color w:val="auto"/>
                <w:spacing w:val="4"/>
                <w:kern w:val="0"/>
                <w:sz w:val="21"/>
                <w:szCs w:val="21"/>
                <w:lang w:val="en-US" w:eastAsia="en-US" w:bidi="ar-SA"/>
              </w:rPr>
              <w:t>作业</w:t>
            </w:r>
          </w:p>
        </w:tc>
        <w:tc>
          <w:tcPr>
            <w:tcW w:w="2207" w:type="dxa"/>
            <w:vAlign w:val="center"/>
          </w:tcPr>
          <w:p w14:paraId="48E835A2">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火灾，爆炸</w:t>
            </w:r>
          </w:p>
        </w:tc>
        <w:tc>
          <w:tcPr>
            <w:tcW w:w="672" w:type="dxa"/>
            <w:vAlign w:val="center"/>
          </w:tcPr>
          <w:p w14:paraId="7D1E1F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65E2BC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76BDEA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7</w:t>
            </w:r>
          </w:p>
        </w:tc>
        <w:tc>
          <w:tcPr>
            <w:tcW w:w="585" w:type="dxa"/>
            <w:vAlign w:val="center"/>
          </w:tcPr>
          <w:p w14:paraId="465C1C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3"/>
                <w:kern w:val="0"/>
                <w:sz w:val="21"/>
                <w:szCs w:val="21"/>
                <w:lang w:eastAsia="en-US"/>
              </w:rPr>
              <w:t>45</w:t>
            </w:r>
          </w:p>
        </w:tc>
        <w:tc>
          <w:tcPr>
            <w:tcW w:w="2449" w:type="dxa"/>
            <w:vAlign w:val="center"/>
          </w:tcPr>
          <w:p w14:paraId="47B63551">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一般危险，</w:t>
            </w:r>
            <w:r>
              <w:rPr>
                <w:rFonts w:hint="default" w:ascii="Times New Roman" w:hAnsi="Times New Roman" w:eastAsia="宋体" w:cs="Times New Roman"/>
                <w:snapToGrid w:val="0"/>
                <w:color w:val="auto"/>
                <w:spacing w:val="5"/>
                <w:kern w:val="0"/>
                <w:sz w:val="21"/>
                <w:szCs w:val="21"/>
                <w:lang w:val="en-US" w:eastAsia="en-US" w:bidi="ar-SA"/>
              </w:rPr>
              <w:t>需要注意</w:t>
            </w:r>
          </w:p>
        </w:tc>
      </w:tr>
      <w:tr w14:paraId="16E40F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continue"/>
            <w:tcBorders>
              <w:top w:val="nil"/>
              <w:bottom w:val="nil"/>
            </w:tcBorders>
            <w:vAlign w:val="center"/>
          </w:tcPr>
          <w:p w14:paraId="757EC92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bottom w:val="nil"/>
            </w:tcBorders>
            <w:vAlign w:val="center"/>
          </w:tcPr>
          <w:p w14:paraId="316327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3AC65E82">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5"/>
                <w:kern w:val="0"/>
                <w:sz w:val="21"/>
                <w:szCs w:val="21"/>
                <w:lang w:val="en-US" w:eastAsia="en-US" w:bidi="ar-SA"/>
              </w:rPr>
              <w:t>中毒</w:t>
            </w:r>
          </w:p>
        </w:tc>
        <w:tc>
          <w:tcPr>
            <w:tcW w:w="672" w:type="dxa"/>
            <w:vAlign w:val="center"/>
          </w:tcPr>
          <w:p w14:paraId="42D8ACC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4CF1D4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3C2FF6E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3</w:t>
            </w:r>
          </w:p>
        </w:tc>
        <w:tc>
          <w:tcPr>
            <w:tcW w:w="585" w:type="dxa"/>
            <w:vAlign w:val="center"/>
          </w:tcPr>
          <w:p w14:paraId="3C82D6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9</w:t>
            </w:r>
          </w:p>
        </w:tc>
        <w:tc>
          <w:tcPr>
            <w:tcW w:w="2449" w:type="dxa"/>
            <w:vAlign w:val="center"/>
          </w:tcPr>
          <w:p w14:paraId="6AF8054F">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稍有危险，</w:t>
            </w:r>
            <w:r>
              <w:rPr>
                <w:rFonts w:hint="default" w:ascii="Times New Roman" w:hAnsi="Times New Roman" w:eastAsia="宋体" w:cs="Times New Roman"/>
                <w:snapToGrid w:val="0"/>
                <w:color w:val="auto"/>
                <w:spacing w:val="7"/>
                <w:kern w:val="0"/>
                <w:sz w:val="21"/>
                <w:szCs w:val="21"/>
                <w:lang w:val="en-US" w:eastAsia="en-US" w:bidi="ar-SA"/>
              </w:rPr>
              <w:t>可以接受</w:t>
            </w:r>
          </w:p>
        </w:tc>
      </w:tr>
      <w:tr w14:paraId="18BF2D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1" w:hRule="atLeast"/>
          <w:jc w:val="center"/>
        </w:trPr>
        <w:tc>
          <w:tcPr>
            <w:tcW w:w="584" w:type="dxa"/>
            <w:vMerge w:val="continue"/>
            <w:tcBorders>
              <w:top w:val="nil"/>
              <w:bottom w:val="nil"/>
            </w:tcBorders>
            <w:vAlign w:val="center"/>
          </w:tcPr>
          <w:p w14:paraId="3C9C01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bottom w:val="nil"/>
            </w:tcBorders>
            <w:vAlign w:val="center"/>
          </w:tcPr>
          <w:p w14:paraId="1BF28E0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6ECC507A">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车辆伤害</w:t>
            </w:r>
          </w:p>
        </w:tc>
        <w:tc>
          <w:tcPr>
            <w:tcW w:w="672" w:type="dxa"/>
            <w:vAlign w:val="center"/>
          </w:tcPr>
          <w:p w14:paraId="6109C4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1</w:t>
            </w:r>
          </w:p>
        </w:tc>
        <w:tc>
          <w:tcPr>
            <w:tcW w:w="672" w:type="dxa"/>
            <w:vAlign w:val="center"/>
          </w:tcPr>
          <w:p w14:paraId="34920D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2DED174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7</w:t>
            </w:r>
          </w:p>
        </w:tc>
        <w:tc>
          <w:tcPr>
            <w:tcW w:w="585" w:type="dxa"/>
            <w:vAlign w:val="center"/>
          </w:tcPr>
          <w:p w14:paraId="0167A0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3"/>
                <w:kern w:val="0"/>
                <w:sz w:val="21"/>
                <w:szCs w:val="21"/>
                <w:lang w:eastAsia="en-US"/>
              </w:rPr>
              <w:t>42</w:t>
            </w:r>
          </w:p>
        </w:tc>
        <w:tc>
          <w:tcPr>
            <w:tcW w:w="2449" w:type="dxa"/>
            <w:vAlign w:val="center"/>
          </w:tcPr>
          <w:p w14:paraId="1F851771">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一般危险，</w:t>
            </w:r>
            <w:r>
              <w:rPr>
                <w:rFonts w:hint="default" w:ascii="Times New Roman" w:hAnsi="Times New Roman" w:eastAsia="宋体" w:cs="Times New Roman"/>
                <w:snapToGrid w:val="0"/>
                <w:color w:val="auto"/>
                <w:spacing w:val="5"/>
                <w:kern w:val="0"/>
                <w:sz w:val="21"/>
                <w:szCs w:val="21"/>
                <w:lang w:val="en-US" w:eastAsia="en-US" w:bidi="ar-SA"/>
              </w:rPr>
              <w:t>需要注意</w:t>
            </w:r>
          </w:p>
        </w:tc>
      </w:tr>
      <w:tr w14:paraId="22D7A7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continue"/>
            <w:tcBorders>
              <w:top w:val="nil"/>
            </w:tcBorders>
            <w:vAlign w:val="center"/>
          </w:tcPr>
          <w:p w14:paraId="5915D82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tcBorders>
            <w:vAlign w:val="center"/>
          </w:tcPr>
          <w:p w14:paraId="246618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2594AEB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物体打击</w:t>
            </w:r>
          </w:p>
        </w:tc>
        <w:tc>
          <w:tcPr>
            <w:tcW w:w="672" w:type="dxa"/>
            <w:vAlign w:val="center"/>
          </w:tcPr>
          <w:p w14:paraId="741D07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6C1C41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19893FD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3</w:t>
            </w:r>
          </w:p>
        </w:tc>
        <w:tc>
          <w:tcPr>
            <w:tcW w:w="585" w:type="dxa"/>
            <w:vAlign w:val="center"/>
          </w:tcPr>
          <w:p w14:paraId="7C0628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9</w:t>
            </w:r>
          </w:p>
        </w:tc>
        <w:tc>
          <w:tcPr>
            <w:tcW w:w="2449" w:type="dxa"/>
            <w:vAlign w:val="center"/>
          </w:tcPr>
          <w:p w14:paraId="4F634D13">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稍有危险，</w:t>
            </w:r>
            <w:r>
              <w:rPr>
                <w:rFonts w:hint="default" w:ascii="Times New Roman" w:hAnsi="Times New Roman" w:eastAsia="宋体" w:cs="Times New Roman"/>
                <w:snapToGrid w:val="0"/>
                <w:color w:val="auto"/>
                <w:spacing w:val="7"/>
                <w:kern w:val="0"/>
                <w:sz w:val="21"/>
                <w:szCs w:val="21"/>
                <w:lang w:val="en-US" w:eastAsia="en-US" w:bidi="ar-SA"/>
              </w:rPr>
              <w:t>可以接受</w:t>
            </w:r>
          </w:p>
        </w:tc>
      </w:tr>
      <w:tr w14:paraId="37D0EB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1" w:hRule="atLeast"/>
          <w:jc w:val="center"/>
        </w:trPr>
        <w:tc>
          <w:tcPr>
            <w:tcW w:w="584" w:type="dxa"/>
            <w:vMerge w:val="restart"/>
            <w:tcBorders>
              <w:bottom w:val="nil"/>
            </w:tcBorders>
            <w:vAlign w:val="center"/>
          </w:tcPr>
          <w:p w14:paraId="0633AF5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72D77B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38D308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1A299E3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48A7E8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2</w:t>
            </w:r>
          </w:p>
        </w:tc>
        <w:tc>
          <w:tcPr>
            <w:tcW w:w="1252" w:type="dxa"/>
            <w:vMerge w:val="restart"/>
            <w:tcBorders>
              <w:bottom w:val="nil"/>
            </w:tcBorders>
            <w:vAlign w:val="center"/>
          </w:tcPr>
          <w:p w14:paraId="008550F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加油机加油</w:t>
            </w:r>
            <w:r>
              <w:rPr>
                <w:rFonts w:hint="default" w:ascii="Times New Roman" w:hAnsi="Times New Roman" w:eastAsia="宋体" w:cs="Times New Roman"/>
                <w:snapToGrid w:val="0"/>
                <w:color w:val="auto"/>
                <w:spacing w:val="4"/>
                <w:kern w:val="0"/>
                <w:sz w:val="21"/>
                <w:szCs w:val="21"/>
                <w:lang w:val="en-US" w:eastAsia="en-US" w:bidi="ar-SA"/>
              </w:rPr>
              <w:t>作业</w:t>
            </w:r>
          </w:p>
        </w:tc>
        <w:tc>
          <w:tcPr>
            <w:tcW w:w="2207" w:type="dxa"/>
            <w:vAlign w:val="center"/>
          </w:tcPr>
          <w:p w14:paraId="41F77611">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火灾，爆炸</w:t>
            </w:r>
          </w:p>
        </w:tc>
        <w:tc>
          <w:tcPr>
            <w:tcW w:w="672" w:type="dxa"/>
            <w:vAlign w:val="center"/>
          </w:tcPr>
          <w:p w14:paraId="53A6B4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1466A18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241D41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8"/>
                <w:kern w:val="0"/>
                <w:sz w:val="21"/>
                <w:szCs w:val="21"/>
                <w:lang w:eastAsia="en-US"/>
              </w:rPr>
              <w:t>15</w:t>
            </w:r>
          </w:p>
        </w:tc>
        <w:tc>
          <w:tcPr>
            <w:tcW w:w="585" w:type="dxa"/>
            <w:vAlign w:val="center"/>
          </w:tcPr>
          <w:p w14:paraId="4BCB0AD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3"/>
                <w:kern w:val="0"/>
                <w:sz w:val="21"/>
                <w:szCs w:val="21"/>
                <w:lang w:eastAsia="en-US"/>
              </w:rPr>
              <w:t>45</w:t>
            </w:r>
          </w:p>
        </w:tc>
        <w:tc>
          <w:tcPr>
            <w:tcW w:w="2449" w:type="dxa"/>
            <w:vAlign w:val="center"/>
          </w:tcPr>
          <w:p w14:paraId="5BF163A7">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一般危险，</w:t>
            </w:r>
            <w:r>
              <w:rPr>
                <w:rFonts w:hint="default" w:ascii="Times New Roman" w:hAnsi="Times New Roman" w:eastAsia="宋体" w:cs="Times New Roman"/>
                <w:snapToGrid w:val="0"/>
                <w:color w:val="auto"/>
                <w:spacing w:val="5"/>
                <w:kern w:val="0"/>
                <w:sz w:val="21"/>
                <w:szCs w:val="21"/>
                <w:lang w:val="en-US" w:eastAsia="en-US" w:bidi="ar-SA"/>
              </w:rPr>
              <w:t>需要注意</w:t>
            </w:r>
          </w:p>
        </w:tc>
      </w:tr>
      <w:tr w14:paraId="499AD3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continue"/>
            <w:tcBorders>
              <w:top w:val="nil"/>
              <w:bottom w:val="nil"/>
            </w:tcBorders>
            <w:vAlign w:val="center"/>
          </w:tcPr>
          <w:p w14:paraId="5462B9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bottom w:val="nil"/>
            </w:tcBorders>
            <w:vAlign w:val="center"/>
          </w:tcPr>
          <w:p w14:paraId="682205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53D85FF5">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5"/>
                <w:kern w:val="0"/>
                <w:sz w:val="21"/>
                <w:szCs w:val="21"/>
                <w:lang w:val="en-US" w:eastAsia="en-US" w:bidi="ar-SA"/>
              </w:rPr>
              <w:t>中毒</w:t>
            </w:r>
          </w:p>
        </w:tc>
        <w:tc>
          <w:tcPr>
            <w:tcW w:w="672" w:type="dxa"/>
            <w:vAlign w:val="center"/>
          </w:tcPr>
          <w:p w14:paraId="234E54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65DFCD2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736C61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3</w:t>
            </w:r>
          </w:p>
        </w:tc>
        <w:tc>
          <w:tcPr>
            <w:tcW w:w="585" w:type="dxa"/>
            <w:vAlign w:val="center"/>
          </w:tcPr>
          <w:p w14:paraId="5BA2BD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9</w:t>
            </w:r>
          </w:p>
        </w:tc>
        <w:tc>
          <w:tcPr>
            <w:tcW w:w="2449" w:type="dxa"/>
            <w:vAlign w:val="center"/>
          </w:tcPr>
          <w:p w14:paraId="6CA83901">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稍有危险，</w:t>
            </w:r>
            <w:r>
              <w:rPr>
                <w:rFonts w:hint="default" w:ascii="Times New Roman" w:hAnsi="Times New Roman" w:eastAsia="宋体" w:cs="Times New Roman"/>
                <w:snapToGrid w:val="0"/>
                <w:color w:val="auto"/>
                <w:spacing w:val="7"/>
                <w:kern w:val="0"/>
                <w:sz w:val="21"/>
                <w:szCs w:val="21"/>
                <w:lang w:val="en-US" w:eastAsia="en-US" w:bidi="ar-SA"/>
              </w:rPr>
              <w:t>可以接受</w:t>
            </w:r>
          </w:p>
        </w:tc>
      </w:tr>
      <w:tr w14:paraId="6ABDE3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continue"/>
            <w:tcBorders>
              <w:top w:val="nil"/>
              <w:bottom w:val="nil"/>
            </w:tcBorders>
            <w:vAlign w:val="center"/>
          </w:tcPr>
          <w:p w14:paraId="34CE92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bottom w:val="nil"/>
            </w:tcBorders>
            <w:vAlign w:val="center"/>
          </w:tcPr>
          <w:p w14:paraId="08138F6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4E0C85F4">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车辆伤害</w:t>
            </w:r>
          </w:p>
        </w:tc>
        <w:tc>
          <w:tcPr>
            <w:tcW w:w="672" w:type="dxa"/>
            <w:vAlign w:val="center"/>
          </w:tcPr>
          <w:p w14:paraId="656B5E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1</w:t>
            </w:r>
          </w:p>
        </w:tc>
        <w:tc>
          <w:tcPr>
            <w:tcW w:w="672" w:type="dxa"/>
            <w:vAlign w:val="center"/>
          </w:tcPr>
          <w:p w14:paraId="0F429DA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6366A3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7</w:t>
            </w:r>
          </w:p>
        </w:tc>
        <w:tc>
          <w:tcPr>
            <w:tcW w:w="585" w:type="dxa"/>
            <w:vAlign w:val="center"/>
          </w:tcPr>
          <w:p w14:paraId="25ECA42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3"/>
                <w:kern w:val="0"/>
                <w:sz w:val="21"/>
                <w:szCs w:val="21"/>
                <w:lang w:eastAsia="en-US"/>
              </w:rPr>
              <w:t>42</w:t>
            </w:r>
          </w:p>
        </w:tc>
        <w:tc>
          <w:tcPr>
            <w:tcW w:w="2449" w:type="dxa"/>
            <w:vAlign w:val="center"/>
          </w:tcPr>
          <w:p w14:paraId="428963B4">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一般危险，</w:t>
            </w:r>
            <w:r>
              <w:rPr>
                <w:rFonts w:hint="default" w:ascii="Times New Roman" w:hAnsi="Times New Roman" w:eastAsia="宋体" w:cs="Times New Roman"/>
                <w:snapToGrid w:val="0"/>
                <w:color w:val="auto"/>
                <w:spacing w:val="5"/>
                <w:kern w:val="0"/>
                <w:sz w:val="21"/>
                <w:szCs w:val="21"/>
                <w:lang w:val="en-US" w:eastAsia="en-US" w:bidi="ar-SA"/>
              </w:rPr>
              <w:t>需要注意</w:t>
            </w:r>
          </w:p>
        </w:tc>
      </w:tr>
      <w:tr w14:paraId="524325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continue"/>
            <w:tcBorders>
              <w:top w:val="nil"/>
              <w:bottom w:val="nil"/>
            </w:tcBorders>
            <w:vAlign w:val="center"/>
          </w:tcPr>
          <w:p w14:paraId="3B6BA3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bottom w:val="nil"/>
            </w:tcBorders>
            <w:vAlign w:val="center"/>
          </w:tcPr>
          <w:p w14:paraId="56366B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573B9F37">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物体打击</w:t>
            </w:r>
          </w:p>
        </w:tc>
        <w:tc>
          <w:tcPr>
            <w:tcW w:w="672" w:type="dxa"/>
            <w:vAlign w:val="center"/>
          </w:tcPr>
          <w:p w14:paraId="4FD879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06EB7E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1C3FC9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3</w:t>
            </w:r>
          </w:p>
        </w:tc>
        <w:tc>
          <w:tcPr>
            <w:tcW w:w="585" w:type="dxa"/>
            <w:vAlign w:val="center"/>
          </w:tcPr>
          <w:p w14:paraId="3187905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9</w:t>
            </w:r>
          </w:p>
        </w:tc>
        <w:tc>
          <w:tcPr>
            <w:tcW w:w="2449" w:type="dxa"/>
            <w:vAlign w:val="center"/>
          </w:tcPr>
          <w:p w14:paraId="7C454FAD">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稍有危险，</w:t>
            </w:r>
            <w:r>
              <w:rPr>
                <w:rFonts w:hint="default" w:ascii="Times New Roman" w:hAnsi="Times New Roman" w:eastAsia="宋体" w:cs="Times New Roman"/>
                <w:snapToGrid w:val="0"/>
                <w:color w:val="auto"/>
                <w:spacing w:val="7"/>
                <w:kern w:val="0"/>
                <w:sz w:val="21"/>
                <w:szCs w:val="21"/>
                <w:lang w:val="en-US" w:eastAsia="en-US" w:bidi="ar-SA"/>
              </w:rPr>
              <w:t>可以接受</w:t>
            </w:r>
          </w:p>
        </w:tc>
      </w:tr>
      <w:tr w14:paraId="6A72C7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584" w:type="dxa"/>
            <w:vMerge w:val="continue"/>
            <w:tcBorders>
              <w:top w:val="nil"/>
            </w:tcBorders>
            <w:vAlign w:val="center"/>
          </w:tcPr>
          <w:p w14:paraId="2D56669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tcBorders>
            <w:vAlign w:val="center"/>
          </w:tcPr>
          <w:p w14:paraId="06E0EDC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5F8290EF">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寒冷气候和高温气</w:t>
            </w:r>
            <w:r>
              <w:rPr>
                <w:rFonts w:hint="default" w:ascii="Times New Roman" w:hAnsi="Times New Roman" w:eastAsia="宋体" w:cs="Times New Roman"/>
                <w:snapToGrid w:val="0"/>
                <w:color w:val="auto"/>
                <w:spacing w:val="6"/>
                <w:kern w:val="0"/>
                <w:sz w:val="21"/>
                <w:szCs w:val="21"/>
                <w:lang w:val="en-US" w:eastAsia="en-US" w:bidi="ar-SA"/>
              </w:rPr>
              <w:t>候环境</w:t>
            </w:r>
          </w:p>
        </w:tc>
        <w:tc>
          <w:tcPr>
            <w:tcW w:w="672" w:type="dxa"/>
            <w:vAlign w:val="center"/>
          </w:tcPr>
          <w:p w14:paraId="660FBE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1"/>
                <w:kern w:val="0"/>
                <w:sz w:val="21"/>
                <w:szCs w:val="21"/>
                <w:lang w:eastAsia="en-US"/>
              </w:rPr>
              <w:t>0.5</w:t>
            </w:r>
          </w:p>
        </w:tc>
        <w:tc>
          <w:tcPr>
            <w:tcW w:w="672" w:type="dxa"/>
            <w:vAlign w:val="center"/>
          </w:tcPr>
          <w:p w14:paraId="4FB6EA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2EB91B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3</w:t>
            </w:r>
          </w:p>
        </w:tc>
        <w:tc>
          <w:tcPr>
            <w:tcW w:w="585" w:type="dxa"/>
            <w:vAlign w:val="center"/>
          </w:tcPr>
          <w:p w14:paraId="2391F5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9</w:t>
            </w:r>
          </w:p>
        </w:tc>
        <w:tc>
          <w:tcPr>
            <w:tcW w:w="2449" w:type="dxa"/>
            <w:vAlign w:val="center"/>
          </w:tcPr>
          <w:p w14:paraId="0820649F">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稍有危险，</w:t>
            </w:r>
            <w:r>
              <w:rPr>
                <w:rFonts w:hint="default" w:ascii="Times New Roman" w:hAnsi="Times New Roman" w:eastAsia="宋体" w:cs="Times New Roman"/>
                <w:snapToGrid w:val="0"/>
                <w:color w:val="auto"/>
                <w:spacing w:val="7"/>
                <w:kern w:val="0"/>
                <w:sz w:val="21"/>
                <w:szCs w:val="21"/>
                <w:lang w:val="en-US" w:eastAsia="en-US" w:bidi="ar-SA"/>
              </w:rPr>
              <w:t>可以接受</w:t>
            </w:r>
          </w:p>
        </w:tc>
      </w:tr>
      <w:tr w14:paraId="006ABD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jc w:val="center"/>
        </w:trPr>
        <w:tc>
          <w:tcPr>
            <w:tcW w:w="584" w:type="dxa"/>
            <w:vMerge w:val="restart"/>
            <w:tcBorders>
              <w:bottom w:val="nil"/>
            </w:tcBorders>
            <w:vAlign w:val="center"/>
          </w:tcPr>
          <w:p w14:paraId="53E1EAE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p w14:paraId="3A5884B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3</w:t>
            </w:r>
          </w:p>
        </w:tc>
        <w:tc>
          <w:tcPr>
            <w:tcW w:w="1252" w:type="dxa"/>
            <w:vMerge w:val="restart"/>
            <w:tcBorders>
              <w:bottom w:val="nil"/>
            </w:tcBorders>
            <w:vAlign w:val="center"/>
          </w:tcPr>
          <w:p w14:paraId="662892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8"/>
                <w:kern w:val="0"/>
                <w:sz w:val="21"/>
                <w:szCs w:val="21"/>
                <w:lang w:val="en-US" w:eastAsia="en-US" w:bidi="ar-SA"/>
              </w:rPr>
              <w:t>加油装置内</w:t>
            </w:r>
            <w:r>
              <w:rPr>
                <w:rFonts w:hint="default" w:ascii="Times New Roman" w:hAnsi="Times New Roman" w:eastAsia="宋体" w:cs="Times New Roman"/>
                <w:snapToGrid w:val="0"/>
                <w:color w:val="auto"/>
                <w:spacing w:val="7"/>
                <w:kern w:val="0"/>
                <w:sz w:val="21"/>
                <w:szCs w:val="21"/>
                <w:lang w:val="en-US" w:eastAsia="en-US" w:bidi="ar-SA"/>
              </w:rPr>
              <w:t>车辆道路引</w:t>
            </w:r>
            <w:r>
              <w:rPr>
                <w:rFonts w:hint="default" w:ascii="Times New Roman" w:hAnsi="Times New Roman" w:eastAsia="宋体" w:cs="Times New Roman"/>
                <w:snapToGrid w:val="0"/>
                <w:color w:val="auto"/>
                <w:spacing w:val="5"/>
                <w:kern w:val="0"/>
                <w:sz w:val="21"/>
                <w:szCs w:val="21"/>
                <w:lang w:val="en-US" w:eastAsia="en-US" w:bidi="ar-SA"/>
              </w:rPr>
              <w:t>导作业</w:t>
            </w:r>
          </w:p>
        </w:tc>
        <w:tc>
          <w:tcPr>
            <w:tcW w:w="2207" w:type="dxa"/>
            <w:vAlign w:val="center"/>
          </w:tcPr>
          <w:p w14:paraId="32C84D83">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7"/>
                <w:kern w:val="0"/>
                <w:sz w:val="21"/>
                <w:szCs w:val="21"/>
                <w:lang w:val="en-US" w:eastAsia="en-US" w:bidi="ar-SA"/>
              </w:rPr>
              <w:t>火灾、爆炸</w:t>
            </w:r>
          </w:p>
        </w:tc>
        <w:tc>
          <w:tcPr>
            <w:tcW w:w="672" w:type="dxa"/>
            <w:vAlign w:val="center"/>
          </w:tcPr>
          <w:p w14:paraId="61CBE9E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1</w:t>
            </w:r>
          </w:p>
        </w:tc>
        <w:tc>
          <w:tcPr>
            <w:tcW w:w="672" w:type="dxa"/>
            <w:vAlign w:val="center"/>
          </w:tcPr>
          <w:p w14:paraId="54DF2B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7108B4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7</w:t>
            </w:r>
          </w:p>
        </w:tc>
        <w:tc>
          <w:tcPr>
            <w:tcW w:w="585" w:type="dxa"/>
            <w:vAlign w:val="center"/>
          </w:tcPr>
          <w:p w14:paraId="79737C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3"/>
                <w:kern w:val="0"/>
                <w:sz w:val="21"/>
                <w:szCs w:val="21"/>
                <w:lang w:eastAsia="en-US"/>
              </w:rPr>
              <w:t>42</w:t>
            </w:r>
          </w:p>
        </w:tc>
        <w:tc>
          <w:tcPr>
            <w:tcW w:w="2449" w:type="dxa"/>
            <w:vAlign w:val="center"/>
          </w:tcPr>
          <w:p w14:paraId="2B5CB544">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一般危险，</w:t>
            </w:r>
            <w:r>
              <w:rPr>
                <w:rFonts w:hint="default" w:ascii="Times New Roman" w:hAnsi="Times New Roman" w:eastAsia="宋体" w:cs="Times New Roman"/>
                <w:snapToGrid w:val="0"/>
                <w:color w:val="auto"/>
                <w:spacing w:val="5"/>
                <w:kern w:val="0"/>
                <w:sz w:val="21"/>
                <w:szCs w:val="21"/>
                <w:lang w:val="en-US" w:eastAsia="en-US" w:bidi="ar-SA"/>
              </w:rPr>
              <w:t>需要注意</w:t>
            </w:r>
          </w:p>
        </w:tc>
      </w:tr>
      <w:tr w14:paraId="55E0AC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jc w:val="center"/>
        </w:trPr>
        <w:tc>
          <w:tcPr>
            <w:tcW w:w="584" w:type="dxa"/>
            <w:vMerge w:val="continue"/>
            <w:tcBorders>
              <w:top w:val="nil"/>
            </w:tcBorders>
            <w:vAlign w:val="center"/>
          </w:tcPr>
          <w:p w14:paraId="3483D99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1252" w:type="dxa"/>
            <w:vMerge w:val="continue"/>
            <w:tcBorders>
              <w:top w:val="nil"/>
            </w:tcBorders>
            <w:vAlign w:val="center"/>
          </w:tcPr>
          <w:p w14:paraId="53A9BA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Arial" w:cs="Times New Roman"/>
                <w:snapToGrid w:val="0"/>
                <w:color w:val="auto"/>
                <w:kern w:val="0"/>
                <w:sz w:val="21"/>
                <w:szCs w:val="21"/>
                <w:lang w:eastAsia="en-US"/>
              </w:rPr>
            </w:pPr>
          </w:p>
        </w:tc>
        <w:tc>
          <w:tcPr>
            <w:tcW w:w="2207" w:type="dxa"/>
            <w:vAlign w:val="center"/>
          </w:tcPr>
          <w:p w14:paraId="482CBD7B">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6"/>
                <w:kern w:val="0"/>
                <w:sz w:val="21"/>
                <w:szCs w:val="21"/>
                <w:lang w:val="en-US" w:eastAsia="en-US" w:bidi="ar-SA"/>
              </w:rPr>
              <w:t>车辆伤害</w:t>
            </w:r>
          </w:p>
        </w:tc>
        <w:tc>
          <w:tcPr>
            <w:tcW w:w="672" w:type="dxa"/>
            <w:vAlign w:val="center"/>
          </w:tcPr>
          <w:p w14:paraId="497707D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1</w:t>
            </w:r>
          </w:p>
        </w:tc>
        <w:tc>
          <w:tcPr>
            <w:tcW w:w="672" w:type="dxa"/>
            <w:vAlign w:val="center"/>
          </w:tcPr>
          <w:p w14:paraId="33894D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6</w:t>
            </w:r>
          </w:p>
        </w:tc>
        <w:tc>
          <w:tcPr>
            <w:tcW w:w="623" w:type="dxa"/>
            <w:vAlign w:val="center"/>
          </w:tcPr>
          <w:p w14:paraId="3CE6FD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kern w:val="0"/>
                <w:sz w:val="21"/>
                <w:szCs w:val="21"/>
                <w:lang w:eastAsia="en-US"/>
              </w:rPr>
              <w:t>7</w:t>
            </w:r>
          </w:p>
        </w:tc>
        <w:tc>
          <w:tcPr>
            <w:tcW w:w="585" w:type="dxa"/>
            <w:vAlign w:val="center"/>
          </w:tcPr>
          <w:p w14:paraId="57C9BE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Times New Roman" w:cs="Times New Roman"/>
                <w:snapToGrid w:val="0"/>
                <w:color w:val="auto"/>
                <w:kern w:val="0"/>
                <w:sz w:val="21"/>
                <w:szCs w:val="21"/>
                <w:lang w:eastAsia="en-US"/>
              </w:rPr>
            </w:pPr>
            <w:r>
              <w:rPr>
                <w:rFonts w:hint="default" w:ascii="Times New Roman" w:hAnsi="Times New Roman" w:eastAsia="Times New Roman" w:cs="Times New Roman"/>
                <w:snapToGrid w:val="0"/>
                <w:color w:val="auto"/>
                <w:spacing w:val="3"/>
                <w:kern w:val="0"/>
                <w:sz w:val="21"/>
                <w:szCs w:val="21"/>
                <w:lang w:eastAsia="en-US"/>
              </w:rPr>
              <w:t>42</w:t>
            </w:r>
          </w:p>
        </w:tc>
        <w:tc>
          <w:tcPr>
            <w:tcW w:w="2449" w:type="dxa"/>
            <w:vAlign w:val="center"/>
          </w:tcPr>
          <w:p w14:paraId="75EC0A93">
            <w:pPr>
              <w:keepNext w:val="0"/>
              <w:keepLines w:val="0"/>
              <w:pageBreakBefore w:val="0"/>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spacing w:val="-16"/>
                <w:kern w:val="0"/>
                <w:sz w:val="21"/>
                <w:szCs w:val="21"/>
                <w:lang w:val="en-US" w:eastAsia="en-US" w:bidi="ar-SA"/>
              </w:rPr>
              <w:t>一般危险，</w:t>
            </w:r>
            <w:r>
              <w:rPr>
                <w:rFonts w:hint="default" w:ascii="Times New Roman" w:hAnsi="Times New Roman" w:eastAsia="宋体" w:cs="Times New Roman"/>
                <w:snapToGrid w:val="0"/>
                <w:color w:val="auto"/>
                <w:spacing w:val="5"/>
                <w:kern w:val="0"/>
                <w:sz w:val="21"/>
                <w:szCs w:val="21"/>
                <w:lang w:val="en-US" w:eastAsia="en-US" w:bidi="ar-SA"/>
              </w:rPr>
              <w:t>需要注意</w:t>
            </w:r>
          </w:p>
        </w:tc>
      </w:tr>
    </w:tbl>
    <w:p w14:paraId="74B2533D">
      <w:pPr>
        <w:bidi w:val="0"/>
        <w:rPr>
          <w:rFonts w:hint="eastAsia"/>
          <w:color w:val="auto"/>
        </w:rPr>
      </w:pPr>
      <w:r>
        <w:rPr>
          <w:rFonts w:hint="eastAsia"/>
          <w:color w:val="auto"/>
        </w:rPr>
        <w:t>由附表3.</w:t>
      </w:r>
      <w:r>
        <w:rPr>
          <w:rFonts w:hint="eastAsia"/>
          <w:color w:val="auto"/>
          <w:lang w:val="en-US" w:eastAsia="zh-CN"/>
        </w:rPr>
        <w:t>4</w:t>
      </w:r>
      <w:r>
        <w:rPr>
          <w:rFonts w:hint="eastAsia"/>
          <w:color w:val="auto"/>
        </w:rPr>
        <w:t>-1的评价结果可以看出，</w:t>
      </w:r>
      <w:r>
        <w:rPr>
          <w:rFonts w:hint="eastAsia"/>
          <w:color w:val="auto"/>
          <w:lang w:eastAsia="zh-CN"/>
        </w:rPr>
        <w:t>本项目</w:t>
      </w:r>
      <w:r>
        <w:rPr>
          <w:rFonts w:hint="eastAsia"/>
          <w:color w:val="auto"/>
        </w:rPr>
        <w:t>的作业条件相对比较安全。在选定的评价单元中的作业均在“一般危险”或“稍有危险”范围，作业条件相对安全。</w:t>
      </w:r>
    </w:p>
    <w:p w14:paraId="24E1B6D6">
      <w:pPr>
        <w:bidi w:val="0"/>
        <w:rPr>
          <w:rFonts w:hint="eastAsia"/>
          <w:color w:val="auto"/>
        </w:rPr>
      </w:pPr>
      <w:r>
        <w:rPr>
          <w:rFonts w:hint="eastAsia"/>
          <w:color w:val="auto"/>
          <w:lang w:eastAsia="zh-CN"/>
        </w:rPr>
        <w:t>本项目</w:t>
      </w:r>
      <w:r>
        <w:rPr>
          <w:rFonts w:hint="eastAsia"/>
          <w:color w:val="auto"/>
        </w:rPr>
        <w:t>橇装装置的安全运行首先应重点加强对油油罐、加油机柴油危险物质的严格控制，注重日常安全管理，加强输送易然液体管线的安全管理；其次要建立健全完善的安全生产责任制、安全管理制度、安全操作规程、技术操作规程并确保其贯彻落实；要认真抓好加油装置操作及管理人员的安全知识和操作技能的培训，确保人员具有与项目所需知识水平相适应的技术素质和安全素质，保证加油安全作业。</w:t>
      </w:r>
    </w:p>
    <w:p w14:paraId="04768FCA">
      <w:pPr>
        <w:pStyle w:val="3"/>
        <w:bidi w:val="0"/>
        <w:rPr>
          <w:rFonts w:hint="eastAsia"/>
          <w:color w:val="auto"/>
          <w:lang w:val="en-US" w:eastAsia="zh-CN"/>
        </w:rPr>
      </w:pPr>
      <w:bookmarkStart w:id="278" w:name="_Toc25236"/>
      <w:r>
        <w:rPr>
          <w:rFonts w:hint="eastAsia"/>
          <w:color w:val="auto"/>
          <w:lang w:val="en-US" w:eastAsia="zh-CN"/>
        </w:rPr>
        <w:t>3.5 储存装置的安全性评价</w:t>
      </w:r>
      <w:bookmarkEnd w:id="278"/>
    </w:p>
    <w:p w14:paraId="455B6614">
      <w:pPr>
        <w:bidi w:val="0"/>
        <w:rPr>
          <w:rFonts w:hint="eastAsia"/>
          <w:color w:val="auto"/>
          <w:lang w:val="en-US" w:eastAsia="zh-CN"/>
        </w:rPr>
      </w:pPr>
      <w:r>
        <w:rPr>
          <w:rFonts w:hint="eastAsia"/>
          <w:color w:val="auto"/>
          <w:lang w:val="en-US" w:eastAsia="zh-CN"/>
        </w:rPr>
        <w:t>本项目橇装加油装置运营过程中基本无三废排放。</w:t>
      </w:r>
    </w:p>
    <w:p w14:paraId="707D86B0">
      <w:pPr>
        <w:bidi w:val="0"/>
        <w:rPr>
          <w:rFonts w:hint="eastAsia"/>
          <w:color w:val="auto"/>
          <w:lang w:val="en-US" w:eastAsia="zh-CN"/>
        </w:rPr>
      </w:pPr>
      <w:r>
        <w:rPr>
          <w:rFonts w:hint="eastAsia"/>
          <w:color w:val="auto"/>
          <w:lang w:val="en-US" w:eastAsia="zh-CN"/>
        </w:rPr>
        <w:t>本项目橇装加油装置拟按照国家规范要求设置消防系统，油罐、设备、管道、电气设施等设置防雷接地、防静电系统。</w:t>
      </w:r>
    </w:p>
    <w:p w14:paraId="4985F7B8">
      <w:pPr>
        <w:bidi w:val="0"/>
        <w:rPr>
          <w:rFonts w:hint="default" w:eastAsia="宋体"/>
          <w:color w:val="auto"/>
          <w:lang w:val="en-US" w:eastAsia="zh-CN"/>
        </w:rPr>
      </w:pPr>
      <w:r>
        <w:rPr>
          <w:rFonts w:hint="eastAsia"/>
          <w:color w:val="auto"/>
          <w:lang w:val="en-US" w:eastAsia="zh-CN"/>
        </w:rPr>
        <w:t>本项目橇装加油装置拟由具有国家设计、制造和安装资质的单位负责设备设施的设计、购置、施工，因此企业在按照国家相应要求进行油罐、加油机、管线等设备选型和制作安装、检测调试的情况下，改建项目的储存装置能够形成符合安全生产的支持条件。</w:t>
      </w:r>
    </w:p>
    <w:p w14:paraId="72DC96E1">
      <w:pPr>
        <w:rPr>
          <w:rFonts w:hint="eastAsia"/>
          <w:color w:val="auto"/>
        </w:rPr>
      </w:pPr>
      <w:r>
        <w:rPr>
          <w:rFonts w:hint="eastAsia"/>
          <w:color w:val="auto"/>
        </w:rPr>
        <w:br w:type="page"/>
      </w:r>
    </w:p>
    <w:p w14:paraId="1BA5C0E8">
      <w:pPr>
        <w:pStyle w:val="2"/>
        <w:bidi w:val="0"/>
        <w:rPr>
          <w:rFonts w:hint="eastAsia"/>
          <w:color w:val="auto"/>
        </w:rPr>
      </w:pPr>
      <w:bookmarkStart w:id="279" w:name="_Toc21797"/>
      <w:bookmarkStart w:id="280" w:name="_Toc3084"/>
      <w:bookmarkStart w:id="281" w:name="_Toc2829"/>
      <w:bookmarkStart w:id="282" w:name="_Toc24857"/>
      <w:r>
        <w:rPr>
          <w:rFonts w:hint="eastAsia"/>
          <w:color w:val="auto"/>
        </w:rPr>
        <w:t>附件四 安全评价依据</w:t>
      </w:r>
      <w:bookmarkEnd w:id="279"/>
      <w:bookmarkEnd w:id="280"/>
      <w:bookmarkEnd w:id="281"/>
      <w:bookmarkEnd w:id="282"/>
    </w:p>
    <w:p w14:paraId="6F589187">
      <w:pPr>
        <w:pStyle w:val="3"/>
        <w:bidi w:val="0"/>
        <w:rPr>
          <w:rFonts w:hint="eastAsia"/>
          <w:color w:val="auto"/>
        </w:rPr>
      </w:pPr>
      <w:bookmarkStart w:id="283" w:name="_Toc25326"/>
      <w:bookmarkStart w:id="284" w:name="_Toc28194"/>
      <w:bookmarkStart w:id="285" w:name="_Toc30405"/>
      <w:bookmarkStart w:id="286" w:name="_Toc13855"/>
      <w:r>
        <w:rPr>
          <w:rFonts w:hint="eastAsia"/>
          <w:color w:val="auto"/>
        </w:rPr>
        <w:t>4.1</w:t>
      </w:r>
      <w:r>
        <w:rPr>
          <w:rFonts w:hint="eastAsia"/>
          <w:color w:val="auto"/>
          <w:lang w:val="en-US" w:eastAsia="zh-CN"/>
        </w:rPr>
        <w:t xml:space="preserve"> </w:t>
      </w:r>
      <w:r>
        <w:rPr>
          <w:rFonts w:hint="eastAsia"/>
          <w:color w:val="auto"/>
        </w:rPr>
        <w:t>法律、法规、规定和规范性技术文件</w:t>
      </w:r>
      <w:bookmarkEnd w:id="283"/>
      <w:bookmarkEnd w:id="284"/>
      <w:bookmarkEnd w:id="285"/>
      <w:bookmarkEnd w:id="286"/>
    </w:p>
    <w:p w14:paraId="724F60F2">
      <w:pPr>
        <w:bidi w:val="0"/>
        <w:rPr>
          <w:rFonts w:hint="eastAsia"/>
          <w:color w:val="auto"/>
        </w:rPr>
      </w:pPr>
      <w:r>
        <w:rPr>
          <w:rFonts w:hint="eastAsia"/>
          <w:color w:val="auto"/>
        </w:rPr>
        <w:t>《中华人民共和国职业病防治法》主席令〔2018〕第52号，2018年12月29日修正生效</w:t>
      </w:r>
    </w:p>
    <w:p w14:paraId="3CD150FF">
      <w:pPr>
        <w:bidi w:val="0"/>
        <w:rPr>
          <w:rFonts w:hint="eastAsia"/>
          <w:color w:val="auto"/>
        </w:rPr>
      </w:pPr>
      <w:r>
        <w:rPr>
          <w:rFonts w:hint="eastAsia"/>
          <w:color w:val="auto"/>
        </w:rPr>
        <w:t>《中华人民共和国消防法》主席令〔2021〕第81号，2021年4月29修正生效</w:t>
      </w:r>
    </w:p>
    <w:p w14:paraId="4A73DF64">
      <w:pPr>
        <w:bidi w:val="0"/>
        <w:rPr>
          <w:rFonts w:hint="eastAsia"/>
          <w:color w:val="auto"/>
        </w:rPr>
      </w:pPr>
      <w:r>
        <w:rPr>
          <w:rFonts w:hint="eastAsia"/>
          <w:color w:val="auto"/>
        </w:rPr>
        <w:t>《中华人民共和国安全生产法》主席令〔2021〕第88号，</w:t>
      </w:r>
      <w:r>
        <w:rPr>
          <w:color w:val="auto"/>
        </w:rPr>
        <w:t>2021年6月10日</w:t>
      </w:r>
      <w:r>
        <w:rPr>
          <w:rFonts w:hint="eastAsia"/>
          <w:color w:val="auto"/>
          <w:lang w:val="en-US" w:eastAsia="zh-CN"/>
        </w:rPr>
        <w:t>修正，</w:t>
      </w:r>
      <w:r>
        <w:rPr>
          <w:rFonts w:hint="eastAsia"/>
          <w:color w:val="auto"/>
        </w:rPr>
        <w:t>自2021年9月1日起实施</w:t>
      </w:r>
    </w:p>
    <w:p w14:paraId="768F9EF1">
      <w:pPr>
        <w:bidi w:val="0"/>
        <w:rPr>
          <w:rFonts w:hint="eastAsia"/>
          <w:color w:val="auto"/>
          <w:lang w:eastAsia="zh-CN"/>
        </w:rPr>
      </w:pPr>
      <w:r>
        <w:rPr>
          <w:rFonts w:hint="eastAsia"/>
          <w:color w:val="auto"/>
        </w:rPr>
        <w:t>《</w:t>
      </w:r>
      <w:r>
        <w:rPr>
          <w:rFonts w:hint="default" w:ascii="Times New Roman" w:hAnsi="Times New Roman" w:eastAsia="宋体" w:cs="Times New Roman"/>
          <w:color w:val="auto"/>
          <w:lang w:val="en-US" w:eastAsia="zh-CN"/>
        </w:rPr>
        <w:t>中华人民共和国突发</w:t>
      </w:r>
      <w:r>
        <w:rPr>
          <w:rFonts w:hint="eastAsia" w:cs="Times New Roman"/>
          <w:color w:val="auto"/>
          <w:lang w:val="en-US" w:eastAsia="zh-CN"/>
        </w:rPr>
        <w:t>事件</w:t>
      </w:r>
      <w:r>
        <w:rPr>
          <w:rFonts w:hint="default" w:ascii="Times New Roman" w:hAnsi="Times New Roman" w:eastAsia="宋体" w:cs="Times New Roman"/>
          <w:color w:val="auto"/>
          <w:lang w:val="en-US" w:eastAsia="zh-CN"/>
        </w:rPr>
        <w:t>应对法</w:t>
      </w:r>
      <w:r>
        <w:rPr>
          <w:rFonts w:hint="eastAsia"/>
          <w:color w:val="auto"/>
        </w:rPr>
        <w:t>》主席令〔20</w:t>
      </w:r>
      <w:r>
        <w:rPr>
          <w:rFonts w:hint="eastAsia"/>
          <w:color w:val="auto"/>
          <w:lang w:val="en-US" w:eastAsia="zh-CN"/>
        </w:rPr>
        <w:t>24</w:t>
      </w:r>
      <w:r>
        <w:rPr>
          <w:rFonts w:hint="eastAsia"/>
          <w:color w:val="auto"/>
        </w:rPr>
        <w:t>〕第25号，2024年6月28日修订</w:t>
      </w:r>
      <w:r>
        <w:rPr>
          <w:rFonts w:hint="eastAsia"/>
          <w:color w:val="auto"/>
          <w:lang w:eastAsia="zh-CN"/>
        </w:rPr>
        <w:t>，自2024年11月1日起施行</w:t>
      </w:r>
    </w:p>
    <w:p w14:paraId="1AFB550C">
      <w:pPr>
        <w:bidi w:val="0"/>
        <w:rPr>
          <w:rFonts w:hint="eastAsia"/>
          <w:color w:val="auto"/>
          <w:lang w:eastAsia="zh-CN"/>
        </w:rPr>
      </w:pPr>
      <w:r>
        <w:rPr>
          <w:rFonts w:hint="eastAsia"/>
          <w:color w:val="auto"/>
          <w:lang w:eastAsia="zh-CN"/>
        </w:rPr>
        <w:t>《危险化学品安全管理条例》国务院令〔2002〕第344号，2011国务院第591号令、2013年国务院第645号修订</w:t>
      </w:r>
    </w:p>
    <w:p w14:paraId="08F0A8ED">
      <w:pPr>
        <w:bidi w:val="0"/>
        <w:rPr>
          <w:rFonts w:hint="eastAsia"/>
          <w:color w:val="auto"/>
          <w:lang w:eastAsia="zh-CN"/>
        </w:rPr>
      </w:pPr>
      <w:r>
        <w:rPr>
          <w:rFonts w:hint="eastAsia"/>
          <w:color w:val="auto"/>
          <w:lang w:eastAsia="zh-CN"/>
        </w:rPr>
        <w:t>《工伤保险条例》国务院令〔2003〕第275号，2010年国务院令第586号修改</w:t>
      </w:r>
    </w:p>
    <w:p w14:paraId="7A4D4A0B">
      <w:pPr>
        <w:bidi w:val="0"/>
        <w:rPr>
          <w:rFonts w:hint="eastAsia"/>
          <w:color w:val="auto"/>
        </w:rPr>
      </w:pPr>
      <w:r>
        <w:rPr>
          <w:rFonts w:hint="eastAsia"/>
          <w:color w:val="auto"/>
        </w:rPr>
        <w:t>《易制毒化学品管理条例》国务院令〔2005〕第445号</w:t>
      </w:r>
      <w:r>
        <w:rPr>
          <w:rFonts w:hint="eastAsia"/>
          <w:color w:val="auto"/>
          <w:lang w:eastAsia="zh-CN"/>
        </w:rPr>
        <w:t>，</w:t>
      </w:r>
      <w:r>
        <w:rPr>
          <w:rFonts w:hint="eastAsia"/>
          <w:color w:val="auto"/>
        </w:rPr>
        <w:t>2016年国务院第666号令、2018年国务院第703号</w:t>
      </w:r>
      <w:r>
        <w:rPr>
          <w:rFonts w:hint="eastAsia"/>
          <w:color w:val="auto"/>
          <w:lang w:val="en-US" w:eastAsia="zh-CN"/>
        </w:rPr>
        <w:t>修订</w:t>
      </w:r>
    </w:p>
    <w:p w14:paraId="38DBF091">
      <w:pPr>
        <w:bidi w:val="0"/>
        <w:rPr>
          <w:rFonts w:hint="eastAsia"/>
          <w:color w:val="auto"/>
        </w:rPr>
      </w:pPr>
      <w:r>
        <w:rPr>
          <w:rFonts w:hint="eastAsia"/>
          <w:color w:val="auto"/>
        </w:rPr>
        <w:t>《生产安全事故应急条例》国务院令〔2019〕第708号</w:t>
      </w:r>
      <w:r>
        <w:rPr>
          <w:rFonts w:hint="eastAsia"/>
          <w:color w:val="auto"/>
          <w:lang w:eastAsia="zh-CN"/>
        </w:rPr>
        <w:t>，</w:t>
      </w:r>
      <w:r>
        <w:rPr>
          <w:rFonts w:hint="eastAsia"/>
          <w:color w:val="auto"/>
        </w:rPr>
        <w:t>2018年12月5日国务院第33次常务会议通过，2019年4日1日起施行</w:t>
      </w:r>
    </w:p>
    <w:p w14:paraId="5AA4ACDE">
      <w:pPr>
        <w:bidi w:val="0"/>
        <w:rPr>
          <w:rFonts w:hint="eastAsia"/>
          <w:color w:val="auto"/>
        </w:rPr>
      </w:pPr>
      <w:r>
        <w:rPr>
          <w:rFonts w:hint="eastAsia"/>
          <w:color w:val="auto"/>
        </w:rPr>
        <w:t>《江西省消防条例》2020年11月25日江西省第十三届人民代表大会常务委员会第二十五次会议第六次修正</w:t>
      </w:r>
    </w:p>
    <w:p w14:paraId="1CFC9CDE">
      <w:pPr>
        <w:bidi w:val="0"/>
        <w:rPr>
          <w:rFonts w:hint="eastAsia"/>
          <w:color w:val="auto"/>
        </w:rPr>
      </w:pPr>
      <w:r>
        <w:rPr>
          <w:rFonts w:hint="eastAsia"/>
          <w:color w:val="auto"/>
        </w:rPr>
        <w:t>《江西省安全生产条例》2023年7月26日江西省第十四届人民代表大会常务委员会第三次会议第二次修订</w:t>
      </w:r>
    </w:p>
    <w:p w14:paraId="7FDE6DA0">
      <w:pPr>
        <w:bidi w:val="0"/>
        <w:rPr>
          <w:rFonts w:hint="eastAsia"/>
          <w:color w:val="auto"/>
        </w:rPr>
      </w:pPr>
      <w:r>
        <w:rPr>
          <w:rFonts w:hint="eastAsia"/>
          <w:color w:val="auto"/>
        </w:rPr>
        <w:t>《国家安全监管总局关于修改《</w:t>
      </w:r>
      <w:r>
        <w:rPr>
          <w:rFonts w:hint="eastAsia" w:ascii="宋体" w:hAnsi="宋体" w:eastAsia="宋体" w:cs="宋体"/>
          <w:color w:val="auto"/>
        </w:rPr>
        <w:t>&lt;</w:t>
      </w:r>
      <w:r>
        <w:rPr>
          <w:rFonts w:hint="eastAsia"/>
          <w:color w:val="auto"/>
        </w:rPr>
        <w:t>生产安全事故报告和调查处理条例</w:t>
      </w:r>
      <w:r>
        <w:rPr>
          <w:rFonts w:hint="eastAsia" w:ascii="宋体" w:hAnsi="宋体" w:eastAsia="宋体" w:cs="宋体"/>
          <w:color w:val="auto"/>
        </w:rPr>
        <w:t>&gt;</w:t>
      </w:r>
      <w:r>
        <w:rPr>
          <w:rFonts w:hint="eastAsia"/>
          <w:color w:val="auto"/>
        </w:rPr>
        <w:t>罚款处罚暂行规定》等四部规章的决定</w:t>
      </w:r>
      <w:r>
        <w:rPr>
          <w:rFonts w:hint="eastAsia"/>
          <w:color w:val="auto"/>
          <w:lang w:eastAsia="zh-CN"/>
        </w:rPr>
        <w:t>》</w:t>
      </w:r>
      <w:r>
        <w:rPr>
          <w:rFonts w:hint="eastAsia"/>
          <w:color w:val="auto"/>
        </w:rPr>
        <w:t>国家安监总局令第77号令</w:t>
      </w:r>
    </w:p>
    <w:p w14:paraId="04404893">
      <w:pPr>
        <w:bidi w:val="0"/>
        <w:rPr>
          <w:rFonts w:hint="eastAsia"/>
          <w:color w:val="auto"/>
        </w:rPr>
      </w:pPr>
      <w:r>
        <w:rPr>
          <w:rFonts w:hint="eastAsia"/>
          <w:color w:val="auto"/>
        </w:rPr>
        <w:t>《国务院关于印发水污染防治行动计划的通知》（国发〔2015〕17号）</w:t>
      </w:r>
    </w:p>
    <w:p w14:paraId="0463F4B3">
      <w:pPr>
        <w:bidi w:val="0"/>
        <w:rPr>
          <w:rFonts w:hint="eastAsia"/>
          <w:color w:val="auto"/>
        </w:rPr>
      </w:pPr>
      <w:r>
        <w:rPr>
          <w:rFonts w:hint="eastAsia"/>
          <w:color w:val="auto"/>
        </w:rPr>
        <w:t>《危险化学品建设项目安全监督管理办法》国家安全生产监督管理总局45号令（国家总局令第79号修正）</w:t>
      </w:r>
    </w:p>
    <w:p w14:paraId="0E36A689">
      <w:pPr>
        <w:bidi w:val="0"/>
        <w:rPr>
          <w:rFonts w:hint="eastAsia"/>
          <w:color w:val="auto"/>
        </w:rPr>
      </w:pPr>
      <w:r>
        <w:rPr>
          <w:rFonts w:hint="eastAsia"/>
          <w:color w:val="auto"/>
        </w:rPr>
        <w:t>《生产安全事故应急预案管理办法》国家安监总局令第88号（2019年7月11日应急管理部令第2号修正）</w:t>
      </w:r>
    </w:p>
    <w:p w14:paraId="297A4F41">
      <w:pPr>
        <w:bidi w:val="0"/>
        <w:rPr>
          <w:rFonts w:hint="eastAsia"/>
          <w:color w:val="auto"/>
        </w:rPr>
      </w:pPr>
      <w:r>
        <w:rPr>
          <w:rFonts w:hint="eastAsia"/>
          <w:color w:val="auto"/>
        </w:rPr>
        <w:t>《高毒物品目录》（卫法监发</w:t>
      </w:r>
      <w:r>
        <w:rPr>
          <w:rFonts w:hint="eastAsia" w:ascii="宋体" w:hAnsi="宋体" w:eastAsia="宋体" w:cs="宋体"/>
          <w:color w:val="auto"/>
        </w:rPr>
        <w:t>[</w:t>
      </w:r>
      <w:r>
        <w:rPr>
          <w:rFonts w:hint="eastAsia"/>
          <w:color w:val="auto"/>
        </w:rPr>
        <w:t>2003</w:t>
      </w:r>
      <w:r>
        <w:rPr>
          <w:rFonts w:hint="eastAsia" w:ascii="宋体" w:hAnsi="宋体" w:eastAsia="宋体" w:cs="宋体"/>
          <w:color w:val="auto"/>
        </w:rPr>
        <w:t>]</w:t>
      </w:r>
      <w:r>
        <w:rPr>
          <w:rFonts w:hint="eastAsia"/>
          <w:color w:val="auto"/>
        </w:rPr>
        <w:t>142号）</w:t>
      </w:r>
    </w:p>
    <w:p w14:paraId="00C759D2">
      <w:pPr>
        <w:bidi w:val="0"/>
        <w:rPr>
          <w:rFonts w:hint="eastAsia"/>
          <w:color w:val="auto"/>
        </w:rPr>
      </w:pPr>
      <w:r>
        <w:rPr>
          <w:rFonts w:hint="eastAsia"/>
          <w:color w:val="auto"/>
        </w:rPr>
        <w:t>《危险化学品目录》（2015年版，2022年十部委调整）</w:t>
      </w:r>
    </w:p>
    <w:p w14:paraId="4992818C">
      <w:pPr>
        <w:bidi w:val="0"/>
        <w:rPr>
          <w:rFonts w:hint="eastAsia"/>
          <w:color w:val="auto"/>
        </w:rPr>
      </w:pPr>
      <w:r>
        <w:rPr>
          <w:rFonts w:hint="eastAsia"/>
          <w:color w:val="auto"/>
        </w:rPr>
        <w:t>《易制爆危险化学品名录》（2017年版）</w:t>
      </w:r>
    </w:p>
    <w:p w14:paraId="598F7375">
      <w:pPr>
        <w:bidi w:val="0"/>
        <w:rPr>
          <w:rFonts w:hint="eastAsia"/>
          <w:color w:val="auto"/>
        </w:rPr>
      </w:pPr>
      <w:r>
        <w:rPr>
          <w:rFonts w:hint="eastAsia"/>
          <w:color w:val="auto"/>
        </w:rPr>
        <w:t>《各类监控化学品名录》工信部</w:t>
      </w:r>
      <w:r>
        <w:rPr>
          <w:rFonts w:hint="eastAsia" w:ascii="宋体" w:hAnsi="宋体" w:eastAsia="宋体" w:cs="宋体"/>
          <w:color w:val="auto"/>
        </w:rPr>
        <w:t>[</w:t>
      </w:r>
      <w:r>
        <w:rPr>
          <w:rFonts w:hint="eastAsia"/>
          <w:color w:val="auto"/>
        </w:rPr>
        <w:t>2020</w:t>
      </w:r>
      <w:r>
        <w:rPr>
          <w:rFonts w:hint="eastAsia" w:ascii="宋体" w:hAnsi="宋体" w:eastAsia="宋体" w:cs="宋体"/>
          <w:color w:val="auto"/>
        </w:rPr>
        <w:t>]</w:t>
      </w:r>
      <w:r>
        <w:rPr>
          <w:rFonts w:hint="eastAsia"/>
          <w:color w:val="auto"/>
        </w:rPr>
        <w:t>第52号</w:t>
      </w:r>
    </w:p>
    <w:p w14:paraId="5F4BCE72">
      <w:pPr>
        <w:bidi w:val="0"/>
        <w:rPr>
          <w:rFonts w:hint="eastAsia"/>
          <w:color w:val="auto"/>
        </w:rPr>
      </w:pPr>
      <w:r>
        <w:rPr>
          <w:rFonts w:hint="eastAsia"/>
          <w:color w:val="auto"/>
        </w:rPr>
        <w:t>《特别管控危险化学品目录》应急管理部等四部门公告</w:t>
      </w:r>
      <w:r>
        <w:rPr>
          <w:rFonts w:hint="eastAsia" w:ascii="宋体" w:hAnsi="宋体" w:eastAsia="宋体" w:cs="宋体"/>
          <w:color w:val="auto"/>
        </w:rPr>
        <w:t>[</w:t>
      </w:r>
      <w:r>
        <w:rPr>
          <w:rFonts w:hint="eastAsia"/>
          <w:color w:val="auto"/>
        </w:rPr>
        <w:t>2020</w:t>
      </w:r>
      <w:r>
        <w:rPr>
          <w:rFonts w:hint="eastAsia" w:ascii="宋体" w:hAnsi="宋体" w:eastAsia="宋体" w:cs="宋体"/>
          <w:color w:val="auto"/>
        </w:rPr>
        <w:t>]</w:t>
      </w:r>
      <w:r>
        <w:rPr>
          <w:rFonts w:hint="eastAsia"/>
          <w:color w:val="auto"/>
        </w:rPr>
        <w:t>第3号</w:t>
      </w:r>
    </w:p>
    <w:p w14:paraId="5B62421B">
      <w:pPr>
        <w:bidi w:val="0"/>
        <w:rPr>
          <w:rFonts w:hint="eastAsia"/>
          <w:color w:val="auto"/>
        </w:rPr>
      </w:pPr>
      <w:r>
        <w:rPr>
          <w:rFonts w:hint="eastAsia"/>
          <w:color w:val="auto"/>
        </w:rPr>
        <w:t>《国家安全监管总局关于公布首批重点监管的危险化学品名录的通知》安监总管三〔2011〕第95号</w:t>
      </w:r>
    </w:p>
    <w:p w14:paraId="1CAC69C6">
      <w:pPr>
        <w:bidi w:val="0"/>
        <w:rPr>
          <w:rFonts w:hint="eastAsia"/>
          <w:color w:val="auto"/>
        </w:rPr>
      </w:pPr>
      <w:r>
        <w:rPr>
          <w:rFonts w:hint="eastAsia"/>
          <w:color w:val="auto"/>
        </w:rPr>
        <w:t>《国家安全监管总局关于公布第二批重点监管的危险化学品名录的通知》安监总管三〔2013〕第12号</w:t>
      </w:r>
    </w:p>
    <w:p w14:paraId="65CEF413">
      <w:pPr>
        <w:bidi w:val="0"/>
        <w:rPr>
          <w:rFonts w:hint="eastAsia"/>
          <w:color w:val="auto"/>
        </w:rPr>
      </w:pPr>
      <w:r>
        <w:rPr>
          <w:rFonts w:hint="eastAsia"/>
          <w:color w:val="auto"/>
        </w:rPr>
        <w:t>《国家安全监管总局办公厅关于印发批重点监管的危险化学品安全措施和应急处置原则的通知》安监总厅管三〔2011〕142号</w:t>
      </w:r>
    </w:p>
    <w:p w14:paraId="7A6361AB">
      <w:pPr>
        <w:bidi w:val="0"/>
        <w:rPr>
          <w:rFonts w:hint="eastAsia"/>
          <w:color w:val="auto"/>
        </w:rPr>
      </w:pPr>
      <w:r>
        <w:rPr>
          <w:rFonts w:hint="eastAsia"/>
          <w:color w:val="auto"/>
        </w:rPr>
        <w:t>《关于公布首批重点监管的危险化工工艺目录的通知》安监总管三</w:t>
      </w:r>
      <w:r>
        <w:rPr>
          <w:rFonts w:hint="eastAsia" w:ascii="宋体" w:hAnsi="宋体" w:eastAsia="宋体" w:cs="宋体"/>
          <w:color w:val="auto"/>
        </w:rPr>
        <w:t>[</w:t>
      </w:r>
      <w:r>
        <w:rPr>
          <w:rFonts w:hint="eastAsia"/>
          <w:color w:val="auto"/>
        </w:rPr>
        <w:t>2009</w:t>
      </w:r>
      <w:r>
        <w:rPr>
          <w:rFonts w:hint="eastAsia" w:ascii="宋体" w:hAnsi="宋体" w:eastAsia="宋体" w:cs="宋体"/>
          <w:color w:val="auto"/>
        </w:rPr>
        <w:t>]</w:t>
      </w:r>
      <w:r>
        <w:rPr>
          <w:rFonts w:hint="eastAsia"/>
          <w:color w:val="auto"/>
        </w:rPr>
        <w:t>116号</w:t>
      </w:r>
    </w:p>
    <w:p w14:paraId="32F80144">
      <w:pPr>
        <w:bidi w:val="0"/>
        <w:rPr>
          <w:rFonts w:hint="eastAsia"/>
          <w:color w:val="auto"/>
        </w:rPr>
      </w:pPr>
      <w:r>
        <w:rPr>
          <w:rFonts w:hint="eastAsia"/>
          <w:color w:val="auto"/>
        </w:rPr>
        <w:t>《关于公布第二批重点监管危险化工工艺目录和调整首批重点监管危险化工工艺中部分典型工艺的通知》（安监总管三〔2013〕3号）</w:t>
      </w:r>
    </w:p>
    <w:p w14:paraId="11BCBB02">
      <w:pPr>
        <w:bidi w:val="0"/>
        <w:rPr>
          <w:rFonts w:hint="eastAsia"/>
          <w:color w:val="auto"/>
        </w:rPr>
      </w:pPr>
      <w:r>
        <w:rPr>
          <w:rFonts w:hint="eastAsia"/>
          <w:color w:val="auto"/>
        </w:rPr>
        <w:t>《生产安全事故罚款处罚规定》应急管理部令第14号</w:t>
      </w:r>
    </w:p>
    <w:p w14:paraId="28EB734B">
      <w:pPr>
        <w:bidi w:val="0"/>
        <w:rPr>
          <w:rFonts w:hint="eastAsia"/>
          <w:color w:val="auto"/>
        </w:rPr>
      </w:pPr>
      <w:r>
        <w:rPr>
          <w:rFonts w:hint="eastAsia"/>
          <w:color w:val="auto"/>
        </w:rPr>
        <w:t>《产业结构调整指导目录（2024年本）》国家发展和改革委员会令第7号</w:t>
      </w:r>
    </w:p>
    <w:p w14:paraId="37692583">
      <w:pPr>
        <w:bidi w:val="0"/>
        <w:rPr>
          <w:rFonts w:hint="eastAsia"/>
          <w:color w:val="auto"/>
        </w:rPr>
      </w:pPr>
      <w:r>
        <w:rPr>
          <w:rFonts w:hint="eastAsia"/>
          <w:color w:val="auto"/>
        </w:rPr>
        <w:t>《江西省人民政府关于印发江西省水污染防治工作方案的通知》赣府发〔2015〕62号</w:t>
      </w:r>
    </w:p>
    <w:p w14:paraId="42E3C5E9">
      <w:pPr>
        <w:bidi w:val="0"/>
        <w:rPr>
          <w:rFonts w:hint="eastAsia"/>
          <w:color w:val="auto"/>
        </w:rPr>
      </w:pPr>
      <w:r>
        <w:rPr>
          <w:rFonts w:hint="eastAsia"/>
          <w:color w:val="auto"/>
        </w:rPr>
        <w:t>《江西省危险化学品建设项目安全监督管理实施细则（试行）》赣应急字</w:t>
      </w:r>
      <w:r>
        <w:rPr>
          <w:rFonts w:hint="eastAsia" w:ascii="宋体" w:hAnsi="宋体" w:eastAsia="宋体" w:cs="宋体"/>
          <w:color w:val="auto"/>
        </w:rPr>
        <w:t>[</w:t>
      </w:r>
      <w:r>
        <w:rPr>
          <w:rFonts w:hint="eastAsia"/>
          <w:color w:val="auto"/>
        </w:rPr>
        <w:t>2021</w:t>
      </w:r>
      <w:r>
        <w:rPr>
          <w:rFonts w:hint="eastAsia" w:ascii="宋体" w:hAnsi="宋体" w:eastAsia="宋体" w:cs="宋体"/>
          <w:color w:val="auto"/>
        </w:rPr>
        <w:t>]</w:t>
      </w:r>
      <w:r>
        <w:rPr>
          <w:rFonts w:hint="eastAsia"/>
          <w:color w:val="auto"/>
        </w:rPr>
        <w:t>100号</w:t>
      </w:r>
    </w:p>
    <w:p w14:paraId="570F45E6">
      <w:pPr>
        <w:bidi w:val="0"/>
        <w:rPr>
          <w:rFonts w:hint="eastAsia"/>
          <w:color w:val="auto"/>
        </w:rPr>
      </w:pPr>
      <w:r>
        <w:rPr>
          <w:rFonts w:hint="eastAsia"/>
          <w:color w:val="auto"/>
        </w:rPr>
        <w:t>《江西省应急管理厅办公室关于印发</w:t>
      </w:r>
      <w:r>
        <w:rPr>
          <w:rFonts w:hint="eastAsia" w:ascii="宋体" w:hAnsi="宋体" w:eastAsia="宋体" w:cs="宋体"/>
          <w:color w:val="auto"/>
          <w:lang w:val="en-US" w:eastAsia="zh-CN"/>
        </w:rPr>
        <w:t>&lt;</w:t>
      </w:r>
      <w:r>
        <w:rPr>
          <w:rFonts w:hint="eastAsia"/>
          <w:color w:val="auto"/>
        </w:rPr>
        <w:t>加油站安全检查表</w:t>
      </w:r>
      <w:r>
        <w:rPr>
          <w:rFonts w:hint="eastAsia" w:ascii="宋体" w:hAnsi="宋体" w:eastAsia="宋体" w:cs="宋体"/>
          <w:color w:val="auto"/>
          <w:lang w:val="en-US" w:eastAsia="zh-CN"/>
        </w:rPr>
        <w:t>&gt;</w:t>
      </w:r>
      <w:r>
        <w:rPr>
          <w:rFonts w:hint="eastAsia"/>
          <w:color w:val="auto"/>
        </w:rPr>
        <w:t>的通知》（赣应急办字〔2023〕111号）</w:t>
      </w:r>
    </w:p>
    <w:p w14:paraId="3BDCF50F">
      <w:pPr>
        <w:pStyle w:val="3"/>
        <w:bidi w:val="0"/>
        <w:rPr>
          <w:rFonts w:hint="eastAsia"/>
          <w:color w:val="auto"/>
        </w:rPr>
      </w:pPr>
      <w:bookmarkStart w:id="287" w:name="_Toc28385"/>
      <w:bookmarkStart w:id="288" w:name="_Toc12831"/>
      <w:bookmarkStart w:id="289" w:name="_Toc23548"/>
      <w:bookmarkStart w:id="290" w:name="_Toc1200"/>
      <w:r>
        <w:rPr>
          <w:rFonts w:hint="eastAsia"/>
          <w:color w:val="auto"/>
        </w:rPr>
        <w:t>4.2</w:t>
      </w:r>
      <w:r>
        <w:rPr>
          <w:rFonts w:hint="eastAsia"/>
          <w:color w:val="auto"/>
          <w:lang w:val="en-US" w:eastAsia="zh-CN"/>
        </w:rPr>
        <w:t xml:space="preserve"> </w:t>
      </w:r>
      <w:r>
        <w:rPr>
          <w:rFonts w:hint="eastAsia"/>
          <w:color w:val="auto"/>
        </w:rPr>
        <w:t>标准、规范</w:t>
      </w:r>
      <w:bookmarkEnd w:id="287"/>
      <w:bookmarkEnd w:id="288"/>
      <w:bookmarkEnd w:id="289"/>
      <w:bookmarkEnd w:id="290"/>
    </w:p>
    <w:p w14:paraId="188A7A52">
      <w:pPr>
        <w:bidi w:val="0"/>
        <w:rPr>
          <w:rFonts w:hint="eastAsia"/>
          <w:color w:val="auto"/>
        </w:rPr>
      </w:pPr>
      <w:r>
        <w:rPr>
          <w:rFonts w:hint="eastAsia"/>
          <w:color w:val="auto"/>
        </w:rPr>
        <w:t>《企业职工伤亡事故分类》GB6441-1986</w:t>
      </w:r>
    </w:p>
    <w:p w14:paraId="5245A2E6">
      <w:pPr>
        <w:bidi w:val="0"/>
        <w:rPr>
          <w:rFonts w:hint="eastAsia"/>
          <w:color w:val="auto"/>
        </w:rPr>
      </w:pPr>
      <w:r>
        <w:rPr>
          <w:rFonts w:hint="eastAsia"/>
          <w:color w:val="auto"/>
        </w:rPr>
        <w:t>《工业金属管道设计规范（2008年版）》GB50316-2000</w:t>
      </w:r>
    </w:p>
    <w:p w14:paraId="7F3ED74E">
      <w:pPr>
        <w:bidi w:val="0"/>
        <w:rPr>
          <w:rFonts w:hint="eastAsia"/>
          <w:color w:val="auto"/>
        </w:rPr>
      </w:pPr>
      <w:r>
        <w:rPr>
          <w:rFonts w:hint="eastAsia"/>
          <w:color w:val="auto"/>
        </w:rPr>
        <w:t>《建筑灭火器配置设计规范》GB50140-2005</w:t>
      </w:r>
    </w:p>
    <w:p w14:paraId="3017CF42">
      <w:pPr>
        <w:bidi w:val="0"/>
        <w:rPr>
          <w:rFonts w:hint="eastAsia"/>
          <w:color w:val="auto"/>
        </w:rPr>
      </w:pPr>
      <w:r>
        <w:rPr>
          <w:rFonts w:hint="eastAsia"/>
          <w:color w:val="auto"/>
        </w:rPr>
        <w:t>《防止静电事故通用导则》GB12158-2006</w:t>
      </w:r>
    </w:p>
    <w:p w14:paraId="4FC7E11A">
      <w:pPr>
        <w:bidi w:val="0"/>
        <w:rPr>
          <w:rFonts w:hint="eastAsia"/>
          <w:color w:val="auto"/>
        </w:rPr>
      </w:pPr>
      <w:r>
        <w:rPr>
          <w:rFonts w:hint="eastAsia"/>
          <w:color w:val="auto"/>
        </w:rPr>
        <w:t>《地下工程防水技术规范》GB50108-2008</w:t>
      </w:r>
    </w:p>
    <w:p w14:paraId="44AE3A7F">
      <w:pPr>
        <w:bidi w:val="0"/>
        <w:rPr>
          <w:rFonts w:hint="eastAsia"/>
          <w:color w:val="auto"/>
        </w:rPr>
      </w:pPr>
      <w:r>
        <w:rPr>
          <w:rFonts w:hint="eastAsia"/>
          <w:color w:val="auto"/>
        </w:rPr>
        <w:t>《安全标志及其使用导则》GB2894-2008</w:t>
      </w:r>
    </w:p>
    <w:p w14:paraId="2B07491E">
      <w:pPr>
        <w:bidi w:val="0"/>
        <w:rPr>
          <w:rFonts w:hint="eastAsia"/>
          <w:color w:val="auto"/>
        </w:rPr>
      </w:pPr>
      <w:r>
        <w:rPr>
          <w:rFonts w:hint="eastAsia"/>
          <w:color w:val="auto"/>
        </w:rPr>
        <w:t>《供配电系统设计规范》GB50052-2009</w:t>
      </w:r>
    </w:p>
    <w:p w14:paraId="21F2BED1">
      <w:pPr>
        <w:bidi w:val="0"/>
        <w:rPr>
          <w:rFonts w:hint="eastAsia"/>
          <w:color w:val="auto"/>
        </w:rPr>
      </w:pPr>
      <w:r>
        <w:rPr>
          <w:rFonts w:hint="eastAsia"/>
          <w:color w:val="auto"/>
        </w:rPr>
        <w:t>《液体石油产品静电安全规程》GB13348-2009</w:t>
      </w:r>
    </w:p>
    <w:p w14:paraId="5CF80E89">
      <w:pPr>
        <w:bidi w:val="0"/>
        <w:rPr>
          <w:rFonts w:hint="eastAsia"/>
          <w:color w:val="auto"/>
        </w:rPr>
      </w:pPr>
      <w:r>
        <w:rPr>
          <w:rFonts w:hint="eastAsia"/>
          <w:color w:val="auto"/>
        </w:rPr>
        <w:t>《建筑物防雷设计规范》GB50057-2010</w:t>
      </w:r>
    </w:p>
    <w:p w14:paraId="25E35D7B">
      <w:pPr>
        <w:bidi w:val="0"/>
        <w:rPr>
          <w:rFonts w:hint="eastAsia"/>
          <w:color w:val="auto"/>
        </w:rPr>
      </w:pPr>
      <w:r>
        <w:rPr>
          <w:rFonts w:hint="eastAsia"/>
          <w:color w:val="auto"/>
        </w:rPr>
        <w:t>《低压配电设计规范》GB50054-2011</w:t>
      </w:r>
    </w:p>
    <w:p w14:paraId="252B03B3">
      <w:pPr>
        <w:bidi w:val="0"/>
        <w:rPr>
          <w:rFonts w:hint="eastAsia"/>
          <w:color w:val="auto"/>
        </w:rPr>
      </w:pPr>
      <w:r>
        <w:rPr>
          <w:rFonts w:hint="eastAsia"/>
          <w:color w:val="auto"/>
        </w:rPr>
        <w:t>《建筑设计防火规范（2018年版）》GB50016-2014</w:t>
      </w:r>
    </w:p>
    <w:p w14:paraId="284E370D">
      <w:pPr>
        <w:bidi w:val="0"/>
        <w:rPr>
          <w:rFonts w:hint="eastAsia"/>
          <w:color w:val="auto"/>
        </w:rPr>
      </w:pPr>
      <w:r>
        <w:rPr>
          <w:rFonts w:hint="eastAsia"/>
          <w:color w:val="auto"/>
        </w:rPr>
        <w:t>《车用柴油》</w:t>
      </w:r>
      <w:r>
        <w:rPr>
          <w:rFonts w:hint="eastAsia"/>
          <w:color w:val="auto"/>
          <w:lang w:eastAsia="zh-CN"/>
        </w:rPr>
        <w:t>（</w:t>
      </w:r>
      <w:r>
        <w:rPr>
          <w:rFonts w:hint="eastAsia"/>
          <w:color w:val="auto"/>
        </w:rPr>
        <w:t>国家标准第1号修改单</w:t>
      </w:r>
      <w:r>
        <w:rPr>
          <w:rFonts w:hint="eastAsia"/>
          <w:color w:val="auto"/>
          <w:lang w:eastAsia="zh-CN"/>
        </w:rPr>
        <w:t>）</w:t>
      </w:r>
      <w:r>
        <w:rPr>
          <w:rFonts w:hint="eastAsia"/>
          <w:color w:val="auto"/>
        </w:rPr>
        <w:t>GB19147-2016/XG1-2018</w:t>
      </w:r>
    </w:p>
    <w:p w14:paraId="198BC3D8">
      <w:pPr>
        <w:bidi w:val="0"/>
        <w:rPr>
          <w:rFonts w:hint="eastAsia"/>
          <w:color w:val="auto"/>
        </w:rPr>
      </w:pPr>
      <w:r>
        <w:rPr>
          <w:rFonts w:hint="eastAsia"/>
          <w:color w:val="auto"/>
        </w:rPr>
        <w:t>《危险化学品重大危险源辨识》GB18218-2018</w:t>
      </w:r>
    </w:p>
    <w:p w14:paraId="16320BC0">
      <w:pPr>
        <w:bidi w:val="0"/>
        <w:rPr>
          <w:rFonts w:hint="eastAsia"/>
          <w:color w:val="auto"/>
        </w:rPr>
      </w:pPr>
      <w:r>
        <w:rPr>
          <w:rFonts w:hint="eastAsia"/>
          <w:color w:val="auto"/>
        </w:rPr>
        <w:t>《汽车加油加气加氢站技术标准》GB50156-2021</w:t>
      </w:r>
    </w:p>
    <w:p w14:paraId="05720041">
      <w:pPr>
        <w:bidi w:val="0"/>
        <w:rPr>
          <w:rFonts w:hint="eastAsia"/>
          <w:color w:val="auto"/>
        </w:rPr>
      </w:pPr>
      <w:r>
        <w:rPr>
          <w:rFonts w:hint="eastAsia"/>
          <w:color w:val="auto"/>
        </w:rPr>
        <w:t>《消防设施通用规范》GB55036-2022</w:t>
      </w:r>
    </w:p>
    <w:p w14:paraId="3A0F25DB">
      <w:pPr>
        <w:bidi w:val="0"/>
        <w:rPr>
          <w:rFonts w:hint="eastAsia"/>
          <w:color w:val="auto"/>
        </w:rPr>
      </w:pPr>
      <w:r>
        <w:rPr>
          <w:rFonts w:hint="eastAsia"/>
          <w:color w:val="auto"/>
        </w:rPr>
        <w:t>《建筑防火通用规范》GB55037-2022</w:t>
      </w:r>
    </w:p>
    <w:p w14:paraId="42FD6302">
      <w:pPr>
        <w:bidi w:val="0"/>
        <w:rPr>
          <w:rFonts w:hint="eastAsia"/>
          <w:color w:val="auto"/>
        </w:rPr>
      </w:pPr>
      <w:r>
        <w:rPr>
          <w:rFonts w:hint="eastAsia"/>
          <w:color w:val="auto"/>
        </w:rPr>
        <w:t>《危险化学品单位应急救援物资配备要求》GB30077-2023</w:t>
      </w:r>
    </w:p>
    <w:p w14:paraId="4F2F7EB4">
      <w:pPr>
        <w:bidi w:val="0"/>
        <w:rPr>
          <w:rFonts w:hint="eastAsia"/>
          <w:color w:val="auto"/>
        </w:rPr>
      </w:pPr>
      <w:r>
        <w:rPr>
          <w:rFonts w:hint="eastAsia"/>
          <w:color w:val="auto"/>
        </w:rPr>
        <w:t>《化学品危险性评价通则》GB/T22225-2008</w:t>
      </w:r>
    </w:p>
    <w:p w14:paraId="3145A32F">
      <w:pPr>
        <w:bidi w:val="0"/>
        <w:rPr>
          <w:rFonts w:hint="eastAsia"/>
          <w:color w:val="auto"/>
        </w:rPr>
      </w:pPr>
      <w:r>
        <w:rPr>
          <w:rFonts w:hint="eastAsia"/>
          <w:color w:val="auto"/>
        </w:rPr>
        <w:t>《建筑抗震设计标准（2024年版）》GB/T50011-2010</w:t>
      </w:r>
    </w:p>
    <w:p w14:paraId="5DFE2866">
      <w:pPr>
        <w:bidi w:val="0"/>
        <w:rPr>
          <w:rFonts w:hint="eastAsia"/>
          <w:color w:val="auto"/>
        </w:rPr>
      </w:pPr>
      <w:r>
        <w:rPr>
          <w:rFonts w:hint="eastAsia"/>
          <w:color w:val="auto"/>
        </w:rPr>
        <w:t>《双层罐渗漏检测系统 第1部分：通则》GB/T30040.1-2013</w:t>
      </w:r>
    </w:p>
    <w:p w14:paraId="39C6FCEF">
      <w:pPr>
        <w:bidi w:val="0"/>
        <w:rPr>
          <w:rFonts w:hint="eastAsia"/>
          <w:color w:val="auto"/>
        </w:rPr>
      </w:pPr>
      <w:r>
        <w:rPr>
          <w:rFonts w:hint="eastAsia"/>
          <w:color w:val="auto"/>
        </w:rPr>
        <w:t>《双层罐渗漏检测系统 第2部分：压力和真空系统》GB/T30040.2-2013</w:t>
      </w:r>
    </w:p>
    <w:p w14:paraId="442376A8">
      <w:pPr>
        <w:bidi w:val="0"/>
        <w:rPr>
          <w:rFonts w:hint="eastAsia"/>
          <w:color w:val="auto"/>
        </w:rPr>
      </w:pPr>
      <w:r>
        <w:rPr>
          <w:rFonts w:hint="eastAsia"/>
          <w:color w:val="auto"/>
        </w:rPr>
        <w:t>《双层罐渗漏检测系统 第3部分：储罐的液体媒介系统》GB/T30040.3-2013</w:t>
      </w:r>
    </w:p>
    <w:p w14:paraId="78F5E663">
      <w:pPr>
        <w:bidi w:val="0"/>
        <w:rPr>
          <w:rFonts w:hint="eastAsia"/>
          <w:color w:val="auto"/>
        </w:rPr>
      </w:pPr>
      <w:r>
        <w:rPr>
          <w:rFonts w:hint="eastAsia"/>
          <w:color w:val="auto"/>
        </w:rPr>
        <w:t>《双层罐渗漏检测系统 第4部分：应用于防渗漏设施或双层间隙的液体或蒸气传感器系统》GB/T30040.4-2013</w:t>
      </w:r>
    </w:p>
    <w:p w14:paraId="73203445">
      <w:pPr>
        <w:bidi w:val="0"/>
        <w:rPr>
          <w:rFonts w:hint="eastAsia"/>
          <w:color w:val="auto"/>
        </w:rPr>
      </w:pPr>
      <w:r>
        <w:rPr>
          <w:rFonts w:hint="eastAsia"/>
          <w:color w:val="auto"/>
        </w:rPr>
        <w:t>《双层罐渗漏检测系统 第5部分：储罐液位仪测漏系统》GB/T30040.5-2013</w:t>
      </w:r>
    </w:p>
    <w:p w14:paraId="117C3BC1">
      <w:pPr>
        <w:bidi w:val="0"/>
        <w:rPr>
          <w:rFonts w:hint="eastAsia"/>
          <w:color w:val="auto"/>
        </w:rPr>
      </w:pPr>
      <w:r>
        <w:rPr>
          <w:rFonts w:hint="eastAsia"/>
          <w:color w:val="auto"/>
        </w:rPr>
        <w:t>《输送流体用无缝钢管》GB/T8163-2018</w:t>
      </w:r>
    </w:p>
    <w:p w14:paraId="6CF4576F">
      <w:pPr>
        <w:bidi w:val="0"/>
        <w:rPr>
          <w:rFonts w:hint="eastAsia"/>
          <w:color w:val="auto"/>
        </w:rPr>
      </w:pPr>
      <w:r>
        <w:rPr>
          <w:rFonts w:hint="eastAsia"/>
          <w:color w:val="auto"/>
        </w:rPr>
        <w:t>《个体防护装备配备规范</w:t>
      </w:r>
      <w:r>
        <w:rPr>
          <w:rFonts w:hint="eastAsia"/>
          <w:color w:val="auto"/>
          <w:lang w:val="en-US" w:eastAsia="zh-CN"/>
        </w:rPr>
        <w:t xml:space="preserve"> </w:t>
      </w:r>
      <w:r>
        <w:rPr>
          <w:rFonts w:hint="eastAsia"/>
          <w:color w:val="auto"/>
        </w:rPr>
        <w:t>第2部分：石油、化工、天然气》GB39800.2-2020</w:t>
      </w:r>
    </w:p>
    <w:p w14:paraId="56FD4420">
      <w:pPr>
        <w:bidi w:val="0"/>
        <w:rPr>
          <w:rFonts w:hint="eastAsia"/>
          <w:color w:val="auto"/>
        </w:rPr>
      </w:pPr>
      <w:r>
        <w:rPr>
          <w:rFonts w:hint="eastAsia"/>
          <w:color w:val="auto"/>
        </w:rPr>
        <w:t>《加油站埋地用热塑性塑料复合管道系统》GB/T39997-2021</w:t>
      </w:r>
    </w:p>
    <w:p w14:paraId="3C59E162">
      <w:pPr>
        <w:bidi w:val="0"/>
        <w:rPr>
          <w:rFonts w:hint="eastAsia"/>
          <w:color w:val="auto"/>
        </w:rPr>
      </w:pPr>
      <w:r>
        <w:rPr>
          <w:rFonts w:hint="eastAsia"/>
          <w:color w:val="auto"/>
        </w:rPr>
        <w:t>《生产过程危险和有害因素分类与代码》GB/T13861-2022</w:t>
      </w:r>
    </w:p>
    <w:p w14:paraId="17DD5D9B">
      <w:pPr>
        <w:bidi w:val="0"/>
        <w:rPr>
          <w:rFonts w:hint="eastAsia"/>
          <w:color w:val="auto"/>
        </w:rPr>
      </w:pPr>
      <w:r>
        <w:rPr>
          <w:rFonts w:hint="eastAsia"/>
          <w:color w:val="auto"/>
        </w:rPr>
        <w:t>《职业性接触毒物危害程度分级》GBZ230-2010</w:t>
      </w:r>
    </w:p>
    <w:p w14:paraId="4E069148">
      <w:pPr>
        <w:bidi w:val="0"/>
        <w:rPr>
          <w:rFonts w:hint="eastAsia"/>
          <w:color w:val="auto"/>
        </w:rPr>
      </w:pPr>
      <w:r>
        <w:rPr>
          <w:rFonts w:hint="eastAsia"/>
          <w:color w:val="auto"/>
        </w:rPr>
        <w:t>《加油站服务技术规范》SB/T10591-2011</w:t>
      </w:r>
    </w:p>
    <w:p w14:paraId="650AB241">
      <w:pPr>
        <w:bidi w:val="0"/>
        <w:rPr>
          <w:rFonts w:hint="eastAsia"/>
          <w:color w:val="auto"/>
        </w:rPr>
      </w:pPr>
      <w:r>
        <w:rPr>
          <w:rFonts w:hint="eastAsia"/>
          <w:color w:val="auto"/>
        </w:rPr>
        <w:t>《石油化工设备和管道涂料防腐蚀设计规范》SH/T3022-2019</w:t>
      </w:r>
    </w:p>
    <w:p w14:paraId="0A1A8636">
      <w:pPr>
        <w:bidi w:val="0"/>
        <w:rPr>
          <w:rFonts w:hint="eastAsia"/>
          <w:color w:val="auto"/>
        </w:rPr>
      </w:pPr>
      <w:r>
        <w:rPr>
          <w:rFonts w:hint="eastAsia"/>
          <w:color w:val="auto"/>
        </w:rPr>
        <w:t>《橇装式汽车加油站技术标准》（SH/T3134-2023）</w:t>
      </w:r>
    </w:p>
    <w:p w14:paraId="2FE72522">
      <w:pPr>
        <w:bidi w:val="0"/>
        <w:rPr>
          <w:rFonts w:hint="eastAsia"/>
          <w:color w:val="auto"/>
        </w:rPr>
      </w:pPr>
      <w:r>
        <w:rPr>
          <w:rFonts w:hint="eastAsia"/>
          <w:color w:val="auto"/>
        </w:rPr>
        <w:t>《汽车加油加气站消防安全管理》XF/T3004-2020</w:t>
      </w:r>
    </w:p>
    <w:p w14:paraId="15C79CFF">
      <w:pPr>
        <w:bidi w:val="0"/>
        <w:rPr>
          <w:rFonts w:hint="eastAsia"/>
          <w:color w:val="auto"/>
        </w:rPr>
      </w:pPr>
      <w:r>
        <w:rPr>
          <w:rFonts w:hint="eastAsia"/>
          <w:color w:val="auto"/>
        </w:rPr>
        <w:t>《阻隔防爆橇装式加油（气）装置防雷技术规范》QX/T450-2018</w:t>
      </w:r>
    </w:p>
    <w:p w14:paraId="063E9E7B">
      <w:pPr>
        <w:bidi w:val="0"/>
        <w:rPr>
          <w:rFonts w:hint="eastAsia"/>
          <w:color w:val="auto"/>
        </w:rPr>
      </w:pPr>
      <w:r>
        <w:rPr>
          <w:rFonts w:hint="eastAsia"/>
          <w:color w:val="auto"/>
        </w:rPr>
        <w:t>《安全评价通则》AQ8001-2007</w:t>
      </w:r>
    </w:p>
    <w:p w14:paraId="378CFD70">
      <w:pPr>
        <w:bidi w:val="0"/>
        <w:rPr>
          <w:rFonts w:hint="eastAsia"/>
          <w:color w:val="auto"/>
        </w:rPr>
      </w:pPr>
      <w:r>
        <w:rPr>
          <w:rFonts w:hint="eastAsia"/>
          <w:color w:val="auto"/>
        </w:rPr>
        <w:t>《安全预评价导则》AQ8002-2007</w:t>
      </w:r>
    </w:p>
    <w:p w14:paraId="219EE06A">
      <w:pPr>
        <w:bidi w:val="0"/>
        <w:rPr>
          <w:rFonts w:hint="eastAsia"/>
          <w:color w:val="auto"/>
        </w:rPr>
      </w:pPr>
      <w:r>
        <w:rPr>
          <w:rFonts w:hint="eastAsia"/>
          <w:color w:val="auto"/>
        </w:rPr>
        <w:t>《加油（气）站油（气）储存罐体阻隔防爆技术要求》AQ3001-2021</w:t>
      </w:r>
    </w:p>
    <w:p w14:paraId="67CB00C7">
      <w:pPr>
        <w:bidi w:val="0"/>
        <w:rPr>
          <w:rFonts w:hint="eastAsia"/>
          <w:color w:val="auto"/>
        </w:rPr>
      </w:pPr>
      <w:r>
        <w:rPr>
          <w:rFonts w:hint="eastAsia"/>
          <w:color w:val="auto"/>
        </w:rPr>
        <w:t>《加油站作业安全规范》AQ3010-2022</w:t>
      </w:r>
    </w:p>
    <w:p w14:paraId="1514D064">
      <w:pPr>
        <w:bidi w:val="0"/>
        <w:rPr>
          <w:rFonts w:hint="eastAsia"/>
          <w:color w:val="auto"/>
        </w:rPr>
      </w:pPr>
      <w:r>
        <w:rPr>
          <w:rFonts w:hint="eastAsia"/>
          <w:color w:val="auto"/>
        </w:rPr>
        <w:t>《加油加气站视频安防监控系统技术要求》AQ/T3050-2013</w:t>
      </w:r>
    </w:p>
    <w:p w14:paraId="2A03AB8F">
      <w:pPr>
        <w:bidi w:val="0"/>
        <w:rPr>
          <w:rFonts w:hint="eastAsia"/>
          <w:color w:val="auto"/>
        </w:rPr>
      </w:pPr>
      <w:r>
        <w:rPr>
          <w:rFonts w:hint="eastAsia"/>
          <w:color w:val="auto"/>
        </w:rPr>
        <w:t>《阻隔防爆橇装式加油（气）装置技术要求》AQ/T3002-2021</w:t>
      </w:r>
    </w:p>
    <w:p w14:paraId="2BEBD642">
      <w:pPr>
        <w:bidi w:val="0"/>
        <w:rPr>
          <w:rFonts w:hint="eastAsia"/>
          <w:color w:val="auto"/>
        </w:rPr>
      </w:pPr>
    </w:p>
    <w:p w14:paraId="51BE1B41">
      <w:pPr>
        <w:rPr>
          <w:rFonts w:hint="default"/>
          <w:color w:val="auto"/>
          <w:lang w:val="en-US" w:eastAsia="zh-CN"/>
        </w:rPr>
      </w:pPr>
      <w:r>
        <w:rPr>
          <w:rFonts w:hint="default"/>
          <w:color w:val="auto"/>
          <w:lang w:val="en-US" w:eastAsia="zh-CN"/>
        </w:rPr>
        <w:br w:type="page"/>
      </w:r>
    </w:p>
    <w:p w14:paraId="2E21069C">
      <w:pPr>
        <w:pStyle w:val="2"/>
        <w:bidi w:val="0"/>
        <w:rPr>
          <w:rFonts w:hint="default"/>
          <w:color w:val="auto"/>
          <w:lang w:val="en-US" w:eastAsia="zh-CN"/>
        </w:rPr>
      </w:pPr>
      <w:bookmarkStart w:id="291" w:name="_Toc30601"/>
      <w:bookmarkStart w:id="292" w:name="_Toc8593"/>
      <w:bookmarkStart w:id="293" w:name="_Toc23954"/>
      <w:bookmarkStart w:id="294" w:name="_Toc13513"/>
      <w:r>
        <w:rPr>
          <w:rFonts w:hint="default"/>
          <w:color w:val="auto"/>
          <w:lang w:val="en-US" w:eastAsia="zh-CN"/>
        </w:rPr>
        <w:t>附件五 收集的文件、资料目录</w:t>
      </w:r>
      <w:bookmarkEnd w:id="291"/>
      <w:bookmarkEnd w:id="292"/>
      <w:bookmarkEnd w:id="293"/>
      <w:bookmarkEnd w:id="294"/>
    </w:p>
    <w:p w14:paraId="49579838">
      <w:pPr>
        <w:numPr>
          <w:ilvl w:val="0"/>
          <w:numId w:val="7"/>
        </w:numPr>
        <w:bidi w:val="0"/>
        <w:rPr>
          <w:rFonts w:hint="default"/>
          <w:b/>
          <w:bCs/>
          <w:color w:val="auto"/>
          <w:lang w:val="en-US" w:eastAsia="zh-CN"/>
        </w:rPr>
      </w:pPr>
      <w:r>
        <w:rPr>
          <w:rFonts w:hint="default"/>
          <w:b/>
          <w:bCs/>
          <w:color w:val="auto"/>
          <w:lang w:val="en-US" w:eastAsia="zh-CN"/>
        </w:rPr>
        <w:t>附件</w:t>
      </w:r>
    </w:p>
    <w:p w14:paraId="100D0406">
      <w:pPr>
        <w:numPr>
          <w:ilvl w:val="0"/>
          <w:numId w:val="0"/>
        </w:numPr>
        <w:ind w:left="0" w:leftChars="0" w:firstLine="560" w:firstLineChars="200"/>
        <w:rPr>
          <w:rFonts w:hint="default"/>
          <w:color w:val="auto"/>
          <w:lang w:val="en-US" w:eastAsia="zh-CN"/>
        </w:rPr>
      </w:pPr>
      <w:r>
        <w:rPr>
          <w:rFonts w:hint="eastAsia" w:cs="Times New Roman"/>
          <w:color w:val="auto"/>
          <w:sz w:val="28"/>
          <w:lang w:val="en-US" w:eastAsia="zh-CN" w:bidi="ar-SA"/>
        </w:rPr>
        <w:t>（1）</w:t>
      </w:r>
      <w:r>
        <w:rPr>
          <w:rFonts w:hint="eastAsia"/>
          <w:color w:val="auto"/>
          <w:lang w:val="en-US" w:eastAsia="zh-CN"/>
        </w:rPr>
        <w:t>营业执照</w:t>
      </w:r>
    </w:p>
    <w:p w14:paraId="5990FB33">
      <w:pPr>
        <w:numPr>
          <w:ilvl w:val="0"/>
          <w:numId w:val="0"/>
        </w:numPr>
        <w:ind w:left="0" w:leftChars="0" w:firstLine="560" w:firstLineChars="200"/>
        <w:rPr>
          <w:rFonts w:hint="default"/>
          <w:color w:val="auto"/>
          <w:lang w:val="en-US" w:eastAsia="zh-CN"/>
        </w:rPr>
      </w:pPr>
      <w:r>
        <w:rPr>
          <w:rFonts w:hint="eastAsia" w:cs="Times New Roman"/>
          <w:color w:val="auto"/>
          <w:sz w:val="28"/>
          <w:lang w:val="en-US" w:eastAsia="zh-CN" w:bidi="ar-SA"/>
        </w:rPr>
        <w:t>（2）</w:t>
      </w:r>
      <w:r>
        <w:rPr>
          <w:rFonts w:hint="default"/>
          <w:color w:val="auto"/>
          <w:lang w:val="en-US" w:eastAsia="zh-CN"/>
        </w:rPr>
        <w:t>建设用地规划许可证等相关用地证明</w:t>
      </w:r>
    </w:p>
    <w:p w14:paraId="05184936">
      <w:pPr>
        <w:numPr>
          <w:ilvl w:val="0"/>
          <w:numId w:val="0"/>
        </w:numPr>
        <w:ind w:left="0" w:leftChars="0" w:firstLine="560" w:firstLineChars="200"/>
        <w:rPr>
          <w:rFonts w:hint="default"/>
          <w:color w:val="auto"/>
          <w:lang w:val="en-US" w:eastAsia="zh-CN"/>
        </w:rPr>
      </w:pPr>
      <w:r>
        <w:rPr>
          <w:rFonts w:hint="eastAsia" w:cs="Times New Roman"/>
          <w:color w:val="auto"/>
          <w:sz w:val="28"/>
          <w:lang w:val="en-US" w:eastAsia="zh-CN" w:bidi="ar-SA"/>
        </w:rPr>
        <w:t>（3）</w:t>
      </w:r>
      <w:r>
        <w:rPr>
          <w:rFonts w:hint="default"/>
          <w:color w:val="auto"/>
          <w:lang w:val="en-US" w:eastAsia="zh-CN"/>
        </w:rPr>
        <w:t>投资备案文件</w:t>
      </w:r>
    </w:p>
    <w:p w14:paraId="1C510DA8">
      <w:pPr>
        <w:bidi w:val="0"/>
        <w:rPr>
          <w:rFonts w:hint="default"/>
          <w:b/>
          <w:bCs/>
          <w:color w:val="auto"/>
          <w:lang w:val="en-US" w:eastAsia="zh-CN"/>
        </w:rPr>
      </w:pPr>
      <w:r>
        <w:rPr>
          <w:rFonts w:hint="eastAsia"/>
          <w:b/>
          <w:bCs/>
          <w:color w:val="auto"/>
          <w:lang w:val="en-US" w:eastAsia="zh-CN"/>
        </w:rPr>
        <w:t xml:space="preserve">2. </w:t>
      </w:r>
      <w:r>
        <w:rPr>
          <w:rFonts w:hint="default"/>
          <w:b/>
          <w:bCs/>
          <w:color w:val="auto"/>
          <w:lang w:val="en-US" w:eastAsia="zh-CN"/>
        </w:rPr>
        <w:t>附图</w:t>
      </w:r>
    </w:p>
    <w:p w14:paraId="4C8B76D7">
      <w:pPr>
        <w:bidi w:val="0"/>
        <w:rPr>
          <w:rFonts w:hint="default"/>
          <w:color w:val="auto"/>
          <w:lang w:val="en-US" w:eastAsia="zh-CN"/>
        </w:rPr>
      </w:pPr>
      <w:r>
        <w:rPr>
          <w:rFonts w:hint="eastAsia"/>
          <w:color w:val="auto"/>
          <w:lang w:val="en-US" w:eastAsia="zh-CN"/>
        </w:rPr>
        <w:t>（1）</w:t>
      </w:r>
      <w:r>
        <w:rPr>
          <w:rFonts w:hint="default"/>
          <w:color w:val="auto"/>
          <w:lang w:val="en-US" w:eastAsia="zh-CN"/>
        </w:rPr>
        <w:t>总平面布置图</w:t>
      </w:r>
    </w:p>
    <w:sectPr>
      <w:footerReference r:id="rId7" w:type="default"/>
      <w:pgSz w:w="11906" w:h="16839"/>
      <w:pgMar w:top="1417" w:right="1417" w:bottom="1417" w:left="1417" w:header="850" w:footer="992" w:gutter="0"/>
      <w:pgNumType w:fmt="decimal" w:start="1"/>
      <w:cols w:space="720" w:num="1"/>
      <w:rtlGutter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48BC2">
    <w:pPr>
      <w:widowControl w:val="0"/>
      <w:pBdr>
        <w:top w:val="single" w:color="auto" w:sz="4" w:space="0"/>
      </w:pBdr>
      <w:tabs>
        <w:tab w:val="center" w:pos="4153"/>
        <w:tab w:val="right" w:pos="8306"/>
      </w:tabs>
      <w:snapToGrid w:val="0"/>
      <w:spacing w:line="240" w:lineRule="auto"/>
      <w:ind w:left="0" w:firstLine="0" w:firstLineChars="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3665" distR="113665" simplePos="0" relativeHeight="251660288" behindDoc="0" locked="0" layoutInCell="1" allowOverlap="1">
              <wp:simplePos x="0" y="0"/>
              <wp:positionH relativeFrom="margin">
                <wp:align>center</wp:align>
              </wp:positionH>
              <wp:positionV relativeFrom="paragraph">
                <wp:posOffset>0</wp:posOffset>
              </wp:positionV>
              <wp:extent cx="304800" cy="131445"/>
              <wp:effectExtent l="0" t="0" r="0" b="0"/>
              <wp:wrapNone/>
              <wp:docPr id="39" name="文本框 41"/>
              <wp:cNvGraphicFramePr/>
              <a:graphic xmlns:a="http://schemas.openxmlformats.org/drawingml/2006/main">
                <a:graphicData uri="http://schemas.microsoft.com/office/word/2010/wordprocessingShape">
                  <wps:wsp>
                    <wps:cNvSpPr/>
                    <wps:spPr>
                      <a:xfrm>
                        <a:off x="0" y="0"/>
                        <a:ext cx="304723" cy="131559"/>
                      </a:xfrm>
                      <a:prstGeom prst="rect">
                        <a:avLst/>
                      </a:prstGeom>
                      <a:noFill/>
                      <a:ln w="6350" cap="flat" cmpd="sng">
                        <a:noFill/>
                        <a:prstDash val="solid"/>
                        <a:round/>
                      </a:ln>
                      <a:effectLst/>
                    </wps:spPr>
                    <wps:txbx>
                      <w:txbxContent>
                        <w:p w14:paraId="4913FBFC">
                          <w:pPr>
                            <w:widowControl w:val="0"/>
                            <w:tabs>
                              <w:tab w:val="center" w:pos="4153"/>
                              <w:tab w:val="right" w:pos="8306"/>
                            </w:tabs>
                            <w:snapToGrid w:val="0"/>
                            <w:spacing w:line="24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7</w:t>
                          </w:r>
                          <w:r>
                            <w:rPr>
                              <w:rFonts w:ascii="Times New Roman" w:hAnsi="Times New Roman" w:eastAsia="宋体" w:cs="Times New Roman"/>
                              <w:kern w:val="2"/>
                              <w:sz w:val="18"/>
                              <w:szCs w:val="18"/>
                              <w:lang w:val="en-US" w:eastAsia="zh-CN" w:bidi="ar-SA"/>
                            </w:rPr>
                            <w:fldChar w:fldCharType="end"/>
                          </w:r>
                        </w:p>
                      </w:txbxContent>
                    </wps:txbx>
                    <wps:bodyPr vert="horz" wrap="none" lIns="0" tIns="0" rIns="0" bIns="0" anchor="t" anchorCtr="0" upright="0">
                      <a:spAutoFit/>
                    </wps:bodyPr>
                  </wps:wsp>
                </a:graphicData>
              </a:graphic>
            </wp:anchor>
          </w:drawing>
        </mc:Choice>
        <mc:Fallback>
          <w:pict>
            <v:rect id="文本框 41" o:spid="_x0000_s1026" o:spt="1" style="position:absolute;left:0pt;margin-top:0pt;height:10.35pt;width:24pt;mso-position-horizontal:center;mso-position-horizontal-relative:margin;mso-wrap-style:none;z-index:251660288;mso-width-relative:page;mso-height-relative:page;" filled="f" stroked="f" coordsize="21600,21600" o:gfxdata="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4v5M/dYAAAADAQAADwAAAAAAAAABACAAAAAi&#10;AAAAZHJzL2Rvd25yZXYueG1sUEsBAhQAFAAAAAgAh07iQOUUX+0MAgAABAQAAA4AAAAAAAAAAQAg&#10;AAAAJQEAAGRycy9lMm9Eb2MueG1sUEsFBgAAAAAGAAYAWQEAAKMFAAAAAA==&#10;">
              <v:fill on="f" focussize="0,0"/>
              <v:stroke on="f" weight="0.5pt" joinstyle="round"/>
              <v:imagedata o:title=""/>
              <o:lock v:ext="edit" aspectratio="f"/>
              <v:textbox inset="0mm,0mm,0mm,0mm" style="mso-fit-shape-to-text:t;">
                <w:txbxContent>
                  <w:p w14:paraId="4913FBFC">
                    <w:pPr>
                      <w:widowControl w:val="0"/>
                      <w:tabs>
                        <w:tab w:val="center" w:pos="4153"/>
                        <w:tab w:val="right" w:pos="8306"/>
                      </w:tabs>
                      <w:snapToGrid w:val="0"/>
                      <w:spacing w:line="24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7</w:t>
                    </w:r>
                    <w:r>
                      <w:rPr>
                        <w:rFonts w:ascii="Times New Roman" w:hAnsi="Times New Roman" w:eastAsia="宋体" w:cs="Times New Roman"/>
                        <w:kern w:val="2"/>
                        <w:sz w:val="18"/>
                        <w:szCs w:val="18"/>
                        <w:lang w:val="en-US" w:eastAsia="zh-CN" w:bidi="ar-SA"/>
                      </w:rPr>
                      <w:fldChar w:fldCharType="end"/>
                    </w:r>
                  </w:p>
                </w:txbxContent>
              </v:textbox>
            </v:rect>
          </w:pict>
        </mc:Fallback>
      </mc:AlternateContent>
    </w:r>
    <w:r>
      <w:rPr>
        <w:rFonts w:hint="eastAsia" w:ascii="Times New Roman" w:hAnsi="Times New Roman" w:eastAsia="宋体" w:cs="Times New Roman"/>
        <w:kern w:val="2"/>
        <w:sz w:val="18"/>
        <w:szCs w:val="18"/>
        <w:lang w:val="en-US" w:eastAsia="zh-CN" w:bidi="ar-SA"/>
      </w:rPr>
      <w:t>江西赣安安全生产科学技术咨询服务中心                                                   APJ-（赣）-002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77571">
    <w:pPr>
      <w:widowControl w:val="0"/>
      <w:pBdr>
        <w:top w:val="single" w:color="auto" w:sz="4" w:space="0"/>
      </w:pBdr>
      <w:tabs>
        <w:tab w:val="center" w:pos="4153"/>
        <w:tab w:val="right" w:pos="8306"/>
      </w:tabs>
      <w:snapToGrid w:val="0"/>
      <w:spacing w:line="240" w:lineRule="auto"/>
      <w:ind w:left="0" w:firstLine="0" w:firstLineChars="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3665" distR="113665" simplePos="0" relativeHeight="251661312" behindDoc="0" locked="0" layoutInCell="1" allowOverlap="1">
              <wp:simplePos x="0" y="0"/>
              <wp:positionH relativeFrom="margin">
                <wp:align>center</wp:align>
              </wp:positionH>
              <wp:positionV relativeFrom="paragraph">
                <wp:posOffset>0</wp:posOffset>
              </wp:positionV>
              <wp:extent cx="304800" cy="131445"/>
              <wp:effectExtent l="0" t="0" r="0" b="0"/>
              <wp:wrapNone/>
              <wp:docPr id="40" name="文本框 41"/>
              <wp:cNvGraphicFramePr/>
              <a:graphic xmlns:a="http://schemas.openxmlformats.org/drawingml/2006/main">
                <a:graphicData uri="http://schemas.microsoft.com/office/word/2010/wordprocessingShape">
                  <wps:wsp>
                    <wps:cNvSpPr/>
                    <wps:spPr>
                      <a:xfrm>
                        <a:off x="0" y="0"/>
                        <a:ext cx="304723" cy="131559"/>
                      </a:xfrm>
                      <a:prstGeom prst="rect">
                        <a:avLst/>
                      </a:prstGeom>
                      <a:noFill/>
                      <a:ln w="6350" cap="flat" cmpd="sng">
                        <a:noFill/>
                        <a:prstDash val="solid"/>
                        <a:round/>
                      </a:ln>
                      <a:effectLst/>
                    </wps:spPr>
                    <wps:txbx>
                      <w:txbxContent>
                        <w:p w14:paraId="512EA00E">
                          <w:pPr>
                            <w:widowControl w:val="0"/>
                            <w:tabs>
                              <w:tab w:val="center" w:pos="4153"/>
                              <w:tab w:val="right" w:pos="8306"/>
                            </w:tabs>
                            <w:snapToGrid w:val="0"/>
                            <w:spacing w:line="24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7</w:t>
                          </w:r>
                          <w:r>
                            <w:rPr>
                              <w:rFonts w:ascii="Times New Roman" w:hAnsi="Times New Roman" w:eastAsia="宋体" w:cs="Times New Roman"/>
                              <w:kern w:val="2"/>
                              <w:sz w:val="18"/>
                              <w:szCs w:val="18"/>
                              <w:lang w:val="en-US" w:eastAsia="zh-CN" w:bidi="ar-SA"/>
                            </w:rPr>
                            <w:fldChar w:fldCharType="end"/>
                          </w:r>
                        </w:p>
                      </w:txbxContent>
                    </wps:txbx>
                    <wps:bodyPr vert="horz" wrap="none" lIns="0" tIns="0" rIns="0" bIns="0" anchor="t" anchorCtr="0" upright="0">
                      <a:spAutoFit/>
                    </wps:bodyPr>
                  </wps:wsp>
                </a:graphicData>
              </a:graphic>
            </wp:anchor>
          </w:drawing>
        </mc:Choice>
        <mc:Fallback>
          <w:pict>
            <v:rect id="文本框 41" o:spid="_x0000_s1026" o:spt="1" style="position:absolute;left:0pt;margin-top:0pt;height:10.35pt;width:24pt;mso-position-horizontal:center;mso-position-horizontal-relative:margin;mso-wrap-style:none;z-index:251661312;mso-width-relative:page;mso-height-relative:page;" filled="f" stroked="f" coordsize="21600,21600" o:gfxdata="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i/kz91gAAAAMBAAAPAAAAAAAAAAEAIAAAACIA&#10;AABkcnMvZG93bnJldi54bWxQSwECFAAUAAAACACHTuJAKrlvRQsCAAAEBAAADgAAAAAAAAABACAA&#10;AAAlAQAAZHJzL2Uyb0RvYy54bWxQSwUGAAAAAAYABgBZAQAAogUAAAAA&#10;">
              <v:fill on="f" focussize="0,0"/>
              <v:stroke on="f" weight="0.5pt" joinstyle="round"/>
              <v:imagedata o:title=""/>
              <o:lock v:ext="edit" aspectratio="f"/>
              <v:textbox inset="0mm,0mm,0mm,0mm" style="mso-fit-shape-to-text:t;">
                <w:txbxContent>
                  <w:p w14:paraId="512EA00E">
                    <w:pPr>
                      <w:widowControl w:val="0"/>
                      <w:tabs>
                        <w:tab w:val="center" w:pos="4153"/>
                        <w:tab w:val="right" w:pos="8306"/>
                      </w:tabs>
                      <w:snapToGrid w:val="0"/>
                      <w:spacing w:line="240" w:lineRule="auto"/>
                      <w:ind w:firstLine="360" w:firstLineChars="20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7</w:t>
                    </w:r>
                    <w:r>
                      <w:rPr>
                        <w:rFonts w:ascii="Times New Roman" w:hAnsi="Times New Roman" w:eastAsia="宋体" w:cs="Times New Roman"/>
                        <w:kern w:val="2"/>
                        <w:sz w:val="18"/>
                        <w:szCs w:val="18"/>
                        <w:lang w:val="en-US" w:eastAsia="zh-CN" w:bidi="ar-SA"/>
                      </w:rPr>
                      <w:fldChar w:fldCharType="end"/>
                    </w:r>
                  </w:p>
                </w:txbxContent>
              </v:textbox>
            </v:rect>
          </w:pict>
        </mc:Fallback>
      </mc:AlternateContent>
    </w:r>
    <w:r>
      <w:rPr>
        <w:rFonts w:hint="eastAsia" w:ascii="Times New Roman" w:hAnsi="Times New Roman" w:eastAsia="宋体" w:cs="Times New Roman"/>
        <w:kern w:val="2"/>
        <w:sz w:val="18"/>
        <w:szCs w:val="18"/>
        <w:lang w:val="en-US" w:eastAsia="zh-CN" w:bidi="ar-SA"/>
      </w:rPr>
      <w:t>江西赣安安全生产科学技术咨询服务中心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26BDF">
    <w:pPr>
      <w:widowControl w:val="0"/>
      <w:pBdr>
        <w:bottom w:val="single" w:color="auto" w:sz="6" w:space="1"/>
      </w:pBdr>
      <w:tabs>
        <w:tab w:val="center" w:pos="4153"/>
        <w:tab w:val="right" w:pos="8306"/>
      </w:tabs>
      <w:snapToGrid w:val="0"/>
      <w:spacing w:line="240" w:lineRule="auto"/>
      <w:ind w:left="0" w:firstLine="0" w:firstLineChars="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t>宜春钽铌矿有限公司</w:t>
    </w:r>
    <w:r>
      <w:rPr>
        <w:rFonts w:hint="eastAsia" w:cs="Times New Roman"/>
        <w:kern w:val="2"/>
        <w:sz w:val="18"/>
        <w:szCs w:val="18"/>
        <w:lang w:val="en-US" w:eastAsia="zh-CN" w:bidi="ar-SA"/>
      </w:rPr>
      <w:t>加油站升级改造项目</w:t>
    </w:r>
    <w:r>
      <w:rPr>
        <w:rFonts w:hint="eastAsia" w:ascii="Times New Roman" w:hAnsi="Times New Roman" w:eastAsia="宋体" w:cs="Times New Roman"/>
        <w:kern w:val="2"/>
        <w:sz w:val="18"/>
        <w:szCs w:val="18"/>
        <w:lang w:val="en-US" w:eastAsia="zh-CN" w:bidi="ar-SA"/>
      </w:rPr>
      <w:t xml:space="preserve">安全条件评价报告               </w:t>
    </w:r>
    <w:r>
      <w:rPr>
        <w:rFonts w:hint="eastAsia" w:cs="Times New Roman"/>
        <w:kern w:val="2"/>
        <w:sz w:val="18"/>
        <w:szCs w:val="18"/>
        <w:lang w:val="en-US" w:eastAsia="zh-CN" w:bidi="ar-SA"/>
      </w:rPr>
      <w:t xml:space="preserve">  </w:t>
    </w:r>
    <w:r>
      <w:rPr>
        <w:rFonts w:hint="eastAsia" w:ascii="Times New Roman" w:hAnsi="Times New Roman" w:eastAsia="宋体" w:cs="Times New Roman"/>
        <w:kern w:val="2"/>
        <w:sz w:val="18"/>
        <w:szCs w:val="18"/>
        <w:lang w:val="en-US" w:eastAsia="zh-CN" w:bidi="ar-SA"/>
      </w:rPr>
      <w:t xml:space="preserve">      </w:t>
    </w:r>
    <w:r>
      <w:rPr>
        <w:rFonts w:hint="eastAsia" w:cs="Times New Roman"/>
        <w:kern w:val="2"/>
        <w:sz w:val="18"/>
        <w:szCs w:val="18"/>
        <w:lang w:val="en-US" w:eastAsia="zh-CN" w:bidi="ar-SA"/>
      </w:rPr>
      <w:t xml:space="preserve">   </w:t>
    </w:r>
    <w:r>
      <w:rPr>
        <w:rFonts w:hint="eastAsia" w:ascii="Times New Roman" w:hAnsi="Times New Roman" w:eastAsia="宋体" w:cs="Times New Roman"/>
        <w:kern w:val="2"/>
        <w:sz w:val="18"/>
        <w:szCs w:val="18"/>
        <w:lang w:val="en-US" w:eastAsia="zh-CN" w:bidi="ar-SA"/>
      </w:rPr>
      <w:t xml:space="preserve">   GAAP</w:t>
    </w:r>
    <w:r>
      <w:rPr>
        <w:rFonts w:hint="eastAsia" w:ascii="微软雅黑" w:hAnsi="Times New Roman" w:eastAsia="微软雅黑" w:cs="微软雅黑"/>
        <w:kern w:val="2"/>
        <w:sz w:val="18"/>
        <w:szCs w:val="18"/>
        <w:lang w:val="en-US" w:eastAsia="zh-CN" w:bidi="ar-SA"/>
      </w:rPr>
      <w:t>〔</w:t>
    </w:r>
    <w:r>
      <w:rPr>
        <w:rFonts w:hint="eastAsia" w:ascii="Times New Roman" w:hAnsi="Times New Roman" w:eastAsia="宋体" w:cs="Times New Roman"/>
        <w:kern w:val="2"/>
        <w:sz w:val="18"/>
        <w:szCs w:val="18"/>
        <w:lang w:val="en-US" w:eastAsia="zh-CN" w:bidi="ar-SA"/>
      </w:rPr>
      <w:t>202</w:t>
    </w:r>
    <w:r>
      <w:rPr>
        <w:rFonts w:hint="eastAsia" w:cs="Times New Roman"/>
        <w:kern w:val="2"/>
        <w:sz w:val="18"/>
        <w:szCs w:val="18"/>
        <w:lang w:val="en-US" w:eastAsia="zh-CN" w:bidi="ar-SA"/>
      </w:rPr>
      <w:t>5</w:t>
    </w:r>
    <w:r>
      <w:rPr>
        <w:rFonts w:hint="eastAsia" w:ascii="微软雅黑" w:hAnsi="Times New Roman" w:eastAsia="微软雅黑" w:cs="微软雅黑"/>
        <w:kern w:val="2"/>
        <w:sz w:val="18"/>
        <w:szCs w:val="18"/>
        <w:lang w:val="en-US" w:eastAsia="zh-CN" w:bidi="ar-SA"/>
      </w:rPr>
      <w:t>〕</w:t>
    </w:r>
    <w:r>
      <w:rPr>
        <w:rFonts w:hint="eastAsia" w:eastAsia="微软雅黑" w:cs="Times New Roman"/>
        <w:kern w:val="2"/>
        <w:sz w:val="18"/>
        <w:szCs w:val="18"/>
        <w:lang w:val="en-US" w:eastAsia="zh-CN" w:bidi="ar-SA"/>
      </w:rPr>
      <w:t>0031</w:t>
    </w:r>
    <w:r>
      <w:rPr>
        <w:rFonts w:hint="eastAsia" w:ascii="Times New Roman" w:hAnsi="Times New Roman" w:eastAsia="宋体" w:cs="Times New Roman"/>
        <w:kern w:val="2"/>
        <w:sz w:val="18"/>
        <w:szCs w:val="18"/>
        <w:lang w:val="en-US" w:eastAsia="zh-CN" w:bidi="ar-S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436C6"/>
    <w:multiLevelType w:val="singleLevel"/>
    <w:tmpl w:val="886436C6"/>
    <w:lvl w:ilvl="0" w:tentative="0">
      <w:start w:val="1"/>
      <w:numFmt w:val="decimal"/>
      <w:suff w:val="space"/>
      <w:lvlText w:val="%1."/>
      <w:lvlJc w:val="left"/>
    </w:lvl>
  </w:abstractNum>
  <w:abstractNum w:abstractNumId="1">
    <w:nsid w:val="CDCDD6C5"/>
    <w:multiLevelType w:val="singleLevel"/>
    <w:tmpl w:val="CDCDD6C5"/>
    <w:lvl w:ilvl="0" w:tentative="0">
      <w:start w:val="1"/>
      <w:numFmt w:val="decimal"/>
      <w:suff w:val="nothing"/>
      <w:lvlText w:val="（%1）"/>
      <w:lvlJc w:val="left"/>
    </w:lvl>
  </w:abstractNum>
  <w:abstractNum w:abstractNumId="2">
    <w:nsid w:val="D0A45376"/>
    <w:multiLevelType w:val="singleLevel"/>
    <w:tmpl w:val="D0A45376"/>
    <w:lvl w:ilvl="0" w:tentative="0">
      <w:start w:val="1"/>
      <w:numFmt w:val="lowerLetter"/>
      <w:suff w:val="nothing"/>
      <w:lvlText w:val="%1）"/>
      <w:lvlJc w:val="left"/>
    </w:lvl>
  </w:abstractNum>
  <w:abstractNum w:abstractNumId="3">
    <w:nsid w:val="173F718B"/>
    <w:multiLevelType w:val="singleLevel"/>
    <w:tmpl w:val="173F718B"/>
    <w:lvl w:ilvl="0" w:tentative="0">
      <w:start w:val="1"/>
      <w:numFmt w:val="decimal"/>
      <w:suff w:val="space"/>
      <w:lvlText w:val="%1."/>
      <w:lvlJc w:val="left"/>
    </w:lvl>
  </w:abstractNum>
  <w:abstractNum w:abstractNumId="4">
    <w:nsid w:val="46B23547"/>
    <w:multiLevelType w:val="singleLevel"/>
    <w:tmpl w:val="46B23547"/>
    <w:lvl w:ilvl="0" w:tentative="0">
      <w:start w:val="1"/>
      <w:numFmt w:val="chineseCounting"/>
      <w:suff w:val="nothing"/>
      <w:lvlText w:val="%1、"/>
      <w:lvlJc w:val="left"/>
      <w:rPr>
        <w:rFonts w:hint="eastAsia"/>
      </w:rPr>
    </w:lvl>
  </w:abstractNum>
  <w:abstractNum w:abstractNumId="5">
    <w:nsid w:val="4DD829E0"/>
    <w:multiLevelType w:val="singleLevel"/>
    <w:tmpl w:val="4DD829E0"/>
    <w:lvl w:ilvl="0" w:tentative="0">
      <w:start w:val="1"/>
      <w:numFmt w:val="decimal"/>
      <w:suff w:val="space"/>
      <w:lvlText w:val="%1."/>
      <w:lvlJc w:val="left"/>
    </w:lvl>
  </w:abstractNum>
  <w:abstractNum w:abstractNumId="6">
    <w:nsid w:val="4FABC253"/>
    <w:multiLevelType w:val="singleLevel"/>
    <w:tmpl w:val="4FABC253"/>
    <w:lvl w:ilvl="0" w:tentative="0">
      <w:start w:val="3"/>
      <w:numFmt w:val="decimal"/>
      <w:suff w:val="space"/>
      <w:lvlText w:val="%1."/>
      <w:lvlJc w:val="left"/>
    </w:lvl>
  </w:abstractNum>
  <w:num w:numId="1">
    <w:abstractNumId w:val="6"/>
  </w:num>
  <w:num w:numId="2">
    <w:abstractNumId w:val="0"/>
  </w:num>
  <w:num w:numId="3">
    <w:abstractNumId w:val="5"/>
  </w:num>
  <w:num w:numId="4">
    <w:abstractNumId w:val="1"/>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mOWZjMTdhZDhhZjU4OThiZWFjMGM2NzJiODRlYjYifQ=="/>
  </w:docVars>
  <w:rsids>
    <w:rsidRoot w:val="00000000"/>
    <w:rsid w:val="021A27AB"/>
    <w:rsid w:val="026779BA"/>
    <w:rsid w:val="02E41F01"/>
    <w:rsid w:val="03A073A5"/>
    <w:rsid w:val="047D34C5"/>
    <w:rsid w:val="04CE3D21"/>
    <w:rsid w:val="050E6ECE"/>
    <w:rsid w:val="05145BD8"/>
    <w:rsid w:val="054144F3"/>
    <w:rsid w:val="05CA44E8"/>
    <w:rsid w:val="06C02D9F"/>
    <w:rsid w:val="07411051"/>
    <w:rsid w:val="07AC659B"/>
    <w:rsid w:val="07C04D3E"/>
    <w:rsid w:val="07E42DD3"/>
    <w:rsid w:val="07E86EA8"/>
    <w:rsid w:val="08626E3A"/>
    <w:rsid w:val="09322AD0"/>
    <w:rsid w:val="09BB7189"/>
    <w:rsid w:val="0B5C4FFD"/>
    <w:rsid w:val="0BEB474C"/>
    <w:rsid w:val="0D417485"/>
    <w:rsid w:val="0E070246"/>
    <w:rsid w:val="0E9B4C74"/>
    <w:rsid w:val="0F783207"/>
    <w:rsid w:val="0F7B6853"/>
    <w:rsid w:val="0FD13D24"/>
    <w:rsid w:val="10702130"/>
    <w:rsid w:val="11532828"/>
    <w:rsid w:val="12D93FBD"/>
    <w:rsid w:val="1356560D"/>
    <w:rsid w:val="13AE71F7"/>
    <w:rsid w:val="13B3480E"/>
    <w:rsid w:val="1425621F"/>
    <w:rsid w:val="14332AA2"/>
    <w:rsid w:val="14EF3B8A"/>
    <w:rsid w:val="16225C7A"/>
    <w:rsid w:val="168C1346"/>
    <w:rsid w:val="174B0F64"/>
    <w:rsid w:val="17621452"/>
    <w:rsid w:val="17FB6783"/>
    <w:rsid w:val="18037974"/>
    <w:rsid w:val="181B2628"/>
    <w:rsid w:val="18C33745"/>
    <w:rsid w:val="19202136"/>
    <w:rsid w:val="192150D8"/>
    <w:rsid w:val="19BD63E6"/>
    <w:rsid w:val="1B4548E5"/>
    <w:rsid w:val="1B5F527B"/>
    <w:rsid w:val="1BE240CC"/>
    <w:rsid w:val="1BF46F2B"/>
    <w:rsid w:val="1ECA37F5"/>
    <w:rsid w:val="1EDF0A76"/>
    <w:rsid w:val="1F137709"/>
    <w:rsid w:val="1F4C5B16"/>
    <w:rsid w:val="1F9A2D26"/>
    <w:rsid w:val="1FF25E62"/>
    <w:rsid w:val="209343FE"/>
    <w:rsid w:val="23627FFE"/>
    <w:rsid w:val="23A83C63"/>
    <w:rsid w:val="23B72A97"/>
    <w:rsid w:val="25D2202B"/>
    <w:rsid w:val="26217EAD"/>
    <w:rsid w:val="26FF3A56"/>
    <w:rsid w:val="27DD5EA5"/>
    <w:rsid w:val="28834F6E"/>
    <w:rsid w:val="29B015FB"/>
    <w:rsid w:val="29DA08EE"/>
    <w:rsid w:val="2A015109"/>
    <w:rsid w:val="2A510485"/>
    <w:rsid w:val="2A895E70"/>
    <w:rsid w:val="2A924D25"/>
    <w:rsid w:val="2CB33C31"/>
    <w:rsid w:val="2E4B1DBB"/>
    <w:rsid w:val="2E505623"/>
    <w:rsid w:val="2FA67554"/>
    <w:rsid w:val="318F01FD"/>
    <w:rsid w:val="32562ADC"/>
    <w:rsid w:val="32591CA8"/>
    <w:rsid w:val="34360C89"/>
    <w:rsid w:val="34654306"/>
    <w:rsid w:val="34666D8C"/>
    <w:rsid w:val="346E1392"/>
    <w:rsid w:val="34FF56AD"/>
    <w:rsid w:val="35150A2C"/>
    <w:rsid w:val="35926521"/>
    <w:rsid w:val="35DA3A24"/>
    <w:rsid w:val="35FF348B"/>
    <w:rsid w:val="36932551"/>
    <w:rsid w:val="374A6F7B"/>
    <w:rsid w:val="37C52BDE"/>
    <w:rsid w:val="38A00F55"/>
    <w:rsid w:val="39050DB8"/>
    <w:rsid w:val="39215F86"/>
    <w:rsid w:val="3B273268"/>
    <w:rsid w:val="3D0D29E3"/>
    <w:rsid w:val="3DAA3CB9"/>
    <w:rsid w:val="3E485518"/>
    <w:rsid w:val="410E5C3B"/>
    <w:rsid w:val="41CB3F30"/>
    <w:rsid w:val="421361F6"/>
    <w:rsid w:val="4283791D"/>
    <w:rsid w:val="42976F25"/>
    <w:rsid w:val="43016A94"/>
    <w:rsid w:val="44CE5A6B"/>
    <w:rsid w:val="455147FE"/>
    <w:rsid w:val="46BE5F5F"/>
    <w:rsid w:val="48027B0C"/>
    <w:rsid w:val="48587359"/>
    <w:rsid w:val="48F52BF7"/>
    <w:rsid w:val="4A8F2BD7"/>
    <w:rsid w:val="4BB40B47"/>
    <w:rsid w:val="4BE74CD7"/>
    <w:rsid w:val="4D021D86"/>
    <w:rsid w:val="4D410CA2"/>
    <w:rsid w:val="4DF70A62"/>
    <w:rsid w:val="4E1A4EAE"/>
    <w:rsid w:val="4E3A10AC"/>
    <w:rsid w:val="4E9E163B"/>
    <w:rsid w:val="4EF76861"/>
    <w:rsid w:val="50324731"/>
    <w:rsid w:val="50371C6D"/>
    <w:rsid w:val="50412F77"/>
    <w:rsid w:val="50AF18DD"/>
    <w:rsid w:val="50CA6772"/>
    <w:rsid w:val="52BA60F9"/>
    <w:rsid w:val="538E1C7E"/>
    <w:rsid w:val="54617393"/>
    <w:rsid w:val="54656D9F"/>
    <w:rsid w:val="558666E5"/>
    <w:rsid w:val="55E81727"/>
    <w:rsid w:val="564A3321"/>
    <w:rsid w:val="56C734CB"/>
    <w:rsid w:val="56CE6835"/>
    <w:rsid w:val="587D0513"/>
    <w:rsid w:val="587F7EF9"/>
    <w:rsid w:val="5A3612C1"/>
    <w:rsid w:val="5BC528FD"/>
    <w:rsid w:val="5D26561D"/>
    <w:rsid w:val="5D327B1E"/>
    <w:rsid w:val="5D571E6E"/>
    <w:rsid w:val="5D79574D"/>
    <w:rsid w:val="5D8B36D2"/>
    <w:rsid w:val="5E0133B7"/>
    <w:rsid w:val="5EA20CD3"/>
    <w:rsid w:val="5ECA1FD8"/>
    <w:rsid w:val="5F321771"/>
    <w:rsid w:val="5FEB5BEE"/>
    <w:rsid w:val="608D150F"/>
    <w:rsid w:val="60936625"/>
    <w:rsid w:val="60F35816"/>
    <w:rsid w:val="62943029"/>
    <w:rsid w:val="641278A3"/>
    <w:rsid w:val="647E75FB"/>
    <w:rsid w:val="658C1251"/>
    <w:rsid w:val="65E7414F"/>
    <w:rsid w:val="6614022E"/>
    <w:rsid w:val="66816537"/>
    <w:rsid w:val="678E44EB"/>
    <w:rsid w:val="683B50D3"/>
    <w:rsid w:val="6841155D"/>
    <w:rsid w:val="68594A1D"/>
    <w:rsid w:val="687B13EF"/>
    <w:rsid w:val="68A13DAA"/>
    <w:rsid w:val="68C63810"/>
    <w:rsid w:val="6ABC136F"/>
    <w:rsid w:val="6AFC7A1D"/>
    <w:rsid w:val="6B12527D"/>
    <w:rsid w:val="6C506213"/>
    <w:rsid w:val="6C5319C5"/>
    <w:rsid w:val="6C6321E2"/>
    <w:rsid w:val="6C9F4AA4"/>
    <w:rsid w:val="6D611D5A"/>
    <w:rsid w:val="6E255143"/>
    <w:rsid w:val="6EF67A1A"/>
    <w:rsid w:val="6F40256E"/>
    <w:rsid w:val="6F7E6BF3"/>
    <w:rsid w:val="6FE3114C"/>
    <w:rsid w:val="703F45D4"/>
    <w:rsid w:val="71681A1D"/>
    <w:rsid w:val="73972979"/>
    <w:rsid w:val="73C3305F"/>
    <w:rsid w:val="7420471D"/>
    <w:rsid w:val="74EB4267"/>
    <w:rsid w:val="75EB2B08"/>
    <w:rsid w:val="77000835"/>
    <w:rsid w:val="77976AA4"/>
    <w:rsid w:val="77E827A2"/>
    <w:rsid w:val="7909538C"/>
    <w:rsid w:val="796706F8"/>
    <w:rsid w:val="7A266B63"/>
    <w:rsid w:val="7A3B22B0"/>
    <w:rsid w:val="7BFD5C79"/>
    <w:rsid w:val="7C280612"/>
    <w:rsid w:val="7C9C3CDE"/>
    <w:rsid w:val="7CD8259A"/>
    <w:rsid w:val="7D16490F"/>
    <w:rsid w:val="7DD2237C"/>
    <w:rsid w:val="7DDD2BE9"/>
    <w:rsid w:val="7E3A287F"/>
    <w:rsid w:val="7ED74DDB"/>
    <w:rsid w:val="7F484E66"/>
    <w:rsid w:val="7FB83A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560" w:firstLineChars="200"/>
      <w:jc w:val="both"/>
    </w:pPr>
    <w:rPr>
      <w:rFonts w:ascii="Times New Roman" w:hAnsi="Times New Roman" w:eastAsia="宋体" w:cs="Times New Roman"/>
      <w:sz w:val="28"/>
      <w:lang w:val="en-US" w:eastAsia="zh-CN" w:bidi="ar-SA"/>
    </w:rPr>
  </w:style>
  <w:style w:type="paragraph" w:styleId="2">
    <w:name w:val="heading 1"/>
    <w:basedOn w:val="1"/>
    <w:next w:val="1"/>
    <w:link w:val="22"/>
    <w:qFormat/>
    <w:uiPriority w:val="0"/>
    <w:pPr>
      <w:keepNext/>
      <w:keepLines/>
      <w:spacing w:beforeLines="0" w:beforeAutospacing="0" w:afterLines="0" w:afterAutospacing="0" w:line="360" w:lineRule="auto"/>
      <w:ind w:left="0" w:leftChars="0" w:firstLine="0" w:firstLineChars="0"/>
      <w:jc w:val="center"/>
      <w:outlineLvl w:val="0"/>
    </w:pPr>
    <w:rPr>
      <w:rFonts w:eastAsia="黑体"/>
      <w:b/>
      <w:kern w:val="44"/>
      <w:sz w:val="32"/>
    </w:rPr>
  </w:style>
  <w:style w:type="paragraph" w:styleId="3">
    <w:name w:val="heading 2"/>
    <w:basedOn w:val="1"/>
    <w:next w:val="1"/>
    <w:link w:val="21"/>
    <w:unhideWhenUsed/>
    <w:qFormat/>
    <w:uiPriority w:val="0"/>
    <w:pPr>
      <w:keepNext/>
      <w:keepLines/>
      <w:spacing w:line="360" w:lineRule="auto"/>
      <w:ind w:left="210" w:leftChars="100" w:firstLine="0" w:firstLineChars="0"/>
      <w:outlineLvl w:val="1"/>
    </w:pPr>
    <w:rPr>
      <w:rFonts w:ascii="Times New Roman" w:hAnsi="Times New Roman" w:eastAsia="黑体"/>
      <w:b/>
      <w:bCs/>
      <w:sz w:val="30"/>
      <w:szCs w:val="32"/>
    </w:rPr>
  </w:style>
  <w:style w:type="paragraph" w:styleId="4">
    <w:name w:val="heading 3"/>
    <w:basedOn w:val="1"/>
    <w:next w:val="1"/>
    <w:unhideWhenUsed/>
    <w:qFormat/>
    <w:uiPriority w:val="0"/>
    <w:pPr>
      <w:keepNext/>
      <w:keepLines/>
      <w:spacing w:beforeLines="0" w:beforeAutospacing="0" w:afterLines="0" w:afterAutospacing="0" w:line="360" w:lineRule="auto"/>
      <w:ind w:left="560" w:leftChars="200" w:firstLine="0" w:firstLineChars="0"/>
      <w:outlineLvl w:val="2"/>
    </w:pPr>
    <w:rPr>
      <w:rFonts w:ascii="Times New Roman" w:hAnsi="Times New Roman" w:eastAsia="黑体"/>
      <w:b/>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5">
    <w:name w:val="Default Paragraph Font"/>
    <w:link w:val="16"/>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table of authorities"/>
    <w:basedOn w:val="1"/>
    <w:next w:val="1"/>
    <w:qFormat/>
    <w:uiPriority w:val="0"/>
    <w:pPr>
      <w:ind w:left="420" w:leftChars="200"/>
    </w:pPr>
  </w:style>
  <w:style w:type="paragraph" w:styleId="7">
    <w:name w:val="annotation text"/>
    <w:basedOn w:val="1"/>
    <w:uiPriority w:val="0"/>
    <w:pPr>
      <w:jc w:val="left"/>
    </w:pPr>
  </w:style>
  <w:style w:type="paragraph" w:styleId="8">
    <w:name w:val="toc 3"/>
    <w:basedOn w:val="1"/>
    <w:next w:val="1"/>
    <w:qFormat/>
    <w:uiPriority w:val="0"/>
    <w:pPr>
      <w:spacing w:line="240" w:lineRule="auto"/>
      <w:ind w:left="840" w:leftChars="400" w:firstLine="0" w:firstLineChars="0"/>
    </w:pPr>
    <w:rPr>
      <w:rFonts w:ascii="Times New Roman" w:hAnsi="Times New Roman" w:eastAsia="宋体"/>
      <w:sz w:val="21"/>
    </w:rPr>
  </w:style>
  <w:style w:type="paragraph" w:styleId="9">
    <w:name w:val="Plain Text"/>
    <w:qFormat/>
    <w:uiPriority w:val="0"/>
    <w:pPr>
      <w:widowControl w:val="0"/>
      <w:ind w:firstLine="640" w:firstLineChars="200"/>
      <w:jc w:val="both"/>
    </w:pPr>
    <w:rPr>
      <w:rFonts w:ascii="Times New Roman" w:hAnsi="Times New Roman" w:eastAsia="宋体" w:cs="Times New Roman"/>
      <w:spacing w:val="20"/>
      <w:kern w:val="2"/>
      <w:sz w:val="28"/>
      <w:szCs w:val="18"/>
      <w:lang w:val="en-US" w:eastAsia="zh-CN" w:bidi="ar-SA"/>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pPr>
      <w:spacing w:line="240" w:lineRule="auto"/>
      <w:ind w:firstLine="0" w:firstLineChars="0"/>
    </w:pPr>
    <w:rPr>
      <w:rFonts w:ascii="Times New Roman" w:hAnsi="Times New Roman" w:eastAsia="宋体"/>
    </w:rPr>
  </w:style>
  <w:style w:type="paragraph" w:styleId="13">
    <w:name w:val="toc 2"/>
    <w:basedOn w:val="1"/>
    <w:next w:val="1"/>
    <w:qFormat/>
    <w:uiPriority w:val="0"/>
    <w:pPr>
      <w:tabs>
        <w:tab w:val="right" w:leader="dot" w:pos="9072"/>
      </w:tabs>
      <w:spacing w:line="240" w:lineRule="auto"/>
      <w:ind w:left="420" w:leftChars="200" w:firstLine="0" w:firstLineChars="0"/>
    </w:pPr>
    <w:rPr>
      <w:rFonts w:ascii="Times New Roman" w:hAnsi="Times New Roman" w:eastAsia="宋体"/>
      <w:sz w:val="24"/>
    </w:rPr>
  </w:style>
  <w:style w:type="paragraph" w:customStyle="1" w:styleId="16">
    <w:name w:val=" Char Char1 Char Char Char Char"/>
    <w:basedOn w:val="1"/>
    <w:link w:val="15"/>
    <w:qFormat/>
    <w:uiPriority w:val="0"/>
  </w:style>
  <w:style w:type="character" w:styleId="17">
    <w:name w:val="page number"/>
    <w:qFormat/>
    <w:uiPriority w:val="0"/>
  </w:style>
  <w:style w:type="paragraph" w:customStyle="1" w:styleId="18">
    <w:name w:val="目录1"/>
    <w:basedOn w:val="6"/>
    <w:qFormat/>
    <w:uiPriority w:val="0"/>
    <w:pPr>
      <w:spacing w:line="240" w:lineRule="auto"/>
      <w:ind w:firstLine="0" w:firstLineChars="0"/>
    </w:pPr>
    <w:rPr>
      <w:rFonts w:cs="Times New Roman"/>
    </w:rPr>
  </w:style>
  <w:style w:type="paragraph" w:customStyle="1" w:styleId="19">
    <w:name w:val="目录2"/>
    <w:basedOn w:val="6"/>
    <w:qFormat/>
    <w:uiPriority w:val="0"/>
    <w:pPr>
      <w:spacing w:line="240" w:lineRule="auto"/>
      <w:ind w:firstLine="0" w:firstLineChars="0"/>
    </w:pPr>
    <w:rPr>
      <w:rFonts w:cs="Times New Roman"/>
      <w:sz w:val="24"/>
    </w:rPr>
  </w:style>
  <w:style w:type="paragraph" w:customStyle="1" w:styleId="20">
    <w:name w:val="目录3"/>
    <w:basedOn w:val="6"/>
    <w:qFormat/>
    <w:uiPriority w:val="0"/>
    <w:pPr>
      <w:spacing w:line="240" w:lineRule="auto"/>
      <w:ind w:left="1120" w:leftChars="400" w:firstLine="0" w:firstLineChars="0"/>
    </w:pPr>
    <w:rPr>
      <w:rFonts w:ascii="Times New Roman" w:hAnsi="Times New Roman" w:eastAsia="宋体"/>
      <w:sz w:val="21"/>
    </w:rPr>
  </w:style>
  <w:style w:type="character" w:customStyle="1" w:styleId="21">
    <w:name w:val="标题 2 Char"/>
    <w:basedOn w:val="15"/>
    <w:link w:val="3"/>
    <w:qFormat/>
    <w:uiPriority w:val="0"/>
    <w:rPr>
      <w:rFonts w:ascii="Times New Roman" w:hAnsi="Times New Roman" w:eastAsia="黑体"/>
      <w:b/>
      <w:bCs/>
      <w:kern w:val="2"/>
      <w:sz w:val="30"/>
      <w:szCs w:val="32"/>
      <w:lang w:val="en-US" w:eastAsia="zh-CN" w:bidi="ar-SA"/>
    </w:rPr>
  </w:style>
  <w:style w:type="character" w:customStyle="1" w:styleId="22">
    <w:name w:val="标题 1 Char"/>
    <w:link w:val="2"/>
    <w:qFormat/>
    <w:uiPriority w:val="0"/>
    <w:rPr>
      <w:rFonts w:ascii="Times New Roman" w:hAnsi="Times New Roman" w:eastAsia="黑体"/>
      <w:b/>
      <w:kern w:val="44"/>
      <w:sz w:val="32"/>
    </w:rPr>
  </w:style>
  <w:style w:type="paragraph" w:customStyle="1" w:styleId="23">
    <w:name w:val="Default1"/>
    <w:qFormat/>
    <w:uiPriority w:val="0"/>
    <w:pPr>
      <w:widowControl w:val="0"/>
      <w:autoSpaceDE w:val="0"/>
      <w:autoSpaceDN w:val="0"/>
      <w:bidi w:val="0"/>
      <w:adjustRightInd w:val="0"/>
    </w:pPr>
    <w:rPr>
      <w:rFonts w:ascii="宋体" w:hAnsi="Times New Roman" w:eastAsia="宋体" w:cs="宋体"/>
      <w:color w:val="000000"/>
      <w:sz w:val="24"/>
      <w:szCs w:val="24"/>
      <w:lang w:val="en-US" w:eastAsia="zh-CN" w:bidi="ar-SA"/>
    </w:rPr>
  </w:style>
  <w:style w:type="paragraph" w:customStyle="1" w:styleId="24">
    <w:name w:val="Table Text"/>
    <w:basedOn w:val="1"/>
    <w:semiHidden/>
    <w:qFormat/>
    <w:uiPriority w:val="0"/>
    <w:rPr>
      <w:rFonts w:ascii="宋体" w:hAnsi="宋体" w:eastAsia="宋体" w:cs="宋体"/>
      <w:sz w:val="24"/>
      <w:szCs w:val="24"/>
      <w:lang w:val="en-US" w:eastAsia="en-US" w:bidi="ar-SA"/>
    </w:rPr>
  </w:style>
  <w:style w:type="table" w:customStyle="1" w:styleId="2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83</Pages>
  <Words>9825</Words>
  <Characters>11088</Characters>
  <Lines>0</Lines>
  <Paragraphs>0</Paragraphs>
  <TotalTime>31</TotalTime>
  <ScaleCrop>false</ScaleCrop>
  <LinksUpToDate>false</LinksUpToDate>
  <CharactersWithSpaces>11489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2023-03-13T03:26:00Z</dcterms:created>
  <dc:creator>Administrator</dc:creator>
  <cp:lastModifiedBy>爱哭的男孩</cp:lastModifiedBy>
  <dcterms:modified xsi:type="dcterms:W3CDTF">2025-01-21T00:58:29Z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BB2EA02FE7A041FDAF7CEC2CD2B8DE84_13</vt:lpwstr>
  </property>
  <property fmtid="{D5CDD505-2E9C-101B-9397-08002B2CF9AE}" pid="4" name="KSOTemplateDocerSaveRecord">
    <vt:lpwstr>eyJoZGlkIjoiMDJmOWZjMTdhZDhhZjU4OThiZWFjMGM2NzJiODRlYjYiLCJ1c2VySWQiOiI0MDI5OTA3NDkifQ==</vt:lpwstr>
  </property>
</Properties>
</file>